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90" w:rsidRDefault="007F4090">
      <w:pPr>
        <w:pStyle w:val="a6"/>
        <w:shd w:val="clear" w:color="auto" w:fill="FFFFFF"/>
        <w:spacing w:before="0" w:beforeAutospacing="0" w:after="0" w:afterAutospacing="0" w:line="580" w:lineRule="exact"/>
        <w:rPr>
          <w:rFonts w:asciiTheme="minorHAnsi" w:eastAsia="仿宋_GB2312" w:hAnsiTheme="minorHAnsi"/>
          <w:sz w:val="32"/>
          <w:szCs w:val="32"/>
        </w:rPr>
      </w:pPr>
    </w:p>
    <w:p w:rsidR="007F4090" w:rsidRDefault="007F4090">
      <w:pPr>
        <w:pStyle w:val="a6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_GBK" w:eastAsia="方正小标宋_GBK" w:hAnsi="微软雅黑"/>
          <w:sz w:val="44"/>
          <w:szCs w:val="44"/>
        </w:rPr>
      </w:pP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_GBK" w:eastAsia="方正小标宋_GBK" w:hAnsi="微软雅黑"/>
          <w:sz w:val="44"/>
          <w:szCs w:val="44"/>
        </w:rPr>
      </w:pPr>
      <w:r>
        <w:rPr>
          <w:rFonts w:ascii="方正小标宋_GBK" w:eastAsia="方正小标宋_GBK" w:hAnsi="微软雅黑" w:hint="eastAsia"/>
          <w:sz w:val="44"/>
          <w:szCs w:val="44"/>
        </w:rPr>
        <w:t>2023吉林市开放数据创新应用大赛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_GBK" w:eastAsia="方正小标宋_GBK" w:hAnsi="微软雅黑"/>
          <w:sz w:val="44"/>
          <w:szCs w:val="44"/>
        </w:rPr>
      </w:pPr>
      <w:r>
        <w:rPr>
          <w:rFonts w:ascii="方正小标宋_GBK" w:eastAsia="方正小标宋_GBK" w:hAnsi="微软雅黑" w:hint="eastAsia"/>
          <w:sz w:val="44"/>
          <w:szCs w:val="44"/>
        </w:rPr>
        <w:t>活动方案</w:t>
      </w:r>
    </w:p>
    <w:p w:rsidR="007F4090" w:rsidRDefault="007F4090">
      <w:pPr>
        <w:pStyle w:val="a6"/>
        <w:shd w:val="clear" w:color="auto" w:fill="FFFFFF"/>
        <w:spacing w:before="0" w:beforeAutospacing="0" w:after="0" w:afterAutospacing="0" w:line="580" w:lineRule="exact"/>
        <w:rPr>
          <w:rFonts w:asciiTheme="minorHAnsi" w:eastAsia="楷体_GB2312" w:hAnsiTheme="minorHAnsi"/>
          <w:sz w:val="32"/>
          <w:szCs w:val="32"/>
        </w:rPr>
      </w:pP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党中央国务院关于网络强国、数字中国的战略部署，“数字吉林”建设推进大会精神，《“数字吉林”建设规划（2.0版）》《“数字吉林市”建设三年实施计划（2022-2024年）》等文件要求，加快推进“数字吉林市”建设，充分发挥公共信息资源开放试点城市示范效应，推进公共数据资源开发利用，优化营商环境，打造全省副中心城市，拟举办2023吉林市开放数据创新应用大赛。活动方案如下：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一、大赛目的和意义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本次大赛面向全国开展，以实现数据开放、数据应用、产业发展三位一体为目标，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旨在全社会参与到公共数据创新应用中来，让更多的人关注数据的衍生能力，关注数据资产积累和应用；充分发挥企业、社会组织、在校大学生的创新能力，利用公共数据开放共享的契机，构建数据应用模型，让数据应用更贴近人民生活，吸引更多从业者和高校毕业生来吉创业、就业，聚集数字产业人才；通过深入挖掘数据价值，充分释放数据红利，提高数据服务民生的能力，引领我市数字经济发展，促进我市产业结构优化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lastRenderedPageBreak/>
        <w:t>一是宣传推介我市公共信息资源开放工作成效。借助上线的吉林市公共信息资源开放平台，为企业和个人开展公共信息资源的社会化开发利用提供数据支撑，进一步梳理社会侧对公共数据的需求，推动政府侧更多数据向社会开放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二是推动公共数据及社会数据的创新应用</w:t>
      </w:r>
      <w:r>
        <w:rPr>
          <w:rFonts w:ascii="仿宋_GB2312" w:eastAsia="仿宋_GB2312" w:cs="Times New Roman" w:hint="eastAsia"/>
          <w:bCs/>
          <w:kern w:val="2"/>
          <w:sz w:val="32"/>
          <w:szCs w:val="32"/>
        </w:rPr>
        <w:t>。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激发全社会对政府数据开发利用的热情，征集基于开放数据的创新应用解决方案和算法模型，实现更多场景应用落地。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三是促进我市产业结构调整。通过数据创新应用大赛，让更多的企业参与到数据开发、应用中来，引导数字产业发展，为我市产业结构优化提供动力。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四是释放数据红利，让数据取之于民，还之于民。通过大赛挖掘与城市公共安全、环境保护、智慧交通、健康生活、企业信用等息息相关的数据价值，促进数据要素流通，探索公共数据运营，促进数字经济发展，让数据造福于民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Theme="minorHAnsi" w:eastAsia="仿宋_GB2312" w:hAnsiTheme="minorHAnsi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五是鼓励在校大学生，培养行业人才，号召大学生特别是本地大学生留吉创业，建设家乡。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二、大赛赛况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（一）大赛名称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2023吉林市开放数据创新应用大赛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（二）大赛主题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数聚吉林市 智绘新生态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（三）大赛时间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2023年8月至12月（共计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个月）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三、组织机构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（一）指导单位：吉林市政务服务和数字化建设管理局、吉林市通信管理办公室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pct10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（二）主办单位：吉林市互联网协会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Theme="minorHAnsi" w:eastAsia="仿宋_GB2312" w:hAnsiTheme="minorHAns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（三）承办单位：吉林智慧江城建设运营有限公司、中国移动吉林市分公司、中国联通吉林市分公司、中国电信吉林市分公司、中国铁塔吉林市分公司</w:t>
      </w:r>
    </w:p>
    <w:p w:rsidR="007F4090" w:rsidRPr="00170423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Theme="minorHAnsi" w:eastAsia="仿宋_GB2312" w:hAnsiTheme="minorHAns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协办单位：吉林市城市建设控股集团有限公司、吉林市晓筑科技服务有限公司、北京数字认证股份有限公司、吉林市意邦智控电子有限公司、吉林市润石软件技术有限责任公司、奥丁创新科技(吉林)有限公司</w:t>
      </w:r>
      <w:r w:rsidR="00170423">
        <w:rPr>
          <w:rFonts w:asciiTheme="minorHAnsi" w:eastAsia="仿宋_GB2312" w:hAnsiTheme="minorHAnsi" w:hint="eastAsia"/>
          <w:sz w:val="32"/>
          <w:szCs w:val="32"/>
        </w:rPr>
        <w:t>、</w:t>
      </w:r>
      <w:r w:rsidR="00170423" w:rsidRPr="00170423">
        <w:rPr>
          <w:rFonts w:asciiTheme="minorHAnsi" w:eastAsia="仿宋_GB2312" w:hAnsiTheme="minorHAnsi" w:hint="eastAsia"/>
          <w:sz w:val="32"/>
          <w:szCs w:val="32"/>
        </w:rPr>
        <w:t>杭州迪普科技股份有限公司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四、赛事规则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微软雅黑" w:eastAsia="微软雅黑" w:hAnsi="微软雅黑"/>
          <w:sz w:val="27"/>
          <w:szCs w:val="27"/>
        </w:rPr>
      </w:pPr>
      <w:r>
        <w:rPr>
          <w:rFonts w:ascii="仿宋_GB2312" w:eastAsia="仿宋_GB2312" w:hint="eastAsia"/>
          <w:sz w:val="32"/>
          <w:szCs w:val="32"/>
        </w:rPr>
        <w:t>（一）参赛对象</w:t>
      </w:r>
      <w:r>
        <w:rPr>
          <w:rFonts w:ascii="微软雅黑" w:eastAsia="微软雅黑" w:hAnsi="微软雅黑" w:hint="eastAsia"/>
          <w:sz w:val="27"/>
          <w:szCs w:val="27"/>
        </w:rPr>
        <w:t xml:space="preserve">　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参赛对象以企业为主体，鼓励高校及科研院所、自由职业者及各类团体报名参赛，每个团队不能超过5人。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（二）赛题设置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以吉林市实际数字化应用为导向，落地服务社会，服务企业，服务目标群体，能够将技术成果转化为应用成果。赛题以数字经济、城市治理、智慧民生、智慧应急、文化旅游五大方向为主，选手也可使用吉林市公共信息资源开放平台提供的数据自定赛题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（三）赛道设置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职业赛道：</w:t>
      </w:r>
      <w:r>
        <w:rPr>
          <w:rFonts w:ascii="仿宋_GB2312" w:eastAsia="仿宋_GB2312" w:hint="eastAsia"/>
          <w:sz w:val="32"/>
          <w:szCs w:val="32"/>
        </w:rPr>
        <w:t>以吉林市实际需求为创作基础，突出开放数据创新应用，形成数字产品或数据服务，服务民生、智慧城市和数字经济建设。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要求：</w:t>
      </w:r>
      <w:r>
        <w:rPr>
          <w:rFonts w:ascii="仿宋_GB2312" w:eastAsia="仿宋_GB2312"/>
          <w:sz w:val="32"/>
          <w:szCs w:val="32"/>
        </w:rPr>
        <w:t>1.每支队伍只能报名一个赛道，不得重复报名不同赛道，参赛团队根据实际情况自选赛道报名。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2.企业、研究机构在职人员或自由职业者占团队成员总数60%以上，队长由在职人员或者自由职业者担任。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高校赛道：</w:t>
      </w:r>
      <w:r>
        <w:rPr>
          <w:rFonts w:ascii="仿宋_GB2312" w:eastAsia="仿宋_GB2312" w:hint="eastAsia"/>
          <w:sz w:val="32"/>
          <w:szCs w:val="32"/>
        </w:rPr>
        <w:t>该赛道不限方向不限场景，侧重创意解决方案。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要求：1.每支队伍只能报名一个赛道，不得重复报名不同赛道，参赛团队根据实际情况自选赛道报名。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2.在校学生占团队成员总数60%以上，队长由学生担任，提倡由导师带队。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（四）作品要求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Theme="minorHAnsi" w:eastAsia="仿宋_GB2312" w:hAnsiTheme="minorHAns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1.初赛作品提交创意解决方案以</w:t>
      </w:r>
      <w:proofErr w:type="spellStart"/>
      <w:r>
        <w:rPr>
          <w:rFonts w:ascii="仿宋_GB2312" w:eastAsia="仿宋_GB2312" w:hint="eastAsia"/>
          <w:sz w:val="32"/>
          <w:szCs w:val="32"/>
        </w:rPr>
        <w:t>ppt</w:t>
      </w:r>
      <w:proofErr w:type="spellEnd"/>
      <w:r>
        <w:rPr>
          <w:rFonts w:ascii="仿宋_GB2312" w:eastAsia="仿宋_GB2312" w:hint="eastAsia"/>
          <w:sz w:val="32"/>
          <w:szCs w:val="32"/>
        </w:rPr>
        <w:t>呈现，以</w:t>
      </w:r>
      <w:proofErr w:type="spellStart"/>
      <w:r>
        <w:rPr>
          <w:rFonts w:ascii="仿宋_GB2312" w:eastAsia="仿宋_GB2312" w:hint="eastAsia"/>
          <w:sz w:val="32"/>
          <w:szCs w:val="32"/>
        </w:rPr>
        <w:t>pdf</w:t>
      </w:r>
      <w:proofErr w:type="spellEnd"/>
      <w:r>
        <w:rPr>
          <w:rFonts w:ascii="仿宋_GB2312" w:eastAsia="仿宋_GB2312" w:hint="eastAsia"/>
          <w:sz w:val="32"/>
          <w:szCs w:val="32"/>
        </w:rPr>
        <w:t>格式提交附</w:t>
      </w:r>
      <w:proofErr w:type="spellStart"/>
      <w:r>
        <w:rPr>
          <w:rFonts w:ascii="仿宋_GB2312" w:eastAsia="仿宋_GB2312" w:hint="eastAsia"/>
          <w:sz w:val="32"/>
          <w:szCs w:val="32"/>
        </w:rPr>
        <w:t>ui</w:t>
      </w:r>
      <w:proofErr w:type="spellEnd"/>
      <w:r>
        <w:rPr>
          <w:rFonts w:ascii="仿宋_GB2312" w:eastAsia="仿宋_GB2312" w:hint="eastAsia"/>
          <w:sz w:val="32"/>
          <w:szCs w:val="32"/>
        </w:rPr>
        <w:t>设计（</w:t>
      </w:r>
      <w:r>
        <w:rPr>
          <w:rFonts w:ascii="仿宋_GB2312" w:eastAsia="仿宋_GB2312"/>
          <w:sz w:val="32"/>
          <w:szCs w:val="32"/>
        </w:rPr>
        <w:t>界面设计</w:t>
      </w:r>
      <w:r>
        <w:rPr>
          <w:rFonts w:ascii="仿宋_GB2312" w:eastAsia="仿宋_GB2312" w:hint="eastAsia"/>
          <w:sz w:val="32"/>
          <w:szCs w:val="32"/>
        </w:rPr>
        <w:t>，是</w:t>
      </w:r>
      <w:r>
        <w:rPr>
          <w:rFonts w:ascii="仿宋_GB2312" w:eastAsia="仿宋_GB2312"/>
          <w:sz w:val="32"/>
          <w:szCs w:val="32"/>
        </w:rPr>
        <w:t>指对软件的人机交互、操作逻辑、界面美观的整体设计</w:t>
      </w:r>
      <w:r>
        <w:rPr>
          <w:rFonts w:ascii="仿宋_GB2312" w:eastAsia="仿宋_GB2312" w:hint="eastAsia"/>
          <w:sz w:val="32"/>
          <w:szCs w:val="32"/>
        </w:rPr>
        <w:t>），作品内容应包含，但不限于需求分析、解决方案、应用场景、数据应用可行性、成果价值、</w:t>
      </w:r>
      <w:proofErr w:type="spellStart"/>
      <w:r>
        <w:rPr>
          <w:rFonts w:ascii="仿宋_GB2312" w:eastAsia="仿宋_GB2312" w:hint="eastAsia"/>
          <w:sz w:val="32"/>
          <w:szCs w:val="32"/>
        </w:rPr>
        <w:t>ui</w:t>
      </w:r>
      <w:proofErr w:type="spellEnd"/>
      <w:r>
        <w:rPr>
          <w:rFonts w:ascii="仿宋_GB2312" w:eastAsia="仿宋_GB2312" w:hint="eastAsia"/>
          <w:sz w:val="32"/>
          <w:szCs w:val="32"/>
        </w:rPr>
        <w:t>设计等。备注：高校赛道对</w:t>
      </w:r>
      <w:proofErr w:type="spellStart"/>
      <w:r>
        <w:rPr>
          <w:rFonts w:ascii="仿宋_GB2312" w:eastAsia="仿宋_GB2312" w:hint="eastAsia"/>
          <w:sz w:val="32"/>
          <w:szCs w:val="32"/>
        </w:rPr>
        <w:t>ui</w:t>
      </w:r>
      <w:proofErr w:type="spellEnd"/>
      <w:r>
        <w:rPr>
          <w:rFonts w:ascii="仿宋_GB2312" w:eastAsia="仿宋_GB2312" w:hint="eastAsia"/>
          <w:sz w:val="32"/>
          <w:szCs w:val="32"/>
        </w:rPr>
        <w:t>设计不做硬性要求。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Theme="minorHAnsi" w:eastAsia="仿宋_GB2312" w:hAnsiTheme="minorHAnsi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初赛作品（</w:t>
      </w:r>
      <w:proofErr w:type="spellStart"/>
      <w:r>
        <w:rPr>
          <w:rFonts w:ascii="仿宋_GB2312" w:eastAsia="仿宋_GB2312" w:hint="eastAsia"/>
          <w:sz w:val="32"/>
          <w:szCs w:val="32"/>
        </w:rPr>
        <w:t>ppt</w:t>
      </w:r>
      <w:proofErr w:type="spellEnd"/>
      <w:r>
        <w:rPr>
          <w:rFonts w:ascii="仿宋_GB2312" w:eastAsia="仿宋_GB2312" w:hint="eastAsia"/>
          <w:sz w:val="32"/>
          <w:szCs w:val="32"/>
        </w:rPr>
        <w:t>、</w:t>
      </w:r>
      <w:proofErr w:type="spellStart"/>
      <w:r>
        <w:rPr>
          <w:rFonts w:ascii="仿宋_GB2312" w:eastAsia="仿宋_GB2312" w:hint="eastAsia"/>
          <w:sz w:val="32"/>
          <w:szCs w:val="32"/>
        </w:rPr>
        <w:t>ui</w:t>
      </w:r>
      <w:proofErr w:type="spellEnd"/>
      <w:r>
        <w:rPr>
          <w:rFonts w:ascii="仿宋_GB2312" w:eastAsia="仿宋_GB2312" w:hint="eastAsia"/>
          <w:sz w:val="32"/>
          <w:szCs w:val="32"/>
        </w:rPr>
        <w:t>设计）提交采取匿名形式，请勿在提交的材料中包含任何可以使评委直接识别参赛团队、团队个人或其所代表企业的信息。若经2名以上评委判定，参赛团队作品中确实有包含上述违规身份信息的，该团队作品将不再纳入评审计分，取消参赛资格。</w:t>
      </w:r>
      <w:bookmarkStart w:id="0" w:name="_GoBack"/>
      <w:bookmarkEnd w:id="0"/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sz w:val="32"/>
          <w:szCs w:val="32"/>
        </w:rPr>
        <w:t>.决赛作品为作品原型demo及其原型说明文档，作品原型包括但不限于web应用程序、网站、可视化、APP、小程序等形式。答辩材料和作品成果满足运行且具备现场演示条件。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.参赛作品</w:t>
      </w:r>
      <w:r>
        <w:rPr>
          <w:rFonts w:ascii="仿宋_GB2312" w:eastAsia="仿宋_GB2312"/>
          <w:sz w:val="32"/>
          <w:szCs w:val="32"/>
        </w:rPr>
        <w:t>不得涉及国家秘密，</w:t>
      </w:r>
      <w:r>
        <w:rPr>
          <w:rFonts w:ascii="仿宋_GB2312" w:eastAsia="仿宋_GB2312" w:hint="eastAsia"/>
          <w:sz w:val="32"/>
          <w:szCs w:val="32"/>
        </w:rPr>
        <w:t>知识产权归参赛者所有，大赛组委会有权将参赛作品、参赛团队信息用于宣传、媒体发布、官方网站浏览及展览等活动项目。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.每支队伍可以提交多个作品。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五、赛程安排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微软雅黑" w:eastAsia="微软雅黑" w:hAnsi="微软雅黑"/>
          <w:sz w:val="27"/>
          <w:szCs w:val="27"/>
        </w:rPr>
      </w:pPr>
      <w:r>
        <w:rPr>
          <w:rFonts w:ascii="仿宋_GB2312" w:eastAsia="仿宋_GB2312" w:hint="eastAsia"/>
          <w:sz w:val="32"/>
          <w:szCs w:val="32"/>
        </w:rPr>
        <w:t>赛事流程分为报名参赛、初赛、决赛等环节。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（一）预热阶段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时间：暂定8月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日至8月2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广泛利用政府官方媒体矩阵、自媒体平台、大赛官网等线上线下媒介进行赛事宣传。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（二）启动仪式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时间：暂定8月25日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地点：市政府新闻发布厅（市城建大厦八楼）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微软雅黑" w:eastAsia="微软雅黑" w:hAnsi="微软雅黑"/>
          <w:sz w:val="27"/>
          <w:szCs w:val="27"/>
        </w:rPr>
      </w:pPr>
      <w:r>
        <w:rPr>
          <w:rFonts w:ascii="仿宋_GB2312" w:eastAsia="仿宋_GB2312" w:hint="eastAsia"/>
          <w:sz w:val="32"/>
          <w:szCs w:val="32"/>
        </w:rPr>
        <w:t>形式：现场组织，通过市政府新闻办召开新闻发布会形式启动。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（三）报名阶段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时间：暂定8月26日至9月2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组织参赛对象登录大赛官网进行报名，深入机关、高校开展大赛工作方案及奖励政策宣讲，同时在吉林市政府网站、便民江城微信小程序等平台设置报名宣传入口，相关赛事事</w:t>
      </w:r>
      <w:r>
        <w:rPr>
          <w:rFonts w:ascii="仿宋_GB2312" w:eastAsia="仿宋_GB2312" w:hint="eastAsia"/>
          <w:sz w:val="32"/>
          <w:szCs w:val="32"/>
        </w:rPr>
        <w:lastRenderedPageBreak/>
        <w:t>宜均通过官网进行发布（</w:t>
      </w:r>
      <w:r>
        <w:rPr>
          <w:rFonts w:ascii="仿宋_GB2312" w:eastAsia="仿宋_GB2312"/>
          <w:sz w:val="32"/>
          <w:szCs w:val="32"/>
        </w:rPr>
        <w:t>http://www.jlcity.gov.cn/zt/qtzt/odic/</w:t>
      </w:r>
      <w:r>
        <w:rPr>
          <w:rFonts w:ascii="仿宋_GB2312" w:eastAsia="仿宋_GB2312" w:hint="eastAsia"/>
          <w:sz w:val="32"/>
          <w:szCs w:val="32"/>
        </w:rPr>
        <w:t>），报名团队应提交完整报名材料，并对所填信息的准确性和真实性负责。大赛官方网站是报名参赛的唯一渠道，其他报名渠道均无效。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（四）初赛阶段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时间：暂定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日至10月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1日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参赛对象按初赛要求完成作品提交，专家评审，公布决赛名单。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评审形式：线上投票+线下集中评审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Theme="minorHAnsi" w:eastAsia="仿宋_GB2312" w:hAnsiTheme="minorHAns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地点：昌邑区望云街538-22号淘宝馆A座3楼会议室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Theme="minorHAnsi" w:eastAsia="仿宋_GB2312" w:hAnsiTheme="minorHAnsi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）沙龙活动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时间：暂定10月20日（星期五）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地点：暂定希尔顿欢朋酒店二楼祥朋厅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主题：暂定“数治江城、众创众享”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参与对象：邀请各行业企业、数字化领域企业、数字化行业专家、参赛团队参加活动。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形式：现场组织+线上同步直播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（六）决赛阶段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时间：暂定11月1日至11月30日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参赛对象按照决赛要求完成作品提交，专家评审，公布决赛结果。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评审形式：现场评审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地点：昌邑区望云街538-22号淘宝馆A座3楼会议室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决赛以现场项目路演及答辩形式开展，采用“现场答辩、当场亮分”和现场答辩模式，即参赛团队进行自我陈述和答辩。组委会按照大赛评选规则邀请专家评委现场评选出一、二、三等奖及优秀奖，参赛团队成绩排名现场公布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2.公布拟获奖企业名单。组委会根据决赛现场评审结果，确定拟获奖团队名单。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3.组委会统筹安排对拟获奖的团队进行尽职调查。对调查中发现存在弄虚作假等失信行为的团队和个人，取消获奖资格。不接受调查的团队和个人视为退赛并自动取消获奖资格。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4.组委会对获奖团队名单进行公布。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（七）颁奖典礼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时间：暂定12月初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地点：暂定希尔顿欢朋酒店二楼祥朋厅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形式：现场组织+线上同步直播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微软雅黑" w:eastAsia="微软雅黑" w:hAnsi="微软雅黑"/>
          <w:sz w:val="27"/>
          <w:szCs w:val="27"/>
        </w:rPr>
      </w:pPr>
      <w:r>
        <w:rPr>
          <w:rFonts w:ascii="仿宋_GB2312" w:eastAsia="仿宋_GB2312" w:hint="eastAsia"/>
          <w:sz w:val="32"/>
          <w:szCs w:val="32"/>
        </w:rPr>
        <w:t>播放赛事活动宣传视频、领导致辞、大赛承办方致辞、优秀作品展示、颁奖环节、指导导师讲解、参赛作品意向合作签约仪式等活动。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六、奖项设置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大赛分为职业和高校2个赛道，拟对获奖者给予奖金、奖品、荣誉证书等形式的奖励，并可推荐优秀项目进入数字经济产业园区孵化，对符合需求的项目落地提供全程指引。其中，奖金共计29.5万元。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（一）职业赛道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设奖项19名，奖金共23.5万元。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一等奖1名3万元及2万元代金券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二等奖3名各2万元及1万元代金券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三等奖5名各1万元及5000元代金券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优秀奖10名各2000元奖品及2000元代金券；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（二）高校赛道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设奖项11名，奖金共6万元。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一等奖1名2万元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二等奖2名各1万元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三等奖3名各5000元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优秀奖5名各1000元奖品。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有获胜的团队将得到相应比赛奖金（奖金以人民币计算），奖金个人所得税或其他形式税收由获奖者承担，由大赛承办方代缴。参赛者应自行负责在其成员之间分配和分发奖金与奖品，主办方对此将不承担任何责任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七、评审标准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（一）初赛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从初赛作品中选出40个作品参加决赛，其中职业赛道25个作品，高校赛道15个作品。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评委：本次大赛评委由信息化领域专家、行业主管部门领导等组成。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Theme="minorHAnsi" w:eastAsia="仿宋_GB2312" w:hAnsiTheme="minorHAns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评审标准：重点从线上投票（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%）、用户需求分析（1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%）、解决方案（20%）、应用场景描述（20%）、数据应用可行性（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0%）以及成果价值（20%）等五项指标对作品进行考评</w:t>
      </w:r>
      <w:r>
        <w:rPr>
          <w:rFonts w:asciiTheme="minorHAnsi" w:eastAsia="仿宋_GB2312" w:hAnsiTheme="minorHAnsi" w:hint="eastAsia"/>
          <w:sz w:val="32"/>
          <w:szCs w:val="32"/>
        </w:rPr>
        <w:t>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评审形式：采取线上评审方式进行，通过作品展示和文字介绍的形式，不记名向评委展示作品，评委根据初赛作品（PDF格式）依据评审标准进行打分。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（二）决赛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从职业赛道作品中选出19个作品，高校赛道选出11个作品作为本次大赛获奖作品。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评委：本次大赛评委由信息化领域</w:t>
      </w:r>
      <w:r>
        <w:rPr>
          <w:rFonts w:asciiTheme="minorHAnsi" w:eastAsia="仿宋_GB2312" w:hAnsiTheme="minorHAnsi" w:hint="eastAsia"/>
          <w:sz w:val="32"/>
          <w:szCs w:val="32"/>
        </w:rPr>
        <w:t>专家</w:t>
      </w:r>
      <w:r>
        <w:rPr>
          <w:rFonts w:ascii="仿宋_GB2312" w:eastAsia="仿宋_GB2312" w:hint="eastAsia"/>
          <w:sz w:val="32"/>
          <w:szCs w:val="32"/>
        </w:rPr>
        <w:t>、行业主管部门领导等组成。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标准：重点从创意角度、用户需求分析、解决方案、应用场景描述、数据应用可行性以及成果价值等五项指标对作品进行考评。职业赛道创意分占20%、技术分（需求分析、解决方案）占比30%、应用分（场景描述、数据及成果价值）占比50%；高校赛道创意分占比50%、设计分（需求分析、解决方案）占比30%、应用分（场景描述、数据及成果价值）占比20%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评审形式：评委根据参赛选手现场对决赛作品（APP、小程序、网站、程序，PPT等）的演示答辩，依据评审标准进行打分，并提出指导建议。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评审委员会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为确保大赛评选工作公开、公平、公正，大赛组委会特邀</w:t>
      </w:r>
      <w:r>
        <w:rPr>
          <w:rFonts w:ascii="仿宋_GB2312" w:eastAsia="仿宋_GB2312" w:hint="eastAsia"/>
          <w:sz w:val="32"/>
          <w:szCs w:val="32"/>
        </w:rPr>
        <w:t>部分信息化领域专家、行业主管部门领导等</w:t>
      </w:r>
      <w:r>
        <w:rPr>
          <w:rFonts w:ascii="仿宋_GB2312" w:eastAsia="仿宋_GB2312"/>
          <w:sz w:val="32"/>
          <w:szCs w:val="32"/>
        </w:rPr>
        <w:t>组成大赛评审委员会。评审委员会对大赛组委会负责，独立开展评审工作。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</w:p>
    <w:p w:rsidR="007F4090" w:rsidRDefault="00D80AA9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为保障大赛顺利进行，由大赛主办单位、指导单位、承办、协办单位共同组成大赛组委会，负责大赛的方案设计、统筹协调、组织实施、宣传发动、赛事保障等工作。大赛组委会下设办公室，具体大赛组织工作由吉林智慧江城建设运营有限公司负责实施。</w:t>
      </w:r>
      <w:r>
        <w:rPr>
          <w:rFonts w:ascii="仿宋_GB2312" w:eastAsia="仿宋_GB2312"/>
          <w:sz w:val="32"/>
          <w:szCs w:val="32"/>
        </w:rPr>
        <w:t>大赛组委会</w:t>
      </w:r>
      <w:r>
        <w:rPr>
          <w:rFonts w:ascii="仿宋_GB2312" w:eastAsia="仿宋_GB2312" w:hint="eastAsia"/>
          <w:sz w:val="32"/>
          <w:szCs w:val="32"/>
        </w:rPr>
        <w:t>负责对</w:t>
      </w:r>
      <w:r>
        <w:rPr>
          <w:rFonts w:ascii="仿宋_GB2312" w:eastAsia="仿宋_GB2312"/>
          <w:sz w:val="32"/>
          <w:szCs w:val="32"/>
        </w:rPr>
        <w:t>本次比赛实施方案的意见和最终解释权，其他未尽事宜，由大赛组委会研究审定。</w:t>
      </w:r>
    </w:p>
    <w:sectPr w:rsidR="007F4090" w:rsidSect="007F40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C84" w:rsidRDefault="00AF1C84" w:rsidP="007F4090">
      <w:r>
        <w:separator/>
      </w:r>
    </w:p>
  </w:endnote>
  <w:endnote w:type="continuationSeparator" w:id="0">
    <w:p w:rsidR="00AF1C84" w:rsidRDefault="00AF1C84" w:rsidP="007F4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886"/>
    </w:sdtPr>
    <w:sdtContent>
      <w:p w:rsidR="007F4090" w:rsidRDefault="002E6F5F">
        <w:pPr>
          <w:pStyle w:val="a4"/>
          <w:jc w:val="center"/>
        </w:pPr>
        <w:r w:rsidRPr="002E6F5F">
          <w:fldChar w:fldCharType="begin"/>
        </w:r>
        <w:r w:rsidR="00D80AA9">
          <w:instrText xml:space="preserve"> PAGE   \* MERGEFORMAT </w:instrText>
        </w:r>
        <w:r w:rsidRPr="002E6F5F">
          <w:fldChar w:fldCharType="separate"/>
        </w:r>
        <w:r w:rsidR="00170423" w:rsidRPr="00170423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7F4090" w:rsidRDefault="007F40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C84" w:rsidRDefault="00AF1C84" w:rsidP="007F4090">
      <w:r>
        <w:separator/>
      </w:r>
    </w:p>
  </w:footnote>
  <w:footnote w:type="continuationSeparator" w:id="0">
    <w:p w:rsidR="00AF1C84" w:rsidRDefault="00AF1C84" w:rsidP="007F4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lkNzQ1NTVjMjc5YjFmNDFkMWUxYTIyYzE3ZDQ1N2MifQ=="/>
  </w:docVars>
  <w:rsids>
    <w:rsidRoot w:val="008E5C96"/>
    <w:rsid w:val="000047FD"/>
    <w:rsid w:val="00017956"/>
    <w:rsid w:val="00043D35"/>
    <w:rsid w:val="000448A6"/>
    <w:rsid w:val="00061267"/>
    <w:rsid w:val="00061804"/>
    <w:rsid w:val="0007670C"/>
    <w:rsid w:val="000767DC"/>
    <w:rsid w:val="00095A79"/>
    <w:rsid w:val="000D0F24"/>
    <w:rsid w:val="000E1C4C"/>
    <w:rsid w:val="00152843"/>
    <w:rsid w:val="00154B6D"/>
    <w:rsid w:val="00155080"/>
    <w:rsid w:val="00170423"/>
    <w:rsid w:val="00174059"/>
    <w:rsid w:val="00180A3B"/>
    <w:rsid w:val="00192ACC"/>
    <w:rsid w:val="001B2157"/>
    <w:rsid w:val="001B5BBF"/>
    <w:rsid w:val="001C0E26"/>
    <w:rsid w:val="001C723F"/>
    <w:rsid w:val="001D2609"/>
    <w:rsid w:val="001E009C"/>
    <w:rsid w:val="001E78E0"/>
    <w:rsid w:val="001F0896"/>
    <w:rsid w:val="001F2C48"/>
    <w:rsid w:val="001F7719"/>
    <w:rsid w:val="00251838"/>
    <w:rsid w:val="00257797"/>
    <w:rsid w:val="00270C3B"/>
    <w:rsid w:val="002A14DE"/>
    <w:rsid w:val="002B1ABA"/>
    <w:rsid w:val="002E3FA3"/>
    <w:rsid w:val="002E6F5F"/>
    <w:rsid w:val="002E73B4"/>
    <w:rsid w:val="00301EC0"/>
    <w:rsid w:val="00327F34"/>
    <w:rsid w:val="00333769"/>
    <w:rsid w:val="00356E4E"/>
    <w:rsid w:val="00364219"/>
    <w:rsid w:val="003662AF"/>
    <w:rsid w:val="00395894"/>
    <w:rsid w:val="003977AA"/>
    <w:rsid w:val="003A19EF"/>
    <w:rsid w:val="003E0F85"/>
    <w:rsid w:val="003F5ECA"/>
    <w:rsid w:val="004055D3"/>
    <w:rsid w:val="004625CE"/>
    <w:rsid w:val="00466ADB"/>
    <w:rsid w:val="00481C67"/>
    <w:rsid w:val="00493B05"/>
    <w:rsid w:val="004C1CD3"/>
    <w:rsid w:val="005043A4"/>
    <w:rsid w:val="0050506B"/>
    <w:rsid w:val="00506D03"/>
    <w:rsid w:val="00526CD2"/>
    <w:rsid w:val="005279FA"/>
    <w:rsid w:val="00546E88"/>
    <w:rsid w:val="00557CED"/>
    <w:rsid w:val="00567293"/>
    <w:rsid w:val="00580826"/>
    <w:rsid w:val="00587577"/>
    <w:rsid w:val="005C797D"/>
    <w:rsid w:val="005D02B6"/>
    <w:rsid w:val="005E1348"/>
    <w:rsid w:val="005E7014"/>
    <w:rsid w:val="005F1B39"/>
    <w:rsid w:val="006139C3"/>
    <w:rsid w:val="00623E2E"/>
    <w:rsid w:val="006316A2"/>
    <w:rsid w:val="00670C8A"/>
    <w:rsid w:val="00677F2E"/>
    <w:rsid w:val="00680815"/>
    <w:rsid w:val="006930CB"/>
    <w:rsid w:val="006977C5"/>
    <w:rsid w:val="006B38D4"/>
    <w:rsid w:val="006B7653"/>
    <w:rsid w:val="007321C1"/>
    <w:rsid w:val="00755959"/>
    <w:rsid w:val="00762B88"/>
    <w:rsid w:val="007D575A"/>
    <w:rsid w:val="007E64D7"/>
    <w:rsid w:val="007F4090"/>
    <w:rsid w:val="008457E5"/>
    <w:rsid w:val="00884182"/>
    <w:rsid w:val="008A34B7"/>
    <w:rsid w:val="008A47B2"/>
    <w:rsid w:val="008A7B55"/>
    <w:rsid w:val="008B2ADC"/>
    <w:rsid w:val="008B5963"/>
    <w:rsid w:val="008D213E"/>
    <w:rsid w:val="008E2822"/>
    <w:rsid w:val="008E5C96"/>
    <w:rsid w:val="008F0B10"/>
    <w:rsid w:val="008F13D8"/>
    <w:rsid w:val="0092411A"/>
    <w:rsid w:val="00935BA4"/>
    <w:rsid w:val="009567BE"/>
    <w:rsid w:val="00957202"/>
    <w:rsid w:val="009834C2"/>
    <w:rsid w:val="00993C2A"/>
    <w:rsid w:val="009B4154"/>
    <w:rsid w:val="009B502E"/>
    <w:rsid w:val="009B566A"/>
    <w:rsid w:val="009E40FA"/>
    <w:rsid w:val="009E6721"/>
    <w:rsid w:val="00A04061"/>
    <w:rsid w:val="00A43E5A"/>
    <w:rsid w:val="00A81514"/>
    <w:rsid w:val="00A81C69"/>
    <w:rsid w:val="00A846CF"/>
    <w:rsid w:val="00A926E5"/>
    <w:rsid w:val="00AA31D7"/>
    <w:rsid w:val="00AF1C84"/>
    <w:rsid w:val="00B006F4"/>
    <w:rsid w:val="00B050A1"/>
    <w:rsid w:val="00B1456B"/>
    <w:rsid w:val="00B91898"/>
    <w:rsid w:val="00B95112"/>
    <w:rsid w:val="00BB2E50"/>
    <w:rsid w:val="00BC445F"/>
    <w:rsid w:val="00C0006E"/>
    <w:rsid w:val="00C32991"/>
    <w:rsid w:val="00C91A58"/>
    <w:rsid w:val="00C93CA6"/>
    <w:rsid w:val="00CC25C6"/>
    <w:rsid w:val="00D1046F"/>
    <w:rsid w:val="00D1113A"/>
    <w:rsid w:val="00D53079"/>
    <w:rsid w:val="00D6054C"/>
    <w:rsid w:val="00D72AE8"/>
    <w:rsid w:val="00D80AA9"/>
    <w:rsid w:val="00D92850"/>
    <w:rsid w:val="00DA1079"/>
    <w:rsid w:val="00DA7F35"/>
    <w:rsid w:val="00DD3D8B"/>
    <w:rsid w:val="00DD57EE"/>
    <w:rsid w:val="00E1631D"/>
    <w:rsid w:val="00E3497F"/>
    <w:rsid w:val="00E56DE0"/>
    <w:rsid w:val="00E7064C"/>
    <w:rsid w:val="00E72E15"/>
    <w:rsid w:val="00E92F26"/>
    <w:rsid w:val="00EA00FB"/>
    <w:rsid w:val="00EA5575"/>
    <w:rsid w:val="00EA5EE6"/>
    <w:rsid w:val="00EC49B6"/>
    <w:rsid w:val="00F04661"/>
    <w:rsid w:val="00F24674"/>
    <w:rsid w:val="00F31833"/>
    <w:rsid w:val="00F33EB6"/>
    <w:rsid w:val="00F523D9"/>
    <w:rsid w:val="00F53E5D"/>
    <w:rsid w:val="00F5631E"/>
    <w:rsid w:val="00F8037B"/>
    <w:rsid w:val="00F826D1"/>
    <w:rsid w:val="00F90237"/>
    <w:rsid w:val="00FA4248"/>
    <w:rsid w:val="00FB2584"/>
    <w:rsid w:val="01C9661C"/>
    <w:rsid w:val="03AB4627"/>
    <w:rsid w:val="098A2122"/>
    <w:rsid w:val="0A1F067E"/>
    <w:rsid w:val="10C0060A"/>
    <w:rsid w:val="1BF92425"/>
    <w:rsid w:val="1C0977EA"/>
    <w:rsid w:val="26C73B73"/>
    <w:rsid w:val="27FB0808"/>
    <w:rsid w:val="29171045"/>
    <w:rsid w:val="344B566F"/>
    <w:rsid w:val="35031D62"/>
    <w:rsid w:val="379D2A49"/>
    <w:rsid w:val="412738DB"/>
    <w:rsid w:val="456B0991"/>
    <w:rsid w:val="484B4F76"/>
    <w:rsid w:val="4A4D0DC4"/>
    <w:rsid w:val="4F82423C"/>
    <w:rsid w:val="5FA75C4C"/>
    <w:rsid w:val="671C14DD"/>
    <w:rsid w:val="692D785C"/>
    <w:rsid w:val="70F22596"/>
    <w:rsid w:val="74DD7299"/>
    <w:rsid w:val="7C2F5925"/>
    <w:rsid w:val="7F694622"/>
    <w:rsid w:val="7FB8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9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F4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F4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F4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F40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F4090"/>
    <w:rPr>
      <w:b/>
      <w:bCs/>
    </w:rPr>
  </w:style>
  <w:style w:type="character" w:styleId="a8">
    <w:name w:val="Hyperlink"/>
    <w:basedOn w:val="a0"/>
    <w:uiPriority w:val="99"/>
    <w:semiHidden/>
    <w:unhideWhenUsed/>
    <w:rsid w:val="007F4090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F409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F409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4090"/>
    <w:rPr>
      <w:kern w:val="2"/>
      <w:sz w:val="18"/>
      <w:szCs w:val="18"/>
    </w:rPr>
  </w:style>
  <w:style w:type="paragraph" w:customStyle="1" w:styleId="a9">
    <w:name w:val="正文（缩进）"/>
    <w:basedOn w:val="a"/>
    <w:qFormat/>
    <w:rsid w:val="007F4090"/>
    <w:pPr>
      <w:spacing w:before="156" w:after="156"/>
      <w:ind w:firstLineChars="200" w:firstLine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A960F1-2CA0-4499-A483-AAF1C3D2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cp:lastPrinted>2023-08-10T02:23:00Z</cp:lastPrinted>
  <dcterms:created xsi:type="dcterms:W3CDTF">2023-06-29T23:34:00Z</dcterms:created>
  <dcterms:modified xsi:type="dcterms:W3CDTF">2023-08-29T01:03:00Z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7EE08521A03F4FA8BF6DC48BCE86A2C1_12</vt:lpwstr>
  </property>
</Properties>
</file>