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2C344">
      <w:pPr>
        <w:widowControl/>
        <w:shd w:val="clear" w:color="auto" w:fill="FFFFFF"/>
        <w:jc w:val="center"/>
        <w:outlineLvl w:val="0"/>
        <w:rPr>
          <w:rFonts w:ascii="宋体" w:hAnsi="宋体" w:eastAsia="宋体" w:cs="宋体"/>
          <w:b/>
          <w:bCs/>
          <w:color w:val="333333"/>
          <w:kern w:val="36"/>
          <w:sz w:val="26"/>
          <w:szCs w:val="26"/>
        </w:rPr>
      </w:pPr>
      <w:r>
        <w:rPr>
          <w:rFonts w:hint="eastAsia" w:ascii="宋体" w:hAnsi="宋体" w:eastAsia="宋体" w:cs="宋体"/>
          <w:b/>
          <w:bCs/>
          <w:color w:val="333333"/>
          <w:kern w:val="36"/>
          <w:sz w:val="26"/>
          <w:szCs w:val="26"/>
          <w:lang w:val="en-US" w:eastAsia="zh-CN"/>
        </w:rPr>
        <w:t>蛟河</w:t>
      </w:r>
      <w:r>
        <w:rPr>
          <w:rFonts w:hint="eastAsia" w:ascii="宋体" w:hAnsi="宋体" w:eastAsia="宋体" w:cs="宋体"/>
          <w:b/>
          <w:bCs/>
          <w:color w:val="333333"/>
          <w:kern w:val="36"/>
          <w:sz w:val="26"/>
          <w:szCs w:val="26"/>
        </w:rPr>
        <w:t>市202</w:t>
      </w:r>
      <w:r>
        <w:rPr>
          <w:rFonts w:hint="eastAsia" w:ascii="宋体" w:hAnsi="宋体" w:eastAsia="宋体" w:cs="宋体"/>
          <w:b/>
          <w:bCs/>
          <w:color w:val="333333"/>
          <w:kern w:val="36"/>
          <w:sz w:val="26"/>
          <w:szCs w:val="26"/>
          <w:lang w:val="en-US" w:eastAsia="zh-CN"/>
        </w:rPr>
        <w:t>4</w:t>
      </w:r>
      <w:r>
        <w:rPr>
          <w:rFonts w:hint="eastAsia" w:ascii="宋体" w:hAnsi="宋体" w:eastAsia="宋体" w:cs="宋体"/>
          <w:b/>
          <w:bCs/>
          <w:color w:val="333333"/>
          <w:kern w:val="36"/>
          <w:sz w:val="26"/>
          <w:szCs w:val="26"/>
        </w:rPr>
        <w:t>年国民经济和社会发展统计公报</w:t>
      </w:r>
    </w:p>
    <w:p w14:paraId="2E454E86">
      <w:pPr>
        <w:widowControl/>
        <w:shd w:val="clear" w:color="auto" w:fill="FFFFFF"/>
        <w:spacing w:line="480" w:lineRule="auto"/>
        <w:jc w:val="left"/>
        <w:rPr>
          <w:rFonts w:hint="eastAsia" w:ascii="宋体" w:hAnsi="宋体" w:eastAsia="宋体" w:cs="宋体"/>
          <w:color w:val="333333"/>
          <w:kern w:val="0"/>
          <w:sz w:val="24"/>
          <w:szCs w:val="24"/>
        </w:rPr>
      </w:pPr>
    </w:p>
    <w:p w14:paraId="37514093">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年是</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十四五</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规划承上启下的关键之年，</w:t>
      </w:r>
      <w:r>
        <w:rPr>
          <w:rFonts w:hint="eastAsia" w:ascii="宋体" w:hAnsi="宋体" w:eastAsia="宋体" w:cs="宋体"/>
          <w:color w:val="333333"/>
          <w:kern w:val="0"/>
          <w:sz w:val="24"/>
          <w:szCs w:val="24"/>
        </w:rPr>
        <w:t>面对严峻复杂的外部环境和艰巨繁重的改革发展稳定任务，</w:t>
      </w:r>
      <w:r>
        <w:rPr>
          <w:rFonts w:hint="eastAsia" w:ascii="宋体" w:hAnsi="宋体" w:eastAsia="宋体" w:cs="宋体"/>
          <w:color w:val="333333"/>
          <w:kern w:val="0"/>
          <w:sz w:val="24"/>
          <w:szCs w:val="24"/>
          <w:lang w:val="en-US" w:eastAsia="zh-CN"/>
        </w:rPr>
        <w:t>蛟河</w:t>
      </w:r>
      <w:r>
        <w:rPr>
          <w:rFonts w:hint="eastAsia" w:ascii="宋体" w:hAnsi="宋体" w:eastAsia="宋体" w:cs="宋体"/>
          <w:color w:val="333333"/>
          <w:kern w:val="0"/>
          <w:sz w:val="24"/>
          <w:szCs w:val="24"/>
        </w:rPr>
        <w:t>市上下坚持以习近平新时代中国特色社会主义思想为指导，深入学习贯彻党的二十大精神和习近平总书记在新时代推动东北全面振兴座谈会上重要讲话精神，拼搏进取、扎实工作，全市经济运行</w:t>
      </w:r>
      <w:r>
        <w:rPr>
          <w:rFonts w:hint="eastAsia" w:ascii="宋体" w:hAnsi="宋体" w:eastAsia="宋体" w:cs="宋体"/>
          <w:color w:val="333333"/>
          <w:kern w:val="0"/>
          <w:sz w:val="24"/>
          <w:szCs w:val="24"/>
          <w:lang w:val="en-US" w:eastAsia="zh-CN"/>
        </w:rPr>
        <w:t>稳定增长</w:t>
      </w:r>
      <w:r>
        <w:rPr>
          <w:rFonts w:hint="eastAsia" w:ascii="宋体" w:hAnsi="宋体" w:eastAsia="宋体" w:cs="宋体"/>
          <w:color w:val="333333"/>
          <w:kern w:val="0"/>
          <w:sz w:val="24"/>
          <w:szCs w:val="24"/>
        </w:rPr>
        <w:t>，人民生活不断改善，经济社会发展取得新的进步。</w:t>
      </w:r>
    </w:p>
    <w:p w14:paraId="0D0DE5BE">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黑体" w:hAnsi="黑体" w:eastAsia="黑体" w:cs="黑体"/>
          <w:color w:val="333333"/>
          <w:kern w:val="0"/>
          <w:sz w:val="24"/>
          <w:szCs w:val="24"/>
        </w:rPr>
        <w:t>　一、国民经济</w:t>
      </w:r>
    </w:p>
    <w:p w14:paraId="046CCAB9">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经济总量</w:t>
      </w:r>
    </w:p>
    <w:p w14:paraId="6B83ABB2">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初步核算，全年实现地区生产总值</w:t>
      </w:r>
      <w:r>
        <w:rPr>
          <w:rFonts w:hint="eastAsia" w:ascii="宋体" w:hAnsi="宋体" w:eastAsia="宋体" w:cs="宋体"/>
          <w:color w:val="333333"/>
          <w:kern w:val="0"/>
          <w:sz w:val="24"/>
          <w:szCs w:val="24"/>
          <w:lang w:val="en-US" w:eastAsia="zh-CN"/>
        </w:rPr>
        <w:t>106.6</w:t>
      </w:r>
      <w:r>
        <w:rPr>
          <w:rFonts w:hint="eastAsia" w:ascii="宋体" w:hAnsi="宋体" w:eastAsia="宋体" w:cs="宋体"/>
          <w:color w:val="333333"/>
          <w:kern w:val="0"/>
          <w:sz w:val="24"/>
          <w:szCs w:val="24"/>
        </w:rPr>
        <w:t>亿元，比上年增长</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.7%。其中，第一产业增加值</w:t>
      </w:r>
      <w:r>
        <w:rPr>
          <w:rFonts w:hint="eastAsia" w:ascii="宋体" w:hAnsi="宋体" w:eastAsia="宋体" w:cs="宋体"/>
          <w:color w:val="333333"/>
          <w:kern w:val="0"/>
          <w:sz w:val="24"/>
          <w:szCs w:val="24"/>
          <w:lang w:val="en-US" w:eastAsia="zh-CN"/>
        </w:rPr>
        <w:t>29.8</w:t>
      </w:r>
      <w:r>
        <w:rPr>
          <w:rFonts w:hint="eastAsia" w:ascii="宋体" w:hAnsi="宋体" w:eastAsia="宋体" w:cs="宋体"/>
          <w:color w:val="333333"/>
          <w:kern w:val="0"/>
          <w:sz w:val="24"/>
          <w:szCs w:val="24"/>
        </w:rPr>
        <w:t>亿元，增长</w:t>
      </w:r>
      <w:r>
        <w:rPr>
          <w:rFonts w:hint="eastAsia" w:ascii="宋体" w:hAnsi="宋体" w:eastAsia="宋体" w:cs="宋体"/>
          <w:color w:val="333333"/>
          <w:kern w:val="0"/>
          <w:sz w:val="24"/>
          <w:szCs w:val="24"/>
          <w:lang w:val="en-US" w:eastAsia="zh-CN"/>
        </w:rPr>
        <w:t>4.5</w:t>
      </w:r>
      <w:r>
        <w:rPr>
          <w:rFonts w:hint="eastAsia" w:ascii="宋体" w:hAnsi="宋体" w:eastAsia="宋体" w:cs="宋体"/>
          <w:color w:val="333333"/>
          <w:kern w:val="0"/>
          <w:sz w:val="24"/>
          <w:szCs w:val="24"/>
        </w:rPr>
        <w:t>%；第二产业增加值</w:t>
      </w:r>
      <w:r>
        <w:rPr>
          <w:rFonts w:hint="eastAsia" w:ascii="宋体" w:hAnsi="宋体" w:eastAsia="宋体" w:cs="宋体"/>
          <w:color w:val="333333"/>
          <w:kern w:val="0"/>
          <w:sz w:val="24"/>
          <w:szCs w:val="24"/>
          <w:lang w:val="en-US" w:eastAsia="zh-CN"/>
        </w:rPr>
        <w:t>20.8</w:t>
      </w:r>
      <w:r>
        <w:rPr>
          <w:rFonts w:hint="eastAsia" w:ascii="宋体" w:hAnsi="宋体" w:eastAsia="宋体" w:cs="宋体"/>
          <w:color w:val="333333"/>
          <w:kern w:val="0"/>
          <w:sz w:val="24"/>
          <w:szCs w:val="24"/>
        </w:rPr>
        <w:t>亿元，增长</w:t>
      </w:r>
      <w:r>
        <w:rPr>
          <w:rFonts w:hint="eastAsia" w:ascii="宋体" w:hAnsi="宋体" w:eastAsia="宋体" w:cs="宋体"/>
          <w:color w:val="333333"/>
          <w:kern w:val="0"/>
          <w:sz w:val="24"/>
          <w:szCs w:val="24"/>
          <w:lang w:val="en-US" w:eastAsia="zh-CN"/>
        </w:rPr>
        <w:t>9.8</w:t>
      </w:r>
      <w:r>
        <w:rPr>
          <w:rFonts w:hint="eastAsia" w:ascii="宋体" w:hAnsi="宋体" w:eastAsia="宋体" w:cs="宋体"/>
          <w:color w:val="333333"/>
          <w:kern w:val="0"/>
          <w:sz w:val="24"/>
          <w:szCs w:val="24"/>
        </w:rPr>
        <w:t>%；第三产业增加值</w:t>
      </w:r>
      <w:r>
        <w:rPr>
          <w:rFonts w:hint="eastAsia" w:ascii="宋体" w:hAnsi="宋体" w:eastAsia="宋体" w:cs="宋体"/>
          <w:color w:val="333333"/>
          <w:kern w:val="0"/>
          <w:sz w:val="24"/>
          <w:szCs w:val="24"/>
          <w:lang w:val="en-US" w:eastAsia="zh-CN"/>
        </w:rPr>
        <w:t>56</w:t>
      </w:r>
      <w:r>
        <w:rPr>
          <w:rFonts w:hint="eastAsia" w:ascii="宋体" w:hAnsi="宋体" w:eastAsia="宋体" w:cs="宋体"/>
          <w:color w:val="333333"/>
          <w:kern w:val="0"/>
          <w:sz w:val="24"/>
          <w:szCs w:val="24"/>
        </w:rPr>
        <w:t>亿元，增长</w:t>
      </w:r>
      <w:r>
        <w:rPr>
          <w:rFonts w:hint="eastAsia" w:ascii="宋体" w:hAnsi="宋体" w:eastAsia="宋体" w:cs="宋体"/>
          <w:color w:val="333333"/>
          <w:kern w:val="0"/>
          <w:sz w:val="24"/>
          <w:szCs w:val="24"/>
          <w:lang w:val="en-US" w:eastAsia="zh-CN"/>
        </w:rPr>
        <w:t>3.3</w:t>
      </w:r>
      <w:r>
        <w:rPr>
          <w:rFonts w:hint="eastAsia" w:ascii="宋体" w:hAnsi="宋体" w:eastAsia="宋体" w:cs="宋体"/>
          <w:color w:val="333333"/>
          <w:kern w:val="0"/>
          <w:sz w:val="24"/>
          <w:szCs w:val="24"/>
        </w:rPr>
        <w:t>%。三次产业结构的比例关系由上年的</w:t>
      </w:r>
      <w:r>
        <w:rPr>
          <w:rFonts w:hint="eastAsia" w:ascii="宋体" w:hAnsi="宋体" w:eastAsia="宋体" w:cs="宋体"/>
          <w:color w:val="333333"/>
          <w:kern w:val="0"/>
          <w:sz w:val="24"/>
          <w:szCs w:val="24"/>
          <w:lang w:val="en-US" w:eastAsia="zh-CN"/>
        </w:rPr>
        <w:t>28.6</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18.3</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53.1</w:t>
      </w:r>
      <w:r>
        <w:rPr>
          <w:rFonts w:hint="eastAsia" w:ascii="宋体" w:hAnsi="宋体" w:eastAsia="宋体" w:cs="宋体"/>
          <w:color w:val="333333"/>
          <w:kern w:val="0"/>
          <w:sz w:val="24"/>
          <w:szCs w:val="24"/>
        </w:rPr>
        <w:t>调整为</w:t>
      </w:r>
      <w:r>
        <w:rPr>
          <w:rFonts w:hint="eastAsia" w:ascii="宋体" w:hAnsi="宋体" w:eastAsia="宋体" w:cs="宋体"/>
          <w:color w:val="333333"/>
          <w:kern w:val="0"/>
          <w:sz w:val="24"/>
          <w:szCs w:val="24"/>
          <w:lang w:val="en-US" w:eastAsia="zh-CN"/>
        </w:rPr>
        <w:t>27.9:19.6:52.5</w:t>
      </w:r>
      <w:r>
        <w:rPr>
          <w:rFonts w:hint="eastAsia" w:ascii="宋体" w:hAnsi="宋体" w:eastAsia="宋体" w:cs="宋体"/>
          <w:color w:val="333333"/>
          <w:kern w:val="0"/>
          <w:sz w:val="24"/>
          <w:szCs w:val="24"/>
        </w:rPr>
        <w:t>。</w:t>
      </w:r>
    </w:p>
    <w:p w14:paraId="31BAE8CA">
      <w:pPr>
        <w:widowControl/>
        <w:shd w:val="clear" w:color="auto" w:fill="FFFFFF"/>
        <w:spacing w:line="480" w:lineRule="auto"/>
        <w:jc w:val="left"/>
        <w:rPr>
          <w:rFonts w:hint="eastAsia" w:ascii="宋体" w:hAnsi="宋体" w:eastAsia="宋体" w:cs="宋体"/>
          <w:color w:val="333333"/>
          <w:kern w:val="0"/>
          <w:sz w:val="24"/>
          <w:szCs w:val="24"/>
        </w:rPr>
      </w:pPr>
      <w:r>
        <w:rPr>
          <w:rFonts w:hint="eastAsia"/>
          <w:lang w:val="en-US" w:eastAsia="zh-CN"/>
        </w:rPr>
        <w:t xml:space="preserve">        </w:t>
      </w:r>
      <w:r>
        <w:drawing>
          <wp:inline distT="0" distB="0" distL="114300" distR="114300">
            <wp:extent cx="4091940" cy="2576195"/>
            <wp:effectExtent l="0" t="0" r="7620" b="14605"/>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F8309FA">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图1 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年地区生产总值及增速</w:t>
      </w:r>
    </w:p>
    <w:p w14:paraId="79D20391">
      <w:pPr>
        <w:widowControl/>
        <w:shd w:val="clear" w:color="auto" w:fill="FFFFFF"/>
        <w:spacing w:before="50" w:after="50" w:line="480" w:lineRule="auto"/>
        <w:jc w:val="center"/>
        <w:rPr>
          <w:rFonts w:hint="eastAsia" w:ascii="宋体" w:hAnsi="宋体" w:eastAsia="宋体" w:cs="宋体"/>
          <w:color w:val="333333"/>
          <w:kern w:val="0"/>
          <w:sz w:val="24"/>
          <w:szCs w:val="24"/>
        </w:rPr>
      </w:pPr>
      <w:r>
        <w:drawing>
          <wp:inline distT="0" distB="0" distL="114300" distR="114300">
            <wp:extent cx="4160520" cy="3398520"/>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8024A3D">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图2 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年三次产业增加值比重</w:t>
      </w:r>
    </w:p>
    <w:p w14:paraId="7BD2F70A">
      <w:pPr>
        <w:widowControl/>
        <w:shd w:val="clear" w:color="auto" w:fill="FFFFFF"/>
        <w:spacing w:line="480" w:lineRule="auto"/>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highlight w:val="none"/>
        </w:rPr>
        <w:t>　</w:t>
      </w:r>
      <w:r>
        <w:rPr>
          <w:rFonts w:hint="eastAsia" w:ascii="宋体" w:hAnsi="宋体" w:eastAsia="宋体" w:cs="宋体"/>
          <w:b/>
          <w:bCs/>
          <w:color w:val="333333"/>
          <w:kern w:val="0"/>
          <w:sz w:val="24"/>
          <w:szCs w:val="24"/>
        </w:rPr>
        <w:t>财政收支</w:t>
      </w:r>
    </w:p>
    <w:p w14:paraId="393567F9">
      <w:pPr>
        <w:widowControl/>
        <w:shd w:val="clear" w:color="auto" w:fill="FFFFFF"/>
        <w:spacing w:line="480" w:lineRule="auto"/>
        <w:jc w:val="left"/>
        <w:rPr>
          <w:rFonts w:hint="eastAsia" w:ascii="宋体" w:hAnsi="宋体" w:eastAsia="宋体" w:cs="宋体"/>
          <w:color w:val="333333"/>
          <w:kern w:val="0"/>
          <w:sz w:val="24"/>
          <w:szCs w:val="24"/>
          <w:highlight w:val="none"/>
        </w:rPr>
      </w:pPr>
      <w:r>
        <w:rPr>
          <w:rFonts w:hint="eastAsia" w:ascii="宋体" w:hAnsi="宋体" w:eastAsia="宋体" w:cs="宋体"/>
          <w:color w:val="333333"/>
          <w:kern w:val="0"/>
          <w:sz w:val="24"/>
          <w:szCs w:val="24"/>
          <w:highlight w:val="none"/>
        </w:rPr>
        <w:t>　　全年全市全口径财政收入</w:t>
      </w:r>
      <w:r>
        <w:rPr>
          <w:rFonts w:hint="eastAsia" w:ascii="宋体" w:hAnsi="宋体" w:eastAsia="宋体" w:cs="宋体"/>
          <w:color w:val="333333"/>
          <w:kern w:val="0"/>
          <w:sz w:val="24"/>
          <w:szCs w:val="24"/>
          <w:highlight w:val="none"/>
          <w:lang w:val="en-US" w:eastAsia="zh-CN"/>
        </w:rPr>
        <w:t>5.3</w:t>
      </w:r>
      <w:r>
        <w:rPr>
          <w:rFonts w:hint="eastAsia" w:ascii="宋体" w:hAnsi="宋体" w:eastAsia="宋体" w:cs="宋体"/>
          <w:color w:val="333333"/>
          <w:kern w:val="0"/>
          <w:sz w:val="24"/>
          <w:szCs w:val="24"/>
          <w:highlight w:val="none"/>
        </w:rPr>
        <w:t>亿元，比上年增长</w:t>
      </w:r>
      <w:r>
        <w:rPr>
          <w:rFonts w:hint="eastAsia" w:ascii="宋体" w:hAnsi="宋体" w:eastAsia="宋体" w:cs="Times New Roman"/>
          <w:color w:val="333333"/>
          <w:kern w:val="0"/>
          <w:sz w:val="24"/>
          <w:szCs w:val="24"/>
          <w:highlight w:val="none"/>
          <w:lang w:val="en-US" w:eastAsia="zh-CN"/>
        </w:rPr>
        <w:t>5.2</w:t>
      </w:r>
      <w:r>
        <w:rPr>
          <w:rFonts w:hint="eastAsia" w:ascii="宋体" w:hAnsi="宋体" w:eastAsia="宋体" w:cs="Times New Roman"/>
          <w:color w:val="333333"/>
          <w:kern w:val="0"/>
          <w:sz w:val="24"/>
          <w:szCs w:val="24"/>
          <w:highlight w:val="none"/>
        </w:rPr>
        <w:t>%</w:t>
      </w:r>
      <w:r>
        <w:rPr>
          <w:rFonts w:hint="eastAsia" w:ascii="宋体" w:hAnsi="宋体" w:eastAsia="宋体" w:cs="宋体"/>
          <w:color w:val="333333"/>
          <w:kern w:val="0"/>
          <w:sz w:val="24"/>
          <w:szCs w:val="24"/>
          <w:highlight w:val="none"/>
        </w:rPr>
        <w:t>。一般公共预算地方级财政收入</w:t>
      </w:r>
      <w:r>
        <w:rPr>
          <w:rFonts w:hint="eastAsia" w:ascii="宋体" w:hAnsi="宋体" w:eastAsia="宋体" w:cs="Times New Roman"/>
          <w:color w:val="333333"/>
          <w:kern w:val="0"/>
          <w:sz w:val="24"/>
          <w:szCs w:val="24"/>
          <w:highlight w:val="none"/>
          <w:lang w:val="en-US" w:eastAsia="zh-CN"/>
        </w:rPr>
        <w:t>2.7</w:t>
      </w:r>
      <w:r>
        <w:rPr>
          <w:rFonts w:hint="eastAsia" w:ascii="宋体" w:hAnsi="宋体" w:eastAsia="宋体" w:cs="宋体"/>
          <w:color w:val="333333"/>
          <w:kern w:val="0"/>
          <w:sz w:val="24"/>
          <w:szCs w:val="24"/>
          <w:highlight w:val="none"/>
        </w:rPr>
        <w:t>亿元，</w:t>
      </w:r>
      <w:r>
        <w:rPr>
          <w:rFonts w:hint="eastAsia" w:ascii="宋体" w:hAnsi="宋体" w:eastAsia="宋体" w:cs="宋体"/>
          <w:color w:val="333333"/>
          <w:kern w:val="0"/>
          <w:sz w:val="24"/>
          <w:szCs w:val="24"/>
          <w:highlight w:val="none"/>
          <w:lang w:val="en-US" w:eastAsia="zh-CN"/>
        </w:rPr>
        <w:t>下降1</w:t>
      </w:r>
      <w:r>
        <w:rPr>
          <w:rFonts w:hint="eastAsia" w:ascii="宋体" w:hAnsi="宋体" w:eastAsia="宋体" w:cs="Times New Roman"/>
          <w:color w:val="333333"/>
          <w:kern w:val="0"/>
          <w:sz w:val="24"/>
          <w:szCs w:val="24"/>
          <w:highlight w:val="none"/>
        </w:rPr>
        <w:t>.3%</w:t>
      </w:r>
      <w:r>
        <w:rPr>
          <w:rFonts w:hint="eastAsia" w:ascii="宋体" w:hAnsi="宋体" w:eastAsia="宋体" w:cs="宋体"/>
          <w:color w:val="333333"/>
          <w:kern w:val="0"/>
          <w:sz w:val="24"/>
          <w:szCs w:val="24"/>
          <w:highlight w:val="none"/>
        </w:rPr>
        <w:t>。其中，税收收入</w:t>
      </w:r>
      <w:r>
        <w:rPr>
          <w:rFonts w:hint="eastAsia" w:ascii="宋体" w:hAnsi="宋体" w:eastAsia="宋体" w:cs="Times New Roman"/>
          <w:color w:val="333333"/>
          <w:kern w:val="0"/>
          <w:sz w:val="24"/>
          <w:szCs w:val="24"/>
          <w:highlight w:val="none"/>
          <w:lang w:val="en-US" w:eastAsia="zh-CN"/>
        </w:rPr>
        <w:t>1.95</w:t>
      </w:r>
      <w:r>
        <w:rPr>
          <w:rFonts w:hint="eastAsia" w:ascii="宋体" w:hAnsi="宋体" w:eastAsia="宋体" w:cs="宋体"/>
          <w:color w:val="333333"/>
          <w:kern w:val="0"/>
          <w:sz w:val="24"/>
          <w:szCs w:val="24"/>
          <w:highlight w:val="none"/>
        </w:rPr>
        <w:t>亿元，增长1</w:t>
      </w:r>
      <w:r>
        <w:rPr>
          <w:rFonts w:hint="eastAsia" w:ascii="宋体" w:hAnsi="宋体" w:eastAsia="宋体" w:cs="宋体"/>
          <w:color w:val="333333"/>
          <w:kern w:val="0"/>
          <w:sz w:val="24"/>
          <w:szCs w:val="24"/>
          <w:highlight w:val="none"/>
          <w:lang w:val="en-US" w:eastAsia="zh-CN"/>
        </w:rPr>
        <w:t>.3</w:t>
      </w:r>
      <w:r>
        <w:rPr>
          <w:rFonts w:hint="eastAsia" w:ascii="宋体" w:hAnsi="宋体" w:eastAsia="宋体" w:cs="宋体"/>
          <w:color w:val="333333"/>
          <w:kern w:val="0"/>
          <w:sz w:val="24"/>
          <w:szCs w:val="24"/>
          <w:highlight w:val="none"/>
        </w:rPr>
        <w:t>%；非税收入</w:t>
      </w:r>
      <w:r>
        <w:rPr>
          <w:rFonts w:hint="eastAsia" w:ascii="宋体" w:hAnsi="宋体" w:eastAsia="宋体" w:cs="Times New Roman"/>
          <w:color w:val="333333"/>
          <w:kern w:val="0"/>
          <w:sz w:val="24"/>
          <w:szCs w:val="24"/>
          <w:highlight w:val="none"/>
          <w:lang w:val="en-US" w:eastAsia="zh-CN"/>
        </w:rPr>
        <w:t>0.77</w:t>
      </w:r>
      <w:r>
        <w:rPr>
          <w:rFonts w:hint="eastAsia" w:ascii="宋体" w:hAnsi="宋体" w:eastAsia="宋体" w:cs="宋体"/>
          <w:color w:val="333333"/>
          <w:kern w:val="0"/>
          <w:sz w:val="24"/>
          <w:szCs w:val="24"/>
          <w:highlight w:val="none"/>
        </w:rPr>
        <w:t>亿元，下降</w:t>
      </w:r>
      <w:r>
        <w:rPr>
          <w:rFonts w:hint="eastAsia" w:ascii="宋体" w:hAnsi="宋体" w:eastAsia="宋体" w:cs="Times New Roman"/>
          <w:color w:val="333333"/>
          <w:kern w:val="0"/>
          <w:sz w:val="24"/>
          <w:szCs w:val="24"/>
          <w:highlight w:val="none"/>
          <w:lang w:val="en-US" w:eastAsia="zh-CN"/>
        </w:rPr>
        <w:t>7.1</w:t>
      </w:r>
      <w:r>
        <w:rPr>
          <w:rFonts w:hint="eastAsia" w:ascii="宋体" w:hAnsi="宋体" w:eastAsia="宋体" w:cs="宋体"/>
          <w:color w:val="333333"/>
          <w:kern w:val="0"/>
          <w:sz w:val="24"/>
          <w:szCs w:val="24"/>
          <w:highlight w:val="none"/>
        </w:rPr>
        <w:t>%。一般公共预算财政支出</w:t>
      </w:r>
      <w:r>
        <w:rPr>
          <w:rFonts w:hint="eastAsia" w:ascii="宋体" w:hAnsi="宋体" w:eastAsia="宋体" w:cs="Times New Roman"/>
          <w:color w:val="333333"/>
          <w:kern w:val="0"/>
          <w:sz w:val="24"/>
          <w:szCs w:val="24"/>
          <w:highlight w:val="none"/>
          <w:lang w:val="en-US" w:eastAsia="zh-CN"/>
        </w:rPr>
        <w:t>35.5</w:t>
      </w:r>
      <w:r>
        <w:rPr>
          <w:rFonts w:hint="eastAsia" w:ascii="宋体" w:hAnsi="宋体" w:eastAsia="宋体" w:cs="宋体"/>
          <w:color w:val="333333"/>
          <w:kern w:val="0"/>
          <w:sz w:val="24"/>
          <w:szCs w:val="24"/>
          <w:highlight w:val="none"/>
        </w:rPr>
        <w:t>亿元，增长</w:t>
      </w:r>
      <w:r>
        <w:rPr>
          <w:rFonts w:hint="eastAsia" w:ascii="宋体" w:hAnsi="宋体" w:eastAsia="宋体" w:cs="Times New Roman"/>
          <w:color w:val="333333"/>
          <w:kern w:val="0"/>
          <w:sz w:val="24"/>
          <w:szCs w:val="24"/>
          <w:highlight w:val="none"/>
          <w:lang w:val="en-US" w:eastAsia="zh-CN"/>
        </w:rPr>
        <w:t>0.1</w:t>
      </w:r>
      <w:r>
        <w:rPr>
          <w:rFonts w:hint="eastAsia" w:ascii="宋体" w:hAnsi="宋体" w:eastAsia="宋体" w:cs="Times New Roman"/>
          <w:color w:val="333333"/>
          <w:kern w:val="0"/>
          <w:sz w:val="24"/>
          <w:szCs w:val="24"/>
          <w:highlight w:val="none"/>
        </w:rPr>
        <w:t>%</w:t>
      </w:r>
      <w:r>
        <w:rPr>
          <w:rFonts w:hint="eastAsia" w:ascii="宋体" w:hAnsi="宋体" w:eastAsia="宋体" w:cs="宋体"/>
          <w:color w:val="333333"/>
          <w:kern w:val="0"/>
          <w:sz w:val="24"/>
          <w:szCs w:val="24"/>
          <w:highlight w:val="none"/>
        </w:rPr>
        <w:t>。 </w:t>
      </w:r>
    </w:p>
    <w:p w14:paraId="4D6838C5">
      <w:pPr>
        <w:widowControl/>
        <w:shd w:val="clear" w:color="auto" w:fill="FFFFFF"/>
        <w:spacing w:before="50" w:after="50" w:line="480" w:lineRule="auto"/>
        <w:jc w:val="center"/>
        <w:rPr>
          <w:rFonts w:hint="eastAsia" w:ascii="宋体" w:hAnsi="宋体" w:eastAsia="宋体" w:cs="宋体"/>
          <w:color w:val="333333"/>
          <w:kern w:val="0"/>
          <w:sz w:val="24"/>
          <w:szCs w:val="24"/>
        </w:rPr>
      </w:pPr>
      <w:r>
        <w:drawing>
          <wp:inline distT="0" distB="0" distL="114300" distR="114300">
            <wp:extent cx="4091940" cy="2560320"/>
            <wp:effectExtent l="0" t="0" r="762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6698D99">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图3 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年全口径财政收入及增速</w:t>
      </w:r>
    </w:p>
    <w:p w14:paraId="5D193789">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　市场价格</w:t>
      </w:r>
    </w:p>
    <w:p w14:paraId="1971E254">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全年全市居民消费价格总水平</w:t>
      </w:r>
      <w:r>
        <w:rPr>
          <w:rFonts w:hint="eastAsia" w:ascii="宋体" w:hAnsi="宋体" w:eastAsia="宋体" w:cs="宋体"/>
          <w:color w:val="333333"/>
          <w:kern w:val="0"/>
          <w:sz w:val="24"/>
          <w:szCs w:val="24"/>
          <w:lang w:val="en-US" w:eastAsia="zh-CN"/>
        </w:rPr>
        <w:t>下降</w:t>
      </w:r>
      <w:r>
        <w:rPr>
          <w:rFonts w:hint="eastAsia" w:ascii="宋体" w:hAnsi="宋体" w:eastAsia="宋体" w:cs="宋体"/>
          <w:color w:val="333333"/>
          <w:kern w:val="0"/>
          <w:sz w:val="24"/>
          <w:szCs w:val="24"/>
        </w:rPr>
        <w:t>0.1%，消费品价格指数中，其他用品及服务类价格上涨</w:t>
      </w:r>
      <w:r>
        <w:rPr>
          <w:rFonts w:hint="eastAsia" w:ascii="宋体" w:hAnsi="宋体" w:eastAsia="宋体" w:cs="宋体"/>
          <w:color w:val="333333"/>
          <w:kern w:val="0"/>
          <w:sz w:val="24"/>
          <w:szCs w:val="24"/>
          <w:lang w:val="en-US" w:eastAsia="zh-CN"/>
        </w:rPr>
        <w:t>6.6</w:t>
      </w:r>
      <w:r>
        <w:rPr>
          <w:rFonts w:hint="eastAsia" w:ascii="宋体" w:hAnsi="宋体" w:eastAsia="宋体" w:cs="宋体"/>
          <w:color w:val="333333"/>
          <w:kern w:val="0"/>
          <w:sz w:val="24"/>
          <w:szCs w:val="24"/>
        </w:rPr>
        <w:t>%，医疗保健类价格上涨</w:t>
      </w:r>
      <w:r>
        <w:rPr>
          <w:rFonts w:hint="eastAsia" w:ascii="宋体" w:hAnsi="宋体" w:eastAsia="宋体" w:cs="宋体"/>
          <w:color w:val="333333"/>
          <w:kern w:val="0"/>
          <w:sz w:val="24"/>
          <w:szCs w:val="24"/>
          <w:lang w:val="en-US" w:eastAsia="zh-CN"/>
        </w:rPr>
        <w:t>1.9</w:t>
      </w:r>
      <w:r>
        <w:rPr>
          <w:rFonts w:hint="eastAsia" w:ascii="宋体" w:hAnsi="宋体" w:eastAsia="宋体" w:cs="宋体"/>
          <w:color w:val="333333"/>
          <w:kern w:val="0"/>
          <w:sz w:val="24"/>
          <w:szCs w:val="24"/>
        </w:rPr>
        <w:t>%，教育文化娱乐类价格</w:t>
      </w:r>
      <w:r>
        <w:rPr>
          <w:rFonts w:hint="eastAsia" w:ascii="宋体" w:hAnsi="宋体" w:eastAsia="宋体" w:cs="宋体"/>
          <w:color w:val="333333"/>
          <w:kern w:val="0"/>
          <w:sz w:val="24"/>
          <w:szCs w:val="24"/>
          <w:lang w:val="en-US" w:eastAsia="zh-CN"/>
        </w:rPr>
        <w:t>下降</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%，居住类价格</w:t>
      </w:r>
      <w:r>
        <w:rPr>
          <w:rFonts w:hint="eastAsia" w:ascii="宋体" w:hAnsi="宋体" w:eastAsia="宋体" w:cs="宋体"/>
          <w:color w:val="333333"/>
          <w:kern w:val="0"/>
          <w:sz w:val="24"/>
          <w:szCs w:val="24"/>
          <w:lang w:val="en-US" w:eastAsia="zh-CN"/>
        </w:rPr>
        <w:t>下降</w:t>
      </w:r>
      <w:r>
        <w:rPr>
          <w:rFonts w:hint="eastAsia" w:ascii="宋体" w:hAnsi="宋体" w:eastAsia="宋体" w:cs="宋体"/>
          <w:color w:val="333333"/>
          <w:kern w:val="0"/>
          <w:sz w:val="24"/>
          <w:szCs w:val="24"/>
        </w:rPr>
        <w:t>0.</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%，交通通信类价格下降</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%，食品烟酒类价格下降0.</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%，衣着类价格下降</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%，生活用品及服务类价格下降0.1%。</w:t>
      </w:r>
    </w:p>
    <w:p w14:paraId="4D5C22BF">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表1 居民消费价格指数（以上年价格为</w:t>
      </w:r>
      <w:r>
        <w:rPr>
          <w:rFonts w:hint="eastAsia" w:ascii="宋体" w:hAnsi="宋体" w:eastAsia="宋体" w:cs="宋体"/>
          <w:color w:val="333333"/>
          <w:kern w:val="0"/>
          <w:szCs w:val="21"/>
        </w:rPr>
        <w:t>100</w:t>
      </w:r>
      <w:r>
        <w:rPr>
          <w:rFonts w:hint="eastAsia" w:ascii="宋体" w:hAnsi="宋体" w:eastAsia="宋体" w:cs="宋体"/>
          <w:color w:val="333333"/>
          <w:kern w:val="0"/>
          <w:sz w:val="24"/>
          <w:szCs w:val="24"/>
        </w:rPr>
        <w:t>）</w:t>
      </w:r>
    </w:p>
    <w:tbl>
      <w:tblPr>
        <w:tblStyle w:val="7"/>
        <w:tblW w:w="0" w:type="auto"/>
        <w:jc w:val="center"/>
        <w:tblLayout w:type="autofit"/>
        <w:tblCellMar>
          <w:top w:w="0" w:type="dxa"/>
          <w:left w:w="0" w:type="dxa"/>
          <w:bottom w:w="0" w:type="dxa"/>
          <w:right w:w="0" w:type="dxa"/>
        </w:tblCellMar>
      </w:tblPr>
      <w:tblGrid>
        <w:gridCol w:w="3580"/>
        <w:gridCol w:w="1380"/>
        <w:gridCol w:w="1380"/>
      </w:tblGrid>
      <w:tr w14:paraId="55645EFB">
        <w:tblPrEx>
          <w:tblCellMar>
            <w:top w:w="0" w:type="dxa"/>
            <w:left w:w="0" w:type="dxa"/>
            <w:bottom w:w="0" w:type="dxa"/>
            <w:right w:w="0" w:type="dxa"/>
          </w:tblCellMar>
        </w:tblPrEx>
        <w:trPr>
          <w:trHeight w:val="261" w:hRule="atLeast"/>
          <w:jc w:val="center"/>
        </w:trPr>
        <w:tc>
          <w:tcPr>
            <w:tcW w:w="35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A48342">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kern w:val="0"/>
                <w:szCs w:val="21"/>
              </w:rPr>
              <w:t>指 标</w:t>
            </w:r>
          </w:p>
        </w:tc>
        <w:tc>
          <w:tcPr>
            <w:tcW w:w="13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F0D21D">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kern w:val="0"/>
                <w:szCs w:val="21"/>
              </w:rPr>
              <w:t>202</w:t>
            </w:r>
            <w:r>
              <w:rPr>
                <w:rFonts w:hint="eastAsia" w:ascii="宋体" w:hAnsi="宋体" w:eastAsia="宋体" w:cs="Times New Roman"/>
                <w:kern w:val="0"/>
                <w:szCs w:val="21"/>
                <w:lang w:val="en-US" w:eastAsia="zh-CN"/>
              </w:rPr>
              <w:t>4</w:t>
            </w:r>
            <w:r>
              <w:rPr>
                <w:rFonts w:hint="eastAsia" w:ascii="宋体" w:hAnsi="宋体" w:eastAsia="宋体" w:cs="Times New Roman"/>
                <w:kern w:val="0"/>
                <w:sz w:val="24"/>
                <w:szCs w:val="24"/>
              </w:rPr>
              <w:t>年</w:t>
            </w:r>
          </w:p>
        </w:tc>
        <w:tc>
          <w:tcPr>
            <w:tcW w:w="1380" w:type="dxa"/>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50124512">
            <w:pPr>
              <w:widowControl/>
              <w:spacing w:line="480" w:lineRule="auto"/>
              <w:jc w:val="center"/>
              <w:rPr>
                <w:rFonts w:ascii="Times New Roman" w:hAnsi="Times New Roman" w:eastAsia="宋体" w:cs="Times New Roman"/>
                <w:kern w:val="0"/>
                <w:szCs w:val="21"/>
              </w:rPr>
            </w:pPr>
            <w:r>
              <w:rPr>
                <w:rFonts w:hint="eastAsia" w:ascii="宋体" w:hAnsi="宋体" w:eastAsia="宋体" w:cs="Times New Roman"/>
                <w:kern w:val="0"/>
                <w:szCs w:val="21"/>
              </w:rPr>
              <w:t>2023</w:t>
            </w:r>
            <w:r>
              <w:rPr>
                <w:rFonts w:hint="eastAsia" w:ascii="宋体" w:hAnsi="宋体" w:eastAsia="宋体" w:cs="Times New Roman"/>
                <w:kern w:val="0"/>
                <w:sz w:val="24"/>
                <w:szCs w:val="24"/>
              </w:rPr>
              <w:t>年</w:t>
            </w:r>
          </w:p>
        </w:tc>
      </w:tr>
      <w:tr w14:paraId="1D38FA67">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07D67BCC">
            <w:pPr>
              <w:spacing w:line="360" w:lineRule="exact"/>
              <w:ind w:firstLine="240" w:firstLineChars="100"/>
              <w:rPr>
                <w:rFonts w:ascii="Times New Roman" w:hAnsi="Times New Roman" w:eastAsia="宋体" w:cs="Times New Roman"/>
                <w:kern w:val="0"/>
                <w:szCs w:val="21"/>
              </w:rPr>
            </w:pPr>
            <w:r>
              <w:rPr>
                <w:rFonts w:hint="eastAsia" w:ascii="仿宋_GB2312" w:eastAsia="仿宋_GB2312"/>
                <w:sz w:val="24"/>
                <w:szCs w:val="21"/>
                <w:highlight w:val="none"/>
              </w:rPr>
              <w:t>居民消费价格总指数</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65F39C">
            <w:pPr>
              <w:widowControl/>
              <w:spacing w:line="360" w:lineRule="exact"/>
              <w:jc w:val="center"/>
              <w:textAlignment w:val="center"/>
              <w:rPr>
                <w:rFonts w:hint="default" w:ascii="Times New Roman" w:hAnsi="Times New Roman" w:eastAsia="宋体" w:cs="Times New Roman"/>
                <w:kern w:val="0"/>
                <w:szCs w:val="21"/>
                <w:lang w:val="en-US"/>
              </w:rPr>
            </w:pPr>
            <w:r>
              <w:rPr>
                <w:rFonts w:hint="eastAsia" w:ascii="楷体_GB2312" w:hAnsi="宋体" w:eastAsia="楷体_GB2312" w:cs="楷体_GB2312"/>
                <w:kern w:val="0"/>
                <w:sz w:val="22"/>
                <w:szCs w:val="22"/>
                <w:highlight w:val="none"/>
                <w:lang w:val="en-US" w:eastAsia="zh-CN"/>
              </w:rPr>
              <w:t>99.9</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4507C850">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99.7</w:t>
            </w:r>
          </w:p>
        </w:tc>
      </w:tr>
      <w:tr w14:paraId="688340DF">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53ADF3BC">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食品烟酒</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1C07F6B">
            <w:pPr>
              <w:widowControl/>
              <w:spacing w:line="360" w:lineRule="exact"/>
              <w:jc w:val="center"/>
              <w:textAlignment w:val="center"/>
              <w:rPr>
                <w:rFonts w:hint="default" w:ascii="Times New Roman" w:hAnsi="Times New Roman" w:eastAsia="宋体" w:cs="Times New Roman"/>
                <w:kern w:val="0"/>
                <w:szCs w:val="21"/>
                <w:lang w:val="en-US"/>
              </w:rPr>
            </w:pPr>
            <w:r>
              <w:rPr>
                <w:rFonts w:hint="eastAsia" w:ascii="楷体_GB2312" w:hAnsi="宋体" w:eastAsia="楷体_GB2312" w:cs="楷体_GB2312"/>
                <w:kern w:val="0"/>
                <w:sz w:val="22"/>
                <w:szCs w:val="22"/>
                <w:highlight w:val="none"/>
                <w:lang w:val="en-US" w:eastAsia="zh-CN"/>
              </w:rPr>
              <w:t>99.3</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042C5BBF">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98.8</w:t>
            </w:r>
          </w:p>
        </w:tc>
      </w:tr>
      <w:tr w14:paraId="3320B9F3">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29052C7B">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衣着</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CBBAA1">
            <w:pPr>
              <w:widowControl/>
              <w:spacing w:line="360" w:lineRule="exact"/>
              <w:jc w:val="center"/>
              <w:textAlignment w:val="center"/>
              <w:rPr>
                <w:rFonts w:hint="default" w:ascii="Times New Roman" w:hAnsi="Times New Roman" w:eastAsia="宋体" w:cs="Times New Roman"/>
                <w:kern w:val="0"/>
                <w:szCs w:val="21"/>
                <w:lang w:val="en-US"/>
              </w:rPr>
            </w:pPr>
            <w:r>
              <w:rPr>
                <w:rFonts w:hint="eastAsia" w:ascii="楷体_GB2312" w:hAnsi="宋体" w:eastAsia="楷体_GB2312" w:cs="楷体_GB2312"/>
                <w:kern w:val="0"/>
                <w:sz w:val="22"/>
                <w:szCs w:val="22"/>
                <w:highlight w:val="none"/>
                <w:lang w:val="en-US" w:eastAsia="zh-CN"/>
              </w:rPr>
              <w:t>99</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3A045287">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98.2</w:t>
            </w:r>
          </w:p>
        </w:tc>
      </w:tr>
      <w:tr w14:paraId="2835903F">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19E41498">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居住</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4B6EA3A">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99.6</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78757CB2">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101.1</w:t>
            </w:r>
          </w:p>
        </w:tc>
      </w:tr>
      <w:tr w14:paraId="62B672B0">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110B59A3">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生活用品及服务</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B5B596">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99.9</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7833C2AC">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99.5</w:t>
            </w:r>
          </w:p>
        </w:tc>
      </w:tr>
      <w:tr w14:paraId="3BB832E2">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21CE77FE">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交通和通信</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D7F8CA">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99</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134F3D7A">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98.8</w:t>
            </w:r>
          </w:p>
        </w:tc>
      </w:tr>
      <w:tr w14:paraId="5EC34DF9">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74692A3F">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教育文化和娱乐</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36DF8B">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99.8</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53C4F373">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99.6</w:t>
            </w:r>
          </w:p>
        </w:tc>
      </w:tr>
      <w:tr w14:paraId="7D65A778">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1B763FF2">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医疗保健</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350116">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101.9</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567205BF">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101.0</w:t>
            </w:r>
          </w:p>
        </w:tc>
      </w:tr>
      <w:tr w14:paraId="2DA17261">
        <w:tblPrEx>
          <w:tblCellMar>
            <w:top w:w="0" w:type="dxa"/>
            <w:left w:w="0" w:type="dxa"/>
            <w:bottom w:w="0" w:type="dxa"/>
            <w:right w:w="0" w:type="dxa"/>
          </w:tblCellMar>
        </w:tblPrEx>
        <w:trPr>
          <w:trHeight w:val="23" w:hRule="atLeast"/>
          <w:jc w:val="center"/>
        </w:trPr>
        <w:tc>
          <w:tcPr>
            <w:tcW w:w="3580" w:type="dxa"/>
            <w:tcBorders>
              <w:top w:val="nil"/>
              <w:left w:val="nil"/>
              <w:bottom w:val="single" w:color="auto" w:sz="8" w:space="0"/>
              <w:right w:val="single" w:color="auto" w:sz="8" w:space="0"/>
            </w:tcBorders>
            <w:tcMar>
              <w:top w:w="0" w:type="dxa"/>
              <w:left w:w="108" w:type="dxa"/>
              <w:bottom w:w="0" w:type="dxa"/>
              <w:right w:w="108" w:type="dxa"/>
            </w:tcMar>
            <w:vAlign w:val="bottom"/>
          </w:tcPr>
          <w:p w14:paraId="0339231E">
            <w:pPr>
              <w:spacing w:line="360" w:lineRule="exact"/>
              <w:rPr>
                <w:rFonts w:ascii="Times New Roman" w:hAnsi="Times New Roman" w:eastAsia="宋体" w:cs="Times New Roman"/>
                <w:kern w:val="0"/>
                <w:szCs w:val="21"/>
              </w:rPr>
            </w:pPr>
            <w:r>
              <w:rPr>
                <w:rFonts w:hint="eastAsia" w:ascii="仿宋_GB2312" w:eastAsia="仿宋_GB2312"/>
                <w:sz w:val="24"/>
                <w:szCs w:val="21"/>
                <w:highlight w:val="none"/>
              </w:rPr>
              <w:t xml:space="preserve">    其他用品和服务</w:t>
            </w:r>
          </w:p>
        </w:tc>
        <w:tc>
          <w:tcPr>
            <w:tcW w:w="13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7DB6BD">
            <w:pPr>
              <w:widowControl/>
              <w:spacing w:line="360" w:lineRule="exact"/>
              <w:jc w:val="center"/>
              <w:textAlignment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106.6</w:t>
            </w:r>
          </w:p>
        </w:tc>
        <w:tc>
          <w:tcPr>
            <w:tcW w:w="1380" w:type="dxa"/>
            <w:tcBorders>
              <w:top w:val="nil"/>
              <w:left w:val="single" w:color="auto" w:sz="8" w:space="0"/>
              <w:bottom w:val="single" w:color="auto" w:sz="8" w:space="0"/>
              <w:right w:val="nil"/>
            </w:tcBorders>
            <w:tcMar>
              <w:top w:w="0" w:type="dxa"/>
              <w:left w:w="108" w:type="dxa"/>
              <w:bottom w:w="0" w:type="dxa"/>
              <w:right w:w="108" w:type="dxa"/>
            </w:tcMar>
            <w:vAlign w:val="center"/>
          </w:tcPr>
          <w:p w14:paraId="391E23AC">
            <w:pPr>
              <w:widowControl/>
              <w:spacing w:line="360" w:lineRule="exact"/>
              <w:jc w:val="center"/>
              <w:textAlignment w:val="center"/>
              <w:rPr>
                <w:rFonts w:ascii="Times New Roman" w:hAnsi="Times New Roman" w:eastAsia="宋体" w:cs="Times New Roman"/>
                <w:kern w:val="0"/>
                <w:szCs w:val="21"/>
              </w:rPr>
            </w:pPr>
            <w:r>
              <w:rPr>
                <w:rFonts w:hint="eastAsia" w:ascii="楷体_GB2312" w:hAnsi="宋体" w:eastAsia="楷体_GB2312" w:cs="楷体_GB2312"/>
                <w:kern w:val="0"/>
                <w:sz w:val="22"/>
                <w:szCs w:val="22"/>
                <w:highlight w:val="none"/>
                <w:lang w:val="en-US" w:eastAsia="zh-CN"/>
              </w:rPr>
              <w:t>104.0</w:t>
            </w:r>
          </w:p>
        </w:tc>
      </w:tr>
    </w:tbl>
    <w:p w14:paraId="5F672262">
      <w:pPr>
        <w:widowControl/>
        <w:shd w:val="clear" w:color="auto" w:fill="FFFFFF"/>
        <w:spacing w:before="50" w:after="50" w:line="480" w:lineRule="auto"/>
        <w:jc w:val="center"/>
        <w:rPr>
          <w:rFonts w:hint="eastAsia" w:ascii="宋体" w:hAnsi="宋体" w:eastAsia="宋体" w:cs="宋体"/>
          <w:color w:val="333333"/>
          <w:kern w:val="0"/>
          <w:sz w:val="24"/>
          <w:szCs w:val="24"/>
        </w:rPr>
      </w:pPr>
      <w:r>
        <w:drawing>
          <wp:inline distT="0" distB="0" distL="114300" distR="114300">
            <wp:extent cx="4826000" cy="1828800"/>
            <wp:effectExtent l="4445" t="4445" r="1587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0A6A6A">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图4 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年居民消费价格指数（以上年价格为</w:t>
      </w:r>
      <w:r>
        <w:rPr>
          <w:rFonts w:hint="eastAsia" w:ascii="宋体" w:hAnsi="宋体" w:eastAsia="宋体" w:cs="Times New Roman"/>
          <w:color w:val="333333"/>
          <w:kern w:val="0"/>
          <w:sz w:val="24"/>
          <w:szCs w:val="24"/>
        </w:rPr>
        <w:t>100</w:t>
      </w:r>
      <w:r>
        <w:rPr>
          <w:rFonts w:hint="eastAsia" w:ascii="宋体" w:hAnsi="宋体" w:eastAsia="宋体" w:cs="宋体"/>
          <w:color w:val="333333"/>
          <w:kern w:val="0"/>
          <w:sz w:val="24"/>
          <w:szCs w:val="24"/>
        </w:rPr>
        <w:t>）</w:t>
      </w:r>
    </w:p>
    <w:p w14:paraId="7A313247">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b/>
          <w:bCs/>
          <w:color w:val="333333"/>
          <w:kern w:val="0"/>
          <w:sz w:val="24"/>
          <w:szCs w:val="24"/>
        </w:rPr>
        <w:t>农业</w:t>
      </w:r>
    </w:p>
    <w:p w14:paraId="63CEFDBA">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全年全市农林牧渔业产值</w:t>
      </w:r>
      <w:r>
        <w:rPr>
          <w:rFonts w:hint="eastAsia" w:ascii="宋体" w:hAnsi="宋体" w:eastAsia="宋体" w:cs="宋体"/>
          <w:color w:val="333333"/>
          <w:kern w:val="0"/>
          <w:sz w:val="24"/>
          <w:szCs w:val="24"/>
          <w:lang w:val="en-US" w:eastAsia="zh-CN"/>
        </w:rPr>
        <w:t>54.3</w:t>
      </w:r>
      <w:r>
        <w:rPr>
          <w:rFonts w:hint="eastAsia" w:ascii="宋体" w:hAnsi="宋体" w:eastAsia="宋体" w:cs="宋体"/>
          <w:color w:val="333333"/>
          <w:kern w:val="0"/>
          <w:sz w:val="24"/>
          <w:szCs w:val="24"/>
        </w:rPr>
        <w:t>亿元，比上年增长</w:t>
      </w:r>
      <w:r>
        <w:rPr>
          <w:rFonts w:hint="eastAsia" w:ascii="宋体" w:hAnsi="宋体" w:eastAsia="宋体" w:cs="宋体"/>
          <w:color w:val="333333"/>
          <w:kern w:val="0"/>
          <w:sz w:val="24"/>
          <w:szCs w:val="24"/>
          <w:lang w:val="en-US" w:eastAsia="zh-CN"/>
        </w:rPr>
        <w:t>4.6</w:t>
      </w:r>
      <w:r>
        <w:rPr>
          <w:rFonts w:hint="eastAsia" w:ascii="宋体" w:hAnsi="宋体" w:eastAsia="宋体" w:cs="宋体"/>
          <w:color w:val="333333"/>
          <w:kern w:val="0"/>
          <w:sz w:val="24"/>
          <w:szCs w:val="24"/>
        </w:rPr>
        <w:t>%。</w:t>
      </w:r>
    </w:p>
    <w:p w14:paraId="4C3D2F65">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全年粮食总产量</w:t>
      </w:r>
      <w:r>
        <w:rPr>
          <w:rFonts w:hint="eastAsia" w:ascii="宋体" w:hAnsi="宋体" w:eastAsia="宋体" w:cs="宋体"/>
          <w:color w:val="333333"/>
          <w:kern w:val="0"/>
          <w:sz w:val="24"/>
          <w:szCs w:val="24"/>
          <w:lang w:val="en-US" w:eastAsia="zh-CN"/>
        </w:rPr>
        <w:t>69.45</w:t>
      </w:r>
      <w:r>
        <w:rPr>
          <w:rFonts w:hint="eastAsia" w:ascii="宋体" w:hAnsi="宋体" w:eastAsia="宋体" w:cs="宋体"/>
          <w:color w:val="333333"/>
          <w:kern w:val="0"/>
          <w:sz w:val="24"/>
          <w:szCs w:val="24"/>
        </w:rPr>
        <w:t>万吨，比上年增长</w:t>
      </w:r>
      <w:r>
        <w:rPr>
          <w:rFonts w:hint="eastAsia" w:ascii="宋体" w:hAnsi="宋体" w:eastAsia="宋体" w:cs="宋体"/>
          <w:color w:val="333333"/>
          <w:kern w:val="0"/>
          <w:sz w:val="24"/>
          <w:szCs w:val="24"/>
          <w:lang w:val="en-US" w:eastAsia="zh-CN"/>
        </w:rPr>
        <w:t>1.98</w:t>
      </w:r>
      <w:r>
        <w:rPr>
          <w:rFonts w:hint="eastAsia" w:ascii="宋体" w:hAnsi="宋体" w:eastAsia="宋体" w:cs="宋体"/>
          <w:color w:val="333333"/>
          <w:kern w:val="0"/>
          <w:sz w:val="24"/>
          <w:szCs w:val="24"/>
        </w:rPr>
        <w:t>%。其中，水稻产量</w:t>
      </w:r>
      <w:r>
        <w:rPr>
          <w:rFonts w:hint="eastAsia" w:ascii="宋体" w:hAnsi="宋体" w:eastAsia="宋体" w:cs="宋体"/>
          <w:color w:val="333333"/>
          <w:kern w:val="0"/>
          <w:sz w:val="24"/>
          <w:szCs w:val="24"/>
          <w:lang w:val="en-US" w:eastAsia="zh-CN"/>
        </w:rPr>
        <w:t>7.92</w:t>
      </w:r>
      <w:r>
        <w:rPr>
          <w:rFonts w:hint="eastAsia" w:ascii="宋体" w:hAnsi="宋体" w:eastAsia="宋体" w:cs="宋体"/>
          <w:color w:val="333333"/>
          <w:kern w:val="0"/>
          <w:sz w:val="24"/>
          <w:szCs w:val="24"/>
        </w:rPr>
        <w:t>万吨，下降</w:t>
      </w:r>
      <w:r>
        <w:rPr>
          <w:rFonts w:hint="eastAsia" w:ascii="宋体" w:hAnsi="宋体" w:eastAsia="宋体" w:cs="宋体"/>
          <w:color w:val="333333"/>
          <w:kern w:val="0"/>
          <w:sz w:val="24"/>
          <w:szCs w:val="24"/>
          <w:lang w:val="en-US" w:eastAsia="zh-CN"/>
        </w:rPr>
        <w:t>5.7</w:t>
      </w:r>
      <w:r>
        <w:rPr>
          <w:rFonts w:hint="eastAsia" w:ascii="宋体" w:hAnsi="宋体" w:eastAsia="宋体" w:cs="宋体"/>
          <w:color w:val="333333"/>
          <w:kern w:val="0"/>
          <w:sz w:val="24"/>
          <w:szCs w:val="24"/>
        </w:rPr>
        <w:t>%；玉米产量</w:t>
      </w:r>
      <w:r>
        <w:rPr>
          <w:rFonts w:hint="eastAsia" w:ascii="宋体" w:hAnsi="宋体" w:eastAsia="宋体" w:cs="宋体"/>
          <w:color w:val="333333"/>
          <w:kern w:val="0"/>
          <w:sz w:val="24"/>
          <w:szCs w:val="24"/>
          <w:lang w:val="en-US" w:eastAsia="zh-CN"/>
        </w:rPr>
        <w:t>57.51</w:t>
      </w:r>
      <w:r>
        <w:rPr>
          <w:rFonts w:hint="eastAsia" w:ascii="宋体" w:hAnsi="宋体" w:eastAsia="宋体" w:cs="宋体"/>
          <w:color w:val="333333"/>
          <w:kern w:val="0"/>
          <w:sz w:val="24"/>
          <w:szCs w:val="24"/>
        </w:rPr>
        <w:t>万吨，增长</w:t>
      </w:r>
      <w:r>
        <w:rPr>
          <w:rFonts w:hint="eastAsia" w:ascii="宋体" w:hAnsi="宋体" w:eastAsia="宋体" w:cs="宋体"/>
          <w:color w:val="333333"/>
          <w:kern w:val="0"/>
          <w:sz w:val="24"/>
          <w:szCs w:val="24"/>
          <w:lang w:val="en-US" w:eastAsia="zh-CN"/>
        </w:rPr>
        <w:t>13.4</w:t>
      </w:r>
      <w:r>
        <w:rPr>
          <w:rFonts w:hint="eastAsia" w:ascii="宋体" w:hAnsi="宋体" w:eastAsia="宋体" w:cs="宋体"/>
          <w:color w:val="333333"/>
          <w:kern w:val="0"/>
          <w:sz w:val="24"/>
          <w:szCs w:val="24"/>
        </w:rPr>
        <w:t>%；大豆产量</w:t>
      </w:r>
      <w:r>
        <w:rPr>
          <w:rFonts w:hint="eastAsia" w:ascii="宋体" w:hAnsi="宋体" w:eastAsia="宋体" w:cs="宋体"/>
          <w:color w:val="333333"/>
          <w:kern w:val="0"/>
          <w:sz w:val="24"/>
          <w:szCs w:val="24"/>
          <w:lang w:val="en-US" w:eastAsia="zh-CN"/>
        </w:rPr>
        <w:t>3.36</w:t>
      </w:r>
      <w:r>
        <w:rPr>
          <w:rFonts w:hint="eastAsia" w:ascii="宋体" w:hAnsi="宋体" w:eastAsia="宋体" w:cs="宋体"/>
          <w:color w:val="333333"/>
          <w:kern w:val="0"/>
          <w:sz w:val="24"/>
          <w:szCs w:val="24"/>
        </w:rPr>
        <w:t>万吨，增长5.9</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w:t>
      </w:r>
    </w:p>
    <w:p w14:paraId="0B4456E2">
      <w:pPr>
        <w:widowControl/>
        <w:shd w:val="clear" w:color="auto" w:fill="FFFFFF"/>
        <w:spacing w:line="480" w:lineRule="auto"/>
        <w:jc w:val="left"/>
        <w:rPr>
          <w:rFonts w:hint="eastAsia" w:ascii="宋体" w:hAnsi="宋体" w:eastAsia="宋体" w:cs="宋体"/>
          <w:color w:val="333333"/>
          <w:kern w:val="0"/>
          <w:sz w:val="24"/>
          <w:szCs w:val="24"/>
        </w:rPr>
      </w:pPr>
      <w:r>
        <w:rPr>
          <w:rFonts w:hint="eastAsia"/>
          <w:lang w:val="en-US" w:eastAsia="zh-CN"/>
        </w:rPr>
        <w:t xml:space="preserve">        </w:t>
      </w:r>
      <w:r>
        <w:drawing>
          <wp:inline distT="0" distB="0" distL="114300" distR="114300">
            <wp:extent cx="4376420" cy="2743200"/>
            <wp:effectExtent l="4445" t="4445" r="825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ACAB7B">
      <w:pPr>
        <w:widowControl/>
        <w:shd w:val="clear" w:color="auto" w:fill="FFFFFF"/>
        <w:spacing w:line="480" w:lineRule="auto"/>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图5 20</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-20</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年粮食总产量及增速</w:t>
      </w:r>
    </w:p>
    <w:p w14:paraId="270336FF">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年末生猪存栏14.08万头，同比下降4.7%；肉牛存栏14.28万头，同比下降0.76%</w:t>
      </w:r>
      <w:bookmarkStart w:id="0" w:name="_GoBack"/>
      <w:bookmarkEnd w:id="0"/>
      <w:r>
        <w:rPr>
          <w:rFonts w:hint="eastAsia" w:ascii="宋体" w:hAnsi="宋体" w:eastAsia="宋体" w:cs="宋体"/>
          <w:color w:val="333333"/>
          <w:kern w:val="0"/>
          <w:sz w:val="24"/>
          <w:szCs w:val="24"/>
        </w:rPr>
        <w:t>；羊存栏</w:t>
      </w:r>
      <w:r>
        <w:rPr>
          <w:rFonts w:hint="eastAsia" w:ascii="宋体" w:hAnsi="宋体" w:eastAsia="宋体" w:cs="宋体"/>
          <w:color w:val="333333"/>
          <w:kern w:val="0"/>
          <w:sz w:val="24"/>
          <w:szCs w:val="24"/>
          <w:lang w:val="en-US" w:eastAsia="zh-CN"/>
        </w:rPr>
        <w:t>1.02</w:t>
      </w:r>
      <w:r>
        <w:rPr>
          <w:rFonts w:hint="eastAsia" w:ascii="宋体" w:hAnsi="宋体" w:eastAsia="宋体" w:cs="宋体"/>
          <w:color w:val="333333"/>
          <w:kern w:val="0"/>
          <w:sz w:val="24"/>
          <w:szCs w:val="24"/>
        </w:rPr>
        <w:t>万只，增长</w:t>
      </w:r>
      <w:r>
        <w:rPr>
          <w:rFonts w:hint="eastAsia" w:ascii="宋体" w:hAnsi="宋体" w:eastAsia="宋体" w:cs="宋体"/>
          <w:color w:val="333333"/>
          <w:kern w:val="0"/>
          <w:sz w:val="24"/>
          <w:szCs w:val="24"/>
          <w:lang w:val="en-US" w:eastAsia="zh-CN"/>
        </w:rPr>
        <w:t>43.66</w:t>
      </w:r>
      <w:r>
        <w:rPr>
          <w:rFonts w:hint="eastAsia" w:ascii="宋体" w:hAnsi="宋体" w:eastAsia="宋体" w:cs="宋体"/>
          <w:color w:val="333333"/>
          <w:kern w:val="0"/>
          <w:sz w:val="24"/>
          <w:szCs w:val="24"/>
        </w:rPr>
        <w:t>%；家禽存栏</w:t>
      </w:r>
      <w:r>
        <w:rPr>
          <w:rFonts w:hint="eastAsia" w:ascii="宋体" w:hAnsi="宋体" w:eastAsia="宋体" w:cs="宋体"/>
          <w:color w:val="333333"/>
          <w:kern w:val="0"/>
          <w:sz w:val="24"/>
          <w:szCs w:val="24"/>
          <w:lang w:val="en-US" w:eastAsia="zh-CN"/>
        </w:rPr>
        <w:t>139.94</w:t>
      </w:r>
      <w:r>
        <w:rPr>
          <w:rFonts w:hint="eastAsia" w:ascii="宋体" w:hAnsi="宋体" w:eastAsia="宋体" w:cs="宋体"/>
          <w:color w:val="333333"/>
          <w:kern w:val="0"/>
          <w:sz w:val="24"/>
          <w:szCs w:val="24"/>
        </w:rPr>
        <w:t>万只，增长1</w:t>
      </w:r>
      <w:r>
        <w:rPr>
          <w:rFonts w:hint="eastAsia" w:ascii="宋体" w:hAnsi="宋体" w:eastAsia="宋体" w:cs="宋体"/>
          <w:color w:val="333333"/>
          <w:kern w:val="0"/>
          <w:sz w:val="24"/>
          <w:szCs w:val="24"/>
          <w:lang w:val="en-US" w:eastAsia="zh-CN"/>
        </w:rPr>
        <w:t>4.7</w:t>
      </w:r>
      <w:r>
        <w:rPr>
          <w:rFonts w:hint="eastAsia" w:ascii="宋体" w:hAnsi="宋体" w:eastAsia="宋体" w:cs="宋体"/>
          <w:color w:val="333333"/>
          <w:kern w:val="0"/>
          <w:sz w:val="24"/>
          <w:szCs w:val="24"/>
        </w:rPr>
        <w:t>%。</w:t>
      </w:r>
    </w:p>
    <w:p w14:paraId="0EF672E0">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生猪出栏24.24万头，同比增长2.1%；肉牛出栏7.51万头，同比增长6.98%；羊出栏</w:t>
      </w:r>
      <w:r>
        <w:rPr>
          <w:rFonts w:hint="eastAsia" w:ascii="宋体" w:hAnsi="宋体" w:eastAsia="宋体" w:cs="宋体"/>
          <w:color w:val="333333"/>
          <w:kern w:val="0"/>
          <w:sz w:val="24"/>
          <w:szCs w:val="24"/>
          <w:lang w:val="en-US" w:eastAsia="zh-CN"/>
        </w:rPr>
        <w:t>0.53</w:t>
      </w:r>
      <w:r>
        <w:rPr>
          <w:rFonts w:hint="eastAsia" w:ascii="宋体" w:hAnsi="宋体" w:eastAsia="宋体" w:cs="宋体"/>
          <w:color w:val="333333"/>
          <w:kern w:val="0"/>
          <w:sz w:val="24"/>
          <w:szCs w:val="24"/>
        </w:rPr>
        <w:t>万只，增长4.1%；家禽出栏</w:t>
      </w:r>
      <w:r>
        <w:rPr>
          <w:rFonts w:hint="eastAsia" w:ascii="宋体" w:hAnsi="宋体" w:eastAsia="宋体" w:cs="宋体"/>
          <w:color w:val="333333"/>
          <w:kern w:val="0"/>
          <w:sz w:val="24"/>
          <w:szCs w:val="24"/>
          <w:lang w:val="en-US" w:eastAsia="zh-CN"/>
        </w:rPr>
        <w:t>435.49</w:t>
      </w:r>
      <w:r>
        <w:rPr>
          <w:rFonts w:hint="eastAsia" w:ascii="宋体" w:hAnsi="宋体" w:eastAsia="宋体" w:cs="宋体"/>
          <w:color w:val="333333"/>
          <w:kern w:val="0"/>
          <w:sz w:val="24"/>
          <w:szCs w:val="24"/>
        </w:rPr>
        <w:t>万只，增长</w:t>
      </w:r>
      <w:r>
        <w:rPr>
          <w:rFonts w:hint="eastAsia" w:ascii="宋体" w:hAnsi="宋体" w:eastAsia="宋体" w:cs="宋体"/>
          <w:color w:val="333333"/>
          <w:kern w:val="0"/>
          <w:sz w:val="24"/>
          <w:szCs w:val="24"/>
          <w:lang w:val="en-US" w:eastAsia="zh-CN"/>
        </w:rPr>
        <w:t>10.15</w:t>
      </w:r>
      <w:r>
        <w:rPr>
          <w:rFonts w:hint="eastAsia" w:ascii="宋体" w:hAnsi="宋体" w:eastAsia="宋体" w:cs="宋体"/>
          <w:color w:val="333333"/>
          <w:kern w:val="0"/>
          <w:sz w:val="24"/>
          <w:szCs w:val="24"/>
        </w:rPr>
        <w:t>%。</w:t>
      </w:r>
    </w:p>
    <w:p w14:paraId="4CF2C2FB">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工业</w:t>
      </w:r>
    </w:p>
    <w:p w14:paraId="71F3934A">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全年全市完成规模以上工业增加值增长</w:t>
      </w:r>
      <w:r>
        <w:rPr>
          <w:rFonts w:hint="eastAsia" w:ascii="宋体" w:hAnsi="宋体" w:eastAsia="宋体" w:cs="宋体"/>
          <w:color w:val="333333"/>
          <w:kern w:val="0"/>
          <w:sz w:val="24"/>
          <w:szCs w:val="24"/>
          <w:lang w:val="en-US" w:eastAsia="zh-CN"/>
        </w:rPr>
        <w:t>9.3</w:t>
      </w:r>
      <w:r>
        <w:rPr>
          <w:rFonts w:hint="eastAsia" w:ascii="宋体" w:hAnsi="宋体" w:eastAsia="宋体" w:cs="宋体"/>
          <w:color w:val="333333"/>
          <w:kern w:val="0"/>
          <w:sz w:val="24"/>
          <w:szCs w:val="24"/>
        </w:rPr>
        <w:t>%。</w:t>
      </w:r>
    </w:p>
    <w:p w14:paraId="00C8CF10">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规模以上工业</w:t>
      </w:r>
      <w:r>
        <w:rPr>
          <w:rFonts w:hint="eastAsia" w:ascii="宋体" w:hAnsi="宋体" w:eastAsia="宋体" w:cs="宋体"/>
          <w:color w:val="333333"/>
          <w:kern w:val="0"/>
          <w:sz w:val="24"/>
          <w:szCs w:val="24"/>
          <w:lang w:val="en-US" w:eastAsia="zh-CN"/>
        </w:rPr>
        <w:t>产</w:t>
      </w:r>
      <w:r>
        <w:rPr>
          <w:rFonts w:hint="eastAsia" w:ascii="宋体" w:hAnsi="宋体" w:eastAsia="宋体" w:cs="宋体"/>
          <w:color w:val="333333"/>
          <w:kern w:val="0"/>
          <w:sz w:val="24"/>
          <w:szCs w:val="24"/>
        </w:rPr>
        <w:t>值</w:t>
      </w:r>
      <w:r>
        <w:rPr>
          <w:rFonts w:hint="eastAsia" w:ascii="宋体" w:hAnsi="宋体" w:eastAsia="宋体" w:cs="宋体"/>
          <w:color w:val="333333"/>
          <w:kern w:val="0"/>
          <w:sz w:val="24"/>
          <w:szCs w:val="24"/>
          <w:lang w:val="en-US" w:eastAsia="zh-CN"/>
        </w:rPr>
        <w:t>同比下降0.2</w:t>
      </w:r>
      <w:r>
        <w:rPr>
          <w:rFonts w:hint="eastAsia" w:ascii="宋体" w:hAnsi="宋体" w:eastAsia="宋体" w:cs="宋体"/>
          <w:color w:val="333333"/>
          <w:kern w:val="0"/>
          <w:sz w:val="24"/>
          <w:szCs w:val="24"/>
        </w:rPr>
        <w:t>%。分门类看，采矿业增长</w:t>
      </w:r>
      <w:r>
        <w:rPr>
          <w:rFonts w:hint="eastAsia" w:ascii="宋体" w:hAnsi="宋体" w:eastAsia="宋体" w:cs="宋体"/>
          <w:color w:val="333333"/>
          <w:kern w:val="0"/>
          <w:sz w:val="24"/>
          <w:szCs w:val="24"/>
          <w:lang w:val="en-US" w:eastAsia="zh-CN"/>
        </w:rPr>
        <w:t>19.6</w:t>
      </w:r>
      <w:r>
        <w:rPr>
          <w:rFonts w:hint="eastAsia" w:ascii="宋体" w:hAnsi="宋体" w:eastAsia="宋体" w:cs="宋体"/>
          <w:color w:val="333333"/>
          <w:kern w:val="0"/>
          <w:sz w:val="24"/>
          <w:szCs w:val="24"/>
        </w:rPr>
        <w:t>%，制造业</w:t>
      </w:r>
      <w:r>
        <w:rPr>
          <w:rFonts w:hint="eastAsia" w:ascii="宋体" w:hAnsi="宋体" w:eastAsia="宋体" w:cs="宋体"/>
          <w:color w:val="333333"/>
          <w:kern w:val="0"/>
          <w:sz w:val="24"/>
          <w:szCs w:val="24"/>
          <w:lang w:val="en-US" w:eastAsia="zh-CN"/>
        </w:rPr>
        <w:t>下降2.8</w:t>
      </w:r>
      <w:r>
        <w:rPr>
          <w:rFonts w:hint="eastAsia" w:ascii="宋体" w:hAnsi="宋体" w:eastAsia="宋体" w:cs="宋体"/>
          <w:color w:val="333333"/>
          <w:kern w:val="0"/>
          <w:sz w:val="24"/>
          <w:szCs w:val="24"/>
        </w:rPr>
        <w:t>%，电力、热力、燃气及水生产和供应业</w:t>
      </w:r>
      <w:r>
        <w:rPr>
          <w:rFonts w:hint="eastAsia" w:ascii="宋体" w:hAnsi="宋体" w:eastAsia="宋体" w:cs="宋体"/>
          <w:color w:val="333333"/>
          <w:kern w:val="0"/>
          <w:sz w:val="24"/>
          <w:szCs w:val="24"/>
          <w:lang w:val="en-US" w:eastAsia="zh-CN"/>
        </w:rPr>
        <w:t>增长17.1</w:t>
      </w:r>
      <w:r>
        <w:rPr>
          <w:rFonts w:hint="eastAsia" w:ascii="宋体" w:hAnsi="宋体" w:eastAsia="宋体" w:cs="宋体"/>
          <w:color w:val="333333"/>
          <w:kern w:val="0"/>
          <w:sz w:val="24"/>
          <w:szCs w:val="24"/>
        </w:rPr>
        <w:t>%。</w:t>
      </w:r>
    </w:p>
    <w:p w14:paraId="4D328F84">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规模以上工业营业收入比上年下降19.3%，其中非金属矿采选业增长30.4%，煤炭开采和洗选业增长30.2%，专用设备制造业增长27.6%，电力、热力生产和供应业增长22.9%，非金属矿物制品业增长1.2%，橡胶和塑料制品业下降4.6%，家具制造业下降6.8%，医药制造业下降11.7%，农副食品加工业下降25.7%，化学原料和化学制品制造业下降55.4%，汽车制造业下降92.2%。</w:t>
      </w:r>
    </w:p>
    <w:p w14:paraId="310FD813">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规模以上工业企业盈亏相抵后亏损8380万元，比上年减亏3216万元。分门类看，采矿业盈利801万元，扭亏增盈835万元。制造业盈利730万元，减利7373万元。电力、热力、燃气及水生产和供应业亏损9911万元，减亏9754万元。 </w:t>
      </w:r>
    </w:p>
    <w:p w14:paraId="38F4592C">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规模以上工业企业每百元营业收入中的成本为90.8元，比上年减少1.1元。每百元营业收入中的费用为10.4元，比上年增加3.2元。营业收入利润率为-2.5%，与上年相比回升0.3个百分点。年末资产负债率为68.2%，与上年相比下降1.0个百分点。 </w:t>
      </w:r>
    </w:p>
    <w:p w14:paraId="7B034C6D">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建筑业 </w:t>
      </w:r>
    </w:p>
    <w:p w14:paraId="3898453B">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全年全市建筑业增加值</w:t>
      </w:r>
      <w:r>
        <w:rPr>
          <w:rFonts w:hint="eastAsia" w:ascii="宋体" w:hAnsi="宋体" w:eastAsia="宋体" w:cs="宋体"/>
          <w:color w:val="333333"/>
          <w:kern w:val="0"/>
          <w:sz w:val="24"/>
          <w:szCs w:val="24"/>
          <w:lang w:val="en-US" w:eastAsia="zh-CN"/>
        </w:rPr>
        <w:t>4.6</w:t>
      </w:r>
      <w:r>
        <w:rPr>
          <w:rFonts w:hint="eastAsia" w:ascii="宋体" w:hAnsi="宋体" w:eastAsia="宋体" w:cs="宋体"/>
          <w:color w:val="333333"/>
          <w:kern w:val="0"/>
          <w:sz w:val="24"/>
          <w:szCs w:val="24"/>
        </w:rPr>
        <w:t>亿元，比上年增长</w:t>
      </w:r>
      <w:r>
        <w:rPr>
          <w:rFonts w:hint="eastAsia" w:ascii="宋体" w:hAnsi="宋体" w:eastAsia="宋体" w:cs="宋体"/>
          <w:color w:val="333333"/>
          <w:kern w:val="0"/>
          <w:sz w:val="24"/>
          <w:szCs w:val="24"/>
          <w:lang w:val="en-US" w:eastAsia="zh-CN"/>
        </w:rPr>
        <w:t>8.2</w:t>
      </w:r>
      <w:r>
        <w:rPr>
          <w:rFonts w:hint="eastAsia" w:ascii="宋体" w:hAnsi="宋体" w:eastAsia="宋体" w:cs="宋体"/>
          <w:color w:val="333333"/>
          <w:kern w:val="0"/>
          <w:sz w:val="24"/>
          <w:szCs w:val="24"/>
        </w:rPr>
        <w:t>%。建筑业实现总产值8.7亿元</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房屋施工面积14.9万平方米</w:t>
      </w:r>
      <w:r>
        <w:rPr>
          <w:rFonts w:hint="eastAsia" w:ascii="宋体" w:hAnsi="宋体" w:eastAsia="宋体" w:cs="宋体"/>
          <w:color w:val="333333"/>
          <w:kern w:val="0"/>
          <w:sz w:val="24"/>
          <w:szCs w:val="24"/>
          <w:lang w:eastAsia="zh-CN"/>
        </w:rPr>
        <w:t>。</w:t>
      </w:r>
    </w:p>
    <w:p w14:paraId="3E383A51">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固定资产投资</w:t>
      </w:r>
    </w:p>
    <w:p w14:paraId="7350BC4E">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全年全市全社会固定资产投资（不含农户）比上年下降14.9%，其中，第一产业投资增长5%，第二产业投资增长25.2%，第三产业投资下降51.6%。</w:t>
      </w:r>
    </w:p>
    <w:p w14:paraId="0F9AB917">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全年全市房地产开发投资比上年下降86.3%。其中，住宅投资下降84.7%。商品房销售面积5.7万平方米，下降44.5%。</w:t>
      </w:r>
    </w:p>
    <w:p w14:paraId="3C702153">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国内贸易</w:t>
      </w:r>
    </w:p>
    <w:p w14:paraId="1F652197">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全年全市社会消费品零售总额</w:t>
      </w:r>
      <w:r>
        <w:rPr>
          <w:rFonts w:hint="eastAsia" w:ascii="宋体" w:hAnsi="宋体" w:eastAsia="宋体" w:cs="宋体"/>
          <w:color w:val="333333"/>
          <w:kern w:val="0"/>
          <w:sz w:val="24"/>
          <w:szCs w:val="24"/>
          <w:lang w:val="en-US" w:eastAsia="zh-CN"/>
        </w:rPr>
        <w:t>32.78</w:t>
      </w:r>
      <w:r>
        <w:rPr>
          <w:rFonts w:hint="eastAsia" w:ascii="宋体" w:hAnsi="宋体" w:eastAsia="宋体" w:cs="宋体"/>
          <w:color w:val="333333"/>
          <w:kern w:val="0"/>
          <w:sz w:val="24"/>
          <w:szCs w:val="24"/>
        </w:rPr>
        <w:t>亿元，比上年增长</w:t>
      </w:r>
      <w:r>
        <w:rPr>
          <w:rFonts w:hint="eastAsia" w:ascii="宋体" w:hAnsi="宋体" w:eastAsia="宋体" w:cs="宋体"/>
          <w:color w:val="333333"/>
          <w:kern w:val="0"/>
          <w:sz w:val="24"/>
          <w:szCs w:val="24"/>
          <w:lang w:val="en-US" w:eastAsia="zh-CN"/>
        </w:rPr>
        <w:t>3.7</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限额以上消费品零售额31239.7万元，比上年增长9.4%。</w:t>
      </w:r>
      <w:r>
        <w:rPr>
          <w:rFonts w:hint="eastAsia" w:ascii="宋体" w:hAnsi="宋体" w:eastAsia="宋体" w:cs="宋体"/>
          <w:color w:val="333333"/>
          <w:kern w:val="0"/>
          <w:sz w:val="24"/>
          <w:szCs w:val="24"/>
        </w:rPr>
        <w:t>按经营地分，城镇消费品零售额</w:t>
      </w:r>
      <w:r>
        <w:rPr>
          <w:rFonts w:hint="eastAsia" w:ascii="宋体" w:hAnsi="宋体" w:eastAsia="宋体" w:cs="宋体"/>
          <w:color w:val="333333"/>
          <w:kern w:val="0"/>
          <w:sz w:val="24"/>
          <w:szCs w:val="24"/>
          <w:lang w:val="en-US" w:eastAsia="zh-CN"/>
        </w:rPr>
        <w:t>29338.5万</w:t>
      </w:r>
      <w:r>
        <w:rPr>
          <w:rFonts w:hint="eastAsia" w:ascii="宋体" w:hAnsi="宋体" w:eastAsia="宋体" w:cs="宋体"/>
          <w:color w:val="333333"/>
          <w:kern w:val="0"/>
          <w:sz w:val="24"/>
          <w:szCs w:val="24"/>
        </w:rPr>
        <w:t>元，增长</w:t>
      </w:r>
      <w:r>
        <w:rPr>
          <w:rFonts w:hint="eastAsia" w:ascii="宋体" w:hAnsi="宋体" w:eastAsia="宋体" w:cs="宋体"/>
          <w:color w:val="333333"/>
          <w:kern w:val="0"/>
          <w:sz w:val="24"/>
          <w:szCs w:val="24"/>
          <w:lang w:val="en-US" w:eastAsia="zh-CN"/>
        </w:rPr>
        <w:t>10.9</w:t>
      </w:r>
      <w:r>
        <w:rPr>
          <w:rFonts w:hint="eastAsia" w:ascii="宋体" w:hAnsi="宋体" w:eastAsia="宋体" w:cs="宋体"/>
          <w:color w:val="333333"/>
          <w:kern w:val="0"/>
          <w:sz w:val="24"/>
          <w:szCs w:val="24"/>
        </w:rPr>
        <w:t>%；乡村消费品零售额</w:t>
      </w:r>
      <w:r>
        <w:rPr>
          <w:rFonts w:hint="eastAsia" w:ascii="宋体" w:hAnsi="宋体" w:eastAsia="宋体" w:cs="宋体"/>
          <w:color w:val="333333"/>
          <w:kern w:val="0"/>
          <w:sz w:val="24"/>
          <w:szCs w:val="24"/>
          <w:lang w:val="en-US" w:eastAsia="zh-CN"/>
        </w:rPr>
        <w:t>1901.2万</w:t>
      </w:r>
      <w:r>
        <w:rPr>
          <w:rFonts w:hint="eastAsia" w:ascii="宋体" w:hAnsi="宋体" w:eastAsia="宋体" w:cs="宋体"/>
          <w:color w:val="333333"/>
          <w:kern w:val="0"/>
          <w:sz w:val="24"/>
          <w:szCs w:val="24"/>
        </w:rPr>
        <w:t>元，</w:t>
      </w:r>
      <w:r>
        <w:rPr>
          <w:rFonts w:hint="eastAsia" w:ascii="宋体" w:hAnsi="宋体" w:eastAsia="宋体" w:cs="宋体"/>
          <w:color w:val="333333"/>
          <w:kern w:val="0"/>
          <w:sz w:val="24"/>
          <w:szCs w:val="24"/>
          <w:lang w:val="en-US" w:eastAsia="zh-CN"/>
        </w:rPr>
        <w:t>下降15.2</w:t>
      </w:r>
      <w:r>
        <w:rPr>
          <w:rFonts w:hint="eastAsia" w:ascii="宋体" w:hAnsi="宋体" w:eastAsia="宋体" w:cs="宋体"/>
          <w:color w:val="333333"/>
          <w:kern w:val="0"/>
          <w:sz w:val="24"/>
          <w:szCs w:val="24"/>
        </w:rPr>
        <w:t>%。按消费类型分，商品零售额</w:t>
      </w:r>
      <w:r>
        <w:rPr>
          <w:rFonts w:hint="eastAsia" w:ascii="宋体" w:hAnsi="宋体" w:eastAsia="宋体" w:cs="宋体"/>
          <w:color w:val="333333"/>
          <w:kern w:val="0"/>
          <w:sz w:val="24"/>
          <w:szCs w:val="24"/>
          <w:lang w:val="en-US" w:eastAsia="zh-CN"/>
        </w:rPr>
        <w:t>28970.3万</w:t>
      </w:r>
      <w:r>
        <w:rPr>
          <w:rFonts w:hint="eastAsia" w:ascii="宋体" w:hAnsi="宋体" w:eastAsia="宋体" w:cs="宋体"/>
          <w:color w:val="333333"/>
          <w:kern w:val="0"/>
          <w:sz w:val="24"/>
          <w:szCs w:val="24"/>
        </w:rPr>
        <w:t>元，增长9.</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%；餐饮收入</w:t>
      </w:r>
      <w:r>
        <w:rPr>
          <w:rFonts w:hint="eastAsia" w:ascii="宋体" w:hAnsi="宋体" w:eastAsia="宋体" w:cs="宋体"/>
          <w:color w:val="333333"/>
          <w:kern w:val="0"/>
          <w:sz w:val="24"/>
          <w:szCs w:val="24"/>
          <w:lang w:val="en-US" w:eastAsia="zh-CN"/>
        </w:rPr>
        <w:t>2269.4万</w:t>
      </w:r>
      <w:r>
        <w:rPr>
          <w:rFonts w:hint="eastAsia" w:ascii="宋体" w:hAnsi="宋体" w:eastAsia="宋体" w:cs="宋体"/>
          <w:color w:val="333333"/>
          <w:kern w:val="0"/>
          <w:sz w:val="24"/>
          <w:szCs w:val="24"/>
        </w:rPr>
        <w:t>元，增长</w:t>
      </w:r>
      <w:r>
        <w:rPr>
          <w:rFonts w:hint="eastAsia" w:ascii="宋体" w:hAnsi="宋体" w:eastAsia="宋体" w:cs="宋体"/>
          <w:color w:val="333333"/>
          <w:kern w:val="0"/>
          <w:sz w:val="24"/>
          <w:szCs w:val="24"/>
          <w:lang w:val="en-US" w:eastAsia="zh-CN"/>
        </w:rPr>
        <w:t>7.2</w:t>
      </w:r>
      <w:r>
        <w:rPr>
          <w:rFonts w:hint="eastAsia" w:ascii="宋体" w:hAnsi="宋体" w:eastAsia="宋体" w:cs="宋体"/>
          <w:color w:val="333333"/>
          <w:kern w:val="0"/>
          <w:sz w:val="24"/>
          <w:szCs w:val="24"/>
        </w:rPr>
        <w:t>%。</w:t>
      </w:r>
    </w:p>
    <w:p w14:paraId="35FD8829">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交通运输和邮电</w:t>
      </w:r>
    </w:p>
    <w:p w14:paraId="1FAAE4B4">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全年全市公路货物运输量</w:t>
      </w:r>
      <w:r>
        <w:rPr>
          <w:rFonts w:hint="eastAsia" w:ascii="宋体" w:hAnsi="宋体" w:eastAsia="宋体" w:cs="宋体"/>
          <w:color w:val="333333"/>
          <w:kern w:val="0"/>
          <w:sz w:val="24"/>
          <w:szCs w:val="24"/>
          <w:lang w:val="en-US" w:eastAsia="zh-CN"/>
        </w:rPr>
        <w:t>253.5</w:t>
      </w:r>
      <w:r>
        <w:rPr>
          <w:rFonts w:hint="eastAsia" w:ascii="宋体" w:hAnsi="宋体" w:eastAsia="宋体" w:cs="宋体"/>
          <w:color w:val="333333"/>
          <w:kern w:val="0"/>
          <w:sz w:val="24"/>
          <w:szCs w:val="24"/>
        </w:rPr>
        <w:t>万吨。货物周转量</w:t>
      </w:r>
      <w:r>
        <w:rPr>
          <w:rFonts w:hint="eastAsia" w:ascii="宋体" w:hAnsi="宋体" w:eastAsia="宋体" w:cs="宋体"/>
          <w:color w:val="333333"/>
          <w:kern w:val="0"/>
          <w:sz w:val="24"/>
          <w:szCs w:val="24"/>
          <w:lang w:val="en-US" w:eastAsia="zh-CN"/>
        </w:rPr>
        <w:t>83356.4万</w:t>
      </w:r>
      <w:r>
        <w:rPr>
          <w:rFonts w:hint="eastAsia" w:ascii="宋体" w:hAnsi="宋体" w:eastAsia="宋体" w:cs="宋体"/>
          <w:color w:val="333333"/>
          <w:kern w:val="0"/>
          <w:sz w:val="24"/>
          <w:szCs w:val="24"/>
        </w:rPr>
        <w:t>吨公里，比上年增长</w:t>
      </w:r>
      <w:r>
        <w:rPr>
          <w:rFonts w:hint="eastAsia" w:ascii="宋体" w:hAnsi="宋体" w:eastAsia="宋体" w:cs="宋体"/>
          <w:color w:val="333333"/>
          <w:kern w:val="0"/>
          <w:sz w:val="24"/>
          <w:szCs w:val="24"/>
          <w:lang w:val="en-US" w:eastAsia="zh-CN"/>
        </w:rPr>
        <w:t>5.4</w:t>
      </w:r>
      <w:r>
        <w:rPr>
          <w:rFonts w:hint="eastAsia" w:ascii="宋体" w:hAnsi="宋体" w:eastAsia="宋体" w:cs="宋体"/>
          <w:color w:val="333333"/>
          <w:kern w:val="0"/>
          <w:sz w:val="24"/>
          <w:szCs w:val="24"/>
        </w:rPr>
        <w:t>%。全年旅客发送量</w:t>
      </w:r>
      <w:r>
        <w:rPr>
          <w:rFonts w:hint="eastAsia" w:ascii="宋体" w:hAnsi="宋体" w:eastAsia="宋体" w:cs="宋体"/>
          <w:color w:val="333333"/>
          <w:kern w:val="0"/>
          <w:sz w:val="24"/>
          <w:szCs w:val="24"/>
          <w:lang w:val="en-US" w:eastAsia="zh-CN"/>
        </w:rPr>
        <w:t>170.8</w:t>
      </w:r>
      <w:r>
        <w:rPr>
          <w:rFonts w:hint="eastAsia" w:ascii="宋体" w:hAnsi="宋体" w:eastAsia="宋体" w:cs="宋体"/>
          <w:color w:val="333333"/>
          <w:kern w:val="0"/>
          <w:sz w:val="24"/>
          <w:szCs w:val="24"/>
        </w:rPr>
        <w:t>万人次。其中，公路客运量</w:t>
      </w:r>
      <w:r>
        <w:rPr>
          <w:rFonts w:hint="eastAsia" w:ascii="宋体" w:hAnsi="宋体" w:eastAsia="宋体" w:cs="宋体"/>
          <w:color w:val="333333"/>
          <w:kern w:val="0"/>
          <w:sz w:val="24"/>
          <w:szCs w:val="24"/>
          <w:lang w:val="en-US" w:eastAsia="zh-CN"/>
        </w:rPr>
        <w:t>168.6</w:t>
      </w:r>
      <w:r>
        <w:rPr>
          <w:rFonts w:hint="eastAsia" w:ascii="宋体" w:hAnsi="宋体" w:eastAsia="宋体" w:cs="宋体"/>
          <w:color w:val="333333"/>
          <w:kern w:val="0"/>
          <w:sz w:val="24"/>
          <w:szCs w:val="24"/>
        </w:rPr>
        <w:t>万人次，增长</w:t>
      </w:r>
      <w:r>
        <w:rPr>
          <w:rFonts w:hint="eastAsia" w:ascii="宋体" w:hAnsi="宋体" w:eastAsia="宋体" w:cs="宋体"/>
          <w:color w:val="333333"/>
          <w:kern w:val="0"/>
          <w:sz w:val="24"/>
          <w:szCs w:val="24"/>
          <w:lang w:val="en-US" w:eastAsia="zh-CN"/>
        </w:rPr>
        <w:t>37.3</w:t>
      </w:r>
      <w:r>
        <w:rPr>
          <w:rFonts w:hint="eastAsia" w:ascii="宋体" w:hAnsi="宋体" w:eastAsia="宋体" w:cs="宋体"/>
          <w:color w:val="333333"/>
          <w:kern w:val="0"/>
          <w:sz w:val="24"/>
          <w:szCs w:val="24"/>
        </w:rPr>
        <w:t>%。水路客运量</w:t>
      </w:r>
      <w:r>
        <w:rPr>
          <w:rFonts w:hint="eastAsia" w:ascii="宋体" w:hAnsi="宋体" w:eastAsia="宋体" w:cs="宋体"/>
          <w:color w:val="333333"/>
          <w:kern w:val="0"/>
          <w:sz w:val="24"/>
          <w:szCs w:val="24"/>
          <w:lang w:val="en-US" w:eastAsia="zh-CN"/>
        </w:rPr>
        <w:t>2.2</w:t>
      </w:r>
      <w:r>
        <w:rPr>
          <w:rFonts w:hint="eastAsia" w:ascii="宋体" w:hAnsi="宋体" w:eastAsia="宋体" w:cs="宋体"/>
          <w:color w:val="333333"/>
          <w:kern w:val="0"/>
          <w:sz w:val="24"/>
          <w:szCs w:val="24"/>
        </w:rPr>
        <w:t>万人次，增长</w:t>
      </w:r>
      <w:r>
        <w:rPr>
          <w:rFonts w:hint="eastAsia" w:ascii="宋体" w:hAnsi="宋体" w:eastAsia="宋体" w:cs="宋体"/>
          <w:color w:val="333333"/>
          <w:kern w:val="0"/>
          <w:sz w:val="24"/>
          <w:szCs w:val="24"/>
          <w:lang w:val="en-US" w:eastAsia="zh-CN"/>
        </w:rPr>
        <w:t>14.3</w:t>
      </w:r>
      <w:r>
        <w:rPr>
          <w:rFonts w:hint="eastAsia" w:ascii="宋体" w:hAnsi="宋体" w:eastAsia="宋体" w:cs="宋体"/>
          <w:color w:val="333333"/>
          <w:kern w:val="0"/>
          <w:sz w:val="24"/>
          <w:szCs w:val="24"/>
        </w:rPr>
        <w:t>%。</w:t>
      </w:r>
    </w:p>
    <w:p w14:paraId="1B168A83">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旅客周转量</w:t>
      </w:r>
      <w:r>
        <w:rPr>
          <w:rFonts w:hint="eastAsia" w:ascii="宋体" w:hAnsi="宋体" w:eastAsia="宋体" w:cs="宋体"/>
          <w:color w:val="333333"/>
          <w:kern w:val="0"/>
          <w:sz w:val="24"/>
          <w:szCs w:val="24"/>
          <w:lang w:val="en-US" w:eastAsia="zh-CN"/>
        </w:rPr>
        <w:t>7993.6万</w:t>
      </w:r>
      <w:r>
        <w:rPr>
          <w:rFonts w:hint="eastAsia" w:ascii="宋体" w:hAnsi="宋体" w:eastAsia="宋体" w:cs="宋体"/>
          <w:color w:val="333333"/>
          <w:kern w:val="0"/>
          <w:sz w:val="24"/>
          <w:szCs w:val="24"/>
        </w:rPr>
        <w:t>人公里。其中，公路客运周转量</w:t>
      </w:r>
      <w:r>
        <w:rPr>
          <w:rFonts w:hint="eastAsia" w:ascii="宋体" w:hAnsi="宋体" w:eastAsia="宋体" w:cs="宋体"/>
          <w:color w:val="333333"/>
          <w:kern w:val="0"/>
          <w:sz w:val="24"/>
          <w:szCs w:val="24"/>
          <w:lang w:val="en-US" w:eastAsia="zh-CN"/>
        </w:rPr>
        <w:t>7988.4万</w:t>
      </w:r>
      <w:r>
        <w:rPr>
          <w:rFonts w:hint="eastAsia" w:ascii="宋体" w:hAnsi="宋体" w:eastAsia="宋体" w:cs="宋体"/>
          <w:color w:val="333333"/>
          <w:kern w:val="0"/>
          <w:sz w:val="24"/>
          <w:szCs w:val="24"/>
        </w:rPr>
        <w:t>人公里，增长</w:t>
      </w:r>
      <w:r>
        <w:rPr>
          <w:rFonts w:hint="eastAsia" w:ascii="宋体" w:hAnsi="宋体" w:eastAsia="宋体" w:cs="宋体"/>
          <w:color w:val="333333"/>
          <w:kern w:val="0"/>
          <w:sz w:val="24"/>
          <w:szCs w:val="24"/>
          <w:lang w:val="en-US" w:eastAsia="zh-CN"/>
        </w:rPr>
        <w:t>32.8</w:t>
      </w:r>
      <w:r>
        <w:rPr>
          <w:rFonts w:hint="eastAsia" w:ascii="宋体" w:hAnsi="宋体" w:eastAsia="宋体" w:cs="宋体"/>
          <w:color w:val="333333"/>
          <w:kern w:val="0"/>
          <w:sz w:val="24"/>
          <w:szCs w:val="24"/>
        </w:rPr>
        <w:t>%；水路旅客周转量</w:t>
      </w:r>
      <w:r>
        <w:rPr>
          <w:rFonts w:hint="eastAsia" w:ascii="宋体" w:hAnsi="宋体" w:eastAsia="宋体" w:cs="宋体"/>
          <w:color w:val="333333"/>
          <w:kern w:val="0"/>
          <w:sz w:val="24"/>
          <w:szCs w:val="24"/>
          <w:lang w:val="en-US" w:eastAsia="zh-CN"/>
        </w:rPr>
        <w:t>5.2</w:t>
      </w:r>
      <w:r>
        <w:rPr>
          <w:rFonts w:hint="eastAsia" w:ascii="宋体" w:hAnsi="宋体" w:eastAsia="宋体" w:cs="宋体"/>
          <w:color w:val="333333"/>
          <w:kern w:val="0"/>
          <w:sz w:val="24"/>
          <w:szCs w:val="24"/>
        </w:rPr>
        <w:t>万人公里，增长</w:t>
      </w:r>
      <w:r>
        <w:rPr>
          <w:rFonts w:hint="eastAsia" w:ascii="宋体" w:hAnsi="宋体" w:eastAsia="宋体" w:cs="宋体"/>
          <w:color w:val="333333"/>
          <w:kern w:val="0"/>
          <w:sz w:val="24"/>
          <w:szCs w:val="24"/>
          <w:lang w:val="en-US" w:eastAsia="zh-CN"/>
        </w:rPr>
        <w:t>13.7</w:t>
      </w:r>
      <w:r>
        <w:rPr>
          <w:rFonts w:hint="eastAsia" w:ascii="宋体" w:hAnsi="宋体" w:eastAsia="宋体" w:cs="宋体"/>
          <w:color w:val="333333"/>
          <w:kern w:val="0"/>
          <w:sz w:val="24"/>
          <w:szCs w:val="24"/>
        </w:rPr>
        <w:t>%。</w:t>
      </w:r>
    </w:p>
    <w:p w14:paraId="64455BB8">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旅游业</w:t>
      </w:r>
    </w:p>
    <w:p w14:paraId="7CDA228E">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2024年全年，我市实现旅游接待人数突破100.02万人，总收入4.86亿元。同比增长47.39%和67.58%。全市现有A级旅游景区5家，其中4A级1家，3A级1家，2A级3家，有星级饭店1家，三星级1家。有旅游行社7家，旅行社分社1家，A级乡村旅游经营单位16家，其中，5A级1家，4A级2家，3A级6家，2A级4家，1A级3家，有国家级和省级乡村旅游重点村3个，县级乡村旅游精品村2个。</w:t>
      </w:r>
    </w:p>
    <w:p w14:paraId="78DC3388">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金融业</w:t>
      </w:r>
    </w:p>
    <w:p w14:paraId="1693EBFF">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2024年末全市金融机构本外币各项存款余额304.80亿元，比年初增加39.25亿元。其中，本外币境内存款余额304.47亿元，比年初增加39.26亿元。</w:t>
      </w:r>
    </w:p>
    <w:p w14:paraId="08B790BF">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2024年末全市金融机构本外币各项贷款余额113.71亿元，比年初增加16.00亿元。其中，本外币境内贷款余额113.71亿元，比年初增加16.00亿元。</w:t>
      </w:r>
    </w:p>
    <w:p w14:paraId="42EEB1C2">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2024年末全市共有保险公司21家。其中，财产险公司10家，寿险公司11家，保险中介3家。全年原保险保费收入5.15亿元，比上年同比增长0.06亿元。其中，财产险保费收入2.44 亿元，同比增长12.33%。寿险保费收入2.71亿元，同比下降7.00%。赔付支出1.76亿元，比上年同比增长0.24亿元。其中，财产险赔付支出1.62亿元，同比增长31.70%。寿险赔付支出0.14亿元，同比增长-6.67%。</w:t>
      </w:r>
    </w:p>
    <w:p w14:paraId="12C81E20">
      <w:pPr>
        <w:widowControl/>
        <w:shd w:val="clear" w:color="auto" w:fill="FFFFFF"/>
        <w:spacing w:line="480" w:lineRule="auto"/>
        <w:ind w:firstLine="480" w:firstLineChars="200"/>
        <w:jc w:val="left"/>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二、社会发展 </w:t>
      </w:r>
    </w:p>
    <w:p w14:paraId="75C51F10">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科技 </w:t>
      </w:r>
    </w:p>
    <w:p w14:paraId="742BFC88">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全年共认定技术合同1份，技术合同成交总金额284万元。国家高新技术企业10户，科技型中小企业6户。全口径省级以上立项项目1项,扶持资金40万元。</w:t>
      </w:r>
    </w:p>
    <w:p w14:paraId="09041A3C">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教育 </w:t>
      </w:r>
    </w:p>
    <w:p w14:paraId="3239EBB9">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年末全市共有幼儿园</w:t>
      </w:r>
      <w:r>
        <w:rPr>
          <w:rFonts w:hint="eastAsia" w:ascii="宋体" w:hAnsi="宋体" w:eastAsia="宋体" w:cs="宋体"/>
          <w:color w:val="333333"/>
          <w:kern w:val="0"/>
          <w:sz w:val="24"/>
          <w:szCs w:val="24"/>
          <w:lang w:val="en-US" w:eastAsia="zh-CN"/>
        </w:rPr>
        <w:t>57</w:t>
      </w:r>
      <w:r>
        <w:rPr>
          <w:rFonts w:hint="eastAsia" w:ascii="宋体" w:hAnsi="宋体" w:eastAsia="宋体" w:cs="宋体"/>
          <w:color w:val="333333"/>
          <w:kern w:val="0"/>
          <w:sz w:val="24"/>
          <w:szCs w:val="24"/>
        </w:rPr>
        <w:t>所（含附设幼儿班</w:t>
      </w:r>
      <w:r>
        <w:rPr>
          <w:rFonts w:hint="eastAsia" w:ascii="宋体" w:hAnsi="宋体" w:eastAsia="宋体" w:cs="宋体"/>
          <w:color w:val="333333"/>
          <w:kern w:val="0"/>
          <w:sz w:val="24"/>
          <w:szCs w:val="24"/>
          <w:lang w:val="en-US" w:eastAsia="zh-CN"/>
        </w:rPr>
        <w:t>20</w:t>
      </w:r>
      <w:r>
        <w:rPr>
          <w:rFonts w:hint="eastAsia" w:ascii="宋体" w:hAnsi="宋体" w:eastAsia="宋体" w:cs="宋体"/>
          <w:color w:val="333333"/>
          <w:kern w:val="0"/>
          <w:sz w:val="24"/>
          <w:szCs w:val="24"/>
        </w:rPr>
        <w:t>所），幼儿教师</w:t>
      </w:r>
      <w:r>
        <w:rPr>
          <w:rFonts w:hint="eastAsia" w:ascii="宋体" w:hAnsi="宋体" w:eastAsia="宋体" w:cs="宋体"/>
          <w:color w:val="333333"/>
          <w:kern w:val="0"/>
          <w:sz w:val="24"/>
          <w:szCs w:val="24"/>
          <w:lang w:val="en-US" w:eastAsia="zh-CN"/>
        </w:rPr>
        <w:t>718</w:t>
      </w:r>
      <w:r>
        <w:rPr>
          <w:rFonts w:hint="eastAsia" w:ascii="宋体" w:hAnsi="宋体" w:eastAsia="宋体" w:cs="宋体"/>
          <w:color w:val="333333"/>
          <w:kern w:val="0"/>
          <w:sz w:val="24"/>
          <w:szCs w:val="24"/>
        </w:rPr>
        <w:t>名，在园儿童</w:t>
      </w:r>
      <w:r>
        <w:rPr>
          <w:rFonts w:hint="eastAsia" w:ascii="宋体" w:hAnsi="宋体" w:eastAsia="宋体" w:cs="宋体"/>
          <w:color w:val="333333"/>
          <w:kern w:val="0"/>
          <w:sz w:val="24"/>
          <w:szCs w:val="24"/>
          <w:lang w:val="en-US" w:eastAsia="zh-CN"/>
        </w:rPr>
        <w:t>3561</w:t>
      </w:r>
      <w:r>
        <w:rPr>
          <w:rFonts w:hint="eastAsia" w:ascii="宋体" w:hAnsi="宋体" w:eastAsia="宋体" w:cs="宋体"/>
          <w:color w:val="333333"/>
          <w:kern w:val="0"/>
          <w:sz w:val="24"/>
          <w:szCs w:val="24"/>
        </w:rPr>
        <w:t>名。</w:t>
      </w:r>
      <w:r>
        <w:rPr>
          <w:rFonts w:hint="eastAsia" w:ascii="宋体" w:hAnsi="宋体" w:eastAsia="宋体" w:cs="宋体"/>
          <w:color w:val="333333"/>
          <w:kern w:val="0"/>
          <w:sz w:val="24"/>
          <w:szCs w:val="24"/>
          <w:lang w:val="en-US" w:eastAsia="zh-CN"/>
        </w:rPr>
        <w:t>独立</w:t>
      </w:r>
      <w:r>
        <w:rPr>
          <w:rFonts w:hint="eastAsia" w:ascii="宋体" w:hAnsi="宋体" w:eastAsia="宋体" w:cs="宋体"/>
          <w:color w:val="333333"/>
          <w:kern w:val="0"/>
          <w:sz w:val="24"/>
          <w:szCs w:val="24"/>
        </w:rPr>
        <w:t>小学</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所，小学教师</w:t>
      </w:r>
      <w:r>
        <w:rPr>
          <w:rFonts w:hint="eastAsia" w:ascii="宋体" w:hAnsi="宋体" w:eastAsia="宋体" w:cs="宋体"/>
          <w:color w:val="333333"/>
          <w:kern w:val="0"/>
          <w:sz w:val="24"/>
          <w:szCs w:val="24"/>
          <w:lang w:val="en-US" w:eastAsia="zh-CN"/>
        </w:rPr>
        <w:t>1972</w:t>
      </w:r>
      <w:r>
        <w:rPr>
          <w:rFonts w:hint="eastAsia" w:ascii="宋体" w:hAnsi="宋体" w:eastAsia="宋体" w:cs="宋体"/>
          <w:color w:val="333333"/>
          <w:kern w:val="0"/>
          <w:sz w:val="24"/>
          <w:szCs w:val="24"/>
        </w:rPr>
        <w:t>名，小学生</w:t>
      </w:r>
      <w:r>
        <w:rPr>
          <w:rFonts w:hint="eastAsia" w:ascii="宋体" w:hAnsi="宋体" w:eastAsia="宋体" w:cs="宋体"/>
          <w:color w:val="333333"/>
          <w:kern w:val="0"/>
          <w:sz w:val="24"/>
          <w:szCs w:val="24"/>
          <w:lang w:val="en-US" w:eastAsia="zh-CN"/>
        </w:rPr>
        <w:t>12252</w:t>
      </w:r>
      <w:r>
        <w:rPr>
          <w:rFonts w:hint="eastAsia" w:ascii="宋体" w:hAnsi="宋体" w:eastAsia="宋体" w:cs="宋体"/>
          <w:color w:val="333333"/>
          <w:kern w:val="0"/>
          <w:sz w:val="24"/>
          <w:szCs w:val="24"/>
        </w:rPr>
        <w:t>名。</w:t>
      </w:r>
      <w:r>
        <w:rPr>
          <w:rFonts w:hint="eastAsia" w:ascii="宋体" w:hAnsi="宋体" w:eastAsia="宋体" w:cs="宋体"/>
          <w:color w:val="333333"/>
          <w:kern w:val="0"/>
          <w:sz w:val="24"/>
          <w:szCs w:val="24"/>
          <w:lang w:val="en-US" w:eastAsia="zh-CN"/>
        </w:rPr>
        <w:t>独立</w:t>
      </w:r>
      <w:r>
        <w:rPr>
          <w:rFonts w:hint="eastAsia" w:ascii="宋体" w:hAnsi="宋体" w:eastAsia="宋体" w:cs="宋体"/>
          <w:color w:val="333333"/>
          <w:kern w:val="0"/>
          <w:sz w:val="24"/>
          <w:szCs w:val="24"/>
        </w:rPr>
        <w:t>初中</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所，初中教师</w:t>
      </w:r>
      <w:r>
        <w:rPr>
          <w:rFonts w:hint="eastAsia" w:ascii="宋体" w:hAnsi="宋体" w:eastAsia="宋体" w:cs="宋体"/>
          <w:color w:val="333333"/>
          <w:kern w:val="0"/>
          <w:sz w:val="24"/>
          <w:szCs w:val="24"/>
          <w:lang w:val="en-US" w:eastAsia="zh-CN"/>
        </w:rPr>
        <w:t>1080</w:t>
      </w:r>
      <w:r>
        <w:rPr>
          <w:rFonts w:hint="eastAsia" w:ascii="宋体" w:hAnsi="宋体" w:eastAsia="宋体" w:cs="宋体"/>
          <w:color w:val="333333"/>
          <w:kern w:val="0"/>
          <w:sz w:val="24"/>
          <w:szCs w:val="24"/>
        </w:rPr>
        <w:t>名，初中生</w:t>
      </w:r>
      <w:r>
        <w:rPr>
          <w:rFonts w:hint="eastAsia" w:ascii="宋体" w:hAnsi="宋体" w:eastAsia="宋体" w:cs="宋体"/>
          <w:color w:val="333333"/>
          <w:kern w:val="0"/>
          <w:sz w:val="24"/>
          <w:szCs w:val="24"/>
          <w:lang w:val="en-US" w:eastAsia="zh-CN"/>
        </w:rPr>
        <w:t>7338</w:t>
      </w:r>
      <w:r>
        <w:rPr>
          <w:rFonts w:hint="eastAsia" w:ascii="宋体" w:hAnsi="宋体" w:eastAsia="宋体" w:cs="宋体"/>
          <w:color w:val="333333"/>
          <w:kern w:val="0"/>
          <w:sz w:val="24"/>
          <w:szCs w:val="24"/>
        </w:rPr>
        <w:t>名。普通高中</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所，高中教师</w:t>
      </w:r>
      <w:r>
        <w:rPr>
          <w:rFonts w:hint="eastAsia" w:ascii="宋体" w:hAnsi="宋体" w:eastAsia="宋体" w:cs="宋体"/>
          <w:color w:val="333333"/>
          <w:kern w:val="0"/>
          <w:sz w:val="24"/>
          <w:szCs w:val="24"/>
          <w:lang w:val="en-US" w:eastAsia="zh-CN"/>
        </w:rPr>
        <w:t>533</w:t>
      </w:r>
      <w:r>
        <w:rPr>
          <w:rFonts w:hint="eastAsia" w:ascii="宋体" w:hAnsi="宋体" w:eastAsia="宋体" w:cs="宋体"/>
          <w:color w:val="333333"/>
          <w:kern w:val="0"/>
          <w:sz w:val="24"/>
          <w:szCs w:val="24"/>
        </w:rPr>
        <w:t>名，高中生</w:t>
      </w:r>
      <w:r>
        <w:rPr>
          <w:rFonts w:hint="eastAsia" w:ascii="宋体" w:hAnsi="宋体" w:eastAsia="宋体" w:cs="宋体"/>
          <w:color w:val="333333"/>
          <w:kern w:val="0"/>
          <w:sz w:val="24"/>
          <w:szCs w:val="24"/>
          <w:lang w:val="en-US" w:eastAsia="zh-CN"/>
        </w:rPr>
        <w:t>5683</w:t>
      </w:r>
      <w:r>
        <w:rPr>
          <w:rFonts w:hint="eastAsia" w:ascii="宋体" w:hAnsi="宋体" w:eastAsia="宋体" w:cs="宋体"/>
          <w:color w:val="333333"/>
          <w:kern w:val="0"/>
          <w:sz w:val="24"/>
          <w:szCs w:val="24"/>
        </w:rPr>
        <w:t>名。中等职业学校</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职校教师</w:t>
      </w:r>
      <w:r>
        <w:rPr>
          <w:rFonts w:hint="eastAsia" w:ascii="宋体" w:hAnsi="宋体" w:eastAsia="宋体" w:cs="宋体"/>
          <w:color w:val="333333"/>
          <w:kern w:val="0"/>
          <w:sz w:val="24"/>
          <w:szCs w:val="24"/>
          <w:lang w:val="en-US" w:eastAsia="zh-CN"/>
        </w:rPr>
        <w:t>97</w:t>
      </w:r>
      <w:r>
        <w:rPr>
          <w:rFonts w:hint="eastAsia" w:ascii="宋体" w:hAnsi="宋体" w:eastAsia="宋体" w:cs="宋体"/>
          <w:color w:val="333333"/>
          <w:kern w:val="0"/>
          <w:sz w:val="24"/>
          <w:szCs w:val="24"/>
        </w:rPr>
        <w:t>名，职校生</w:t>
      </w:r>
      <w:r>
        <w:rPr>
          <w:rFonts w:hint="eastAsia" w:ascii="宋体" w:hAnsi="宋体" w:eastAsia="宋体" w:cs="宋体"/>
          <w:color w:val="333333"/>
          <w:kern w:val="0"/>
          <w:sz w:val="24"/>
          <w:szCs w:val="24"/>
          <w:lang w:val="en-US" w:eastAsia="zh-CN"/>
        </w:rPr>
        <w:t>974</w:t>
      </w:r>
      <w:r>
        <w:rPr>
          <w:rFonts w:hint="eastAsia" w:ascii="宋体" w:hAnsi="宋体" w:eastAsia="宋体" w:cs="宋体"/>
          <w:color w:val="333333"/>
          <w:kern w:val="0"/>
          <w:sz w:val="24"/>
          <w:szCs w:val="24"/>
        </w:rPr>
        <w:t>名。进修学校</w:t>
      </w:r>
      <w:r>
        <w:rPr>
          <w:rFonts w:hint="eastAsia" w:ascii="宋体" w:hAnsi="宋体" w:eastAsia="宋体" w:cs="宋体"/>
          <w:color w:val="333333"/>
          <w:kern w:val="0"/>
          <w:sz w:val="24"/>
          <w:szCs w:val="24"/>
          <w:lang w:val="en-US" w:eastAsia="zh-CN"/>
        </w:rPr>
        <w:t>1所,进修学校教师58名。开放大学1所，开放大学教师24名。</w:t>
      </w:r>
      <w:r>
        <w:rPr>
          <w:rFonts w:hint="eastAsia" w:ascii="宋体" w:hAnsi="宋体" w:eastAsia="宋体" w:cs="宋体"/>
          <w:color w:val="333333"/>
          <w:kern w:val="0"/>
          <w:sz w:val="24"/>
          <w:szCs w:val="24"/>
        </w:rPr>
        <w:t>特教学校</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所，特教教师</w:t>
      </w:r>
      <w:r>
        <w:rPr>
          <w:rFonts w:hint="eastAsia" w:ascii="宋体" w:hAnsi="宋体" w:eastAsia="宋体" w:cs="宋体"/>
          <w:color w:val="333333"/>
          <w:kern w:val="0"/>
          <w:sz w:val="24"/>
          <w:szCs w:val="24"/>
          <w:lang w:val="en-US" w:eastAsia="zh-CN"/>
        </w:rPr>
        <w:t>42</w:t>
      </w:r>
      <w:r>
        <w:rPr>
          <w:rFonts w:hint="eastAsia" w:ascii="宋体" w:hAnsi="宋体" w:eastAsia="宋体" w:cs="宋体"/>
          <w:color w:val="333333"/>
          <w:kern w:val="0"/>
          <w:sz w:val="24"/>
          <w:szCs w:val="24"/>
        </w:rPr>
        <w:t>名，特教学生</w:t>
      </w:r>
      <w:r>
        <w:rPr>
          <w:rFonts w:hint="eastAsia" w:ascii="宋体" w:hAnsi="宋体" w:eastAsia="宋体" w:cs="宋体"/>
          <w:color w:val="333333"/>
          <w:kern w:val="0"/>
          <w:sz w:val="24"/>
          <w:szCs w:val="24"/>
          <w:lang w:val="en-US" w:eastAsia="zh-CN"/>
        </w:rPr>
        <w:t>141</w:t>
      </w:r>
      <w:r>
        <w:rPr>
          <w:rFonts w:hint="eastAsia" w:ascii="宋体" w:hAnsi="宋体" w:eastAsia="宋体" w:cs="宋体"/>
          <w:color w:val="333333"/>
          <w:kern w:val="0"/>
          <w:sz w:val="24"/>
          <w:szCs w:val="24"/>
        </w:rPr>
        <w:t>名。</w:t>
      </w:r>
    </w:p>
    <w:p w14:paraId="399065D0">
      <w:pPr>
        <w:widowControl/>
        <w:shd w:val="clear" w:color="auto" w:fill="FFFFFF"/>
        <w:spacing w:line="480" w:lineRule="auto"/>
        <w:ind w:firstLine="48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文化</w:t>
      </w:r>
      <w:r>
        <w:rPr>
          <w:rFonts w:hint="eastAsia" w:ascii="宋体" w:hAnsi="宋体" w:eastAsia="宋体" w:cs="宋体"/>
          <w:color w:val="333333"/>
          <w:kern w:val="0"/>
          <w:sz w:val="24"/>
          <w:szCs w:val="24"/>
        </w:rPr>
        <w:t> </w:t>
      </w:r>
    </w:p>
    <w:p w14:paraId="21C272E3">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全市共有图书馆1个，文化馆1个，各类博物馆8家。不可移动文物322处，其中列级文物26处。馆藏文物2192件，其中国家二级文物1件，三级文物8件，一般文物2183件。</w:t>
      </w:r>
    </w:p>
    <w:p w14:paraId="5D29D9B8">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卫生 </w:t>
      </w:r>
    </w:p>
    <w:p w14:paraId="04215DD6">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年末全市社区卫生服务人口覆盖率达到</w:t>
      </w:r>
      <w:r>
        <w:rPr>
          <w:rFonts w:hint="eastAsia" w:ascii="宋体" w:hAnsi="宋体" w:eastAsia="宋体" w:cs="宋体"/>
          <w:color w:val="333333"/>
          <w:kern w:val="0"/>
          <w:sz w:val="24"/>
          <w:szCs w:val="24"/>
          <w:lang w:val="en-US" w:eastAsia="zh-CN"/>
        </w:rPr>
        <w:t>100</w:t>
      </w:r>
      <w:r>
        <w:rPr>
          <w:rFonts w:hint="eastAsia" w:ascii="宋体" w:hAnsi="宋体" w:eastAsia="宋体" w:cs="宋体"/>
          <w:color w:val="333333"/>
          <w:kern w:val="0"/>
          <w:sz w:val="24"/>
          <w:szCs w:val="24"/>
        </w:rPr>
        <w:t>%。各级各类医疗卫生机构</w:t>
      </w:r>
      <w:r>
        <w:rPr>
          <w:rFonts w:hint="eastAsia" w:ascii="宋体" w:hAnsi="宋体" w:eastAsia="宋体" w:cs="宋体"/>
          <w:color w:val="333333"/>
          <w:kern w:val="0"/>
          <w:sz w:val="24"/>
          <w:szCs w:val="24"/>
          <w:lang w:val="en-US" w:eastAsia="zh-CN"/>
        </w:rPr>
        <w:t>404</w:t>
      </w:r>
      <w:r>
        <w:rPr>
          <w:rFonts w:hint="eastAsia" w:ascii="宋体" w:hAnsi="宋体" w:eastAsia="宋体" w:cs="宋体"/>
          <w:color w:val="333333"/>
          <w:kern w:val="0"/>
          <w:sz w:val="24"/>
          <w:szCs w:val="24"/>
        </w:rPr>
        <w:t>所，</w:t>
      </w:r>
      <w:r>
        <w:rPr>
          <w:rFonts w:hint="eastAsia" w:ascii="宋体" w:hAnsi="宋体" w:eastAsia="宋体" w:cs="宋体"/>
          <w:color w:val="333333"/>
          <w:kern w:val="0"/>
          <w:sz w:val="24"/>
          <w:szCs w:val="24"/>
          <w:lang w:val="en-US" w:eastAsia="zh-CN"/>
        </w:rPr>
        <w:t>医院15</w:t>
      </w:r>
      <w:r>
        <w:rPr>
          <w:rFonts w:hint="eastAsia" w:ascii="宋体" w:hAnsi="宋体" w:eastAsia="宋体" w:cs="宋体"/>
          <w:color w:val="333333"/>
          <w:kern w:val="0"/>
          <w:sz w:val="24"/>
          <w:szCs w:val="24"/>
        </w:rPr>
        <w:t>所，卫生院</w:t>
      </w:r>
      <w:r>
        <w:rPr>
          <w:rFonts w:hint="eastAsia" w:ascii="宋体" w:hAnsi="宋体" w:eastAsia="宋体" w:cs="宋体"/>
          <w:color w:val="333333"/>
          <w:kern w:val="0"/>
          <w:sz w:val="24"/>
          <w:szCs w:val="24"/>
          <w:lang w:val="en-US" w:eastAsia="zh-CN"/>
        </w:rPr>
        <w:t>10</w:t>
      </w:r>
      <w:r>
        <w:rPr>
          <w:rFonts w:hint="eastAsia" w:ascii="宋体" w:hAnsi="宋体" w:eastAsia="宋体" w:cs="宋体"/>
          <w:color w:val="333333"/>
          <w:kern w:val="0"/>
          <w:sz w:val="24"/>
          <w:szCs w:val="24"/>
        </w:rPr>
        <w:t>所，门诊部</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所，急救中心</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所，采供血机构</w:t>
      </w:r>
      <w:r>
        <w:rPr>
          <w:rFonts w:hint="eastAsia" w:ascii="宋体" w:hAnsi="宋体" w:eastAsia="宋体" w:cs="宋体"/>
          <w:color w:val="333333"/>
          <w:kern w:val="0"/>
          <w:sz w:val="24"/>
          <w:szCs w:val="24"/>
          <w:lang w:val="en-US" w:eastAsia="zh-CN"/>
        </w:rPr>
        <w:t>0</w:t>
      </w:r>
      <w:r>
        <w:rPr>
          <w:rFonts w:hint="eastAsia" w:ascii="宋体" w:hAnsi="宋体" w:eastAsia="宋体" w:cs="宋体"/>
          <w:color w:val="333333"/>
          <w:kern w:val="0"/>
          <w:sz w:val="24"/>
          <w:szCs w:val="24"/>
        </w:rPr>
        <w:t>所，专科疾病防治院（所、站）</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所，妇幼保健机构</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所，疾病预防控制中心</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所，卫生监督机构</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所，诊所</w:t>
      </w:r>
      <w:r>
        <w:rPr>
          <w:rFonts w:hint="eastAsia" w:ascii="宋体" w:hAnsi="宋体" w:eastAsia="宋体" w:cs="宋体"/>
          <w:color w:val="333333"/>
          <w:kern w:val="0"/>
          <w:sz w:val="24"/>
          <w:szCs w:val="24"/>
          <w:lang w:val="en-US" w:eastAsia="zh-CN"/>
        </w:rPr>
        <w:t>138</w:t>
      </w:r>
      <w:r>
        <w:rPr>
          <w:rFonts w:hint="eastAsia" w:ascii="宋体" w:hAnsi="宋体" w:eastAsia="宋体" w:cs="宋体"/>
          <w:color w:val="333333"/>
          <w:kern w:val="0"/>
          <w:sz w:val="24"/>
          <w:szCs w:val="24"/>
        </w:rPr>
        <w:t>所，卫生所（医务室）</w:t>
      </w:r>
      <w:r>
        <w:rPr>
          <w:rFonts w:hint="eastAsia" w:ascii="宋体" w:hAnsi="宋体" w:eastAsia="宋体" w:cs="宋体"/>
          <w:color w:val="333333"/>
          <w:kern w:val="0"/>
          <w:sz w:val="24"/>
          <w:szCs w:val="24"/>
          <w:lang w:val="en-US" w:eastAsia="zh-CN"/>
        </w:rPr>
        <w:t>13</w:t>
      </w:r>
      <w:r>
        <w:rPr>
          <w:rFonts w:hint="eastAsia" w:ascii="宋体" w:hAnsi="宋体" w:eastAsia="宋体" w:cs="宋体"/>
          <w:color w:val="333333"/>
          <w:kern w:val="0"/>
          <w:sz w:val="24"/>
          <w:szCs w:val="24"/>
        </w:rPr>
        <w:t>所，社区卫生服务中心（站）</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所，村卫生室</w:t>
      </w:r>
      <w:r>
        <w:rPr>
          <w:rFonts w:hint="eastAsia" w:ascii="宋体" w:hAnsi="宋体" w:eastAsia="宋体" w:cs="宋体"/>
          <w:color w:val="333333"/>
          <w:kern w:val="0"/>
          <w:sz w:val="24"/>
          <w:szCs w:val="24"/>
          <w:lang w:val="en-US" w:eastAsia="zh-CN"/>
        </w:rPr>
        <w:t>211</w:t>
      </w:r>
      <w:r>
        <w:rPr>
          <w:rFonts w:hint="eastAsia" w:ascii="宋体" w:hAnsi="宋体" w:eastAsia="宋体" w:cs="宋体"/>
          <w:color w:val="333333"/>
          <w:kern w:val="0"/>
          <w:sz w:val="24"/>
          <w:szCs w:val="24"/>
        </w:rPr>
        <w:t>所，护理站</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所。全市卫生技术人员</w:t>
      </w:r>
      <w:r>
        <w:rPr>
          <w:rFonts w:hint="eastAsia" w:ascii="宋体" w:hAnsi="宋体" w:eastAsia="宋体" w:cs="宋体"/>
          <w:color w:val="333333"/>
          <w:kern w:val="0"/>
          <w:sz w:val="24"/>
          <w:szCs w:val="24"/>
          <w:lang w:val="en-US" w:eastAsia="zh-CN"/>
        </w:rPr>
        <w:t>2410</w:t>
      </w:r>
      <w:r>
        <w:rPr>
          <w:rFonts w:hint="eastAsia" w:ascii="宋体" w:hAnsi="宋体" w:eastAsia="宋体" w:cs="宋体"/>
          <w:color w:val="333333"/>
          <w:kern w:val="0"/>
          <w:sz w:val="24"/>
          <w:szCs w:val="24"/>
        </w:rPr>
        <w:t>人，执业医师及执业助理医师10</w:t>
      </w:r>
      <w:r>
        <w:rPr>
          <w:rFonts w:hint="eastAsia" w:ascii="宋体" w:hAnsi="宋体" w:eastAsia="宋体" w:cs="宋体"/>
          <w:color w:val="333333"/>
          <w:kern w:val="0"/>
          <w:sz w:val="24"/>
          <w:szCs w:val="24"/>
          <w:lang w:val="en-US" w:eastAsia="zh-CN"/>
        </w:rPr>
        <w:t>00</w:t>
      </w:r>
      <w:r>
        <w:rPr>
          <w:rFonts w:hint="eastAsia" w:ascii="宋体" w:hAnsi="宋体" w:eastAsia="宋体" w:cs="宋体"/>
          <w:color w:val="333333"/>
          <w:kern w:val="0"/>
          <w:sz w:val="24"/>
          <w:szCs w:val="24"/>
        </w:rPr>
        <w:t>人，</w:t>
      </w:r>
      <w:r>
        <w:rPr>
          <w:rFonts w:hint="eastAsia" w:ascii="宋体" w:hAnsi="宋体" w:eastAsia="宋体" w:cs="宋体"/>
          <w:color w:val="333333"/>
          <w:kern w:val="0"/>
          <w:sz w:val="24"/>
          <w:szCs w:val="24"/>
          <w:lang w:eastAsia="zh-CN"/>
        </w:rPr>
        <w:t>药师（士）</w:t>
      </w:r>
      <w:r>
        <w:rPr>
          <w:rFonts w:hint="eastAsia" w:ascii="宋体" w:hAnsi="宋体" w:eastAsia="宋体" w:cs="宋体"/>
          <w:color w:val="333333"/>
          <w:kern w:val="0"/>
          <w:sz w:val="24"/>
          <w:szCs w:val="24"/>
          <w:lang w:val="en-US" w:eastAsia="zh-CN"/>
        </w:rPr>
        <w:t>102人，技师（士）173人，</w:t>
      </w:r>
      <w:r>
        <w:rPr>
          <w:rFonts w:hint="eastAsia" w:ascii="宋体" w:hAnsi="宋体" w:eastAsia="宋体" w:cs="宋体"/>
          <w:color w:val="333333"/>
          <w:kern w:val="0"/>
          <w:sz w:val="24"/>
          <w:szCs w:val="24"/>
        </w:rPr>
        <w:t>注册护士11</w:t>
      </w:r>
      <w:r>
        <w:rPr>
          <w:rFonts w:hint="eastAsia" w:ascii="宋体" w:hAnsi="宋体" w:eastAsia="宋体" w:cs="宋体"/>
          <w:color w:val="333333"/>
          <w:kern w:val="0"/>
          <w:sz w:val="24"/>
          <w:szCs w:val="24"/>
          <w:lang w:val="en-US" w:eastAsia="zh-CN"/>
        </w:rPr>
        <w:t>35</w:t>
      </w:r>
      <w:r>
        <w:rPr>
          <w:rFonts w:hint="eastAsia" w:ascii="宋体" w:hAnsi="宋体" w:eastAsia="宋体" w:cs="宋体"/>
          <w:color w:val="333333"/>
          <w:kern w:val="0"/>
          <w:sz w:val="24"/>
          <w:szCs w:val="24"/>
        </w:rPr>
        <w:t>人，全市编制医疗床位</w:t>
      </w:r>
      <w:r>
        <w:rPr>
          <w:rFonts w:hint="eastAsia" w:ascii="宋体" w:hAnsi="宋体" w:eastAsia="宋体" w:cs="宋体"/>
          <w:color w:val="333333"/>
          <w:kern w:val="0"/>
          <w:sz w:val="24"/>
          <w:szCs w:val="24"/>
          <w:lang w:val="en-US" w:eastAsia="zh-CN"/>
        </w:rPr>
        <w:t>1610</w:t>
      </w:r>
      <w:r>
        <w:rPr>
          <w:rFonts w:hint="eastAsia" w:ascii="宋体" w:hAnsi="宋体" w:eastAsia="宋体" w:cs="宋体"/>
          <w:color w:val="333333"/>
          <w:kern w:val="0"/>
          <w:sz w:val="24"/>
          <w:szCs w:val="24"/>
        </w:rPr>
        <w:t>张。</w:t>
      </w:r>
    </w:p>
    <w:p w14:paraId="6EA59646">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体育 </w:t>
      </w:r>
    </w:p>
    <w:p w14:paraId="33E5AF87">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2024年蛟河体校运动员组队参加2024-2025吉林省青少年速度滑冰锦标赛，共参加10个项目的角逐，获得2块金牌，4块银牌，4块铜牌。2024年吉林省青少年田径锦标赛金牌1块，全国U系列联赛金牌3块，银牌3块，铜牌1块。2023—2024赛季吉林省速度滑冰锦标赛，共参加14个项目的角逐，获得7块金牌，5块银牌，2块铜牌。选优推荐参加上级社会体育指导员培训4人，其中国家级1人。国家一级3人。</w:t>
      </w:r>
    </w:p>
    <w:p w14:paraId="62DBFF67">
      <w:pPr>
        <w:widowControl/>
        <w:shd w:val="clear" w:color="auto" w:fill="FFFFFF"/>
        <w:spacing w:line="480" w:lineRule="auto"/>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完成蛟河市老年人门球场建设；完成水谷公园1套二代智能健身路径、1套一代健身路径安装；完成民主街水岸社区1套一代健身路径安装；完成长安街道铁西社区1套一代健身路径安装；完成市内公园5套“国球两进”乒乓球台安装；完成北河体育健身公园轮滑场建设。完成白石山镇笼式足球场建设；完成新站镇1套“国球两进”乒乓球台安装。完成青背多功能运动场建设；在乌林乡罗圈崴子村等完成6套一代健身路径安装。</w:t>
      </w:r>
    </w:p>
    <w:p w14:paraId="191B7C48">
      <w:pPr>
        <w:widowControl/>
        <w:shd w:val="clear" w:color="auto" w:fill="FFFFFF"/>
        <w:spacing w:line="480" w:lineRule="auto"/>
        <w:ind w:firstLine="48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城市建设和市政公用事业</w:t>
      </w:r>
      <w:r>
        <w:rPr>
          <w:rFonts w:hint="eastAsia" w:ascii="宋体" w:hAnsi="宋体" w:eastAsia="宋体" w:cs="宋体"/>
          <w:color w:val="333333"/>
          <w:kern w:val="0"/>
          <w:sz w:val="24"/>
          <w:szCs w:val="24"/>
        </w:rPr>
        <w:t> </w:t>
      </w:r>
    </w:p>
    <w:p w14:paraId="03F5C6FC">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蛟河市城区现有供热企业8户，在网供热面积823万平方米，供热管网259.06公里，其中一次网73.963公里，二次网189.9公里，</w:t>
      </w:r>
    </w:p>
    <w:p w14:paraId="134C46C4">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全市区现有水厂</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座，在用市政供水一次管网78公里，现有二次供水加压泵站54座。其中：由供水公司管理21座</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小区或物业公司管理33座</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日供水总能力为</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万吨。</w:t>
      </w:r>
    </w:p>
    <w:p w14:paraId="5F3CBB15">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共有排水管线179.12公里，其中污排89.68公里，雨排86.96公里，合流管线2.48公里。全市城区现有市政桥梁13座，总长度1.96公里，面积4.38万平方米。其中，大型桥梁12座、中型桥梁1座。全市城区现有市政道路79条，总长度为87.23公里，总面积为2.03平方公里。按道路等级分类，城市主干路16条，次干路10条，支路38条。</w:t>
      </w:r>
    </w:p>
    <w:p w14:paraId="663FF788">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黑体" w:hAnsi="黑体" w:eastAsia="黑体" w:cs="黑体"/>
          <w:color w:val="333333"/>
          <w:kern w:val="0"/>
          <w:sz w:val="24"/>
          <w:szCs w:val="24"/>
        </w:rPr>
        <w:t>三、人民生活</w:t>
      </w:r>
      <w:r>
        <w:rPr>
          <w:rFonts w:hint="eastAsia" w:ascii="宋体" w:hAnsi="宋体" w:eastAsia="宋体" w:cs="宋体"/>
          <w:color w:val="333333"/>
          <w:kern w:val="0"/>
          <w:sz w:val="24"/>
          <w:szCs w:val="24"/>
        </w:rPr>
        <w:t> </w:t>
      </w:r>
    </w:p>
    <w:p w14:paraId="379BE6E3">
      <w:pPr>
        <w:widowControl/>
        <w:shd w:val="clear" w:color="auto" w:fill="FFFFFF"/>
        <w:spacing w:line="480" w:lineRule="auto"/>
        <w:ind w:firstLine="48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人口与计划生育</w:t>
      </w:r>
      <w:r>
        <w:rPr>
          <w:rFonts w:hint="eastAsia" w:ascii="宋体" w:hAnsi="宋体" w:eastAsia="宋体" w:cs="宋体"/>
          <w:color w:val="333333"/>
          <w:kern w:val="0"/>
          <w:sz w:val="24"/>
          <w:szCs w:val="24"/>
        </w:rPr>
        <w:t> </w:t>
      </w:r>
    </w:p>
    <w:p w14:paraId="58527AB0">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年末全市户籍人口</w:t>
      </w:r>
      <w:r>
        <w:rPr>
          <w:rFonts w:hint="eastAsia" w:ascii="宋体" w:hAnsi="宋体" w:eastAsia="宋体" w:cs="宋体"/>
          <w:color w:val="333333"/>
          <w:kern w:val="0"/>
          <w:sz w:val="24"/>
          <w:szCs w:val="24"/>
          <w:lang w:val="en-US" w:eastAsia="zh-CN"/>
        </w:rPr>
        <w:t>39.2</w:t>
      </w:r>
      <w:r>
        <w:rPr>
          <w:rFonts w:hint="eastAsia" w:ascii="宋体" w:hAnsi="宋体" w:eastAsia="宋体" w:cs="宋体"/>
          <w:color w:val="333333"/>
          <w:kern w:val="0"/>
          <w:sz w:val="24"/>
          <w:szCs w:val="24"/>
        </w:rPr>
        <w:t>万人。其中，男性人口</w:t>
      </w:r>
      <w:r>
        <w:rPr>
          <w:rFonts w:hint="eastAsia" w:ascii="宋体" w:hAnsi="宋体" w:eastAsia="宋体" w:cs="宋体"/>
          <w:color w:val="333333"/>
          <w:kern w:val="0"/>
          <w:sz w:val="24"/>
          <w:szCs w:val="24"/>
          <w:lang w:val="en-US" w:eastAsia="zh-CN"/>
        </w:rPr>
        <w:t>19.8</w:t>
      </w:r>
      <w:r>
        <w:rPr>
          <w:rFonts w:hint="eastAsia" w:ascii="宋体" w:hAnsi="宋体" w:eastAsia="宋体" w:cs="宋体"/>
          <w:color w:val="333333"/>
          <w:kern w:val="0"/>
          <w:sz w:val="24"/>
          <w:szCs w:val="24"/>
        </w:rPr>
        <w:t>万人，女性人口</w:t>
      </w:r>
      <w:r>
        <w:rPr>
          <w:rFonts w:hint="eastAsia" w:ascii="宋体" w:hAnsi="宋体" w:eastAsia="宋体" w:cs="宋体"/>
          <w:color w:val="333333"/>
          <w:kern w:val="0"/>
          <w:sz w:val="24"/>
          <w:szCs w:val="24"/>
          <w:lang w:val="en-US" w:eastAsia="zh-CN"/>
        </w:rPr>
        <w:t>19.3</w:t>
      </w:r>
      <w:r>
        <w:rPr>
          <w:rFonts w:hint="eastAsia" w:ascii="宋体" w:hAnsi="宋体" w:eastAsia="宋体" w:cs="宋体"/>
          <w:color w:val="333333"/>
          <w:kern w:val="0"/>
          <w:sz w:val="24"/>
          <w:szCs w:val="24"/>
        </w:rPr>
        <w:t>万人。城镇人口</w:t>
      </w:r>
      <w:r>
        <w:rPr>
          <w:rFonts w:hint="eastAsia" w:ascii="宋体" w:hAnsi="宋体" w:eastAsia="宋体" w:cs="宋体"/>
          <w:color w:val="333333"/>
          <w:kern w:val="0"/>
          <w:sz w:val="24"/>
          <w:szCs w:val="24"/>
          <w:lang w:val="en-US" w:eastAsia="zh-CN"/>
        </w:rPr>
        <w:t>16</w:t>
      </w:r>
      <w:r>
        <w:rPr>
          <w:rFonts w:hint="eastAsia" w:ascii="宋体" w:hAnsi="宋体" w:eastAsia="宋体" w:cs="宋体"/>
          <w:color w:val="333333"/>
          <w:kern w:val="0"/>
          <w:sz w:val="24"/>
          <w:szCs w:val="24"/>
        </w:rPr>
        <w:t>万人，乡村人口</w:t>
      </w:r>
      <w:r>
        <w:rPr>
          <w:rFonts w:hint="eastAsia" w:ascii="宋体" w:hAnsi="宋体" w:eastAsia="宋体" w:cs="宋体"/>
          <w:color w:val="333333"/>
          <w:kern w:val="0"/>
          <w:sz w:val="24"/>
          <w:szCs w:val="24"/>
          <w:lang w:val="en-US" w:eastAsia="zh-CN"/>
        </w:rPr>
        <w:t>23.1</w:t>
      </w:r>
      <w:r>
        <w:rPr>
          <w:rFonts w:hint="eastAsia" w:ascii="宋体" w:hAnsi="宋体" w:eastAsia="宋体" w:cs="宋体"/>
          <w:color w:val="333333"/>
          <w:kern w:val="0"/>
          <w:sz w:val="24"/>
          <w:szCs w:val="24"/>
        </w:rPr>
        <w:t>万人。出生人口</w:t>
      </w:r>
      <w:r>
        <w:rPr>
          <w:rFonts w:hint="eastAsia" w:ascii="宋体" w:hAnsi="宋体" w:eastAsia="宋体" w:cs="宋体"/>
          <w:color w:val="333333"/>
          <w:kern w:val="0"/>
          <w:sz w:val="24"/>
          <w:szCs w:val="24"/>
          <w:lang w:val="en-US" w:eastAsia="zh-CN"/>
        </w:rPr>
        <w:t>1063</w:t>
      </w:r>
      <w:r>
        <w:rPr>
          <w:rFonts w:hint="eastAsia" w:ascii="宋体" w:hAnsi="宋体" w:eastAsia="宋体" w:cs="宋体"/>
          <w:color w:val="333333"/>
          <w:kern w:val="0"/>
          <w:sz w:val="24"/>
          <w:szCs w:val="24"/>
        </w:rPr>
        <w:t>人，死亡人口</w:t>
      </w:r>
      <w:r>
        <w:rPr>
          <w:rFonts w:hint="eastAsia" w:ascii="宋体" w:hAnsi="宋体" w:eastAsia="宋体" w:cs="宋体"/>
          <w:color w:val="333333"/>
          <w:kern w:val="0"/>
          <w:sz w:val="24"/>
          <w:szCs w:val="24"/>
          <w:lang w:val="en-US" w:eastAsia="zh-CN"/>
        </w:rPr>
        <w:t>2010</w:t>
      </w:r>
      <w:r>
        <w:rPr>
          <w:rFonts w:hint="eastAsia" w:ascii="宋体" w:hAnsi="宋体" w:eastAsia="宋体" w:cs="宋体"/>
          <w:color w:val="333333"/>
          <w:kern w:val="0"/>
          <w:sz w:val="24"/>
          <w:szCs w:val="24"/>
        </w:rPr>
        <w:t>人，人口出生率2.</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‰，死亡率</w:t>
      </w:r>
      <w:r>
        <w:rPr>
          <w:rFonts w:hint="eastAsia" w:ascii="宋体" w:hAnsi="宋体" w:eastAsia="宋体" w:cs="宋体"/>
          <w:color w:val="333333"/>
          <w:kern w:val="0"/>
          <w:sz w:val="24"/>
          <w:szCs w:val="24"/>
          <w:lang w:val="en-US" w:eastAsia="zh-CN"/>
        </w:rPr>
        <w:t>5.11</w:t>
      </w:r>
      <w:r>
        <w:rPr>
          <w:rFonts w:hint="eastAsia" w:ascii="宋体" w:hAnsi="宋体" w:eastAsia="宋体" w:cs="宋体"/>
          <w:color w:val="333333"/>
          <w:kern w:val="0"/>
          <w:sz w:val="24"/>
          <w:szCs w:val="24"/>
        </w:rPr>
        <w:t>‰，人口自然增长率为-</w:t>
      </w:r>
      <w:r>
        <w:rPr>
          <w:rFonts w:hint="eastAsia" w:ascii="宋体" w:hAnsi="宋体" w:eastAsia="宋体" w:cs="宋体"/>
          <w:color w:val="333333"/>
          <w:kern w:val="0"/>
          <w:sz w:val="24"/>
          <w:szCs w:val="24"/>
          <w:lang w:val="en-US" w:eastAsia="zh-CN"/>
        </w:rPr>
        <w:t>2.41</w:t>
      </w:r>
      <w:r>
        <w:rPr>
          <w:rFonts w:hint="eastAsia" w:ascii="宋体" w:hAnsi="宋体" w:eastAsia="宋体" w:cs="宋体"/>
          <w:color w:val="333333"/>
          <w:kern w:val="0"/>
          <w:sz w:val="24"/>
          <w:szCs w:val="24"/>
        </w:rPr>
        <w:t>‰。</w:t>
      </w:r>
    </w:p>
    <w:p w14:paraId="087A19F0">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就业 </w:t>
      </w:r>
    </w:p>
    <w:p w14:paraId="188082B6">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实现城镇新增就业3559人，农村劳动力转移就业7.38万人，促进高校毕业生择蛟留蛟就业554人，域外高校吉林市籍应届毕业生回蛟就业80人，“零就业”家庭保持动态为零，开展重点群体职业技能培训4000人次。 </w:t>
      </w:r>
    </w:p>
    <w:p w14:paraId="2FC0A615">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发放求职创业补贴、就业见习补贴61.8万元；发放灵活就业人员社会保险补贴2300万元。推进肉牛养殖创业担保贷款项目，发放农户肉牛养殖专项贷款6000万元。 </w:t>
      </w:r>
    </w:p>
    <w:p w14:paraId="78F516BF">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新建就业扶贫车间8个，累计建设14个农民工等人员返乡创业基地和1个高校毕业生创业就业实训中心，614名创业者进入农民工等人员返乡创业基地创业，累计吸纳和带动就业1671人。4名高校毕业生进入就业创业实训中心创业就业。 </w:t>
      </w:r>
    </w:p>
    <w:p w14:paraId="3D1326A0">
      <w:pPr>
        <w:widowControl/>
        <w:shd w:val="clear" w:color="auto" w:fill="FFFFFF"/>
        <w:spacing w:line="480" w:lineRule="auto"/>
        <w:ind w:firstLine="48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生活与保障</w:t>
      </w:r>
      <w:r>
        <w:rPr>
          <w:rFonts w:hint="eastAsia" w:ascii="宋体" w:hAnsi="宋体" w:eastAsia="宋体" w:cs="宋体"/>
          <w:color w:val="333333"/>
          <w:kern w:val="0"/>
          <w:sz w:val="24"/>
          <w:szCs w:val="24"/>
        </w:rPr>
        <w:t> </w:t>
      </w:r>
    </w:p>
    <w:p w14:paraId="18519C2F">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全年城镇居民人均可支配收入</w:t>
      </w:r>
      <w:r>
        <w:rPr>
          <w:rFonts w:hint="eastAsia" w:ascii="宋体" w:hAnsi="宋体" w:eastAsia="宋体" w:cs="宋体"/>
          <w:color w:val="333333"/>
          <w:kern w:val="0"/>
          <w:sz w:val="24"/>
          <w:szCs w:val="24"/>
          <w:lang w:val="en-US" w:eastAsia="zh-CN"/>
        </w:rPr>
        <w:t>31619</w:t>
      </w:r>
      <w:r>
        <w:rPr>
          <w:rFonts w:hint="eastAsia" w:ascii="宋体" w:hAnsi="宋体" w:eastAsia="宋体" w:cs="宋体"/>
          <w:color w:val="333333"/>
          <w:kern w:val="0"/>
          <w:sz w:val="24"/>
          <w:szCs w:val="24"/>
        </w:rPr>
        <w:t>元，增长</w:t>
      </w:r>
      <w:r>
        <w:rPr>
          <w:rFonts w:hint="eastAsia" w:ascii="宋体" w:hAnsi="宋体" w:eastAsia="宋体" w:cs="宋体"/>
          <w:color w:val="333333"/>
          <w:kern w:val="0"/>
          <w:sz w:val="24"/>
          <w:szCs w:val="24"/>
          <w:lang w:val="en-US" w:eastAsia="zh-CN"/>
        </w:rPr>
        <w:t>5.8</w:t>
      </w:r>
      <w:r>
        <w:rPr>
          <w:rFonts w:hint="eastAsia" w:ascii="宋体" w:hAnsi="宋体" w:eastAsia="宋体" w:cs="宋体"/>
          <w:color w:val="333333"/>
          <w:kern w:val="0"/>
          <w:sz w:val="24"/>
          <w:szCs w:val="24"/>
        </w:rPr>
        <w:t>%。农村居民人均可支配收入</w:t>
      </w:r>
      <w:r>
        <w:rPr>
          <w:rFonts w:hint="eastAsia" w:ascii="宋体" w:hAnsi="宋体" w:eastAsia="宋体" w:cs="宋体"/>
          <w:color w:val="333333"/>
          <w:kern w:val="0"/>
          <w:sz w:val="24"/>
          <w:szCs w:val="24"/>
          <w:lang w:val="en-US" w:eastAsia="zh-CN"/>
        </w:rPr>
        <w:t>21280</w:t>
      </w:r>
      <w:r>
        <w:rPr>
          <w:rFonts w:hint="eastAsia" w:ascii="宋体" w:hAnsi="宋体" w:eastAsia="宋体" w:cs="宋体"/>
          <w:color w:val="333333"/>
          <w:kern w:val="0"/>
          <w:sz w:val="24"/>
          <w:szCs w:val="24"/>
        </w:rPr>
        <w:t>元，增长</w:t>
      </w:r>
      <w:r>
        <w:rPr>
          <w:rFonts w:hint="eastAsia" w:ascii="宋体" w:hAnsi="宋体" w:eastAsia="宋体" w:cs="宋体"/>
          <w:color w:val="333333"/>
          <w:kern w:val="0"/>
          <w:sz w:val="24"/>
          <w:szCs w:val="24"/>
          <w:lang w:val="en-US" w:eastAsia="zh-CN"/>
        </w:rPr>
        <w:t>6.3</w:t>
      </w:r>
      <w:r>
        <w:rPr>
          <w:rFonts w:hint="eastAsia" w:ascii="宋体" w:hAnsi="宋体" w:eastAsia="宋体" w:cs="宋体"/>
          <w:color w:val="333333"/>
          <w:kern w:val="0"/>
          <w:sz w:val="24"/>
          <w:szCs w:val="24"/>
        </w:rPr>
        <w:t>%。 </w:t>
      </w:r>
    </w:p>
    <w:p w14:paraId="75EC675D">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末全市城乡居民基本养老保险覆盖总人数168832人。全市城镇职工基本养老保险覆盖总人数102191人，其中在职参保43817人。失业保险参保人数19399人。工伤保险参保人数25190人。 </w:t>
      </w:r>
    </w:p>
    <w:p w14:paraId="631B4207">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2024年蛟河市医疗保险参保人数29</w:t>
      </w:r>
      <w:r>
        <w:rPr>
          <w:rFonts w:hint="eastAsia" w:ascii="宋体" w:hAnsi="宋体" w:eastAsia="宋体" w:cs="宋体"/>
          <w:color w:val="333333"/>
          <w:kern w:val="0"/>
          <w:sz w:val="24"/>
          <w:szCs w:val="24"/>
          <w:lang w:val="en-US" w:eastAsia="zh-CN"/>
        </w:rPr>
        <w:t>.</w:t>
      </w:r>
      <w:r>
        <w:rPr>
          <w:rFonts w:hint="eastAsia" w:ascii="宋体" w:hAnsi="宋体" w:eastAsia="宋体" w:cs="宋体"/>
          <w:color w:val="333333"/>
          <w:kern w:val="0"/>
          <w:sz w:val="24"/>
          <w:szCs w:val="24"/>
        </w:rPr>
        <w:t>9</w:t>
      </w:r>
      <w:r>
        <w:rPr>
          <w:rFonts w:hint="eastAsia" w:ascii="宋体" w:hAnsi="宋体" w:eastAsia="宋体" w:cs="宋体"/>
          <w:color w:val="333333"/>
          <w:kern w:val="0"/>
          <w:sz w:val="24"/>
          <w:szCs w:val="24"/>
          <w:lang w:val="en-US" w:eastAsia="zh-CN"/>
        </w:rPr>
        <w:t>2万</w:t>
      </w:r>
      <w:r>
        <w:rPr>
          <w:rFonts w:hint="eastAsia" w:ascii="宋体" w:hAnsi="宋体" w:eastAsia="宋体" w:cs="宋体"/>
          <w:color w:val="333333"/>
          <w:kern w:val="0"/>
          <w:sz w:val="24"/>
          <w:szCs w:val="24"/>
        </w:rPr>
        <w:t>人，参保</w:t>
      </w:r>
      <w:r>
        <w:rPr>
          <w:rFonts w:hint="eastAsia" w:ascii="宋体" w:hAnsi="宋体" w:eastAsia="宋体" w:cs="宋体"/>
          <w:color w:val="333333"/>
          <w:kern w:val="0"/>
          <w:sz w:val="24"/>
          <w:szCs w:val="24"/>
          <w:lang w:val="en-US" w:eastAsia="zh-CN"/>
        </w:rPr>
        <w:t>覆盖</w:t>
      </w:r>
      <w:r>
        <w:rPr>
          <w:rFonts w:hint="eastAsia" w:ascii="宋体" w:hAnsi="宋体" w:eastAsia="宋体" w:cs="宋体"/>
          <w:color w:val="333333"/>
          <w:kern w:val="0"/>
          <w:sz w:val="24"/>
          <w:szCs w:val="24"/>
        </w:rPr>
        <w:t>率为94.3%。</w:t>
      </w:r>
      <w:r>
        <w:rPr>
          <w:rFonts w:hint="eastAsia" w:ascii="宋体" w:hAnsi="宋体" w:eastAsia="宋体" w:cs="宋体"/>
          <w:color w:val="333333"/>
          <w:kern w:val="0"/>
          <w:sz w:val="24"/>
          <w:szCs w:val="24"/>
          <w:lang w:val="en-US" w:eastAsia="zh-CN"/>
        </w:rPr>
        <w:t>全市基本医疗保险基金收入42153.33</w:t>
      </w:r>
      <w:r>
        <w:rPr>
          <w:rFonts w:hint="eastAsia" w:ascii="宋体" w:hAnsi="宋体" w:eastAsia="宋体" w:cs="宋体"/>
          <w:color w:val="333333"/>
          <w:kern w:val="0"/>
          <w:sz w:val="24"/>
          <w:szCs w:val="24"/>
        </w:rPr>
        <w:t>万元，支出</w:t>
      </w:r>
      <w:r>
        <w:rPr>
          <w:rFonts w:hint="eastAsia" w:ascii="宋体" w:hAnsi="宋体" w:eastAsia="宋体" w:cs="宋体"/>
          <w:color w:val="333333"/>
          <w:kern w:val="0"/>
          <w:sz w:val="24"/>
          <w:szCs w:val="24"/>
          <w:lang w:val="en-US" w:eastAsia="zh-CN"/>
        </w:rPr>
        <w:t>41906.23</w:t>
      </w:r>
      <w:r>
        <w:rPr>
          <w:rFonts w:hint="eastAsia" w:ascii="宋体" w:hAnsi="宋体" w:eastAsia="宋体" w:cs="宋体"/>
          <w:color w:val="333333"/>
          <w:kern w:val="0"/>
          <w:sz w:val="24"/>
          <w:szCs w:val="24"/>
        </w:rPr>
        <w:t>万元，</w:t>
      </w:r>
      <w:r>
        <w:rPr>
          <w:rFonts w:hint="eastAsia" w:ascii="宋体" w:hAnsi="宋体" w:eastAsia="宋体" w:cs="宋体"/>
          <w:color w:val="333333"/>
          <w:kern w:val="0"/>
          <w:sz w:val="24"/>
          <w:szCs w:val="24"/>
          <w:lang w:val="en-US" w:eastAsia="zh-CN"/>
        </w:rPr>
        <w:t>当年</w:t>
      </w:r>
      <w:r>
        <w:rPr>
          <w:rFonts w:hint="eastAsia" w:ascii="宋体" w:hAnsi="宋体" w:eastAsia="宋体" w:cs="宋体"/>
          <w:color w:val="333333"/>
          <w:kern w:val="0"/>
          <w:sz w:val="24"/>
          <w:szCs w:val="24"/>
        </w:rPr>
        <w:t>结余</w:t>
      </w:r>
      <w:r>
        <w:rPr>
          <w:rFonts w:hint="eastAsia" w:ascii="宋体" w:hAnsi="宋体" w:eastAsia="宋体" w:cs="宋体"/>
          <w:color w:val="333333"/>
          <w:kern w:val="0"/>
          <w:sz w:val="24"/>
          <w:szCs w:val="24"/>
          <w:lang w:val="en-US" w:eastAsia="zh-CN"/>
        </w:rPr>
        <w:t>247.1</w:t>
      </w:r>
      <w:r>
        <w:rPr>
          <w:rFonts w:hint="eastAsia" w:ascii="宋体" w:hAnsi="宋体" w:eastAsia="宋体" w:cs="宋体"/>
          <w:color w:val="333333"/>
          <w:kern w:val="0"/>
          <w:sz w:val="24"/>
          <w:szCs w:val="24"/>
        </w:rPr>
        <w:t>万元</w:t>
      </w:r>
      <w:r>
        <w:rPr>
          <w:rFonts w:hint="eastAsia" w:ascii="宋体" w:hAnsi="宋体" w:eastAsia="宋体" w:cs="宋体"/>
          <w:color w:val="333333"/>
          <w:kern w:val="0"/>
          <w:sz w:val="24"/>
          <w:szCs w:val="24"/>
          <w:lang w:val="en-US" w:eastAsia="zh-CN"/>
        </w:rPr>
        <w:t>。</w:t>
      </w:r>
    </w:p>
    <w:p w14:paraId="3E759708">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全市</w:t>
      </w:r>
      <w:r>
        <w:rPr>
          <w:rFonts w:hint="eastAsia" w:ascii="宋体" w:hAnsi="宋体" w:eastAsia="宋体" w:cs="宋体"/>
          <w:color w:val="333333"/>
          <w:kern w:val="0"/>
          <w:sz w:val="24"/>
          <w:szCs w:val="24"/>
          <w:lang w:val="en-US" w:eastAsia="zh-CN"/>
        </w:rPr>
        <w:t>0.9</w:t>
      </w:r>
      <w:r>
        <w:rPr>
          <w:rFonts w:hint="eastAsia" w:ascii="宋体" w:hAnsi="宋体" w:eastAsia="宋体" w:cs="宋体"/>
          <w:color w:val="333333"/>
          <w:kern w:val="0"/>
          <w:sz w:val="24"/>
          <w:szCs w:val="24"/>
        </w:rPr>
        <w:t>万人享受最低生活保障，其中城镇</w:t>
      </w:r>
      <w:r>
        <w:rPr>
          <w:rFonts w:hint="eastAsia" w:ascii="宋体" w:hAnsi="宋体" w:eastAsia="宋体" w:cs="宋体"/>
          <w:color w:val="333333"/>
          <w:kern w:val="0"/>
          <w:sz w:val="24"/>
          <w:szCs w:val="24"/>
          <w:lang w:val="en-US" w:eastAsia="zh-CN"/>
        </w:rPr>
        <w:t>0.44</w:t>
      </w:r>
      <w:r>
        <w:rPr>
          <w:rFonts w:hint="eastAsia" w:ascii="宋体" w:hAnsi="宋体" w:eastAsia="宋体" w:cs="宋体"/>
          <w:color w:val="333333"/>
          <w:kern w:val="0"/>
          <w:sz w:val="24"/>
          <w:szCs w:val="24"/>
        </w:rPr>
        <w:t>万人，农村</w:t>
      </w:r>
      <w:r>
        <w:rPr>
          <w:rFonts w:hint="eastAsia" w:ascii="宋体" w:hAnsi="宋体" w:eastAsia="宋体" w:cs="宋体"/>
          <w:color w:val="333333"/>
          <w:kern w:val="0"/>
          <w:sz w:val="24"/>
          <w:szCs w:val="24"/>
          <w:lang w:val="en-US" w:eastAsia="zh-CN"/>
        </w:rPr>
        <w:t>0.46</w:t>
      </w:r>
      <w:r>
        <w:rPr>
          <w:rFonts w:hint="eastAsia" w:ascii="宋体" w:hAnsi="宋体" w:eastAsia="宋体" w:cs="宋体"/>
          <w:color w:val="333333"/>
          <w:kern w:val="0"/>
          <w:sz w:val="24"/>
          <w:szCs w:val="24"/>
        </w:rPr>
        <w:t>万人。最低生活保障资金支出</w:t>
      </w:r>
      <w:r>
        <w:rPr>
          <w:rFonts w:hint="eastAsia" w:ascii="宋体" w:hAnsi="宋体" w:eastAsia="宋体" w:cs="宋体"/>
          <w:color w:val="333333"/>
          <w:kern w:val="0"/>
          <w:sz w:val="24"/>
          <w:szCs w:val="24"/>
          <w:lang w:val="en-US" w:eastAsia="zh-CN"/>
        </w:rPr>
        <w:t>0.3731</w:t>
      </w:r>
      <w:r>
        <w:rPr>
          <w:rFonts w:hint="eastAsia" w:ascii="宋体" w:hAnsi="宋体" w:eastAsia="宋体" w:cs="宋体"/>
          <w:color w:val="333333"/>
          <w:kern w:val="0"/>
          <w:sz w:val="24"/>
          <w:szCs w:val="24"/>
        </w:rPr>
        <w:t>亿元，其中城镇支出</w:t>
      </w:r>
      <w:r>
        <w:rPr>
          <w:rFonts w:hint="eastAsia" w:ascii="宋体" w:hAnsi="宋体" w:eastAsia="宋体" w:cs="宋体"/>
          <w:color w:val="333333"/>
          <w:kern w:val="0"/>
          <w:sz w:val="24"/>
          <w:szCs w:val="24"/>
          <w:lang w:val="en-US" w:eastAsia="zh-CN"/>
        </w:rPr>
        <w:t>0.2393</w:t>
      </w:r>
      <w:r>
        <w:rPr>
          <w:rFonts w:hint="eastAsia" w:ascii="宋体" w:hAnsi="宋体" w:eastAsia="宋体" w:cs="宋体"/>
          <w:color w:val="333333"/>
          <w:kern w:val="0"/>
          <w:sz w:val="24"/>
          <w:szCs w:val="24"/>
        </w:rPr>
        <w:t>亿元，农村支出</w:t>
      </w:r>
      <w:r>
        <w:rPr>
          <w:rFonts w:hint="eastAsia" w:ascii="宋体" w:hAnsi="宋体" w:eastAsia="宋体" w:cs="宋体"/>
          <w:color w:val="333333"/>
          <w:kern w:val="0"/>
          <w:sz w:val="24"/>
          <w:szCs w:val="24"/>
          <w:lang w:val="en-US" w:eastAsia="zh-CN"/>
        </w:rPr>
        <w:t>0.1338</w:t>
      </w:r>
      <w:r>
        <w:rPr>
          <w:rFonts w:hint="eastAsia" w:ascii="宋体" w:hAnsi="宋体" w:eastAsia="宋体" w:cs="宋体"/>
          <w:color w:val="333333"/>
          <w:kern w:val="0"/>
          <w:sz w:val="24"/>
          <w:szCs w:val="24"/>
        </w:rPr>
        <w:t>亿元。全市</w:t>
      </w:r>
      <w:r>
        <w:rPr>
          <w:rFonts w:hint="eastAsia" w:ascii="宋体" w:hAnsi="宋体" w:eastAsia="宋体" w:cs="宋体"/>
          <w:color w:val="333333"/>
          <w:kern w:val="0"/>
          <w:sz w:val="24"/>
          <w:szCs w:val="24"/>
          <w:lang w:val="en-US" w:eastAsia="zh-CN"/>
        </w:rPr>
        <w:t>0.1569</w:t>
      </w:r>
      <w:r>
        <w:rPr>
          <w:rFonts w:hint="eastAsia" w:ascii="宋体" w:hAnsi="宋体" w:eastAsia="宋体" w:cs="宋体"/>
          <w:color w:val="333333"/>
          <w:kern w:val="0"/>
          <w:sz w:val="24"/>
          <w:szCs w:val="24"/>
        </w:rPr>
        <w:t>万人享受特困人员救助供养，其中0.</w:t>
      </w:r>
      <w:r>
        <w:rPr>
          <w:rFonts w:hint="eastAsia" w:ascii="宋体" w:hAnsi="宋体" w:eastAsia="宋体" w:cs="宋体"/>
          <w:color w:val="333333"/>
          <w:kern w:val="0"/>
          <w:sz w:val="24"/>
          <w:szCs w:val="24"/>
          <w:lang w:val="en-US" w:eastAsia="zh-CN"/>
        </w:rPr>
        <w:t>1397</w:t>
      </w:r>
      <w:r>
        <w:rPr>
          <w:rFonts w:hint="eastAsia" w:ascii="宋体" w:hAnsi="宋体" w:eastAsia="宋体" w:cs="宋体"/>
          <w:color w:val="333333"/>
          <w:kern w:val="0"/>
          <w:sz w:val="24"/>
          <w:szCs w:val="24"/>
        </w:rPr>
        <w:t>万人享受城镇特困人员救助供养，</w:t>
      </w:r>
      <w:r>
        <w:rPr>
          <w:rFonts w:hint="eastAsia" w:ascii="宋体" w:hAnsi="宋体" w:eastAsia="宋体" w:cs="宋体"/>
          <w:color w:val="333333"/>
          <w:kern w:val="0"/>
          <w:sz w:val="24"/>
          <w:szCs w:val="24"/>
          <w:lang w:val="en-US" w:eastAsia="zh-CN"/>
        </w:rPr>
        <w:t>0.0172</w:t>
      </w:r>
      <w:r>
        <w:rPr>
          <w:rFonts w:hint="eastAsia" w:ascii="宋体" w:hAnsi="宋体" w:eastAsia="宋体" w:cs="宋体"/>
          <w:color w:val="333333"/>
          <w:kern w:val="0"/>
          <w:sz w:val="24"/>
          <w:szCs w:val="24"/>
        </w:rPr>
        <w:t>万人享受农村特困人员救助供养。特困人员救助供养资金支出</w:t>
      </w:r>
      <w:r>
        <w:rPr>
          <w:rFonts w:hint="eastAsia" w:ascii="宋体" w:hAnsi="宋体" w:eastAsia="宋体" w:cs="宋体"/>
          <w:color w:val="333333"/>
          <w:kern w:val="0"/>
          <w:sz w:val="24"/>
          <w:szCs w:val="24"/>
          <w:lang w:val="en-US" w:eastAsia="zh-CN"/>
        </w:rPr>
        <w:t>0.1679</w:t>
      </w:r>
      <w:r>
        <w:rPr>
          <w:rFonts w:hint="eastAsia" w:ascii="宋体" w:hAnsi="宋体" w:eastAsia="宋体" w:cs="宋体"/>
          <w:color w:val="333333"/>
          <w:kern w:val="0"/>
          <w:sz w:val="24"/>
          <w:szCs w:val="24"/>
        </w:rPr>
        <w:t>亿元，其中城镇特困人员救助供养资金支出</w:t>
      </w:r>
      <w:r>
        <w:rPr>
          <w:rFonts w:hint="eastAsia" w:ascii="宋体" w:hAnsi="宋体" w:eastAsia="宋体" w:cs="宋体"/>
          <w:color w:val="333333"/>
          <w:kern w:val="0"/>
          <w:sz w:val="24"/>
          <w:szCs w:val="24"/>
          <w:lang w:val="en-US" w:eastAsia="zh-CN"/>
        </w:rPr>
        <w:t>0.0210</w:t>
      </w:r>
      <w:r>
        <w:rPr>
          <w:rFonts w:hint="eastAsia" w:ascii="宋体" w:hAnsi="宋体" w:eastAsia="宋体" w:cs="宋体"/>
          <w:color w:val="333333"/>
          <w:kern w:val="0"/>
          <w:sz w:val="24"/>
          <w:szCs w:val="24"/>
        </w:rPr>
        <w:t>亿元，农村特困人员救助供养资金支出</w:t>
      </w:r>
      <w:r>
        <w:rPr>
          <w:rFonts w:hint="eastAsia" w:ascii="宋体" w:hAnsi="宋体" w:eastAsia="宋体" w:cs="宋体"/>
          <w:color w:val="333333"/>
          <w:kern w:val="0"/>
          <w:sz w:val="24"/>
          <w:szCs w:val="24"/>
          <w:lang w:val="en-US" w:eastAsia="zh-CN"/>
        </w:rPr>
        <w:t>0.1469</w:t>
      </w:r>
      <w:r>
        <w:rPr>
          <w:rFonts w:hint="eastAsia" w:ascii="宋体" w:hAnsi="宋体" w:eastAsia="宋体" w:cs="宋体"/>
          <w:color w:val="333333"/>
          <w:kern w:val="0"/>
          <w:sz w:val="24"/>
          <w:szCs w:val="24"/>
        </w:rPr>
        <w:t>亿元。</w:t>
      </w:r>
    </w:p>
    <w:p w14:paraId="7DC8A5DF">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年全市共登记管理社会团体</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个，民办非企业</w:t>
      </w:r>
      <w:r>
        <w:rPr>
          <w:rFonts w:hint="eastAsia" w:ascii="宋体" w:hAnsi="宋体" w:eastAsia="宋体" w:cs="宋体"/>
          <w:color w:val="333333"/>
          <w:kern w:val="0"/>
          <w:sz w:val="24"/>
          <w:szCs w:val="24"/>
          <w:lang w:val="en-US" w:eastAsia="zh-CN"/>
        </w:rPr>
        <w:t>35</w:t>
      </w:r>
      <w:r>
        <w:rPr>
          <w:rFonts w:hint="eastAsia" w:ascii="宋体" w:hAnsi="宋体" w:eastAsia="宋体" w:cs="宋体"/>
          <w:color w:val="333333"/>
          <w:kern w:val="0"/>
          <w:sz w:val="24"/>
          <w:szCs w:val="24"/>
        </w:rPr>
        <w:t>个。</w:t>
      </w:r>
    </w:p>
    <w:p w14:paraId="5EA5002E">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全年全市登记结婚</w:t>
      </w:r>
      <w:r>
        <w:rPr>
          <w:rFonts w:hint="eastAsia" w:ascii="宋体" w:hAnsi="宋体" w:eastAsia="宋体" w:cs="宋体"/>
          <w:color w:val="333333"/>
          <w:kern w:val="0"/>
          <w:sz w:val="24"/>
          <w:szCs w:val="24"/>
          <w:lang w:val="en-US" w:eastAsia="zh-CN"/>
        </w:rPr>
        <w:t>1115</w:t>
      </w:r>
      <w:r>
        <w:rPr>
          <w:rFonts w:hint="eastAsia" w:ascii="宋体" w:hAnsi="宋体" w:eastAsia="宋体" w:cs="宋体"/>
          <w:color w:val="333333"/>
          <w:kern w:val="0"/>
          <w:sz w:val="24"/>
          <w:szCs w:val="24"/>
        </w:rPr>
        <w:t>对，离婚</w:t>
      </w:r>
      <w:r>
        <w:rPr>
          <w:rFonts w:hint="eastAsia" w:ascii="宋体" w:hAnsi="宋体" w:eastAsia="宋体" w:cs="宋体"/>
          <w:color w:val="333333"/>
          <w:kern w:val="0"/>
          <w:sz w:val="24"/>
          <w:szCs w:val="24"/>
          <w:lang w:val="en-US" w:eastAsia="zh-CN"/>
        </w:rPr>
        <w:t>757</w:t>
      </w:r>
      <w:r>
        <w:rPr>
          <w:rFonts w:hint="eastAsia" w:ascii="宋体" w:hAnsi="宋体" w:eastAsia="宋体" w:cs="宋体"/>
          <w:color w:val="333333"/>
          <w:kern w:val="0"/>
          <w:sz w:val="24"/>
          <w:szCs w:val="24"/>
        </w:rPr>
        <w:t>对。救助流浪乞讨人员</w:t>
      </w:r>
      <w:r>
        <w:rPr>
          <w:rFonts w:hint="eastAsia" w:ascii="宋体" w:hAnsi="宋体" w:eastAsia="宋体" w:cs="宋体"/>
          <w:color w:val="333333"/>
          <w:kern w:val="0"/>
          <w:sz w:val="24"/>
          <w:szCs w:val="24"/>
          <w:lang w:val="en-US" w:eastAsia="zh-CN"/>
        </w:rPr>
        <w:t>50</w:t>
      </w:r>
      <w:r>
        <w:rPr>
          <w:rFonts w:hint="eastAsia" w:ascii="宋体" w:hAnsi="宋体" w:eastAsia="宋体" w:cs="宋体"/>
          <w:color w:val="333333"/>
          <w:kern w:val="0"/>
          <w:sz w:val="24"/>
          <w:szCs w:val="24"/>
        </w:rPr>
        <w:t>人次。 </w:t>
      </w:r>
    </w:p>
    <w:p w14:paraId="3670FDE1">
      <w:pPr>
        <w:widowControl/>
        <w:shd w:val="clear" w:color="auto" w:fill="FFFFFF"/>
        <w:spacing w:line="480" w:lineRule="auto"/>
        <w:ind w:firstLine="482" w:firstLineChars="200"/>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资源和环境 </w:t>
      </w:r>
    </w:p>
    <w:p w14:paraId="4D5B6961">
      <w:pPr>
        <w:widowControl/>
        <w:shd w:val="clear" w:color="auto" w:fill="FFFFFF"/>
        <w:spacing w:line="480" w:lineRule="auto"/>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全年全市环境空气优良天数3</w:t>
      </w:r>
      <w:r>
        <w:rPr>
          <w:rFonts w:hint="eastAsia" w:ascii="宋体" w:hAnsi="宋体" w:eastAsia="宋体" w:cs="宋体"/>
          <w:color w:val="333333"/>
          <w:kern w:val="0"/>
          <w:sz w:val="24"/>
          <w:szCs w:val="24"/>
          <w:lang w:val="en-US" w:eastAsia="zh-CN"/>
        </w:rPr>
        <w:t>33</w:t>
      </w:r>
      <w:r>
        <w:rPr>
          <w:rFonts w:hint="eastAsia" w:ascii="宋体" w:hAnsi="宋体" w:eastAsia="宋体" w:cs="宋体"/>
          <w:color w:val="333333"/>
          <w:kern w:val="0"/>
          <w:sz w:val="24"/>
          <w:szCs w:val="24"/>
        </w:rPr>
        <w:t>天，比上年增加</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天。优良天数比例</w:t>
      </w:r>
      <w:r>
        <w:rPr>
          <w:rFonts w:hint="eastAsia" w:ascii="宋体" w:hAnsi="宋体" w:eastAsia="宋体" w:cs="宋体"/>
          <w:color w:val="333333"/>
          <w:kern w:val="0"/>
          <w:sz w:val="24"/>
          <w:szCs w:val="24"/>
          <w:lang w:val="en-US" w:eastAsia="zh-CN"/>
        </w:rPr>
        <w:t>91.2</w:t>
      </w:r>
      <w:r>
        <w:rPr>
          <w:rFonts w:hint="eastAsia" w:ascii="宋体" w:hAnsi="宋体" w:eastAsia="宋体" w:cs="宋体"/>
          <w:color w:val="333333"/>
          <w:kern w:val="0"/>
          <w:sz w:val="24"/>
          <w:szCs w:val="24"/>
        </w:rPr>
        <w:t>%，比上年提高</w:t>
      </w:r>
      <w:r>
        <w:rPr>
          <w:rFonts w:hint="eastAsia" w:ascii="宋体" w:hAnsi="宋体" w:eastAsia="宋体" w:cs="宋体"/>
          <w:color w:val="333333"/>
          <w:kern w:val="0"/>
          <w:sz w:val="24"/>
          <w:szCs w:val="24"/>
          <w:lang w:val="en-US" w:eastAsia="zh-CN"/>
        </w:rPr>
        <w:t>1.7</w:t>
      </w:r>
      <w:r>
        <w:rPr>
          <w:rFonts w:hint="eastAsia" w:ascii="宋体" w:hAnsi="宋体" w:eastAsia="宋体" w:cs="宋体"/>
          <w:color w:val="333333"/>
          <w:kern w:val="0"/>
          <w:sz w:val="24"/>
          <w:szCs w:val="24"/>
        </w:rPr>
        <w:t>个百分点。主要污染物细颗粒物（PM2.5）年均浓度</w:t>
      </w:r>
      <w:r>
        <w:rPr>
          <w:rFonts w:hint="eastAsia" w:ascii="宋体" w:hAnsi="宋体" w:eastAsia="宋体" w:cs="宋体"/>
          <w:color w:val="333333"/>
          <w:kern w:val="0"/>
          <w:sz w:val="24"/>
          <w:szCs w:val="24"/>
          <w:lang w:val="en-US" w:eastAsia="zh-CN"/>
        </w:rPr>
        <w:t>29</w:t>
      </w:r>
      <w:r>
        <w:rPr>
          <w:rFonts w:hint="eastAsia" w:ascii="宋体" w:hAnsi="宋体" w:eastAsia="宋体" w:cs="宋体"/>
          <w:color w:val="333333"/>
          <w:kern w:val="0"/>
          <w:sz w:val="24"/>
          <w:szCs w:val="24"/>
        </w:rPr>
        <w:t>微克/立方米，六项污染物均达到国家二级标准。地表水</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个国考断面优良水体比例</w:t>
      </w:r>
      <w:r>
        <w:rPr>
          <w:rFonts w:hint="eastAsia" w:ascii="宋体" w:hAnsi="宋体" w:eastAsia="宋体" w:cs="宋体"/>
          <w:color w:val="333333"/>
          <w:kern w:val="0"/>
          <w:sz w:val="24"/>
          <w:szCs w:val="24"/>
          <w:lang w:val="en-US" w:eastAsia="zh-CN"/>
        </w:rPr>
        <w:t>100</w:t>
      </w:r>
      <w:r>
        <w:rPr>
          <w:rFonts w:hint="eastAsia" w:ascii="宋体" w:hAnsi="宋体" w:eastAsia="宋体" w:cs="宋体"/>
          <w:color w:val="333333"/>
          <w:kern w:val="0"/>
          <w:sz w:val="24"/>
          <w:szCs w:val="24"/>
        </w:rPr>
        <w:t>%。 </w:t>
      </w:r>
    </w:p>
    <w:p w14:paraId="50C6452B">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说明： </w:t>
      </w:r>
    </w:p>
    <w:p w14:paraId="0AB1F63B">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[1]本公报数据均为初步统计数。部分数据因四舍五入的原因，存在分项与合计不等的情况。 </w:t>
      </w:r>
    </w:p>
    <w:p w14:paraId="1EB71869">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[2]地区生产总值、三次产业及相关行业增加值绝对数按现价计算，增长速度按不变价格计算。 </w:t>
      </w:r>
    </w:p>
    <w:p w14:paraId="5C1071FE">
      <w:pPr>
        <w:widowControl/>
        <w:shd w:val="clear" w:color="auto" w:fill="FFFFFF"/>
        <w:spacing w:line="48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w:t>
      </w:r>
      <w:r>
        <w:rPr>
          <w:rFonts w:hint="eastAsia" w:ascii="宋体" w:hAnsi="宋体" w:eastAsia="宋体" w:cs="宋体"/>
          <w:color w:val="333333"/>
          <w:kern w:val="0"/>
          <w:sz w:val="24"/>
          <w:szCs w:val="24"/>
          <w:lang w:val="en-US" w:eastAsia="zh-CN"/>
        </w:rPr>
        <w:t>注：根据我国国民经济核算制度和第五次全国经济普查结果，2023年蛟河市地区生产总值修订为106.1亿元。</w:t>
      </w:r>
    </w:p>
    <w:p w14:paraId="670BE05C">
      <w:pPr>
        <w:widowControl/>
        <w:shd w:val="clear" w:color="auto" w:fill="FFFFFF"/>
        <w:spacing w:line="480" w:lineRule="auto"/>
        <w:jc w:val="left"/>
      </w:pPr>
      <w:r>
        <w:rPr>
          <w:rFonts w:hint="eastAsia" w:ascii="宋体" w:hAnsi="宋体" w:eastAsia="宋体" w:cs="宋体"/>
          <w:color w:val="333333"/>
          <w:kern w:val="0"/>
          <w:sz w:val="24"/>
          <w:szCs w:val="24"/>
        </w:rPr>
        <w:t>　　资料来源：本公报中财政数据来自市财政局；价格指数、粮食种植面积、粮食总产量、猪牛羊禽肉类总产量、城乡居民收支数据来自国家统计局</w:t>
      </w:r>
      <w:r>
        <w:rPr>
          <w:rFonts w:hint="eastAsia" w:ascii="宋体" w:hAnsi="宋体" w:eastAsia="宋体" w:cs="宋体"/>
          <w:color w:val="333333"/>
          <w:kern w:val="0"/>
          <w:sz w:val="24"/>
          <w:szCs w:val="24"/>
          <w:lang w:val="en-US" w:eastAsia="zh-CN"/>
        </w:rPr>
        <w:t>蛟河</w:t>
      </w:r>
      <w:r>
        <w:rPr>
          <w:rFonts w:hint="eastAsia" w:ascii="宋体" w:hAnsi="宋体" w:eastAsia="宋体" w:cs="宋体"/>
          <w:color w:val="333333"/>
          <w:kern w:val="0"/>
          <w:sz w:val="24"/>
          <w:szCs w:val="24"/>
        </w:rPr>
        <w:t>市调查队；公路里程、公路运输、水路运输数据来自市交通运输局;户籍人口</w:t>
      </w:r>
      <w:r>
        <w:rPr>
          <w:rFonts w:hint="eastAsia" w:ascii="宋体" w:hAnsi="宋体" w:eastAsia="宋体" w:cs="宋体"/>
          <w:color w:val="333333"/>
          <w:kern w:val="0"/>
          <w:sz w:val="24"/>
          <w:szCs w:val="24"/>
          <w:lang w:val="en-US" w:eastAsia="zh-CN"/>
        </w:rPr>
        <w:t>来</w:t>
      </w:r>
      <w:r>
        <w:rPr>
          <w:rFonts w:hint="eastAsia" w:ascii="宋体" w:hAnsi="宋体" w:eastAsia="宋体" w:cs="宋体"/>
          <w:color w:val="333333"/>
          <w:kern w:val="0"/>
          <w:sz w:val="24"/>
          <w:szCs w:val="24"/>
        </w:rPr>
        <w:t>自市公安局；金融类数据来自</w:t>
      </w:r>
      <w:r>
        <w:rPr>
          <w:rFonts w:hint="eastAsia" w:ascii="宋体" w:hAnsi="宋体" w:eastAsia="宋体" w:cs="宋体"/>
          <w:color w:val="333333"/>
          <w:kern w:val="0"/>
          <w:sz w:val="24"/>
          <w:szCs w:val="24"/>
          <w:lang w:val="en-US" w:eastAsia="zh-CN"/>
        </w:rPr>
        <w:t>市金融监管局</w:t>
      </w:r>
      <w:r>
        <w:rPr>
          <w:rFonts w:hint="eastAsia" w:ascii="宋体" w:hAnsi="宋体" w:eastAsia="宋体" w:cs="宋体"/>
          <w:color w:val="333333"/>
          <w:kern w:val="0"/>
          <w:sz w:val="24"/>
          <w:szCs w:val="24"/>
        </w:rPr>
        <w:t>；城镇新增就业、登记失业率、社会保障数据来自市人力资源和社会保障局；生活救助资金、城乡低保等数据来自市民政局；教育数据来自市教育局；卫生数据来自市卫生健康委员会；科研机构、科研成果、技术合同、专利等数据来自市</w:t>
      </w:r>
      <w:r>
        <w:rPr>
          <w:rFonts w:hint="eastAsia" w:ascii="宋体" w:hAnsi="宋体" w:eastAsia="宋体" w:cs="宋体"/>
          <w:color w:val="333333"/>
          <w:kern w:val="0"/>
          <w:sz w:val="24"/>
          <w:szCs w:val="24"/>
          <w:lang w:val="en-US" w:eastAsia="zh-CN"/>
        </w:rPr>
        <w:t>工业和信息</w:t>
      </w:r>
      <w:r>
        <w:rPr>
          <w:rFonts w:hint="eastAsia" w:ascii="宋体" w:hAnsi="宋体" w:eastAsia="宋体" w:cs="宋体"/>
          <w:color w:val="333333"/>
          <w:kern w:val="0"/>
          <w:sz w:val="24"/>
          <w:szCs w:val="24"/>
        </w:rPr>
        <w:t>局；旅游、文化数据来自文化广播电视和旅游局；体育数据来自市体育局；环境监测数据来自市生态环境局；城市建设和市政公用事业数据来自市住建局；基本养老保险数据来自市社会保险事业管理局；基本医疗保险数据来自市医疗保障局；其他数据均来自市统计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3806"/>
    <w:rsid w:val="004E3806"/>
    <w:rsid w:val="00867FFD"/>
    <w:rsid w:val="00FD4EAD"/>
    <w:rsid w:val="03035904"/>
    <w:rsid w:val="050B0AD1"/>
    <w:rsid w:val="07703E1E"/>
    <w:rsid w:val="08D4742C"/>
    <w:rsid w:val="092C1016"/>
    <w:rsid w:val="0B0E4E77"/>
    <w:rsid w:val="0BC814CA"/>
    <w:rsid w:val="0E99714E"/>
    <w:rsid w:val="17411F8C"/>
    <w:rsid w:val="18AF5EB0"/>
    <w:rsid w:val="1AB8482E"/>
    <w:rsid w:val="1D8D2573"/>
    <w:rsid w:val="20C95E40"/>
    <w:rsid w:val="21176B77"/>
    <w:rsid w:val="21976912"/>
    <w:rsid w:val="22AD2D70"/>
    <w:rsid w:val="234B6811"/>
    <w:rsid w:val="239B126F"/>
    <w:rsid w:val="242A7EDA"/>
    <w:rsid w:val="371F3DE4"/>
    <w:rsid w:val="39CD2D1F"/>
    <w:rsid w:val="3F291116"/>
    <w:rsid w:val="4A2F038B"/>
    <w:rsid w:val="4A7A19ED"/>
    <w:rsid w:val="4BD50ABE"/>
    <w:rsid w:val="4E667E20"/>
    <w:rsid w:val="528301F7"/>
    <w:rsid w:val="60805823"/>
    <w:rsid w:val="64C23CA2"/>
    <w:rsid w:val="68587EB1"/>
    <w:rsid w:val="685F7043"/>
    <w:rsid w:val="6AE64D48"/>
    <w:rsid w:val="6B925922"/>
    <w:rsid w:val="6CA87DC1"/>
    <w:rsid w:val="71FB09CF"/>
    <w:rsid w:val="74393A30"/>
    <w:rsid w:val="77BE6754"/>
    <w:rsid w:val="77E344AB"/>
    <w:rsid w:val="7996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24.6.18\&#20844;&#25253;\2024&#20844;&#2525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4.6.18\&#20844;&#25253;\2024&#20844;&#2525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4.6.18\&#20844;&#25253;\2024&#20844;&#2525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4.6.18\&#20844;&#25253;\2024&#20844;&#25253;.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24.6.18\&#20844;&#25253;\2024&#20844;&#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066418373681"/>
          <c:y val="0.0276066058664037"/>
          <c:w val="0.838423339540658"/>
          <c:h val="0.714419521814148"/>
        </c:manualLayout>
      </c:layout>
      <c:barChart>
        <c:barDir val="col"/>
        <c:grouping val="clustered"/>
        <c:varyColors val="0"/>
        <c:ser>
          <c:idx val="0"/>
          <c:order val="0"/>
          <c:tx>
            <c:strRef>
              <c:f>[2024公报.xlsx]Sheet1!$B$31</c:f>
              <c:strCache>
                <c:ptCount val="1"/>
                <c:pt idx="0">
                  <c:v>总量（亿元）</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97.4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a:t>
                    </a:r>
                    <a:r>
                      <a:rPr lang="en-US" altLang="zh-CN"/>
                      <a:t>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a:t>
                    </a:r>
                    <a:r>
                      <a:rPr lang="en-US" altLang="zh-CN"/>
                      <a:t>1.9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0208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[2024公报.xlsx]Sheet1!$A$32:$A$36</c:f>
              <c:strCache>
                <c:ptCount val="5"/>
                <c:pt idx="0">
                  <c:v>2020年</c:v>
                </c:pt>
                <c:pt idx="1">
                  <c:v>2021年</c:v>
                </c:pt>
                <c:pt idx="2">
                  <c:v>2022年</c:v>
                </c:pt>
                <c:pt idx="3">
                  <c:v>2023年</c:v>
                </c:pt>
                <c:pt idx="4">
                  <c:v>2024年</c:v>
                </c:pt>
              </c:strCache>
            </c:strRef>
          </c:cat>
          <c:val>
            <c:numRef>
              <c:f>[2024公报.xlsx]Sheet1!$B$32:$B$36</c:f>
              <c:numCache>
                <c:formatCode>General</c:formatCode>
                <c:ptCount val="5"/>
                <c:pt idx="0">
                  <c:v>96.1</c:v>
                </c:pt>
                <c:pt idx="1">
                  <c:v>101.5</c:v>
                </c:pt>
                <c:pt idx="2">
                  <c:v>100.1</c:v>
                </c:pt>
                <c:pt idx="3">
                  <c:v>106.1</c:v>
                </c:pt>
                <c:pt idx="4">
                  <c:v>106.6</c:v>
                </c:pt>
              </c:numCache>
            </c:numRef>
          </c:val>
        </c:ser>
        <c:dLbls>
          <c:showLegendKey val="0"/>
          <c:showVal val="1"/>
          <c:showCatName val="0"/>
          <c:showSerName val="0"/>
          <c:showPercent val="0"/>
          <c:showBubbleSize val="0"/>
        </c:dLbls>
        <c:gapWidth val="219"/>
        <c:overlap val="0"/>
        <c:axId val="448074256"/>
        <c:axId val="241418241"/>
      </c:barChart>
      <c:lineChart>
        <c:grouping val="standard"/>
        <c:varyColors val="0"/>
        <c:ser>
          <c:idx val="1"/>
          <c:order val="1"/>
          <c:tx>
            <c:strRef>
              <c:f>[2024公报.xlsx]Sheet1!$C$31</c:f>
              <c:strCache>
                <c:ptCount val="1"/>
                <c:pt idx="0">
                  <c:v>增速（%）</c:v>
                </c:pt>
              </c:strCache>
            </c:strRef>
          </c:tx>
          <c:spPr>
            <a:ln w="28575" cap="rnd">
              <a:solidFill>
                <a:schemeClr val="accent2"/>
              </a:solidFill>
              <a:round/>
            </a:ln>
            <a:effectLst/>
          </c:spPr>
          <c:marker>
            <c:symbol val="none"/>
          </c:marker>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7</a:t>
                    </a:r>
                    <a:endParaRPr lang="en-US" altLang="zh-CN"/>
                  </a:p>
                </c:rich>
              </c:tx>
              <c:dLblPos val="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a:t>
                    </a:r>
                    <a:r>
                      <a:rPr lang="en-US" altLang="zh-CN"/>
                      <a:t>4</a:t>
                    </a:r>
                    <a:endParaRPr lang="en-US" altLang="zh-CN"/>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[2024公报.xlsx]Sheet1!$A$32:$A$36</c:f>
              <c:strCache>
                <c:ptCount val="5"/>
                <c:pt idx="0">
                  <c:v>2020年</c:v>
                </c:pt>
                <c:pt idx="1">
                  <c:v>2021年</c:v>
                </c:pt>
                <c:pt idx="2">
                  <c:v>2022年</c:v>
                </c:pt>
                <c:pt idx="3">
                  <c:v>2023年</c:v>
                </c:pt>
                <c:pt idx="4">
                  <c:v>2024年</c:v>
                </c:pt>
              </c:strCache>
            </c:strRef>
          </c:cat>
          <c:val>
            <c:numRef>
              <c:f>[2024公报.xlsx]Sheet1!$C$32:$C$36</c:f>
              <c:numCache>
                <c:formatCode>General</c:formatCode>
                <c:ptCount val="5"/>
                <c:pt idx="0">
                  <c:v>2.6</c:v>
                </c:pt>
                <c:pt idx="1">
                  <c:v>7</c:v>
                </c:pt>
                <c:pt idx="2">
                  <c:v>-2.3</c:v>
                </c:pt>
                <c:pt idx="3">
                  <c:v>7.2</c:v>
                </c:pt>
                <c:pt idx="4">
                  <c:v>4.7</c:v>
                </c:pt>
              </c:numCache>
            </c:numRef>
          </c:val>
          <c:smooth val="0"/>
        </c:ser>
        <c:dLbls>
          <c:showLegendKey val="0"/>
          <c:showVal val="1"/>
          <c:showCatName val="0"/>
          <c:showSerName val="0"/>
          <c:showPercent val="0"/>
          <c:showBubbleSize val="0"/>
        </c:dLbls>
        <c:marker val="0"/>
        <c:smooth val="0"/>
        <c:axId val="398978833"/>
        <c:axId val="721451208"/>
      </c:lineChart>
      <c:catAx>
        <c:axId val="4480742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418241"/>
        <c:crosses val="autoZero"/>
        <c:auto val="1"/>
        <c:lblAlgn val="ctr"/>
        <c:lblOffset val="100"/>
        <c:noMultiLvlLbl val="0"/>
      </c:catAx>
      <c:valAx>
        <c:axId val="241418241"/>
        <c:scaling>
          <c:orientation val="minMax"/>
          <c:max val="200"/>
        </c:scaling>
        <c:delete val="0"/>
        <c:axPos val="l"/>
        <c:numFmt formatCode="General" sourceLinked="1"/>
        <c:majorTickMark val="none"/>
        <c:minorTickMark val="none"/>
        <c:tickLblPos val="nextTo"/>
        <c:spPr>
          <a:noFill/>
          <a:ln w="12700" cmpd="sng">
            <a:solidFill>
              <a:schemeClr val="bg2"/>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074256"/>
        <c:crosses val="autoZero"/>
        <c:crossBetween val="between"/>
        <c:majorUnit val="50"/>
      </c:valAx>
      <c:catAx>
        <c:axId val="39897883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451208"/>
        <c:crosses val="autoZero"/>
        <c:auto val="1"/>
        <c:lblAlgn val="ctr"/>
        <c:lblOffset val="100"/>
        <c:noMultiLvlLbl val="0"/>
      </c:catAx>
      <c:valAx>
        <c:axId val="721451208"/>
        <c:scaling>
          <c:orientation val="minMax"/>
          <c:min val="-20"/>
        </c:scaling>
        <c:delete val="0"/>
        <c:axPos val="r"/>
        <c:numFmt formatCode="General" sourceLinked="1"/>
        <c:majorTickMark val="none"/>
        <c:minorTickMark val="none"/>
        <c:tickLblPos val="nextTo"/>
        <c:spPr>
          <a:noFill/>
          <a:ln>
            <a:solidFill>
              <a:schemeClr val="bg2"/>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978833"/>
        <c:crosses val="max"/>
        <c:crossBetween val="between"/>
        <c:majorUnit val="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9edf47-bbbf-4e2e-b78f-3e37fa5c536c}"/>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[2024公报.xlsx]Sheet1!$B$1</c:f>
              <c:strCache>
                <c:ptCount val="1"/>
                <c:pt idx="0">
                  <c:v>第一产业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[2024公报.xlsx]Sheet1!$A$2:$A$6</c:f>
              <c:numCache>
                <c:formatCode>General</c:formatCode>
                <c:ptCount val="5"/>
                <c:pt idx="0">
                  <c:v>2020</c:v>
                </c:pt>
                <c:pt idx="1">
                  <c:v>2021</c:v>
                </c:pt>
                <c:pt idx="2">
                  <c:v>2022</c:v>
                </c:pt>
                <c:pt idx="3">
                  <c:v>2023</c:v>
                </c:pt>
                <c:pt idx="4">
                  <c:v>2024</c:v>
                </c:pt>
              </c:numCache>
            </c:numRef>
          </c:cat>
          <c:val>
            <c:numRef>
              <c:f>[2024公报.xlsx]Sheet1!$B$2:$B$6</c:f>
              <c:numCache>
                <c:formatCode>0.0_ </c:formatCode>
                <c:ptCount val="5"/>
                <c:pt idx="0">
                  <c:v>28.6</c:v>
                </c:pt>
                <c:pt idx="1">
                  <c:v>27.5391216090632</c:v>
                </c:pt>
                <c:pt idx="2">
                  <c:v>30.126281588802</c:v>
                </c:pt>
                <c:pt idx="3">
                  <c:v>28.6166466303656</c:v>
                </c:pt>
                <c:pt idx="4">
                  <c:v>27.9</c:v>
                </c:pt>
              </c:numCache>
            </c:numRef>
          </c:val>
        </c:ser>
        <c:ser>
          <c:idx val="1"/>
          <c:order val="1"/>
          <c:tx>
            <c:strRef>
              <c:f>[2024公报.xlsx]Sheet1!$C$1</c:f>
              <c:strCache>
                <c:ptCount val="1"/>
                <c:pt idx="0">
                  <c:v>第二产业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[2024公报.xlsx]Sheet1!$A$2:$A$6</c:f>
              <c:numCache>
                <c:formatCode>General</c:formatCode>
                <c:ptCount val="5"/>
                <c:pt idx="0">
                  <c:v>2020</c:v>
                </c:pt>
                <c:pt idx="1">
                  <c:v>2021</c:v>
                </c:pt>
                <c:pt idx="2">
                  <c:v>2022</c:v>
                </c:pt>
                <c:pt idx="3">
                  <c:v>2023</c:v>
                </c:pt>
                <c:pt idx="4">
                  <c:v>2024</c:v>
                </c:pt>
              </c:numCache>
            </c:numRef>
          </c:cat>
          <c:val>
            <c:numRef>
              <c:f>[2024公报.xlsx]Sheet1!$C$2:$C$6</c:f>
              <c:numCache>
                <c:formatCode>0.0_ </c:formatCode>
                <c:ptCount val="5"/>
                <c:pt idx="0">
                  <c:v>18.8</c:v>
                </c:pt>
                <c:pt idx="1" c:formatCode="General">
                  <c:v>19.4</c:v>
                </c:pt>
                <c:pt idx="2" c:formatCode="General">
                  <c:v>17.5</c:v>
                </c:pt>
                <c:pt idx="3">
                  <c:v>18.3</c:v>
                </c:pt>
                <c:pt idx="4">
                  <c:v>19.6</c:v>
                </c:pt>
              </c:numCache>
            </c:numRef>
          </c:val>
        </c:ser>
        <c:ser>
          <c:idx val="2"/>
          <c:order val="2"/>
          <c:tx>
            <c:strRef>
              <c:f>[2024公报.xlsx]Sheet1!$D$1</c:f>
              <c:strCache>
                <c:ptCount val="1"/>
                <c:pt idx="0">
                  <c:v>第三产业</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[2024公报.xlsx]Sheet1!$A$2:$A$6</c:f>
              <c:numCache>
                <c:formatCode>General</c:formatCode>
                <c:ptCount val="5"/>
                <c:pt idx="0">
                  <c:v>2020</c:v>
                </c:pt>
                <c:pt idx="1">
                  <c:v>2021</c:v>
                </c:pt>
                <c:pt idx="2">
                  <c:v>2022</c:v>
                </c:pt>
                <c:pt idx="3">
                  <c:v>2023</c:v>
                </c:pt>
                <c:pt idx="4">
                  <c:v>2024</c:v>
                </c:pt>
              </c:numCache>
            </c:numRef>
          </c:cat>
          <c:val>
            <c:numRef>
              <c:f>[2024公报.xlsx]Sheet1!$D$2:$D$6</c:f>
              <c:numCache>
                <c:formatCode>0.0_ </c:formatCode>
                <c:ptCount val="5"/>
                <c:pt idx="0">
                  <c:v>52.6</c:v>
                </c:pt>
                <c:pt idx="1">
                  <c:v>53.1</c:v>
                </c:pt>
                <c:pt idx="2">
                  <c:v>52.4100495212293</c:v>
                </c:pt>
                <c:pt idx="3">
                  <c:v>53.1</c:v>
                </c:pt>
                <c:pt idx="4">
                  <c:v>52.5</c:v>
                </c:pt>
              </c:numCache>
            </c:numRef>
          </c:val>
        </c:ser>
        <c:dLbls>
          <c:showLegendKey val="0"/>
          <c:showVal val="1"/>
          <c:showCatName val="0"/>
          <c:showSerName val="0"/>
          <c:showPercent val="0"/>
          <c:showBubbleSize val="0"/>
        </c:dLbls>
        <c:gapWidth val="150"/>
        <c:overlap val="100"/>
        <c:axId val="66187264"/>
        <c:axId val="66188800"/>
      </c:barChart>
      <c:catAx>
        <c:axId val="6618726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188800"/>
        <c:crosses val="autoZero"/>
        <c:auto val="1"/>
        <c:lblAlgn val="ctr"/>
        <c:lblOffset val="100"/>
        <c:noMultiLvlLbl val="0"/>
      </c:catAx>
      <c:valAx>
        <c:axId val="66188800"/>
        <c:scaling>
          <c:orientation val="minMax"/>
          <c:max val="100"/>
        </c:scaling>
        <c:delete val="0"/>
        <c:axPos val="b"/>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1872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35c3593-d795-4c14-9f26-15c626b2d7c9}"/>
      </c:ext>
    </c:extLst>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[2024公报.xlsx]财政!$F$1</c:f>
              <c:strCache>
                <c:ptCount val="1"/>
                <c:pt idx="0">
                  <c:v>财政收入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[2024公报.xlsx]财政!$E$2:$E$6</c:f>
              <c:strCache>
                <c:ptCount val="5"/>
                <c:pt idx="0">
                  <c:v>2020年</c:v>
                </c:pt>
                <c:pt idx="1">
                  <c:v>2021年</c:v>
                </c:pt>
                <c:pt idx="2">
                  <c:v>2022年</c:v>
                </c:pt>
                <c:pt idx="3">
                  <c:v>2023年</c:v>
                </c:pt>
                <c:pt idx="4">
                  <c:v>2024年</c:v>
                </c:pt>
              </c:strCache>
            </c:strRef>
          </c:cat>
          <c:val>
            <c:numRef>
              <c:f>[2024公报.xlsx]财政!$F$2:$F$6</c:f>
              <c:numCache>
                <c:formatCode>General</c:formatCode>
                <c:ptCount val="5"/>
                <c:pt idx="0">
                  <c:v>6.65</c:v>
                </c:pt>
                <c:pt idx="1">
                  <c:v>7.22</c:v>
                </c:pt>
                <c:pt idx="2">
                  <c:v>5.2</c:v>
                </c:pt>
                <c:pt idx="3">
                  <c:v>5.04</c:v>
                </c:pt>
                <c:pt idx="4">
                  <c:v>5.3</c:v>
                </c:pt>
              </c:numCache>
            </c:numRef>
          </c:val>
        </c:ser>
        <c:ser>
          <c:idx val="1"/>
          <c:order val="1"/>
          <c:tx>
            <c:strRef>
              <c:f>[2024公报.xlsx]财政!$G$1</c:f>
              <c:strCache>
                <c:ptCount val="1"/>
                <c:pt idx="0">
                  <c:v>财政支出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[2024公报.xlsx]财政!$E$2:$E$6</c:f>
              <c:strCache>
                <c:ptCount val="5"/>
                <c:pt idx="0">
                  <c:v>2020年</c:v>
                </c:pt>
                <c:pt idx="1">
                  <c:v>2021年</c:v>
                </c:pt>
                <c:pt idx="2">
                  <c:v>2022年</c:v>
                </c:pt>
                <c:pt idx="3">
                  <c:v>2023年</c:v>
                </c:pt>
                <c:pt idx="4">
                  <c:v>2024年</c:v>
                </c:pt>
              </c:strCache>
            </c:strRef>
          </c:cat>
          <c:val>
            <c:numRef>
              <c:f>[2024公报.xlsx]财政!$G$2:$G$6</c:f>
              <c:numCache>
                <c:formatCode>General</c:formatCode>
                <c:ptCount val="5"/>
                <c:pt idx="0">
                  <c:v>42.37</c:v>
                </c:pt>
                <c:pt idx="1">
                  <c:v>29.26</c:v>
                </c:pt>
                <c:pt idx="2">
                  <c:v>35.56</c:v>
                </c:pt>
                <c:pt idx="3">
                  <c:v>35.48</c:v>
                </c:pt>
                <c:pt idx="4">
                  <c:v>35.52</c:v>
                </c:pt>
              </c:numCache>
            </c:numRef>
          </c:val>
        </c:ser>
        <c:dLbls>
          <c:showLegendKey val="0"/>
          <c:showVal val="1"/>
          <c:showCatName val="0"/>
          <c:showSerName val="0"/>
          <c:showPercent val="0"/>
          <c:showBubbleSize val="0"/>
        </c:dLbls>
        <c:gapWidth val="219"/>
        <c:overlap val="-27"/>
        <c:axId val="429025762"/>
        <c:axId val="877894201"/>
      </c:barChart>
      <c:catAx>
        <c:axId val="4290257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894201"/>
        <c:crosses val="autoZero"/>
        <c:auto val="1"/>
        <c:lblAlgn val="ctr"/>
        <c:lblOffset val="100"/>
        <c:noMultiLvlLbl val="0"/>
      </c:catAx>
      <c:valAx>
        <c:axId val="877894201"/>
        <c:scaling>
          <c:orientation val="minMax"/>
        </c:scaling>
        <c:delete val="0"/>
        <c:axPos val="l"/>
        <c:numFmt formatCode="General" sourceLinked="1"/>
        <c:majorTickMark val="none"/>
        <c:minorTickMark val="none"/>
        <c:tickLblPos val="nextTo"/>
        <c:spPr>
          <a:noFill/>
          <a:ln>
            <a:solidFill>
              <a:schemeClr val="bg2"/>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025762"/>
        <c:crosses val="autoZero"/>
        <c:crossBetween val="between"/>
        <c:majorUnit val="1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575ddf-112e-4d5d-8e8d-7f42fea477c7}"/>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0.0205263157894737"/>
                  <c:y val="-0.05833333333333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[2024公报.xlsx]价格指数!$A$2:$A$6</c:f>
              <c:strCache>
                <c:ptCount val="5"/>
                <c:pt idx="0">
                  <c:v>2020年</c:v>
                </c:pt>
                <c:pt idx="1">
                  <c:v>2021年</c:v>
                </c:pt>
                <c:pt idx="2">
                  <c:v>2022年</c:v>
                </c:pt>
                <c:pt idx="3">
                  <c:v>2023年</c:v>
                </c:pt>
                <c:pt idx="4">
                  <c:v>2024年</c:v>
                </c:pt>
              </c:strCache>
            </c:strRef>
          </c:cat>
          <c:val>
            <c:numRef>
              <c:f>[2024公报.xlsx]价格指数!$B$2:$B$6</c:f>
              <c:numCache>
                <c:formatCode>General</c:formatCode>
                <c:ptCount val="5"/>
                <c:pt idx="0">
                  <c:v>102.9</c:v>
                </c:pt>
                <c:pt idx="1">
                  <c:v>100.4</c:v>
                </c:pt>
                <c:pt idx="2">
                  <c:v>102.8</c:v>
                </c:pt>
                <c:pt idx="3">
                  <c:v>99.7</c:v>
                </c:pt>
                <c:pt idx="4">
                  <c:v>99.9</c:v>
                </c:pt>
              </c:numCache>
            </c:numRef>
          </c:val>
          <c:smooth val="0"/>
        </c:ser>
        <c:dLbls>
          <c:showLegendKey val="0"/>
          <c:showVal val="1"/>
          <c:showCatName val="0"/>
          <c:showSerName val="0"/>
          <c:showPercent val="0"/>
          <c:showBubbleSize val="0"/>
        </c:dLbls>
        <c:marker val="1"/>
        <c:smooth val="0"/>
        <c:axId val="718614166"/>
        <c:axId val="236454432"/>
      </c:lineChart>
      <c:catAx>
        <c:axId val="7186141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454432"/>
        <c:crosses val="autoZero"/>
        <c:auto val="1"/>
        <c:lblAlgn val="ctr"/>
        <c:lblOffset val="100"/>
        <c:noMultiLvlLbl val="0"/>
      </c:catAx>
      <c:valAx>
        <c:axId val="236454432"/>
        <c:scaling>
          <c:orientation val="minMax"/>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614166"/>
        <c:crosses val="autoZero"/>
        <c:crossBetween val="between"/>
        <c:majorUnit val="2"/>
      </c:valAx>
      <c:spPr>
        <a:noFill/>
        <a:ln>
          <a:noFill/>
        </a:ln>
        <a:effectLst/>
      </c:spPr>
    </c:plotArea>
    <c:plotVisOnly val="1"/>
    <c:dispBlanksAs val="gap"/>
    <c:showDLblsOverMax val="0"/>
    <c:extLst>
      <c:ext uri="{0b15fc19-7d7d-44ad-8c2d-2c3a37ce22c3}">
        <chartProps xmlns="https://web.wps.cn/et/2018/main" chartId="{85bde77c-b49c-419a-99b3-06915a03206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[2024公报.xlsx]农业!$B$19</c:f>
              <c:strCache>
                <c:ptCount val="1"/>
                <c:pt idx="0">
                  <c:v>粮食产量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[2024公报.xlsx]农业!$A$20:$A$24</c:f>
              <c:strCache>
                <c:ptCount val="5"/>
                <c:pt idx="0">
                  <c:v>2020年</c:v>
                </c:pt>
                <c:pt idx="1">
                  <c:v>2021年</c:v>
                </c:pt>
                <c:pt idx="2">
                  <c:v>2022年</c:v>
                </c:pt>
                <c:pt idx="3">
                  <c:v>2023年</c:v>
                </c:pt>
                <c:pt idx="4">
                  <c:v>2024年</c:v>
                </c:pt>
              </c:strCache>
            </c:strRef>
          </c:cat>
          <c:val>
            <c:numRef>
              <c:f>[2024公报.xlsx]农业!$B$20:$B$24</c:f>
              <c:numCache>
                <c:formatCode>General</c:formatCode>
                <c:ptCount val="5"/>
                <c:pt idx="0">
                  <c:v>62.3</c:v>
                </c:pt>
                <c:pt idx="1">
                  <c:v>65.6</c:v>
                </c:pt>
                <c:pt idx="2">
                  <c:v>65.9</c:v>
                </c:pt>
                <c:pt idx="3">
                  <c:v>68.1</c:v>
                </c:pt>
                <c:pt idx="4">
                  <c:v>69.45</c:v>
                </c:pt>
              </c:numCache>
            </c:numRef>
          </c:val>
        </c:ser>
        <c:dLbls>
          <c:showLegendKey val="0"/>
          <c:showVal val="1"/>
          <c:showCatName val="0"/>
          <c:showSerName val="0"/>
          <c:showPercent val="0"/>
          <c:showBubbleSize val="0"/>
        </c:dLbls>
        <c:gapWidth val="219"/>
        <c:overlap val="-27"/>
        <c:axId val="521684415"/>
        <c:axId val="981972906"/>
      </c:barChart>
      <c:lineChart>
        <c:grouping val="standard"/>
        <c:varyColors val="0"/>
        <c:ser>
          <c:idx val="1"/>
          <c:order val="1"/>
          <c:tx>
            <c:strRef>
              <c:f>[2024公报.xlsx]农业!$C$19</c:f>
              <c:strCache>
                <c:ptCount val="1"/>
                <c:pt idx="0">
                  <c:v>增速</c:v>
                </c:pt>
              </c:strCache>
            </c:strRef>
          </c:tx>
          <c:spPr>
            <a:ln w="28575" cap="rnd">
              <a:solidFill>
                <a:schemeClr val="accent2"/>
              </a:solidFill>
              <a:round/>
            </a:ln>
            <a:effectLst/>
          </c:spPr>
          <c:marker>
            <c:symbol val="none"/>
          </c:marker>
          <c:dLbls>
            <c:dLbl>
              <c:idx val="1"/>
              <c:layout>
                <c:manualLayout>
                  <c:x val="-0.00315789473684211"/>
                  <c:y val="-0.022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88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89473684210526"/>
                  <c:y val="-0.0277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[2024公报.xlsx]农业!$A$20:$A$24</c:f>
              <c:strCache>
                <c:ptCount val="5"/>
                <c:pt idx="0">
                  <c:v>2020年</c:v>
                </c:pt>
                <c:pt idx="1">
                  <c:v>2021年</c:v>
                </c:pt>
                <c:pt idx="2">
                  <c:v>2022年</c:v>
                </c:pt>
                <c:pt idx="3">
                  <c:v>2023年</c:v>
                </c:pt>
                <c:pt idx="4">
                  <c:v>2024年</c:v>
                </c:pt>
              </c:strCache>
            </c:strRef>
          </c:cat>
          <c:val>
            <c:numRef>
              <c:f>[2024公报.xlsx]农业!$C$20:$C$24</c:f>
              <c:numCache>
                <c:formatCode>General</c:formatCode>
                <c:ptCount val="5"/>
                <c:pt idx="0">
                  <c:v>-1.6</c:v>
                </c:pt>
                <c:pt idx="1">
                  <c:v>5.3</c:v>
                </c:pt>
                <c:pt idx="2">
                  <c:v>0.4</c:v>
                </c:pt>
                <c:pt idx="3">
                  <c:v>3.34</c:v>
                </c:pt>
                <c:pt idx="4">
                  <c:v>1.98</c:v>
                </c:pt>
              </c:numCache>
            </c:numRef>
          </c:val>
          <c:smooth val="0"/>
        </c:ser>
        <c:dLbls>
          <c:showLegendKey val="0"/>
          <c:showVal val="1"/>
          <c:showCatName val="0"/>
          <c:showSerName val="0"/>
          <c:showPercent val="0"/>
          <c:showBubbleSize val="0"/>
        </c:dLbls>
        <c:marker val="0"/>
        <c:smooth val="0"/>
        <c:axId val="181014772"/>
        <c:axId val="936882633"/>
      </c:lineChart>
      <c:catAx>
        <c:axId val="5216844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1972906"/>
        <c:crosses val="autoZero"/>
        <c:auto val="1"/>
        <c:lblAlgn val="ctr"/>
        <c:lblOffset val="100"/>
        <c:noMultiLvlLbl val="0"/>
      </c:catAx>
      <c:valAx>
        <c:axId val="981972906"/>
        <c:scaling>
          <c:orientation val="minMax"/>
          <c:max val="80"/>
          <c:min val="60"/>
        </c:scaling>
        <c:delete val="0"/>
        <c:axPos val="l"/>
        <c:numFmt formatCode="General"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684415"/>
        <c:crosses val="autoZero"/>
        <c:crossBetween val="between"/>
        <c:majorUnit val="10"/>
      </c:valAx>
      <c:catAx>
        <c:axId val="18101477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882633"/>
        <c:crosses val="autoZero"/>
        <c:auto val="1"/>
        <c:lblAlgn val="ctr"/>
        <c:lblOffset val="100"/>
        <c:noMultiLvlLbl val="0"/>
      </c:catAx>
      <c:valAx>
        <c:axId val="936882633"/>
        <c:scaling>
          <c:orientation val="minMax"/>
          <c:min val="-30"/>
        </c:scaling>
        <c:delete val="0"/>
        <c:axPos val="r"/>
        <c:numFmt formatCode="General"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014772"/>
        <c:crosses val="max"/>
        <c:crossBetween val="between"/>
        <c:majorUnit val="10"/>
        <c:minorUnit val="2"/>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fc825cd-7bf9-4b66-9c02-0271ac547c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5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9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4615</Words>
  <Characters>5652</Characters>
  <Lines>67</Lines>
  <Paragraphs>19</Paragraphs>
  <TotalTime>25</TotalTime>
  <ScaleCrop>false</ScaleCrop>
  <LinksUpToDate>false</LinksUpToDate>
  <CharactersWithSpaces>5761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2025-02-17T01:48:00Z</dcterms:created>
  <dc:creator>Administrator</dc:creator>
  <cp:lastModifiedBy>水晶苹果</cp:lastModifiedBy>
  <dcterms:modified xsi:type="dcterms:W3CDTF">2025-06-04T00:51:30Z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eyJoZGlkIjoiZjgzMWJmMzI1NzNkZTkzOWQ3YTcwMWU5YjU0NTdhNjEiLCJ1c2VySWQiOiI1OTMxMTI4NzcifQ==</vt:lpwstr>
  </property>
  <property fmtid="{D5CDD505-2E9C-101B-9397-08002B2CF9AE}" pid="3" name="KSOProductBuildVer">
    <vt:lpwstr>2052-12.1.0.21171</vt:lpwstr>
  </property>
  <property fmtid="{D5CDD505-2E9C-101B-9397-08002B2CF9AE}" pid="4" name="ICV">
    <vt:lpwstr>08BB5CD6DCB24A989BCE1DB16626CBF9_12</vt:lpwstr>
  </property>
</Properties>
</file>