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pPr>
        <w:bidi w:val="0"/>
        <w:jc w:val="center"/>
        <w:rPr>
          <w:rFonts w:hint="eastAsia" w:ascii="宋体" w:hAnsi="宋体" w:eastAsia="宋体" w:cs="宋体"/>
          <w:b/>
          <w:bCs/>
          <w:sz w:val="36"/>
          <w:szCs w:val="36"/>
        </w:rPr>
      </w:pPr>
      <w:r>
        <w:rPr>
          <w:rFonts w:hint="eastAsia" w:ascii="宋体" w:hAnsi="宋体" w:eastAsia="宋体" w:cs="宋体"/>
          <w:b/>
          <w:bCs/>
          <w:sz w:val="36"/>
          <w:szCs w:val="36"/>
        </w:rPr>
        <w:t>吉林市昌邑区政务服务局202</w:t>
      </w:r>
      <w:r>
        <w:rPr>
          <w:rFonts w:hint="eastAsia" w:ascii="宋体" w:hAnsi="宋体" w:eastAsia="宋体" w:cs="宋体"/>
          <w:b/>
          <w:bCs/>
          <w:sz w:val="36"/>
          <w:szCs w:val="36"/>
          <w:lang w:val="en-US" w:eastAsia="zh-CN"/>
        </w:rPr>
        <w:t>1</w:t>
      </w:r>
      <w:r>
        <w:rPr>
          <w:rFonts w:hint="eastAsia" w:ascii="宋体" w:hAnsi="宋体" w:eastAsia="宋体" w:cs="宋体"/>
          <w:b/>
          <w:bCs/>
          <w:sz w:val="36"/>
          <w:szCs w:val="36"/>
        </w:rPr>
        <w:t>年政府信息公开</w:t>
      </w:r>
    </w:p>
    <w:p>
      <w:pPr>
        <w:bidi w:val="0"/>
        <w:jc w:val="center"/>
        <w:rPr>
          <w:rFonts w:hint="eastAsia" w:ascii="宋体" w:hAnsi="宋体" w:eastAsia="宋体" w:cs="宋体"/>
          <w:b/>
          <w:bCs/>
          <w:sz w:val="36"/>
          <w:szCs w:val="36"/>
        </w:rPr>
      </w:pPr>
      <w:r>
        <w:rPr>
          <w:rFonts w:hint="eastAsia" w:ascii="宋体" w:hAnsi="宋体" w:eastAsia="宋体" w:cs="宋体"/>
          <w:b/>
          <w:bCs/>
          <w:sz w:val="36"/>
          <w:szCs w:val="36"/>
        </w:rPr>
        <w:t>工作年度报告</w:t>
      </w:r>
    </w:p>
    <w:p>
      <w:pPr>
        <w:ind w:firstLine="480" w:firstLineChars="200"/>
        <w:rPr>
          <w:rFonts w:hint="eastAsia" w:ascii="宋体" w:hAnsi="宋体" w:eastAsia="宋体" w:cs="宋体"/>
          <w:sz w:val="24"/>
          <w:szCs w:val="24"/>
        </w:rPr>
      </w:pPr>
    </w:p>
    <w:p>
      <w:pPr>
        <w:ind w:firstLine="480" w:firstLineChars="200"/>
        <w:rPr>
          <w:rFonts w:hint="eastAsia" w:ascii="宋体" w:hAnsi="宋体" w:eastAsia="宋体" w:cs="宋体"/>
          <w:b/>
          <w:bCs/>
          <w:sz w:val="24"/>
          <w:szCs w:val="24"/>
        </w:rPr>
      </w:pPr>
      <w:r>
        <w:rPr>
          <w:rFonts w:ascii="宋体" w:hAnsi="宋体" w:eastAsia="宋体" w:cs="宋体"/>
          <w:b w:val="0"/>
          <w:bCs w:val="0"/>
          <w:i w:val="0"/>
          <w:iCs w:val="0"/>
          <w:caps w:val="0"/>
          <w:color w:val="000000"/>
          <w:spacing w:val="0"/>
          <w:sz w:val="24"/>
          <w:szCs w:val="24"/>
          <w:shd w:val="clear" w:fill="FFFFFF"/>
        </w:rPr>
        <w:t>根据新修订的《中华人民共和国政府信息公开条例》（以下简称《条例》）的规定和国务院办公厅政府信息与政务公开办公室《关于政府信息公开工作年度报告有关事项的通知》（国办公开办函〔</w:t>
      </w:r>
      <w:r>
        <w:rPr>
          <w:rFonts w:hint="eastAsia" w:ascii="宋体" w:hAnsi="宋体" w:eastAsia="宋体" w:cs="宋体"/>
          <w:b w:val="0"/>
          <w:bCs w:val="0"/>
          <w:i w:val="0"/>
          <w:iCs w:val="0"/>
          <w:caps w:val="0"/>
          <w:color w:val="000000"/>
          <w:spacing w:val="0"/>
          <w:sz w:val="24"/>
          <w:szCs w:val="24"/>
          <w:shd w:val="clear" w:fill="FFFFFF"/>
        </w:rPr>
        <w:t>2019〕60号），吉林市昌邑区政务服务局编制了202</w:t>
      </w:r>
      <w:r>
        <w:rPr>
          <w:rFonts w:hint="eastAsia" w:ascii="宋体" w:hAnsi="宋体" w:eastAsia="宋体" w:cs="宋体"/>
          <w:b w:val="0"/>
          <w:bCs w:val="0"/>
          <w:i w:val="0"/>
          <w:iCs w:val="0"/>
          <w:caps w:val="0"/>
          <w:color w:val="000000"/>
          <w:spacing w:val="0"/>
          <w:sz w:val="24"/>
          <w:szCs w:val="24"/>
          <w:shd w:val="clear" w:fill="FFFFFF"/>
          <w:lang w:val="en-US" w:eastAsia="zh-CN"/>
        </w:rPr>
        <w:t>1</w:t>
      </w:r>
      <w:r>
        <w:rPr>
          <w:rFonts w:hint="eastAsia" w:ascii="宋体" w:hAnsi="宋体" w:eastAsia="宋体" w:cs="宋体"/>
          <w:b w:val="0"/>
          <w:bCs w:val="0"/>
          <w:i w:val="0"/>
          <w:iCs w:val="0"/>
          <w:caps w:val="0"/>
          <w:color w:val="000000"/>
          <w:spacing w:val="0"/>
          <w:sz w:val="24"/>
          <w:szCs w:val="24"/>
          <w:shd w:val="clear" w:fill="FFFFFF"/>
        </w:rPr>
        <w:t>年政府信息公开工作年度报告（以下简称《年报》）。本年报由总体情况、主动公开政府信息情况、收到和处理政府信息公开申请的情况、因政府信息公开工作被申请行政复议及提起行政诉讼的情况、政府信息公开工作存在的主要问题及改进情况、其他需要报告的事项等六部分组成。报告中所列数据的统计时限为202</w:t>
      </w:r>
      <w:r>
        <w:rPr>
          <w:rFonts w:hint="eastAsia" w:ascii="宋体" w:hAnsi="宋体" w:eastAsia="宋体" w:cs="宋体"/>
          <w:b w:val="0"/>
          <w:bCs w:val="0"/>
          <w:i w:val="0"/>
          <w:iCs w:val="0"/>
          <w:caps w:val="0"/>
          <w:color w:val="000000"/>
          <w:spacing w:val="0"/>
          <w:sz w:val="24"/>
          <w:szCs w:val="24"/>
          <w:shd w:val="clear" w:fill="FFFFFF"/>
          <w:lang w:val="en-US" w:eastAsia="zh-CN"/>
        </w:rPr>
        <w:t>1</w:t>
      </w:r>
      <w:r>
        <w:rPr>
          <w:rFonts w:hint="eastAsia" w:ascii="宋体" w:hAnsi="宋体" w:eastAsia="宋体" w:cs="宋体"/>
          <w:b w:val="0"/>
          <w:bCs w:val="0"/>
          <w:i w:val="0"/>
          <w:iCs w:val="0"/>
          <w:caps w:val="0"/>
          <w:color w:val="000000"/>
          <w:spacing w:val="0"/>
          <w:sz w:val="24"/>
          <w:szCs w:val="24"/>
          <w:shd w:val="clear" w:fill="FFFFFF"/>
        </w:rPr>
        <w:t>年1月1日起至202</w:t>
      </w:r>
      <w:r>
        <w:rPr>
          <w:rFonts w:hint="eastAsia" w:ascii="宋体" w:hAnsi="宋体" w:eastAsia="宋体" w:cs="宋体"/>
          <w:b w:val="0"/>
          <w:bCs w:val="0"/>
          <w:i w:val="0"/>
          <w:iCs w:val="0"/>
          <w:caps w:val="0"/>
          <w:color w:val="000000"/>
          <w:spacing w:val="0"/>
          <w:sz w:val="24"/>
          <w:szCs w:val="24"/>
          <w:shd w:val="clear" w:fill="FFFFFF"/>
          <w:lang w:val="en-US" w:eastAsia="zh-CN"/>
        </w:rPr>
        <w:t>1</w:t>
      </w:r>
      <w:r>
        <w:rPr>
          <w:rFonts w:hint="eastAsia" w:ascii="宋体" w:hAnsi="宋体" w:eastAsia="宋体" w:cs="宋体"/>
          <w:b w:val="0"/>
          <w:bCs w:val="0"/>
          <w:i w:val="0"/>
          <w:iCs w:val="0"/>
          <w:caps w:val="0"/>
          <w:color w:val="000000"/>
          <w:spacing w:val="0"/>
          <w:sz w:val="24"/>
          <w:szCs w:val="24"/>
          <w:shd w:val="clear" w:fill="FFFFFF"/>
        </w:rPr>
        <w:t>年12月31日</w:t>
      </w:r>
      <w:r>
        <w:rPr>
          <w:rFonts w:ascii="宋体" w:hAnsi="宋体" w:eastAsia="宋体" w:cs="宋体"/>
          <w:b w:val="0"/>
          <w:bCs w:val="0"/>
          <w:i w:val="0"/>
          <w:iCs w:val="0"/>
          <w:caps w:val="0"/>
          <w:color w:val="000000"/>
          <w:spacing w:val="0"/>
          <w:sz w:val="24"/>
          <w:szCs w:val="24"/>
          <w:shd w:val="clear" w:fill="FFFFFF"/>
        </w:rPr>
        <w:t>止。欢迎社会各界进行监督、提出意见，欢迎广大机关、企事业单位、科研院所和人民群众参阅使用。如对本年报有疑问、意见和建议，请联系政务服务局，地址：昌邑区中兴街</w:t>
      </w:r>
      <w:r>
        <w:rPr>
          <w:rFonts w:hint="eastAsia" w:ascii="宋体" w:hAnsi="宋体" w:eastAsia="宋体" w:cs="宋体"/>
          <w:b w:val="0"/>
          <w:bCs w:val="0"/>
          <w:i w:val="0"/>
          <w:iCs w:val="0"/>
          <w:caps w:val="0"/>
          <w:color w:val="000000"/>
          <w:spacing w:val="0"/>
          <w:sz w:val="24"/>
          <w:szCs w:val="24"/>
          <w:shd w:val="clear" w:fill="FFFFFF"/>
        </w:rPr>
        <w:t>105号，昌邑区政府旁</w:t>
      </w:r>
      <w:r>
        <w:rPr>
          <w:rFonts w:hint="eastAsia" w:ascii="宋体" w:hAnsi="宋体" w:eastAsia="宋体" w:cs="宋体"/>
          <w:b w:val="0"/>
          <w:bCs w:val="0"/>
          <w:i w:val="0"/>
          <w:iCs w:val="0"/>
          <w:caps w:val="0"/>
          <w:color w:val="000000"/>
          <w:spacing w:val="0"/>
          <w:sz w:val="24"/>
          <w:szCs w:val="24"/>
          <w:shd w:val="clear" w:fill="FFFFFF"/>
          <w:lang w:eastAsia="zh-CN"/>
        </w:rPr>
        <w:t>市民服务中心</w:t>
      </w:r>
      <w:r>
        <w:rPr>
          <w:rFonts w:ascii="宋体" w:hAnsi="宋体" w:eastAsia="宋体" w:cs="宋体"/>
          <w:b w:val="0"/>
          <w:bCs w:val="0"/>
          <w:i w:val="0"/>
          <w:iCs w:val="0"/>
          <w:caps w:val="0"/>
          <w:color w:val="000000"/>
          <w:spacing w:val="0"/>
          <w:sz w:val="24"/>
          <w:szCs w:val="24"/>
          <w:shd w:val="clear" w:fill="FFFFFF"/>
        </w:rPr>
        <w:t>，邮编：</w:t>
      </w:r>
      <w:r>
        <w:rPr>
          <w:rFonts w:hint="eastAsia" w:ascii="宋体" w:hAnsi="宋体" w:eastAsia="宋体" w:cs="宋体"/>
          <w:b w:val="0"/>
          <w:bCs w:val="0"/>
          <w:i w:val="0"/>
          <w:iCs w:val="0"/>
          <w:caps w:val="0"/>
          <w:color w:val="000000"/>
          <w:spacing w:val="0"/>
          <w:sz w:val="24"/>
          <w:szCs w:val="24"/>
          <w:shd w:val="clear" w:fill="FFFFFF"/>
        </w:rPr>
        <w:t>132000，电话：0432-6360</w:t>
      </w:r>
      <w:r>
        <w:rPr>
          <w:rFonts w:hint="eastAsia" w:ascii="宋体" w:hAnsi="宋体" w:eastAsia="宋体" w:cs="宋体"/>
          <w:b w:val="0"/>
          <w:bCs w:val="0"/>
          <w:i w:val="0"/>
          <w:iCs w:val="0"/>
          <w:caps w:val="0"/>
          <w:color w:val="000000"/>
          <w:spacing w:val="0"/>
          <w:sz w:val="24"/>
          <w:szCs w:val="24"/>
          <w:shd w:val="clear" w:fill="FFFFFF"/>
          <w:lang w:val="en-US" w:eastAsia="zh-CN"/>
        </w:rPr>
        <w:t>2686</w:t>
      </w:r>
      <w:r>
        <w:rPr>
          <w:rFonts w:ascii="宋体" w:hAnsi="宋体" w:eastAsia="宋体" w:cs="宋体"/>
          <w:b w:val="0"/>
          <w:bCs w:val="0"/>
          <w:i w:val="0"/>
          <w:iCs w:val="0"/>
          <w:caps w:val="0"/>
          <w:color w:val="000000"/>
          <w:spacing w:val="0"/>
          <w:sz w:val="24"/>
          <w:szCs w:val="24"/>
          <w:shd w:val="clear" w:fill="FFFFFF"/>
        </w:rPr>
        <w:t>，邮箱：</w:t>
      </w:r>
      <w:r>
        <w:rPr>
          <w:rFonts w:hint="eastAsia" w:ascii="宋体" w:hAnsi="宋体" w:eastAsia="宋体" w:cs="宋体"/>
          <w:b w:val="0"/>
          <w:bCs w:val="0"/>
          <w:i w:val="0"/>
          <w:iCs w:val="0"/>
          <w:caps w:val="0"/>
          <w:color w:val="000000"/>
          <w:spacing w:val="0"/>
          <w:sz w:val="24"/>
          <w:szCs w:val="24"/>
          <w:shd w:val="clear" w:fill="FFFFFF"/>
        </w:rPr>
        <w:t>qinqingcy@126.com。</w:t>
      </w:r>
    </w:p>
    <w:p>
      <w:pPr>
        <w:ind w:firstLine="482" w:firstLineChars="200"/>
        <w:rPr>
          <w:rFonts w:hint="eastAsia" w:ascii="宋体" w:hAnsi="宋体" w:eastAsia="宋体" w:cs="宋体"/>
          <w:b/>
          <w:bCs/>
          <w:i w:val="0"/>
          <w:iCs w:val="0"/>
          <w:caps w:val="0"/>
          <w:color w:val="000000"/>
          <w:spacing w:val="0"/>
          <w:sz w:val="24"/>
          <w:szCs w:val="24"/>
          <w:shd w:val="clear" w:fill="FFFFFF"/>
        </w:rPr>
      </w:pPr>
      <w:r>
        <w:rPr>
          <w:rFonts w:hint="eastAsia" w:ascii="宋体" w:hAnsi="宋体" w:eastAsia="宋体" w:cs="宋体"/>
          <w:b/>
          <w:bCs/>
          <w:i w:val="0"/>
          <w:iCs w:val="0"/>
          <w:caps w:val="0"/>
          <w:color w:val="000000"/>
          <w:spacing w:val="0"/>
          <w:sz w:val="24"/>
          <w:szCs w:val="24"/>
          <w:shd w:val="clear" w:fill="FFFFFF"/>
          <w:lang w:val="en-US" w:eastAsia="zh-CN"/>
        </w:rPr>
        <w:t>一、总体情况</w:t>
      </w:r>
    </w:p>
    <w:p>
      <w:pPr>
        <w:ind w:firstLine="480" w:firstLineChars="200"/>
        <w:rPr>
          <w:rFonts w:hint="eastAsia" w:ascii="宋体" w:hAnsi="宋体" w:eastAsia="宋体" w:cs="宋体"/>
          <w:b w:val="0"/>
          <w:bCs w:val="0"/>
          <w:i w:val="0"/>
          <w:iCs w:val="0"/>
          <w:caps w:val="0"/>
          <w:color w:val="000000"/>
          <w:spacing w:val="0"/>
          <w:sz w:val="24"/>
          <w:szCs w:val="24"/>
          <w:shd w:val="clear" w:fill="FFFFFF"/>
          <w:lang w:val="en-US" w:eastAsia="zh-CN"/>
        </w:rPr>
      </w:pPr>
      <w:r>
        <w:rPr>
          <w:rFonts w:hint="eastAsia" w:ascii="宋体" w:hAnsi="宋体" w:eastAsia="宋体" w:cs="宋体"/>
          <w:b w:val="0"/>
          <w:bCs w:val="0"/>
          <w:i w:val="0"/>
          <w:iCs w:val="0"/>
          <w:caps w:val="0"/>
          <w:color w:val="000000"/>
          <w:spacing w:val="0"/>
          <w:sz w:val="24"/>
          <w:szCs w:val="24"/>
          <w:shd w:val="clear" w:fill="FFFFFF"/>
          <w:lang w:val="en-US" w:eastAsia="zh-CN"/>
        </w:rPr>
        <w:t>2021年，在区委、区政府的正确领导下，政务服务局政府紧紧围绕全区发展大局，认真贯彻落实新修订的《中华人民共和国政府信息公开条例》文件精神，坚持“以公开为常态、不公开为例外”，推动政务公开不断向常态化、标准化、规范化迈进。按照省、市关于全面推进政务公开的部署要求，深入推进“互联网+政务服务”，加强组织领导，完善工作机制，加大政府信息公开力度，丰富工作内容。以贯彻《条例》为主线，坚持统筹兼顾、突出重点，加强政务公开标准化规范化建设，聚焦社会公众关注关切，进一步提高政府工作透明度，不断提升政府信息公开实效，切实增强人民群众获得感和满意度。现将2021年工作开展情况总结如下：</w:t>
      </w:r>
    </w:p>
    <w:p>
      <w:pPr>
        <w:ind w:firstLine="480" w:firstLineChars="200"/>
        <w:rPr>
          <w:rFonts w:hint="default"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b w:val="0"/>
          <w:bCs w:val="0"/>
          <w:i w:val="0"/>
          <w:iCs w:val="0"/>
          <w:caps w:val="0"/>
          <w:color w:val="000000"/>
          <w:spacing w:val="0"/>
          <w:sz w:val="24"/>
          <w:szCs w:val="24"/>
          <w:shd w:val="clear" w:fill="FFFFFF"/>
          <w:lang w:val="en-US" w:eastAsia="zh-CN"/>
        </w:rPr>
        <w:t>（一）加强组织领导，健全工作机制。为使政务公开工作顺利开展，区政务服务局成立了以局长为组长，副局长为副组长，各科室负责人为成员的政务公开领导小组。下设办公室，明确了责任人，具体负责政府信息公开工作有关事宜，使政务公开工作真正做到有人抓、有人管。同时，定期召开工作会议，研究调度工作情况，确保政务公开工作高效有序开展。</w:t>
      </w:r>
    </w:p>
    <w:p>
      <w:pPr>
        <w:ind w:firstLine="480" w:firstLineChars="200"/>
        <w:rPr>
          <w:rFonts w:hint="eastAsia" w:ascii="宋体" w:hAnsi="宋体" w:eastAsia="宋体" w:cs="宋体"/>
          <w:b w:val="0"/>
          <w:bCs w:val="0"/>
          <w:i w:val="0"/>
          <w:iCs w:val="0"/>
          <w:caps w:val="0"/>
          <w:color w:val="000000"/>
          <w:spacing w:val="0"/>
          <w:sz w:val="24"/>
          <w:szCs w:val="24"/>
          <w:shd w:val="clear" w:fill="FFFFFF"/>
          <w:lang w:val="en-US" w:eastAsia="zh-CN"/>
        </w:rPr>
      </w:pPr>
      <w:r>
        <w:rPr>
          <w:rFonts w:hint="eastAsia" w:ascii="宋体" w:hAnsi="宋体" w:eastAsia="宋体" w:cs="宋体"/>
          <w:b w:val="0"/>
          <w:bCs w:val="0"/>
          <w:i w:val="0"/>
          <w:iCs w:val="0"/>
          <w:caps w:val="0"/>
          <w:color w:val="000000"/>
          <w:spacing w:val="0"/>
          <w:sz w:val="24"/>
          <w:szCs w:val="24"/>
          <w:shd w:val="clear" w:fill="FFFFFF"/>
          <w:lang w:val="en-US" w:eastAsia="zh-CN"/>
        </w:rPr>
        <w:t>（二）强化信息公开，及时更新信息。为贯彻落实2021</w:t>
      </w:r>
      <w:bookmarkStart w:id="0" w:name="_GoBack"/>
      <w:bookmarkEnd w:id="0"/>
      <w:r>
        <w:rPr>
          <w:rFonts w:hint="eastAsia" w:ascii="宋体" w:hAnsi="宋体" w:eastAsia="宋体" w:cs="宋体"/>
          <w:b w:val="0"/>
          <w:bCs w:val="0"/>
          <w:i w:val="0"/>
          <w:iCs w:val="0"/>
          <w:caps w:val="0"/>
          <w:color w:val="000000"/>
          <w:spacing w:val="0"/>
          <w:sz w:val="24"/>
          <w:szCs w:val="24"/>
          <w:shd w:val="clear" w:fill="FFFFFF"/>
          <w:lang w:val="en-US" w:eastAsia="zh-CN"/>
        </w:rPr>
        <w:t>年政务公开工作文件要求，区政务服务局在昌邑区政府信息公开专栏上及时做好了相关信息的填报及更新工作，并指导区政府各部门、单位做好公共事业单位的办事信息公开工作，取得了良好的效果。</w:t>
      </w:r>
    </w:p>
    <w:p>
      <w:pPr>
        <w:ind w:firstLine="480" w:firstLineChars="200"/>
        <w:rPr>
          <w:rFonts w:hint="eastAsia" w:ascii="宋体" w:hAnsi="宋体" w:eastAsia="宋体" w:cs="宋体"/>
          <w:b w:val="0"/>
          <w:bCs w:val="0"/>
          <w:i w:val="0"/>
          <w:iCs w:val="0"/>
          <w:caps w:val="0"/>
          <w:color w:val="000000"/>
          <w:spacing w:val="0"/>
          <w:sz w:val="24"/>
          <w:szCs w:val="24"/>
          <w:shd w:val="clear" w:fill="FFFFFF"/>
          <w:lang w:val="en-US" w:eastAsia="zh-CN"/>
        </w:rPr>
      </w:pPr>
      <w:r>
        <w:rPr>
          <w:rFonts w:hint="eastAsia" w:ascii="宋体" w:hAnsi="宋体" w:eastAsia="宋体" w:cs="宋体"/>
          <w:b w:val="0"/>
          <w:bCs w:val="0"/>
          <w:i w:val="0"/>
          <w:iCs w:val="0"/>
          <w:caps w:val="0"/>
          <w:color w:val="000000"/>
          <w:spacing w:val="0"/>
          <w:sz w:val="24"/>
          <w:szCs w:val="24"/>
          <w:shd w:val="clear" w:fill="FFFFFF"/>
          <w:lang w:val="en-US" w:eastAsia="zh-CN"/>
        </w:rPr>
        <w:t>（三）严格审查把关，加强责任意识。强化对公开信息的审核把关，严格执行“分级审核、先审后发”程序,确保涉密信息不从网站上泄露。2021年度，我局主动公开政府信息14条，今年以来未发生任何泄密事件。</w:t>
      </w:r>
    </w:p>
    <w:p>
      <w:pPr>
        <w:ind w:firstLine="482" w:firstLineChars="200"/>
        <w:rPr>
          <w:rFonts w:ascii="宋体" w:hAnsi="宋体" w:eastAsia="宋体" w:cs="宋体"/>
          <w:b/>
          <w:bCs/>
          <w:sz w:val="24"/>
          <w:szCs w:val="24"/>
        </w:rPr>
      </w:pPr>
      <w:r>
        <w:rPr>
          <w:rFonts w:hint="eastAsia" w:ascii="宋体" w:hAnsi="宋体" w:eastAsia="宋体" w:cs="宋体"/>
          <w:b/>
          <w:bCs/>
          <w:sz w:val="24"/>
          <w:szCs w:val="24"/>
        </w:rPr>
        <w:t>二、主动公开政府信息情况</w:t>
      </w:r>
    </w:p>
    <w:tbl>
      <w:tblPr>
        <w:tblStyle w:val="7"/>
        <w:tblW w:w="9014" w:type="dxa"/>
        <w:jc w:val="center"/>
        <w:tblLayout w:type="fixed"/>
        <w:tblCellMar>
          <w:top w:w="0" w:type="dxa"/>
          <w:left w:w="0" w:type="dxa"/>
          <w:bottom w:w="0" w:type="dxa"/>
          <w:right w:w="0" w:type="dxa"/>
        </w:tblCellMar>
      </w:tblPr>
      <w:tblGrid>
        <w:gridCol w:w="2461"/>
        <w:gridCol w:w="2184"/>
        <w:gridCol w:w="2184"/>
        <w:gridCol w:w="2185"/>
      </w:tblGrid>
      <w:tr>
        <w:tblPrEx>
          <w:tblCellMar>
            <w:top w:w="0" w:type="dxa"/>
            <w:left w:w="0" w:type="dxa"/>
            <w:bottom w:w="0" w:type="dxa"/>
            <w:right w:w="0" w:type="dxa"/>
          </w:tblCellMar>
        </w:tblPrEx>
        <w:trPr>
          <w:trHeight w:val="495" w:hRule="atLeast"/>
          <w:jc w:val="center"/>
        </w:trPr>
        <w:tc>
          <w:tcPr>
            <w:tcW w:w="9014"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第二十条第（一）项</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2184"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本年制发件数</w:t>
            </w:r>
          </w:p>
        </w:tc>
        <w:tc>
          <w:tcPr>
            <w:tcW w:w="21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本年废止件数</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现行有效件数</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规章</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CellMar>
            <w:top w:w="0" w:type="dxa"/>
            <w:left w:w="0" w:type="dxa"/>
            <w:bottom w:w="0" w:type="dxa"/>
            <w:right w:w="0" w:type="dxa"/>
          </w:tblCellMar>
        </w:tblPrEx>
        <w:trPr>
          <w:trHeight w:val="47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行政规范性文件</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CellMar>
            <w:top w:w="0" w:type="dxa"/>
            <w:left w:w="0" w:type="dxa"/>
            <w:bottom w:w="0" w:type="dxa"/>
            <w:right w:w="0" w:type="dxa"/>
          </w:tblCellMar>
        </w:tblPrEx>
        <w:trPr>
          <w:trHeight w:val="480"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第二十条第（五）项</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行政许可</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CellMar>
            <w:top w:w="0" w:type="dxa"/>
            <w:left w:w="0" w:type="dxa"/>
            <w:bottom w:w="0" w:type="dxa"/>
            <w:right w:w="0" w:type="dxa"/>
          </w:tblCellMar>
        </w:tblPrEx>
        <w:trPr>
          <w:trHeight w:val="406"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第二十条第（六）项</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tblPrEx>
          <w:tblCellMar>
            <w:top w:w="0" w:type="dxa"/>
            <w:left w:w="0" w:type="dxa"/>
            <w:bottom w:w="0" w:type="dxa"/>
            <w:right w:w="0" w:type="dxa"/>
          </w:tblCellMar>
        </w:tblPrEx>
        <w:trPr>
          <w:trHeight w:val="430"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行政处罚</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CellMar>
            <w:top w:w="0" w:type="dxa"/>
            <w:left w:w="0" w:type="dxa"/>
            <w:bottom w:w="0" w:type="dxa"/>
            <w:right w:w="0" w:type="dxa"/>
          </w:tblCellMar>
        </w:tblPrEx>
        <w:trPr>
          <w:trHeight w:val="409"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行政强制</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CellMar>
            <w:top w:w="0" w:type="dxa"/>
            <w:left w:w="0" w:type="dxa"/>
            <w:bottom w:w="0" w:type="dxa"/>
            <w:right w:w="0" w:type="dxa"/>
          </w:tblCellMar>
        </w:tblPrEx>
        <w:trPr>
          <w:trHeight w:val="474"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第二十条第（八）项</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本年收费金额（单位：万元）</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行政事业性收费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bl>
    <w:p>
      <w:pPr>
        <w:numPr>
          <w:ilvl w:val="0"/>
          <w:numId w:val="1"/>
        </w:numPr>
        <w:ind w:firstLine="482" w:firstLineChars="200"/>
        <w:rPr>
          <w:rFonts w:ascii="宋体" w:hAnsi="宋体" w:eastAsia="宋体" w:cs="宋体"/>
          <w:b/>
          <w:bCs/>
          <w:sz w:val="24"/>
          <w:szCs w:val="24"/>
        </w:rPr>
      </w:pPr>
      <w:r>
        <w:rPr>
          <w:rFonts w:hint="eastAsia" w:ascii="宋体" w:hAnsi="宋体" w:eastAsia="宋体" w:cs="宋体"/>
          <w:b/>
          <w:bCs/>
          <w:sz w:val="24"/>
          <w:szCs w:val="24"/>
        </w:rPr>
        <w:t>收到和处理政府信息公开申请情况</w:t>
      </w:r>
    </w:p>
    <w:tbl>
      <w:tblPr>
        <w:tblStyle w:val="7"/>
        <w:tblW w:w="9071" w:type="dxa"/>
        <w:jc w:val="center"/>
        <w:tblLayout w:type="autofit"/>
        <w:tblCellMar>
          <w:top w:w="0" w:type="dxa"/>
          <w:left w:w="0" w:type="dxa"/>
          <w:bottom w:w="0" w:type="dxa"/>
          <w:right w:w="0" w:type="dxa"/>
        </w:tblCellMar>
      </w:tblPr>
      <w:tblGrid>
        <w:gridCol w:w="617"/>
        <w:gridCol w:w="854"/>
        <w:gridCol w:w="2216"/>
        <w:gridCol w:w="683"/>
        <w:gridCol w:w="755"/>
        <w:gridCol w:w="755"/>
        <w:gridCol w:w="925"/>
        <w:gridCol w:w="861"/>
        <w:gridCol w:w="711"/>
        <w:gridCol w:w="694"/>
      </w:tblGrid>
      <w:tr>
        <w:tblPrEx>
          <w:tblCellMar>
            <w:top w:w="0" w:type="dxa"/>
            <w:left w:w="0" w:type="dxa"/>
            <w:bottom w:w="0" w:type="dxa"/>
            <w:right w:w="0" w:type="dxa"/>
          </w:tblCellMar>
        </w:tblPrEx>
        <w:trPr>
          <w:trHeight w:val="404" w:hRule="atLeast"/>
          <w:jc w:val="center"/>
        </w:trPr>
        <w:tc>
          <w:tcPr>
            <w:tcW w:w="3687"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楷体" w:hAnsi="楷体" w:eastAsia="楷体" w:cs="楷体"/>
                <w:kern w:val="0"/>
                <w:sz w:val="20"/>
                <w:szCs w:val="20"/>
              </w:rPr>
              <w:t>（本列数据的勾稽关系为：第一项加第二项之和，等于第三项加第四项之和）</w:t>
            </w:r>
          </w:p>
        </w:tc>
        <w:tc>
          <w:tcPr>
            <w:tcW w:w="5384"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申请人情况</w:t>
            </w:r>
          </w:p>
        </w:tc>
      </w:tr>
      <w:tr>
        <w:tblPrEx>
          <w:tblCellMar>
            <w:top w:w="0" w:type="dxa"/>
            <w:left w:w="0" w:type="dxa"/>
            <w:bottom w:w="0" w:type="dxa"/>
            <w:right w:w="0" w:type="dxa"/>
          </w:tblCellMar>
        </w:tblPrEx>
        <w:trPr>
          <w:trHeight w:val="414" w:hRule="atLeast"/>
          <w:jc w:val="center"/>
        </w:trPr>
        <w:tc>
          <w:tcPr>
            <w:tcW w:w="3687"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683"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自</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然</w:t>
            </w:r>
          </w:p>
          <w:p>
            <w:pPr>
              <w:widowControl/>
              <w:jc w:val="center"/>
              <w:rPr>
                <w:rFonts w:ascii="宋体" w:hAnsi="宋体" w:eastAsia="宋体" w:cs="宋体"/>
                <w:kern w:val="0"/>
                <w:sz w:val="24"/>
                <w:szCs w:val="24"/>
              </w:rPr>
            </w:pPr>
            <w:r>
              <w:rPr>
                <w:rFonts w:hint="eastAsia" w:ascii="宋体" w:hAnsi="宋体" w:eastAsia="宋体" w:cs="宋体"/>
                <w:kern w:val="0"/>
                <w:sz w:val="20"/>
                <w:szCs w:val="20"/>
              </w:rPr>
              <w:t>人</w:t>
            </w:r>
          </w:p>
        </w:tc>
        <w:tc>
          <w:tcPr>
            <w:tcW w:w="400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法人或其他组织</w:t>
            </w:r>
          </w:p>
        </w:tc>
        <w:tc>
          <w:tcPr>
            <w:tcW w:w="69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r>
      <w:tr>
        <w:tblPrEx>
          <w:tblCellMar>
            <w:top w:w="0" w:type="dxa"/>
            <w:left w:w="0" w:type="dxa"/>
            <w:bottom w:w="0" w:type="dxa"/>
            <w:right w:w="0" w:type="dxa"/>
          </w:tblCellMar>
        </w:tblPrEx>
        <w:trPr>
          <w:trHeight w:val="774" w:hRule="atLeast"/>
          <w:jc w:val="center"/>
        </w:trPr>
        <w:tc>
          <w:tcPr>
            <w:tcW w:w="3687"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683"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商业企业</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科研机构</w:t>
            </w:r>
          </w:p>
        </w:tc>
        <w:tc>
          <w:tcPr>
            <w:tcW w:w="9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社会公益组织</w:t>
            </w:r>
          </w:p>
        </w:tc>
        <w:tc>
          <w:tcPr>
            <w:tcW w:w="86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法律服务机构</w:t>
            </w:r>
          </w:p>
        </w:tc>
        <w:tc>
          <w:tcPr>
            <w:tcW w:w="7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其他</w:t>
            </w: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31"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一、本年新收政府信息公开申请数量</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r>
      <w:tr>
        <w:tblPrEx>
          <w:tblCellMar>
            <w:top w:w="0" w:type="dxa"/>
            <w:left w:w="0" w:type="dxa"/>
            <w:bottom w:w="0" w:type="dxa"/>
            <w:right w:w="0" w:type="dxa"/>
          </w:tblCellMar>
        </w:tblPrEx>
        <w:trPr>
          <w:trHeight w:val="431"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二、上年结转政府信息公开申请数量</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431" w:hRule="atLeast"/>
          <w:jc w:val="center"/>
        </w:trPr>
        <w:tc>
          <w:tcPr>
            <w:tcW w:w="61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r>
              <w:rPr>
                <w:rFonts w:hint="eastAsia" w:ascii="宋体" w:hAnsi="宋体" w:eastAsia="宋体" w:cs="宋体"/>
                <w:kern w:val="0"/>
                <w:sz w:val="20"/>
                <w:szCs w:val="20"/>
              </w:rPr>
              <w:t>三、</w:t>
            </w:r>
          </w:p>
          <w:p>
            <w:pPr>
              <w:widowControl/>
              <w:rPr>
                <w:rFonts w:ascii="宋体" w:hAnsi="宋体" w:eastAsia="宋体" w:cs="宋体"/>
                <w:kern w:val="0"/>
                <w:sz w:val="24"/>
                <w:szCs w:val="24"/>
              </w:rPr>
            </w:pPr>
            <w:r>
              <w:rPr>
                <w:rFonts w:hint="eastAsia" w:ascii="宋体" w:hAnsi="宋体" w:eastAsia="宋体" w:cs="宋体"/>
                <w:kern w:val="0"/>
                <w:sz w:val="20"/>
                <w:szCs w:val="20"/>
              </w:rPr>
              <w:t>本年度办理结果</w:t>
            </w: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（一）予以公开</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（二）部分公开</w:t>
            </w:r>
            <w:r>
              <w:rPr>
                <w:rFonts w:hint="eastAsia" w:ascii="楷体" w:hAnsi="楷体" w:eastAsia="楷体" w:cs="宋体"/>
                <w:kern w:val="0"/>
                <w:sz w:val="20"/>
                <w:szCs w:val="20"/>
              </w:rPr>
              <w:t>（区分处理的，只计这一情形，不计其他情形）</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Theme="minorEastAsia" w:hAnsiTheme="minorEastAsia" w:cstheme="minorEastAsia"/>
                <w:kern w:val="0"/>
                <w:sz w:val="20"/>
                <w:szCs w:val="20"/>
              </w:rPr>
              <w:t>（三）不予公开</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1.属于国家秘密</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2.其他法律行政法规禁止公开</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3.危及“三安全一稳定”</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4.保护第三方合法权益</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5.属于三类内部事务信息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6.属于四类过程性信息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58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7.属于行政执法案卷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56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8.属于行政查询事项</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（四）无法提供</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1.本机关不掌握相关政府信息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r>
      <w:tr>
        <w:tblPrEx>
          <w:tblCellMar>
            <w:top w:w="0" w:type="dxa"/>
            <w:left w:w="0" w:type="dxa"/>
            <w:bottom w:w="0" w:type="dxa"/>
            <w:right w:w="0" w:type="dxa"/>
          </w:tblCellMar>
        </w:tblPrEx>
        <w:trPr>
          <w:trHeight w:val="589"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2.没有现成信息需要另行制作</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3.补正后申请内容仍不明确</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568"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（五）不予处理</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1.信访举报投诉类申请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667"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2.重复申请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70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3.要求提供公开出版物</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68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4.无正当理由大量反复申请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70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5.要求行政机关确认或重新出具已获取信息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restart"/>
            <w:tcBorders>
              <w:top w:val="nil"/>
              <w:left w:val="nil"/>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（六）其他处理</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1.申请人无正当理由逾期不补正、行政机关不再处理其政府信息公开申请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continue"/>
            <w:tcBorders>
              <w:left w:val="nil"/>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0"/>
                <w:szCs w:val="20"/>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2.申请人逾期未按收费通知要求缴纳费用、行政机关不再处理其政府信息公开申请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continue"/>
            <w:tcBorders>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0"/>
                <w:szCs w:val="20"/>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3.其他</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54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（七）总计</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650"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四、结转下年度继续办理</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bl>
    <w:p>
      <w:pPr>
        <w:numPr>
          <w:ilvl w:val="0"/>
          <w:numId w:val="1"/>
        </w:numPr>
        <w:ind w:firstLine="482" w:firstLineChars="200"/>
        <w:rPr>
          <w:rFonts w:ascii="宋体" w:hAnsi="宋体" w:eastAsia="宋体" w:cs="宋体"/>
          <w:b/>
          <w:bCs/>
          <w:sz w:val="24"/>
          <w:szCs w:val="24"/>
        </w:rPr>
      </w:pPr>
      <w:r>
        <w:rPr>
          <w:rFonts w:hint="eastAsia" w:ascii="宋体" w:hAnsi="宋体" w:eastAsia="宋体" w:cs="宋体"/>
          <w:b/>
          <w:bCs/>
          <w:sz w:val="24"/>
          <w:szCs w:val="24"/>
        </w:rPr>
        <w:t>政府信息公开行政复议、行政诉讼情况</w:t>
      </w:r>
    </w:p>
    <w:tbl>
      <w:tblPr>
        <w:tblStyle w:val="7"/>
        <w:tblW w:w="9071" w:type="dxa"/>
        <w:jc w:val="center"/>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rPr>
          <w:jc w:val="center"/>
        </w:trPr>
        <w:tc>
          <w:tcPr>
            <w:tcW w:w="307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行政诉讼</w:t>
            </w:r>
          </w:p>
        </w:tc>
      </w:tr>
      <w:tr>
        <w:tblPrEx>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5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c>
          <w:tcPr>
            <w:tcW w:w="297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其他结果</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r>
      <w:tr>
        <w:tblPrEx>
          <w:tblCellMar>
            <w:top w:w="0" w:type="dxa"/>
            <w:left w:w="0" w:type="dxa"/>
            <w:bottom w:w="0" w:type="dxa"/>
            <w:right w:w="0" w:type="dxa"/>
          </w:tblCellMar>
        </w:tblPrEx>
        <w:trPr>
          <w:trHeight w:val="696" w:hRule="atLeast"/>
          <w:jc w:val="center"/>
        </w:trPr>
        <w:tc>
          <w:tcPr>
            <w:tcW w:w="6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bl>
    <w:p>
      <w:pPr>
        <w:ind w:firstLine="482" w:firstLineChars="200"/>
        <w:rPr>
          <w:rFonts w:hint="eastAsia" w:ascii="宋体" w:hAnsi="宋体" w:eastAsia="宋体" w:cs="宋体"/>
          <w:b/>
          <w:bCs/>
          <w:i w:val="0"/>
          <w:iCs w:val="0"/>
          <w:caps w:val="0"/>
          <w:color w:val="000000"/>
          <w:spacing w:val="0"/>
          <w:sz w:val="24"/>
          <w:szCs w:val="24"/>
          <w:shd w:val="clear" w:fill="FFFFFF"/>
          <w:lang w:val="en-US" w:eastAsia="zh-CN"/>
        </w:rPr>
      </w:pPr>
      <w:r>
        <w:rPr>
          <w:rFonts w:hint="eastAsia" w:ascii="宋体" w:hAnsi="宋体" w:eastAsia="宋体" w:cs="宋体"/>
          <w:b/>
          <w:bCs/>
          <w:i w:val="0"/>
          <w:iCs w:val="0"/>
          <w:caps w:val="0"/>
          <w:color w:val="000000"/>
          <w:spacing w:val="0"/>
          <w:sz w:val="24"/>
          <w:szCs w:val="24"/>
          <w:shd w:val="clear" w:fill="FFFFFF"/>
          <w:lang w:val="en-US" w:eastAsia="zh-CN"/>
        </w:rPr>
        <w:t>五、存在的主要问题及改进情况</w:t>
      </w:r>
    </w:p>
    <w:p>
      <w:pPr>
        <w:ind w:firstLine="480" w:firstLineChars="200"/>
        <w:rPr>
          <w:rFonts w:hint="eastAsia" w:ascii="宋体" w:hAnsi="宋体" w:eastAsia="宋体" w:cs="宋体"/>
          <w:b w:val="0"/>
          <w:bCs w:val="0"/>
          <w:i w:val="0"/>
          <w:iCs w:val="0"/>
          <w:caps w:val="0"/>
          <w:color w:val="000000"/>
          <w:spacing w:val="0"/>
          <w:sz w:val="24"/>
          <w:szCs w:val="24"/>
          <w:shd w:val="clear" w:fill="FFFFFF"/>
          <w:lang w:val="en-US" w:eastAsia="zh-CN"/>
        </w:rPr>
      </w:pPr>
      <w:r>
        <w:rPr>
          <w:rFonts w:hint="eastAsia" w:ascii="宋体" w:hAnsi="宋体" w:eastAsia="宋体" w:cs="宋体"/>
          <w:b w:val="0"/>
          <w:bCs w:val="0"/>
          <w:i w:val="0"/>
          <w:iCs w:val="0"/>
          <w:caps w:val="0"/>
          <w:color w:val="000000"/>
          <w:spacing w:val="0"/>
          <w:sz w:val="24"/>
          <w:szCs w:val="24"/>
          <w:shd w:val="clear" w:fill="FFFFFF"/>
          <w:lang w:val="en-US" w:eastAsia="zh-CN"/>
        </w:rPr>
        <w:t>今年以来，我局政府信息公开工作水平虽有所提高，各项工作取得了一些进展，但在工作中仍存在一些不足，仍需加以改进。比如政府信息公开的内容和形式还有待丰富，部分工作宣传有待加强等。2021年，我局将继续按照区委区政府的决策部署，严格落实《条例》要求，完善优化政府信息公开工作长效机制，不断提升政府信息和政务公开工作水平。</w:t>
      </w:r>
    </w:p>
    <w:p>
      <w:pPr>
        <w:ind w:firstLine="480" w:firstLineChars="200"/>
        <w:rPr>
          <w:rFonts w:hint="eastAsia" w:ascii="宋体" w:hAnsi="宋体" w:eastAsia="宋体" w:cs="宋体"/>
          <w:b w:val="0"/>
          <w:bCs w:val="0"/>
          <w:i w:val="0"/>
          <w:iCs w:val="0"/>
          <w:caps w:val="0"/>
          <w:color w:val="000000"/>
          <w:spacing w:val="0"/>
          <w:sz w:val="24"/>
          <w:szCs w:val="24"/>
          <w:shd w:val="clear" w:fill="FFFFFF"/>
          <w:lang w:val="en-US" w:eastAsia="zh-CN"/>
        </w:rPr>
      </w:pPr>
      <w:r>
        <w:rPr>
          <w:rFonts w:hint="eastAsia" w:ascii="宋体" w:hAnsi="宋体" w:eastAsia="宋体" w:cs="宋体"/>
          <w:b w:val="0"/>
          <w:bCs w:val="0"/>
          <w:i w:val="0"/>
          <w:iCs w:val="0"/>
          <w:caps w:val="0"/>
          <w:color w:val="000000"/>
          <w:spacing w:val="0"/>
          <w:sz w:val="24"/>
          <w:szCs w:val="24"/>
          <w:shd w:val="clear" w:fill="FFFFFF"/>
          <w:lang w:val="en-US" w:eastAsia="zh-CN"/>
        </w:rPr>
        <w:t>一是加强政务公开载体建设，确保工作推进有力。依托各类信息载体，开辟网络新媒体路径，从亲民利民的角度出发，打造政务公开专栏，同时积极利用政务微信和微博及时发布各类权威政务服务信息，扩大普及范围，增强信息影响力。</w:t>
      </w:r>
    </w:p>
    <w:p>
      <w:pPr>
        <w:ind w:firstLine="480" w:firstLineChars="200"/>
        <w:rPr>
          <w:rFonts w:hint="eastAsia" w:ascii="宋体" w:hAnsi="宋体" w:eastAsia="宋体" w:cs="宋体"/>
          <w:b w:val="0"/>
          <w:bCs w:val="0"/>
          <w:i w:val="0"/>
          <w:iCs w:val="0"/>
          <w:caps w:val="0"/>
          <w:color w:val="000000"/>
          <w:spacing w:val="0"/>
          <w:sz w:val="24"/>
          <w:szCs w:val="24"/>
          <w:shd w:val="clear" w:fill="FFFFFF"/>
          <w:lang w:val="en-US" w:eastAsia="zh-CN"/>
        </w:rPr>
      </w:pPr>
      <w:r>
        <w:rPr>
          <w:rFonts w:hint="eastAsia" w:ascii="宋体" w:hAnsi="宋体" w:eastAsia="宋体" w:cs="宋体"/>
          <w:b w:val="0"/>
          <w:bCs w:val="0"/>
          <w:i w:val="0"/>
          <w:iCs w:val="0"/>
          <w:caps w:val="0"/>
          <w:color w:val="000000"/>
          <w:spacing w:val="0"/>
          <w:sz w:val="24"/>
          <w:szCs w:val="24"/>
          <w:shd w:val="clear" w:fill="FFFFFF"/>
          <w:lang w:val="en-US" w:eastAsia="zh-CN"/>
        </w:rPr>
        <w:t>二是依法依规做好政府信息依申请公开工作，确保工作细致到位。认真贯彻落实《中华人民共和国政府信息公开条例》精神，增强依法行政观念和时效意识，准确把握依申请公开处理原则，完善受理、审查、处理和答复程序，进一步提高依申请公开办理答复水平。</w:t>
      </w:r>
    </w:p>
    <w:p>
      <w:pPr>
        <w:ind w:firstLine="480" w:firstLineChars="200"/>
        <w:rPr>
          <w:rFonts w:hint="eastAsia" w:ascii="宋体" w:hAnsi="宋体" w:eastAsia="宋体" w:cs="宋体"/>
          <w:b w:val="0"/>
          <w:bCs w:val="0"/>
          <w:i w:val="0"/>
          <w:iCs w:val="0"/>
          <w:caps w:val="0"/>
          <w:color w:val="000000"/>
          <w:spacing w:val="0"/>
          <w:sz w:val="24"/>
          <w:szCs w:val="24"/>
          <w:shd w:val="clear" w:fill="FFFFFF"/>
          <w:lang w:val="en-US" w:eastAsia="zh-CN"/>
        </w:rPr>
      </w:pPr>
      <w:r>
        <w:rPr>
          <w:rFonts w:hint="eastAsia" w:ascii="宋体" w:hAnsi="宋体" w:eastAsia="宋体" w:cs="宋体"/>
          <w:b w:val="0"/>
          <w:bCs w:val="0"/>
          <w:i w:val="0"/>
          <w:iCs w:val="0"/>
          <w:caps w:val="0"/>
          <w:color w:val="000000"/>
          <w:spacing w:val="0"/>
          <w:sz w:val="24"/>
          <w:szCs w:val="24"/>
          <w:shd w:val="clear" w:fill="FFFFFF"/>
          <w:lang w:val="en-US" w:eastAsia="zh-CN"/>
        </w:rPr>
        <w:t>三是加强信息公开队伍建设，确保工作优质高效。不断提升工作人员业务能力和主动公开政府信息的意识，对除涉及国家秘密和依法受到保护的商业秘密外，如实公开，主动公开，并做到内容具体明确，真实可信。</w:t>
      </w:r>
    </w:p>
    <w:p>
      <w:pPr>
        <w:ind w:firstLine="482" w:firstLineChars="200"/>
        <w:rPr>
          <w:rFonts w:ascii="宋体" w:hAnsi="宋体" w:eastAsia="宋体" w:cs="宋体"/>
          <w:b/>
          <w:bCs/>
          <w:sz w:val="24"/>
          <w:szCs w:val="24"/>
        </w:rPr>
      </w:pPr>
      <w:r>
        <w:rPr>
          <w:rFonts w:hint="eastAsia" w:ascii="宋体" w:hAnsi="宋体" w:eastAsia="宋体" w:cs="宋体"/>
          <w:b/>
          <w:bCs/>
          <w:sz w:val="24"/>
          <w:szCs w:val="24"/>
        </w:rPr>
        <w:t>六、其他需要报告的事项</w:t>
      </w: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无</w:t>
      </w:r>
    </w:p>
    <w:sectPr>
      <w:footerReference r:id="rId3" w:type="default"/>
      <w:pgSz w:w="11906" w:h="16838"/>
      <w:pgMar w:top="1440"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6919734"/>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4075A3"/>
    <w:multiLevelType w:val="singleLevel"/>
    <w:tmpl w:val="704075A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669"/>
    <w:rsid w:val="000429A0"/>
    <w:rsid w:val="00096DC5"/>
    <w:rsid w:val="000A26C7"/>
    <w:rsid w:val="000B03EF"/>
    <w:rsid w:val="000C1993"/>
    <w:rsid w:val="000C67C0"/>
    <w:rsid w:val="000E0C5E"/>
    <w:rsid w:val="000E192A"/>
    <w:rsid w:val="000F054B"/>
    <w:rsid w:val="000F6CBB"/>
    <w:rsid w:val="00114B99"/>
    <w:rsid w:val="00155746"/>
    <w:rsid w:val="00160AE1"/>
    <w:rsid w:val="00191C02"/>
    <w:rsid w:val="001D4047"/>
    <w:rsid w:val="002103ED"/>
    <w:rsid w:val="002139CE"/>
    <w:rsid w:val="00262B9B"/>
    <w:rsid w:val="00300E1E"/>
    <w:rsid w:val="00336CF7"/>
    <w:rsid w:val="0035451E"/>
    <w:rsid w:val="003D3B92"/>
    <w:rsid w:val="003E711E"/>
    <w:rsid w:val="00416D51"/>
    <w:rsid w:val="004253CE"/>
    <w:rsid w:val="004967D0"/>
    <w:rsid w:val="004D73DA"/>
    <w:rsid w:val="004E4B70"/>
    <w:rsid w:val="00504BDA"/>
    <w:rsid w:val="00515455"/>
    <w:rsid w:val="00585A9C"/>
    <w:rsid w:val="00594038"/>
    <w:rsid w:val="005C606B"/>
    <w:rsid w:val="005D128B"/>
    <w:rsid w:val="00634E91"/>
    <w:rsid w:val="00666084"/>
    <w:rsid w:val="00667371"/>
    <w:rsid w:val="007178F5"/>
    <w:rsid w:val="00732470"/>
    <w:rsid w:val="00782C19"/>
    <w:rsid w:val="007B17B1"/>
    <w:rsid w:val="007B5621"/>
    <w:rsid w:val="007B6DE2"/>
    <w:rsid w:val="0080399C"/>
    <w:rsid w:val="00822540"/>
    <w:rsid w:val="00831E99"/>
    <w:rsid w:val="00844529"/>
    <w:rsid w:val="0084463A"/>
    <w:rsid w:val="00864104"/>
    <w:rsid w:val="00866A45"/>
    <w:rsid w:val="00882FCE"/>
    <w:rsid w:val="00887377"/>
    <w:rsid w:val="008C4B26"/>
    <w:rsid w:val="00915401"/>
    <w:rsid w:val="00941A7B"/>
    <w:rsid w:val="009458D3"/>
    <w:rsid w:val="009601BA"/>
    <w:rsid w:val="009737BC"/>
    <w:rsid w:val="009E0E6F"/>
    <w:rsid w:val="00A04FB9"/>
    <w:rsid w:val="00A45231"/>
    <w:rsid w:val="00A7351A"/>
    <w:rsid w:val="00A76BD9"/>
    <w:rsid w:val="00AD6863"/>
    <w:rsid w:val="00B16D57"/>
    <w:rsid w:val="00B34B60"/>
    <w:rsid w:val="00B50AB5"/>
    <w:rsid w:val="00B751E4"/>
    <w:rsid w:val="00B83021"/>
    <w:rsid w:val="00B86BEF"/>
    <w:rsid w:val="00B93336"/>
    <w:rsid w:val="00BC6098"/>
    <w:rsid w:val="00C834FE"/>
    <w:rsid w:val="00CD1012"/>
    <w:rsid w:val="00CF3763"/>
    <w:rsid w:val="00D72931"/>
    <w:rsid w:val="00DC3320"/>
    <w:rsid w:val="00E05F91"/>
    <w:rsid w:val="00E1093B"/>
    <w:rsid w:val="00E1401D"/>
    <w:rsid w:val="00E40A4D"/>
    <w:rsid w:val="00E73B0E"/>
    <w:rsid w:val="00EA0B0A"/>
    <w:rsid w:val="00EB1AAF"/>
    <w:rsid w:val="00EB486F"/>
    <w:rsid w:val="00EC161F"/>
    <w:rsid w:val="00EC335E"/>
    <w:rsid w:val="00EE4669"/>
    <w:rsid w:val="00EE507F"/>
    <w:rsid w:val="00EF5CFE"/>
    <w:rsid w:val="00F46632"/>
    <w:rsid w:val="00F56DF8"/>
    <w:rsid w:val="00FF4EA9"/>
    <w:rsid w:val="01C74C41"/>
    <w:rsid w:val="03615DE6"/>
    <w:rsid w:val="04B70161"/>
    <w:rsid w:val="06A434A5"/>
    <w:rsid w:val="0D1C7438"/>
    <w:rsid w:val="0EF95E3E"/>
    <w:rsid w:val="0F841BAC"/>
    <w:rsid w:val="10D94ED9"/>
    <w:rsid w:val="12AB7BEB"/>
    <w:rsid w:val="13916BB7"/>
    <w:rsid w:val="16F67B0A"/>
    <w:rsid w:val="18DE0B8B"/>
    <w:rsid w:val="1D326A70"/>
    <w:rsid w:val="1F4E26E0"/>
    <w:rsid w:val="21463587"/>
    <w:rsid w:val="243F343F"/>
    <w:rsid w:val="2AFE7BEA"/>
    <w:rsid w:val="2B25609B"/>
    <w:rsid w:val="2BC71311"/>
    <w:rsid w:val="2F560859"/>
    <w:rsid w:val="31C902D1"/>
    <w:rsid w:val="345E7490"/>
    <w:rsid w:val="34707FB0"/>
    <w:rsid w:val="393D0938"/>
    <w:rsid w:val="393E5745"/>
    <w:rsid w:val="3B291E3A"/>
    <w:rsid w:val="3BA453BA"/>
    <w:rsid w:val="3E620C74"/>
    <w:rsid w:val="3ED76D58"/>
    <w:rsid w:val="400E44FB"/>
    <w:rsid w:val="450C3AC5"/>
    <w:rsid w:val="49181DCF"/>
    <w:rsid w:val="4A02676F"/>
    <w:rsid w:val="4BCC7E94"/>
    <w:rsid w:val="4F9D7EC4"/>
    <w:rsid w:val="51D907C9"/>
    <w:rsid w:val="524F43BC"/>
    <w:rsid w:val="56B07488"/>
    <w:rsid w:val="608B5AEC"/>
    <w:rsid w:val="61382CF4"/>
    <w:rsid w:val="68EE3DB7"/>
    <w:rsid w:val="69912B2A"/>
    <w:rsid w:val="6DA66DF4"/>
    <w:rsid w:val="6FB026B2"/>
    <w:rsid w:val="70E7254E"/>
    <w:rsid w:val="71917722"/>
    <w:rsid w:val="72544ACF"/>
    <w:rsid w:val="74484734"/>
    <w:rsid w:val="792539DA"/>
    <w:rsid w:val="79F53FD4"/>
    <w:rsid w:val="7D5102A0"/>
    <w:rsid w:val="7E483938"/>
    <w:rsid w:val="7FB82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rPr>
      <w:sz w:val="24"/>
    </w:rPr>
  </w:style>
  <w:style w:type="character" w:styleId="9">
    <w:name w:val="Strong"/>
    <w:basedOn w:val="8"/>
    <w:qFormat/>
    <w:uiPriority w:val="22"/>
    <w:rPr>
      <w:b/>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215</Words>
  <Characters>1231</Characters>
  <Lines>10</Lines>
  <Paragraphs>2</Paragraphs>
  <TotalTime>7</TotalTime>
  <ScaleCrop>false</ScaleCrop>
  <LinksUpToDate>false</LinksUpToDate>
  <CharactersWithSpaces>1444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2021-01-09T06:07:00Z</dcterms:created>
  <dc:creator>lenovo</dc:creator>
  <cp:lastModifiedBy>饺子</cp:lastModifiedBy>
  <cp:lastPrinted>2021-12-30T02:42:00Z</cp:lastPrinted>
  <dcterms:modified xsi:type="dcterms:W3CDTF">2021-12-30T02:47:27Z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12F0638088304BD8ADE207BCD3AD392D</vt:lpwstr>
  </property>
</Properties>
</file>