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10" w:lineRule="auto"/>
        <w:ind w:left="2415" w:firstLine="1290" w:firstLineChars="30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昌邑区新建街道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 xml:space="preserve">政务公开事项标准目录 </w:t>
      </w:r>
    </w:p>
    <w:p>
      <w:pPr>
        <w:spacing w:line="380" w:lineRule="auto"/>
        <w:rPr>
          <w:rFonts w:ascii="Arial"/>
          <w:sz w:val="21"/>
        </w:rPr>
      </w:pP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306"/>
        <w:gridCol w:w="1446"/>
        <w:gridCol w:w="1152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3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top"/>
          </w:tcPr>
          <w:p>
            <w:pPr>
              <w:spacing w:before="28"/>
              <w:ind w:left="113" w:right="118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名称、办公地址、办公电话、传真、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3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top"/>
          </w:tcPr>
          <w:p>
            <w:pPr>
              <w:spacing w:before="29"/>
              <w:ind w:left="109" w:right="107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部门最新法定职能</w:t>
            </w:r>
          </w:p>
        </w:tc>
        <w:tc>
          <w:tcPr>
            <w:tcW w:w="2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7" w:lineRule="auto"/>
              <w:ind w:left="21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领导信息、工作分工、简历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等</w:t>
            </w:r>
          </w:p>
        </w:tc>
        <w:tc>
          <w:tcPr>
            <w:tcW w:w="2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2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ind w:left="1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top"/>
          </w:tcPr>
          <w:p>
            <w:pPr>
              <w:spacing w:before="152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top"/>
          </w:tcPr>
          <w:p>
            <w:pPr>
              <w:spacing w:before="151" w:line="226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30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3" w:line="227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top"/>
          </w:tcPr>
          <w:p>
            <w:pPr>
              <w:spacing w:before="142" w:line="227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3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35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top"/>
          </w:tcPr>
          <w:p>
            <w:pPr>
              <w:spacing w:before="135" w:line="228" w:lineRule="auto"/>
              <w:ind w:left="11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14" w:type="dxa"/>
            <w:vMerge w:val="restart"/>
            <w:vAlign w:val="center"/>
          </w:tcPr>
          <w:p>
            <w:pPr>
              <w:spacing w:line="255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49" w:line="197" w:lineRule="auto"/>
              <w:ind w:left="165"/>
              <w:jc w:val="center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  <w:t>3</w:t>
            </w:r>
          </w:p>
          <w:p>
            <w:pPr>
              <w:spacing w:before="212" w:line="197" w:lineRule="auto"/>
              <w:ind w:left="161"/>
              <w:jc w:val="center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7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17"/>
                <w:szCs w:val="17"/>
                <w:lang w:val="en-US" w:eastAsia="zh-CN"/>
              </w:rPr>
              <w:t>重点领域信息公开</w:t>
            </w:r>
          </w:p>
          <w:p>
            <w:pPr>
              <w:spacing w:before="181" w:line="278" w:lineRule="exact"/>
              <w:jc w:val="center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</w:rPr>
              <w:t>政务公开专栏</w:t>
            </w:r>
          </w:p>
        </w:tc>
        <w:tc>
          <w:tcPr>
            <w:tcW w:w="3429" w:type="dxa"/>
            <w:tcBorders>
              <w:bottom w:val="single" w:color="auto" w:sz="4" w:space="0"/>
            </w:tcBorders>
            <w:vAlign w:val="center"/>
          </w:tcPr>
          <w:p>
            <w:pPr>
              <w:spacing w:before="142" w:line="227" w:lineRule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 xml:space="preserve">信息公开指南、信息公开年报 、年度信息公开工作要点、信息依申请公开平台、途径、咨询投诉举报电话 、信息公开相关文件、信息公开制度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0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446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spacing w:before="181" w:line="278" w:lineRule="exact"/>
              <w:ind w:left="197"/>
              <w:jc w:val="center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2" w:line="227" w:lineRule="auto"/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养老服务领域</w:t>
            </w:r>
          </w:p>
        </w:tc>
        <w:tc>
          <w:tcPr>
            <w:tcW w:w="3429" w:type="dxa"/>
            <w:vAlign w:val="top"/>
          </w:tcPr>
          <w:p>
            <w:pPr>
              <w:spacing w:before="142" w:line="227" w:lineRule="auto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各项老年人补贴申领数量、各项老年人补贴申领审核通过数量、各项老年人补贴申领审核通过名单、各项老年人补贴发放总金额</w:t>
            </w:r>
          </w:p>
        </w:tc>
        <w:tc>
          <w:tcPr>
            <w:tcW w:w="2306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吉林市人民政府办公厅《关于印发吉林市高龄老年人生活津贴发放实施方案的通知》吉市政办发[2011]23号</w:t>
            </w:r>
          </w:p>
        </w:tc>
        <w:tc>
          <w:tcPr>
            <w:tcW w:w="1446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color w:val="auto"/>
                <w:spacing w:val="2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color w:val="auto"/>
                <w:spacing w:val="5"/>
                <w:position w:val="2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eastAsia="方正小标宋简体"/>
                <w:sz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就业领域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对象范围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政策申请条件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政策申请材料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办理流程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办理地点（方式）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咨询电话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《中华人民共和国政府信息公开条例》（中华人民共和国国务院 令第711号）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《中华人民共和国就业促进法》（2007年8月30日第十届全国人民 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《人力资源市场暂行条例》（中华人民共和国国务院令第700号）</w:t>
            </w:r>
          </w:p>
        </w:tc>
        <w:tc>
          <w:tcPr>
            <w:tcW w:w="1446" w:type="dxa"/>
            <w:vAlign w:val="center"/>
          </w:tcPr>
          <w:p>
            <w:pPr>
              <w:spacing w:line="43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jc w:val="both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center"/>
          </w:tcPr>
          <w:p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Align w:val="center"/>
          </w:tcPr>
          <w:p>
            <w:pPr>
              <w:spacing w:before="144" w:line="228" w:lineRule="auto"/>
              <w:ind w:left="134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jc w:val="both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center"/>
          </w:tcPr>
          <w:p>
            <w:pPr>
              <w:spacing w:before="29" w:line="229" w:lineRule="auto"/>
              <w:ind w:left="13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jc w:val="both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center"/>
          </w:tcPr>
          <w:p>
            <w:pPr>
              <w:spacing w:before="29" w:line="228" w:lineRule="auto"/>
              <w:ind w:left="13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jc w:val="both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jc w:val="both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center"/>
          </w:tcPr>
          <w:p>
            <w:pPr>
              <w:spacing w:before="55" w:line="227" w:lineRule="auto"/>
              <w:ind w:left="108" w:leftChars="0"/>
              <w:jc w:val="both"/>
              <w:rPr>
                <w:rFonts w:ascii="Arial"/>
                <w:sz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414" w:type="dxa"/>
            <w:vMerge w:val="continue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color w:val="auto"/>
                <w:spacing w:val="2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before="181" w:line="278" w:lineRule="exact"/>
              <w:ind w:left="197"/>
              <w:rPr>
                <w:rFonts w:ascii="宋体" w:hAnsi="宋体" w:eastAsia="宋体" w:cs="宋体"/>
                <w:color w:val="auto"/>
                <w:spacing w:val="5"/>
                <w:position w:val="2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安全生产领域</w:t>
            </w:r>
          </w:p>
        </w:tc>
        <w:tc>
          <w:tcPr>
            <w:tcW w:w="3429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与安全生产有关的法律、法规、与安全生产有关的部门和地方规章、其他可以公开的与安全生产有关的政策文件，包括改革方案、发展规划、专项规划、工作计划等</w:t>
            </w:r>
          </w:p>
        </w:tc>
        <w:tc>
          <w:tcPr>
            <w:tcW w:w="230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446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新建街道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spacing w:before="55" w:line="227" w:lineRule="auto"/>
              <w:ind w:left="108" w:leftChars="0"/>
              <w:rPr>
                <w:rFonts w:ascii="Arial"/>
                <w:sz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Y2UwN2ExZWI5ZTE1YzA3ZTY5NGM3YmYzODhhYTgifQ=="/>
  </w:docVars>
  <w:rsids>
    <w:rsidRoot w:val="216D30AC"/>
    <w:rsid w:val="17F95E82"/>
    <w:rsid w:val="1F470AC2"/>
    <w:rsid w:val="216D30AC"/>
    <w:rsid w:val="43F16A96"/>
    <w:rsid w:val="49417056"/>
    <w:rsid w:val="4DB55C61"/>
    <w:rsid w:val="6AE572C5"/>
    <w:rsid w:val="7AC51B7A"/>
    <w:rsid w:val="7C7A0219"/>
    <w:rsid w:val="7D7653AD"/>
    <w:rsid w:val="7DB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1238</Characters>
  <Lines>0</Lines>
  <Paragraphs>0</Paragraphs>
  <TotalTime>3</TotalTime>
  <ScaleCrop>false</ScaleCrop>
  <LinksUpToDate>false</LinksUpToDate>
  <CharactersWithSpaces>1277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2022-11-16T10:37:00Z</dcterms:created>
  <dc:creator>胡海华</dc:creator>
  <cp:lastModifiedBy>CHxi</cp:lastModifiedBy>
  <cp:lastPrinted>2022-11-16T13:18:00Z</cp:lastPrinted>
  <dcterms:modified xsi:type="dcterms:W3CDTF">2022-11-22T05:57:07Z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7EB2FDBB29E54A80B237C473151ACEAD</vt:lpwstr>
  </property>
</Properties>
</file>