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8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7"/>
        <w:gridCol w:w="1101"/>
        <w:gridCol w:w="8010"/>
        <w:gridCol w:w="1200"/>
        <w:gridCol w:w="1250"/>
        <w:gridCol w:w="1379"/>
        <w:gridCol w:w="1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4847"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eastAsia="宋体" w:cs="宋体"/>
                <w:i w:val="0"/>
                <w:iCs w:val="0"/>
                <w:color w:val="000000"/>
                <w:sz w:val="32"/>
                <w:szCs w:val="32"/>
                <w:u w:val="none"/>
              </w:rPr>
            </w:pPr>
            <w:r>
              <w:rPr>
                <w:rFonts w:hint="eastAsia" w:ascii="黑体" w:eastAsia="黑体" w:cs="黑体"/>
                <w:i w:val="0"/>
                <w:iCs w:val="0"/>
                <w:color w:val="000000"/>
                <w:kern w:val="0"/>
                <w:sz w:val="34"/>
                <w:szCs w:val="34"/>
                <w:u w:val="none"/>
                <w:lang w:val="en-US" w:eastAsia="zh-CN"/>
              </w:rPr>
              <w:t>附件</w:t>
            </w:r>
            <w:r>
              <w:rPr>
                <w:rFonts w:ascii="Times New Roman" w:hAnsi="Times New Roman" w:eastAsia="宋体" w:cs="Times New Roman"/>
                <w:i w:val="0"/>
                <w:iCs w:val="0"/>
                <w:color w:val="000000"/>
                <w:kern w:val="0"/>
                <w:sz w:val="34"/>
                <w:szCs w:val="3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4847" w:type="dxa"/>
            <w:gridSpan w:val="7"/>
            <w:tcBorders>
              <w:top w:val="nil"/>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小标宋简体" w:eastAsia="方正小标宋简体" w:cs="方正小标宋简体"/>
                <w:i w:val="0"/>
                <w:iCs w:val="0"/>
                <w:color w:val="000000"/>
                <w:sz w:val="44"/>
                <w:szCs w:val="44"/>
                <w:u w:val="none"/>
              </w:rPr>
            </w:pPr>
            <w:bookmarkStart w:id="0" w:name="_GoBack"/>
            <w:r>
              <w:rPr>
                <w:rFonts w:hint="eastAsia" w:ascii="方正小标宋简体" w:eastAsia="方正小标宋简体" w:cs="方正小标宋简体"/>
                <w:i w:val="0"/>
                <w:iCs w:val="0"/>
                <w:color w:val="000000"/>
                <w:kern w:val="0"/>
                <w:sz w:val="44"/>
                <w:szCs w:val="44"/>
                <w:u w:val="none"/>
                <w:lang w:val="en-US" w:eastAsia="zh-CN"/>
              </w:rPr>
              <w:t>《蛟河市支持民营经济高质量发展实施方案》任务分解表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65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eastAsia="黑体" w:cs="黑体"/>
                <w:b w:val="0"/>
                <w:bCs w:val="0"/>
                <w:i w:val="0"/>
                <w:iCs w:val="0"/>
                <w:color w:val="000000"/>
                <w:sz w:val="22"/>
                <w:szCs w:val="22"/>
                <w:u w:val="none"/>
              </w:rPr>
            </w:pPr>
            <w:r>
              <w:rPr>
                <w:rFonts w:hint="eastAsia" w:ascii="黑体" w:eastAsia="黑体" w:cs="黑体"/>
                <w:b w:val="0"/>
                <w:bCs w:val="0"/>
                <w:i w:val="0"/>
                <w:iCs w:val="0"/>
                <w:color w:val="000000"/>
                <w:kern w:val="0"/>
                <w:sz w:val="22"/>
                <w:szCs w:val="22"/>
                <w:u w:val="none"/>
                <w:lang w:val="en-US" w:eastAsia="zh-CN"/>
              </w:rPr>
              <w:t>序号</w:t>
            </w:r>
          </w:p>
        </w:tc>
        <w:tc>
          <w:tcPr>
            <w:tcW w:w="11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eastAsia="黑体" w:cs="黑体"/>
                <w:b w:val="0"/>
                <w:bCs w:val="0"/>
                <w:i w:val="0"/>
                <w:iCs w:val="0"/>
                <w:color w:val="000000"/>
                <w:sz w:val="22"/>
                <w:szCs w:val="22"/>
                <w:u w:val="none"/>
              </w:rPr>
            </w:pPr>
            <w:r>
              <w:rPr>
                <w:rFonts w:hint="eastAsia" w:ascii="黑体" w:eastAsia="黑体" w:cs="黑体"/>
                <w:b w:val="0"/>
                <w:bCs w:val="0"/>
                <w:i w:val="0"/>
                <w:iCs w:val="0"/>
                <w:color w:val="000000"/>
                <w:kern w:val="0"/>
                <w:sz w:val="22"/>
                <w:szCs w:val="22"/>
                <w:u w:val="none"/>
                <w:lang w:val="en-US" w:eastAsia="zh-CN"/>
              </w:rPr>
              <w:t>分类</w:t>
            </w:r>
          </w:p>
        </w:tc>
        <w:tc>
          <w:tcPr>
            <w:tcW w:w="801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eastAsia="黑体" w:cs="黑体"/>
                <w:b w:val="0"/>
                <w:bCs w:val="0"/>
                <w:i w:val="0"/>
                <w:iCs w:val="0"/>
                <w:color w:val="000000"/>
                <w:sz w:val="22"/>
                <w:szCs w:val="22"/>
                <w:u w:val="none"/>
              </w:rPr>
            </w:pPr>
            <w:r>
              <w:rPr>
                <w:rFonts w:hint="eastAsia" w:ascii="黑体" w:eastAsia="黑体" w:cs="黑体"/>
                <w:b w:val="0"/>
                <w:bCs w:val="0"/>
                <w:i w:val="0"/>
                <w:iCs w:val="0"/>
                <w:color w:val="000000"/>
                <w:kern w:val="0"/>
                <w:sz w:val="22"/>
                <w:szCs w:val="22"/>
                <w:u w:val="none"/>
                <w:lang w:val="en-US" w:eastAsia="zh-CN"/>
              </w:rPr>
              <w:t>工作任务</w:t>
            </w:r>
          </w:p>
        </w:tc>
        <w:tc>
          <w:tcPr>
            <w:tcW w:w="120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eastAsia="黑体" w:cs="黑体"/>
                <w:b w:val="0"/>
                <w:bCs w:val="0"/>
                <w:i w:val="0"/>
                <w:iCs w:val="0"/>
                <w:color w:val="000000"/>
                <w:sz w:val="22"/>
                <w:szCs w:val="22"/>
                <w:u w:val="none"/>
              </w:rPr>
            </w:pPr>
            <w:r>
              <w:rPr>
                <w:rFonts w:hint="eastAsia" w:ascii="黑体" w:eastAsia="黑体" w:cs="黑体"/>
                <w:b w:val="0"/>
                <w:bCs w:val="0"/>
                <w:i w:val="0"/>
                <w:iCs w:val="0"/>
                <w:color w:val="000000"/>
                <w:kern w:val="0"/>
                <w:sz w:val="22"/>
                <w:szCs w:val="22"/>
                <w:u w:val="none"/>
                <w:lang w:val="en-US" w:eastAsia="zh-CN"/>
              </w:rPr>
              <w:t>工作措施</w:t>
            </w:r>
          </w:p>
        </w:tc>
        <w:tc>
          <w:tcPr>
            <w:tcW w:w="12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eastAsia="黑体" w:cs="黑体"/>
                <w:b w:val="0"/>
                <w:bCs w:val="0"/>
                <w:i w:val="0"/>
                <w:iCs w:val="0"/>
                <w:color w:val="000000"/>
                <w:sz w:val="22"/>
                <w:szCs w:val="22"/>
                <w:u w:val="none"/>
              </w:rPr>
            </w:pPr>
            <w:r>
              <w:rPr>
                <w:rFonts w:hint="eastAsia" w:ascii="黑体" w:eastAsia="黑体" w:cs="黑体"/>
                <w:b w:val="0"/>
                <w:bCs w:val="0"/>
                <w:i w:val="0"/>
                <w:iCs w:val="0"/>
                <w:color w:val="000000"/>
                <w:kern w:val="0"/>
                <w:sz w:val="22"/>
                <w:szCs w:val="22"/>
                <w:u w:val="none"/>
                <w:lang w:val="en-US" w:eastAsia="zh-CN"/>
              </w:rPr>
              <w:t>工作进展</w:t>
            </w:r>
          </w:p>
        </w:tc>
        <w:tc>
          <w:tcPr>
            <w:tcW w:w="1379"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eastAsia="黑体" w:cs="黑体"/>
                <w:b w:val="0"/>
                <w:bCs w:val="0"/>
                <w:i w:val="0"/>
                <w:iCs w:val="0"/>
                <w:color w:val="000000"/>
                <w:sz w:val="22"/>
                <w:szCs w:val="22"/>
                <w:u w:val="none"/>
              </w:rPr>
            </w:pPr>
            <w:r>
              <w:rPr>
                <w:rFonts w:hint="eastAsia" w:ascii="黑体" w:eastAsia="黑体" w:cs="黑体"/>
                <w:b w:val="0"/>
                <w:bCs w:val="0"/>
                <w:i w:val="0"/>
                <w:iCs w:val="0"/>
                <w:color w:val="000000"/>
                <w:kern w:val="0"/>
                <w:sz w:val="22"/>
                <w:szCs w:val="22"/>
                <w:u w:val="none"/>
                <w:lang w:val="en-US" w:eastAsia="zh-CN"/>
              </w:rPr>
              <w:t>责任部门</w:t>
            </w:r>
          </w:p>
        </w:tc>
        <w:tc>
          <w:tcPr>
            <w:tcW w:w="125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eastAsia="黑体" w:cs="黑体"/>
                <w:b w:val="0"/>
                <w:bCs w:val="0"/>
                <w:i w:val="0"/>
                <w:iCs w:val="0"/>
                <w:color w:val="000000"/>
                <w:sz w:val="22"/>
                <w:szCs w:val="22"/>
                <w:u w:val="none"/>
              </w:rPr>
            </w:pPr>
            <w:r>
              <w:rPr>
                <w:rFonts w:hint="eastAsia" w:ascii="黑体" w:eastAsia="黑体" w:cs="黑体"/>
                <w:b w:val="0"/>
                <w:bCs w:val="0"/>
                <w:i w:val="0"/>
                <w:iCs w:val="0"/>
                <w:color w:val="000000"/>
                <w:kern w:val="0"/>
                <w:sz w:val="22"/>
                <w:szCs w:val="22"/>
                <w:u w:val="none"/>
                <w:lang w:val="en-US" w:eastAsia="zh-CN"/>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Times New Roman"/>
                <w:i w:val="0"/>
                <w:iCs w:val="0"/>
                <w:color w:val="000000"/>
                <w:sz w:val="22"/>
                <w:szCs w:val="22"/>
                <w:u w:val="none"/>
              </w:rPr>
            </w:pPr>
            <w:r>
              <w:rPr>
                <w:rFonts w:ascii="Times New Roman" w:hAnsi="Times New Roman" w:eastAsia="黑体" w:cs="Times New Roman"/>
                <w:i w:val="0"/>
                <w:iCs w:val="0"/>
                <w:color w:val="000000"/>
                <w:kern w:val="0"/>
                <w:sz w:val="22"/>
                <w:szCs w:val="22"/>
                <w:u w:val="none"/>
                <w:lang w:val="en-US" w:eastAsia="zh-CN"/>
              </w:rPr>
              <w:t>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一、实施助企资金驱动工程</w:t>
            </w:r>
          </w:p>
        </w:tc>
        <w:tc>
          <w:tcPr>
            <w:tcW w:w="8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①支持民营经济做大做强。对营业收入（以纳税申报额为准）首次突破10亿元、30亿元，分别给予10万元、50万元；对首次纳入规模工业企业库的企业给予5万元奖励，对新晋统计平台的规模以上服务业企业给予5万元一次性奖励；对参与GDP核算的规模以上服务业企业，完成增长10%产值每年给予1万元奖励；对获批省级现代服务业集聚区的经营主体给予10万元一次性奖励；对被评为省级、市级优秀服务业企业分别给予10万元、5万元一次性奖励（以上政策不同时享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eastAsia="宋体" w:cs="宋体"/>
                <w:i w:val="0"/>
                <w:iCs w:val="0"/>
                <w:color w:val="000000"/>
                <w:sz w:val="18"/>
                <w:szCs w:val="1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eastAsia="宋体" w:cs="宋体"/>
                <w:i w:val="0"/>
                <w:iCs w:val="0"/>
                <w:color w:val="000000"/>
                <w:sz w:val="18"/>
                <w:szCs w:val="18"/>
                <w:u w:val="none"/>
              </w:rPr>
            </w:pPr>
          </w:p>
        </w:tc>
        <w:tc>
          <w:tcPr>
            <w:tcW w:w="13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财政局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工信局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发改局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Times New Roman"/>
                <w:i w:val="0"/>
                <w:iCs w:val="0"/>
                <w:color w:val="000000"/>
                <w:sz w:val="22"/>
                <w:szCs w:val="22"/>
                <w:u w:val="none"/>
              </w:rPr>
            </w:pPr>
            <w:r>
              <w:rPr>
                <w:rFonts w:ascii="Times New Roman" w:hAnsi="Times New Roman" w:eastAsia="黑体" w:cs="Times New Roman"/>
                <w:i w:val="0"/>
                <w:iCs w:val="0"/>
                <w:color w:val="000000"/>
                <w:kern w:val="0"/>
                <w:sz w:val="22"/>
                <w:szCs w:val="22"/>
                <w:u w:val="none"/>
                <w:lang w:val="en-US" w:eastAsia="zh-CN"/>
              </w:rPr>
              <w:t>2</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②支持“专精特新”民营企业加快发展。强化“专精特新”中小企业梯度培育，对认定为吉林市级以上的“专精特新”中小企业和新认定的国家、省、市级企业技术中心，按照《蛟河市促进“专精特新”中小企业高质量发展工作实施方案》给予扶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eastAsia="宋体" w:cs="宋体"/>
                <w:i w:val="0"/>
                <w:iCs w:val="0"/>
                <w:color w:val="000000"/>
                <w:sz w:val="18"/>
                <w:szCs w:val="1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eastAsia="宋体" w:cs="宋体"/>
                <w:i w:val="0"/>
                <w:iCs w:val="0"/>
                <w:color w:val="000000"/>
                <w:sz w:val="18"/>
                <w:szCs w:val="18"/>
                <w:u w:val="none"/>
              </w:rPr>
            </w:pPr>
          </w:p>
        </w:tc>
        <w:tc>
          <w:tcPr>
            <w:tcW w:w="13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财政局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工信局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Times New Roman"/>
                <w:i w:val="0"/>
                <w:iCs w:val="0"/>
                <w:color w:val="000000"/>
                <w:sz w:val="22"/>
                <w:szCs w:val="22"/>
                <w:u w:val="none"/>
              </w:rPr>
            </w:pPr>
            <w:r>
              <w:rPr>
                <w:rFonts w:ascii="Times New Roman" w:hAnsi="Times New Roman" w:eastAsia="黑体" w:cs="Times New Roman"/>
                <w:i w:val="0"/>
                <w:iCs w:val="0"/>
                <w:color w:val="000000"/>
                <w:kern w:val="0"/>
                <w:sz w:val="22"/>
                <w:szCs w:val="22"/>
                <w:u w:val="none"/>
                <w:lang w:val="en-US" w:eastAsia="zh-CN"/>
              </w:rPr>
              <w:t>3</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③激发创新意识，支持民营企业与科研院所深入合作。催动民营企业科技成果转化，提升民营企业科技创新能力水平。强化科技型企业培育力度。对首次认定的国家高新技术企业，给予5万元补助；对重新认定的国家高新技术企业，给予3万元补助；对外地迁移到本地的国家高新技术企业，给予5万元补助；对获得“中国专利金奖”“中国专利银奖”“中国专利优秀奖”的争取吉林市知识产权专项奖补资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eastAsia="宋体" w:cs="宋体"/>
                <w:i w:val="0"/>
                <w:iCs w:val="0"/>
                <w:color w:val="000000"/>
                <w:sz w:val="18"/>
                <w:szCs w:val="1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eastAsia="宋体" w:cs="宋体"/>
                <w:i w:val="0"/>
                <w:iCs w:val="0"/>
                <w:color w:val="000000"/>
                <w:sz w:val="18"/>
                <w:szCs w:val="18"/>
                <w:u w:val="none"/>
              </w:rPr>
            </w:pPr>
          </w:p>
        </w:tc>
        <w:tc>
          <w:tcPr>
            <w:tcW w:w="13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财政局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工信局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sz w:val="20"/>
                <w:szCs w:val="20"/>
                <w:u w:val="none"/>
              </w:rPr>
            </w:pPr>
            <w:r>
              <w:rPr>
                <w:rFonts w:hint="eastAsia" w:ascii="宋体" w:cs="宋体"/>
                <w:i w:val="0"/>
                <w:iCs w:val="0"/>
                <w:color w:val="000000"/>
                <w:kern w:val="0"/>
                <w:sz w:val="20"/>
                <w:szCs w:val="20"/>
                <w:u w:val="none"/>
                <w:lang w:val="en-US" w:eastAsia="zh-CN"/>
              </w:rPr>
              <w:t>市场监管局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Times New Roman"/>
                <w:i w:val="0"/>
                <w:iCs w:val="0"/>
                <w:color w:val="000000"/>
                <w:sz w:val="22"/>
                <w:szCs w:val="22"/>
                <w:u w:val="none"/>
              </w:rPr>
            </w:pPr>
            <w:r>
              <w:rPr>
                <w:rFonts w:ascii="Times New Roman" w:hAnsi="Times New Roman" w:eastAsia="黑体" w:cs="Times New Roman"/>
                <w:i w:val="0"/>
                <w:iCs w:val="0"/>
                <w:color w:val="000000"/>
                <w:kern w:val="0"/>
                <w:sz w:val="22"/>
                <w:szCs w:val="22"/>
                <w:u w:val="none"/>
                <w:lang w:val="en-US" w:eastAsia="zh-CN"/>
              </w:rPr>
              <w:t>4</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④支持民营企业参与农业产业化发展，支持企业申报国家级、省级、市级农业产业化重点龙头企业，申报吉林市级奖励资金；支持民营企业参与畜牧业产业化发展，按要求做好申报确认、兑现</w:t>
            </w:r>
            <w:r>
              <w:rPr>
                <w:rFonts w:hint="eastAsia" w:ascii="宋体" w:eastAsia="宋体" w:cs="宋体"/>
                <w:i w:val="0"/>
                <w:iCs w:val="0"/>
                <w:color w:val="000000"/>
                <w:spacing w:val="-6"/>
                <w:kern w:val="0"/>
                <w:sz w:val="18"/>
                <w:szCs w:val="18"/>
                <w:u w:val="none"/>
                <w:lang w:val="en-US" w:eastAsia="zh-CN"/>
              </w:rPr>
              <w:t>奖励等工作；加大林业产业发展支持力度。采取以补代奖等形式，积极争取国家相关部门资金支持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eastAsia="宋体" w:cs="宋体"/>
                <w:i w:val="0"/>
                <w:iCs w:val="0"/>
                <w:color w:val="000000"/>
                <w:sz w:val="18"/>
                <w:szCs w:val="1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eastAsia="宋体" w:cs="宋体"/>
                <w:i w:val="0"/>
                <w:iCs w:val="0"/>
                <w:color w:val="000000"/>
                <w:sz w:val="18"/>
                <w:szCs w:val="18"/>
                <w:u w:val="none"/>
              </w:rPr>
            </w:pPr>
          </w:p>
        </w:tc>
        <w:tc>
          <w:tcPr>
            <w:tcW w:w="13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财政局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畜牧局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sz w:val="22"/>
                <w:szCs w:val="22"/>
                <w:u w:val="none"/>
                <w:lang w:val="en-US" w:eastAsia="zh-CN"/>
              </w:rPr>
            </w:pPr>
            <w:r>
              <w:rPr>
                <w:rFonts w:hint="eastAsia" w:ascii="Times New Roman" w:hAnsi="Times New Roman" w:eastAsia="黑体" w:cs="Times New Roman"/>
                <w:i w:val="0"/>
                <w:iCs w:val="0"/>
                <w:color w:val="000000"/>
                <w:sz w:val="22"/>
                <w:szCs w:val="22"/>
                <w:u w:val="none"/>
                <w:lang w:val="en-US" w:eastAsia="zh-CN"/>
              </w:rPr>
              <w:t>5</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⑤支持外贸企业参加境内外展会。组织外贸企业开拓国际市场，参加国内外国际性展会的，给与线下展位费及人员经费和运输费支持；参加线上展会的线上展位费单次支持不超过1.5万元，全年支持不超过6万元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eastAsia="宋体" w:cs="宋体"/>
                <w:i w:val="0"/>
                <w:iCs w:val="0"/>
                <w:color w:val="000000"/>
                <w:sz w:val="18"/>
                <w:szCs w:val="1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eastAsia="宋体" w:cs="宋体"/>
                <w:i w:val="0"/>
                <w:iCs w:val="0"/>
                <w:color w:val="000000"/>
                <w:sz w:val="18"/>
                <w:szCs w:val="18"/>
                <w:u w:val="none"/>
              </w:rPr>
            </w:pPr>
          </w:p>
        </w:tc>
        <w:tc>
          <w:tcPr>
            <w:tcW w:w="13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财政局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商务局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Times New Roman"/>
                <w:i w:val="0"/>
                <w:iCs w:val="0"/>
                <w:color w:val="000000"/>
                <w:kern w:val="2"/>
                <w:sz w:val="22"/>
                <w:szCs w:val="22"/>
                <w:u w:val="none"/>
                <w:lang w:val="en-US" w:eastAsia="zh-CN" w:bidi="ar-SA"/>
              </w:rPr>
            </w:pPr>
            <w:r>
              <w:rPr>
                <w:rFonts w:hint="eastAsia" w:ascii="Times New Roman" w:hAnsi="Times New Roman" w:eastAsia="黑体" w:cs="Times New Roman"/>
                <w:i w:val="0"/>
                <w:iCs w:val="0"/>
                <w:color w:val="000000"/>
                <w:kern w:val="0"/>
                <w:sz w:val="22"/>
                <w:szCs w:val="22"/>
                <w:u w:val="none"/>
                <w:lang w:val="en-US" w:eastAsia="zh-CN"/>
              </w:rPr>
              <w:t>6</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⑥推进跨境电商产业发展，支持外贸企业投保出口信用保险。大力开展跨境电商工作，依据相关政策，支持跨境电商企业开展跨境电商零售进出口业务、与网络平台国际站合作等方面给予资金支持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eastAsia="宋体" w:cs="宋体"/>
                <w:i w:val="0"/>
                <w:iCs w:val="0"/>
                <w:color w:val="000000"/>
                <w:sz w:val="18"/>
                <w:szCs w:val="1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eastAsia="宋体" w:cs="宋体"/>
                <w:i w:val="0"/>
                <w:iCs w:val="0"/>
                <w:color w:val="000000"/>
                <w:sz w:val="18"/>
                <w:szCs w:val="18"/>
                <w:u w:val="none"/>
              </w:rPr>
            </w:pPr>
          </w:p>
        </w:tc>
        <w:tc>
          <w:tcPr>
            <w:tcW w:w="13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财政局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商务局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Times New Roman"/>
                <w:i w:val="0"/>
                <w:iCs w:val="0"/>
                <w:color w:val="000000"/>
                <w:kern w:val="2"/>
                <w:sz w:val="22"/>
                <w:szCs w:val="22"/>
                <w:u w:val="none"/>
                <w:lang w:val="en-US" w:eastAsia="zh-CN" w:bidi="ar-SA"/>
              </w:rPr>
            </w:pPr>
            <w:r>
              <w:rPr>
                <w:rFonts w:ascii="Times New Roman" w:hAnsi="Times New Roman" w:eastAsia="黑体" w:cs="Times New Roman"/>
                <w:i w:val="0"/>
                <w:iCs w:val="0"/>
                <w:color w:val="000000"/>
                <w:kern w:val="0"/>
                <w:sz w:val="22"/>
                <w:szCs w:val="22"/>
                <w:u w:val="none"/>
                <w:lang w:val="en-US" w:eastAsia="zh-CN"/>
              </w:rPr>
              <w:t>7</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⑦加大普惠金融支持力度。对符合条件的个人创业担保贷款借款人合伙创业的，适当提高贷款额度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eastAsia="宋体" w:cs="宋体"/>
                <w:i w:val="0"/>
                <w:iCs w:val="0"/>
                <w:color w:val="000000"/>
                <w:sz w:val="18"/>
                <w:szCs w:val="1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eastAsia="宋体" w:cs="宋体"/>
                <w:i w:val="0"/>
                <w:iCs w:val="0"/>
                <w:color w:val="000000"/>
                <w:sz w:val="18"/>
                <w:szCs w:val="18"/>
                <w:u w:val="none"/>
              </w:rPr>
            </w:pPr>
          </w:p>
        </w:tc>
        <w:tc>
          <w:tcPr>
            <w:tcW w:w="13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财政局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人社局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Times New Roman"/>
                <w:i w:val="0"/>
                <w:iCs w:val="0"/>
                <w:color w:val="000000"/>
                <w:kern w:val="2"/>
                <w:sz w:val="22"/>
                <w:szCs w:val="22"/>
                <w:u w:val="none"/>
                <w:lang w:val="en-US" w:eastAsia="zh-CN" w:bidi="ar-SA"/>
              </w:rPr>
            </w:pPr>
            <w:r>
              <w:rPr>
                <w:rFonts w:ascii="Times New Roman" w:hAnsi="Times New Roman" w:eastAsia="黑体" w:cs="Times New Roman"/>
                <w:i w:val="0"/>
                <w:iCs w:val="0"/>
                <w:color w:val="000000"/>
                <w:kern w:val="0"/>
                <w:sz w:val="22"/>
                <w:szCs w:val="22"/>
                <w:u w:val="none"/>
                <w:lang w:val="en-US" w:eastAsia="zh-CN"/>
              </w:rPr>
              <w:t>8</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⑧拓宽民营企业融资渠道。引导民营企业（个体工商户）在“信易贷”平台进行实名注册，扩大市场主体覆盖面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eastAsia="宋体" w:cs="宋体"/>
                <w:i w:val="0"/>
                <w:iCs w:val="0"/>
                <w:color w:val="000000"/>
                <w:sz w:val="18"/>
                <w:szCs w:val="1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eastAsia="宋体" w:cs="宋体"/>
                <w:i w:val="0"/>
                <w:iCs w:val="0"/>
                <w:color w:val="000000"/>
                <w:sz w:val="18"/>
                <w:szCs w:val="18"/>
                <w:u w:val="none"/>
              </w:rPr>
            </w:pPr>
          </w:p>
        </w:tc>
        <w:tc>
          <w:tcPr>
            <w:tcW w:w="137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财政局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政务服务局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序号</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分类</w:t>
            </w:r>
          </w:p>
        </w:tc>
        <w:tc>
          <w:tcPr>
            <w:tcW w:w="8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工作任务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工作措施</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工作进展</w:t>
            </w:r>
          </w:p>
        </w:tc>
        <w:tc>
          <w:tcPr>
            <w:tcW w:w="137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责任部门</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exac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sz w:val="22"/>
                <w:szCs w:val="22"/>
                <w:u w:val="none"/>
                <w:lang w:val="en-US" w:eastAsia="zh-CN"/>
              </w:rPr>
            </w:pPr>
            <w:r>
              <w:rPr>
                <w:rFonts w:hint="eastAsia" w:ascii="Times New Roman" w:hAnsi="Times New Roman" w:eastAsia="黑体" w:cs="Times New Roman"/>
                <w:i w:val="0"/>
                <w:iCs w:val="0"/>
                <w:color w:val="000000"/>
                <w:sz w:val="22"/>
                <w:szCs w:val="22"/>
                <w:u w:val="none"/>
                <w:lang w:val="en-US" w:eastAsia="zh-CN"/>
              </w:rPr>
              <w:t>9</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二、实施“绿色通道”推动工程</w:t>
            </w:r>
          </w:p>
        </w:tc>
        <w:tc>
          <w:tcPr>
            <w:tcW w:w="8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①公共法律服务行业开通服务民营企业法律服务“绿色通道”，经济合同类公证按收费标准的50% 收取公证费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37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司法局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exac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Times New Roman"/>
                <w:i w:val="0"/>
                <w:iCs w:val="0"/>
                <w:color w:val="000000"/>
                <w:kern w:val="2"/>
                <w:sz w:val="22"/>
                <w:szCs w:val="22"/>
                <w:u w:val="none"/>
                <w:lang w:val="en-US" w:eastAsia="zh-CN" w:bidi="ar-SA"/>
              </w:rPr>
            </w:pPr>
            <w:r>
              <w:rPr>
                <w:rFonts w:ascii="Times New Roman" w:hAnsi="Times New Roman" w:eastAsia="黑体" w:cs="Times New Roman"/>
                <w:i w:val="0"/>
                <w:iCs w:val="0"/>
                <w:color w:val="000000"/>
                <w:kern w:val="0"/>
                <w:sz w:val="22"/>
                <w:szCs w:val="22"/>
                <w:u w:val="none"/>
                <w:lang w:val="en-US" w:eastAsia="zh-CN"/>
              </w:rPr>
              <w:t>10</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②开辟涉民营企业民事案件“绿色通道”，加强涉企民事检察监督</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检察院</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exac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Times New Roman"/>
                <w:i w:val="0"/>
                <w:iCs w:val="0"/>
                <w:color w:val="000000"/>
                <w:kern w:val="2"/>
                <w:sz w:val="22"/>
                <w:szCs w:val="22"/>
                <w:u w:val="none"/>
                <w:lang w:val="en-US" w:eastAsia="zh-CN" w:bidi="ar-SA"/>
              </w:rPr>
            </w:pPr>
            <w:r>
              <w:rPr>
                <w:rFonts w:ascii="Times New Roman" w:hAnsi="Times New Roman" w:eastAsia="黑体" w:cs="Times New Roman"/>
                <w:i w:val="0"/>
                <w:iCs w:val="0"/>
                <w:color w:val="000000"/>
                <w:kern w:val="0"/>
                <w:sz w:val="22"/>
                <w:szCs w:val="22"/>
                <w:u w:val="none"/>
                <w:lang w:val="en-US" w:eastAsia="zh-CN"/>
              </w:rPr>
              <w:t>11</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③畅通民营企业司法救助渠道，依托12309检察服务中心建立企业维权“绿色通道”</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检察院</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Times New Roman"/>
                <w:i w:val="0"/>
                <w:iCs w:val="0"/>
                <w:color w:val="000000"/>
                <w:kern w:val="2"/>
                <w:sz w:val="22"/>
                <w:szCs w:val="22"/>
                <w:u w:val="none"/>
                <w:lang w:val="en-US" w:eastAsia="zh-CN" w:bidi="ar-SA"/>
              </w:rPr>
            </w:pPr>
            <w:r>
              <w:rPr>
                <w:rFonts w:ascii="Times New Roman" w:hAnsi="Times New Roman" w:eastAsia="黑体" w:cs="Times New Roman"/>
                <w:i w:val="0"/>
                <w:iCs w:val="0"/>
                <w:color w:val="000000"/>
                <w:kern w:val="0"/>
                <w:sz w:val="22"/>
                <w:szCs w:val="22"/>
                <w:u w:val="none"/>
                <w:lang w:val="en-US" w:eastAsia="zh-CN"/>
              </w:rPr>
              <w:t>12</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④开辟涉企纠纷诉讼调解“绿色通道”，充分运用人民调解、行业调解、律师调解等多种解纷方式，提高解纷时效</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法院</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exac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Times New Roman"/>
                <w:i w:val="0"/>
                <w:iCs w:val="0"/>
                <w:color w:val="000000"/>
                <w:kern w:val="2"/>
                <w:sz w:val="22"/>
                <w:szCs w:val="22"/>
                <w:u w:val="none"/>
                <w:lang w:val="en-US" w:eastAsia="zh-CN" w:bidi="ar-SA"/>
              </w:rPr>
            </w:pPr>
            <w:r>
              <w:rPr>
                <w:rFonts w:ascii="Times New Roman" w:hAnsi="Times New Roman" w:eastAsia="黑体" w:cs="Times New Roman"/>
                <w:i w:val="0"/>
                <w:iCs w:val="0"/>
                <w:color w:val="000000"/>
                <w:kern w:val="0"/>
                <w:sz w:val="22"/>
                <w:szCs w:val="22"/>
                <w:u w:val="none"/>
                <w:lang w:val="en-US" w:eastAsia="zh-CN"/>
              </w:rPr>
              <w:t>13</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⑤开辟涉企纠纷立案“绿色通道”，在立案大厅设置专门的涉民营企业案件立案窗口</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法院</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exac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Times New Roman"/>
                <w:i w:val="0"/>
                <w:iCs w:val="0"/>
                <w:color w:val="000000"/>
                <w:kern w:val="2"/>
                <w:sz w:val="22"/>
                <w:szCs w:val="22"/>
                <w:u w:val="none"/>
                <w:lang w:val="en-US" w:eastAsia="zh-CN" w:bidi="ar-SA"/>
              </w:rPr>
            </w:pPr>
            <w:r>
              <w:rPr>
                <w:rFonts w:ascii="Times New Roman" w:hAnsi="Times New Roman" w:eastAsia="黑体" w:cs="Times New Roman"/>
                <w:i w:val="0"/>
                <w:iCs w:val="0"/>
                <w:color w:val="000000"/>
                <w:kern w:val="0"/>
                <w:sz w:val="22"/>
                <w:szCs w:val="22"/>
                <w:u w:val="none"/>
                <w:lang w:val="en-US" w:eastAsia="zh-CN"/>
              </w:rPr>
              <w:t>14</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⑥为民营企业领办、创办“非营利性”或“公益性”社会团体开辟行政审批“绿色通道”</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3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民政局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Times New Roman"/>
                <w:i w:val="0"/>
                <w:iCs w:val="0"/>
                <w:color w:val="000000"/>
                <w:kern w:val="2"/>
                <w:sz w:val="22"/>
                <w:szCs w:val="22"/>
                <w:u w:val="none"/>
                <w:lang w:val="en-US" w:eastAsia="zh-CN" w:bidi="ar-SA"/>
              </w:rPr>
            </w:pPr>
            <w:r>
              <w:rPr>
                <w:rFonts w:ascii="Times New Roman" w:hAnsi="Times New Roman" w:eastAsia="黑体" w:cs="Times New Roman"/>
                <w:i w:val="0"/>
                <w:iCs w:val="0"/>
                <w:color w:val="000000"/>
                <w:kern w:val="0"/>
                <w:sz w:val="22"/>
                <w:szCs w:val="22"/>
                <w:u w:val="none"/>
                <w:lang w:val="en-US" w:eastAsia="zh-CN"/>
              </w:rPr>
              <w:t>15</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⑦开辟民营企业捐赠“绿色通道”，积极协调做好捐赠款物的税前扣除工作，对民营企业开展的慈善捐赠给予重点宣传和支持，提高民营企业知名度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3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民政局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Times New Roman"/>
                <w:i w:val="0"/>
                <w:iCs w:val="0"/>
                <w:color w:val="000000"/>
                <w:kern w:val="2"/>
                <w:sz w:val="22"/>
                <w:szCs w:val="22"/>
                <w:u w:val="none"/>
                <w:lang w:val="en-US" w:eastAsia="zh-CN" w:bidi="ar-SA"/>
              </w:rPr>
            </w:pPr>
            <w:r>
              <w:rPr>
                <w:rFonts w:ascii="Times New Roman" w:hAnsi="Times New Roman" w:eastAsia="黑体" w:cs="Times New Roman"/>
                <w:i w:val="0"/>
                <w:iCs w:val="0"/>
                <w:color w:val="000000"/>
                <w:kern w:val="0"/>
                <w:sz w:val="22"/>
                <w:szCs w:val="22"/>
                <w:u w:val="none"/>
                <w:lang w:val="en-US" w:eastAsia="zh-CN"/>
              </w:rPr>
              <w:t>16</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single" w:color="000000" w:sz="4" w:space="0"/>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⑧设立民营企业登记“绿色通道”，落实“一窗受理、集成服务”要求，设立民营企业绿色登记通道，实现即到即办和免收登记费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3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自然资源局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exac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Times New Roman"/>
                <w:i w:val="0"/>
                <w:iCs w:val="0"/>
                <w:color w:val="000000"/>
                <w:kern w:val="2"/>
                <w:sz w:val="22"/>
                <w:szCs w:val="22"/>
                <w:u w:val="none"/>
                <w:lang w:val="en-US" w:eastAsia="zh-CN" w:bidi="ar-SA"/>
              </w:rPr>
            </w:pPr>
            <w:r>
              <w:rPr>
                <w:rFonts w:ascii="Times New Roman" w:hAnsi="Times New Roman" w:eastAsia="黑体" w:cs="Times New Roman"/>
                <w:i w:val="0"/>
                <w:iCs w:val="0"/>
                <w:color w:val="000000"/>
                <w:kern w:val="0"/>
                <w:sz w:val="22"/>
                <w:szCs w:val="22"/>
                <w:u w:val="none"/>
                <w:lang w:val="en-US" w:eastAsia="zh-CN"/>
              </w:rPr>
              <w:t>17</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both"/>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⑨推行水土保持审批“绿色通道”制度，对城区范围内新建项目采取模板式申报审批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3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水利局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exac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Times New Roman"/>
                <w:i w:val="0"/>
                <w:iCs w:val="0"/>
                <w:color w:val="000000"/>
                <w:kern w:val="2"/>
                <w:sz w:val="22"/>
                <w:szCs w:val="22"/>
                <w:u w:val="none"/>
                <w:lang w:val="en-US" w:eastAsia="zh-CN" w:bidi="ar-SA"/>
              </w:rPr>
            </w:pPr>
            <w:r>
              <w:rPr>
                <w:rFonts w:ascii="Times New Roman" w:hAnsi="Times New Roman" w:eastAsia="黑体" w:cs="Times New Roman"/>
                <w:i w:val="0"/>
                <w:iCs w:val="0"/>
                <w:color w:val="000000"/>
                <w:kern w:val="0"/>
                <w:sz w:val="22"/>
                <w:szCs w:val="22"/>
                <w:u w:val="none"/>
                <w:lang w:val="en-US" w:eastAsia="zh-CN"/>
              </w:rPr>
              <w:t>18</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nil"/>
              <w:left w:val="nil"/>
              <w:bottom w:val="single" w:color="auto" w:sz="4" w:space="0"/>
              <w:right w:val="nil"/>
            </w:tcBorders>
            <w:shd w:val="clear" w:color="auto" w:fill="auto"/>
            <w:noWrap/>
            <w:vAlign w:val="center"/>
          </w:tcPr>
          <w:p>
            <w:pPr>
              <w:keepNext w:val="0"/>
              <w:keepLines w:val="0"/>
              <w:widowControl/>
              <w:suppressLineNumbers w:val="0"/>
              <w:jc w:val="both"/>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⑩建立使用林地审核审批“绿色通道”，对民营企业拟使用林地的建设项目，帮助项目建设单位分类做好前期准备工作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3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林业局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序号</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分类</w:t>
            </w:r>
          </w:p>
        </w:tc>
        <w:tc>
          <w:tcPr>
            <w:tcW w:w="8010" w:type="dxa"/>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工作任务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工作措施</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工作进展</w:t>
            </w:r>
          </w:p>
        </w:tc>
        <w:tc>
          <w:tcPr>
            <w:tcW w:w="13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责任部门</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19</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三、实施快审优服联动工程</w:t>
            </w:r>
          </w:p>
        </w:tc>
        <w:tc>
          <w:tcPr>
            <w:tcW w:w="8010" w:type="dxa"/>
            <w:tcBorders>
              <w:top w:val="single" w:color="auto"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①全面推行环评一网通办，优化项目备案服务。通过在线审批监管平台实行“不见面”备案，实行民营企业投资项目容错承诺机制。充分发挥“吉林省环评审批业务系统”和“吉事办”双系统对接优势。积极开展容错容缺审批，做好环评审批事项法定流程的无缝衔接，大幅度压缩行政审批时限</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3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发改局</w:t>
            </w:r>
          </w:p>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生态环境局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20</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single" w:color="000000"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②民营企业实行地价优惠政策。保障民营企业各类项目用地需求，民营企业与国有企业应平等享有建设用地使用权，平等享受差别化土地政策。实行民营企业土地出让“低限”政策</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3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自然资源局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21</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single" w:color="000000" w:sz="4" w:space="0"/>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③推进涉企政务服务便利化，优化审批服务流程，精简压缩办理时限。将涉企政务服务事项办事指南在“吉事办”及政府网站上公开，“线上”为企业提供业务查询和一次性告知服务，缩短民营企业在水利涉企审批事项、交通运输行业准入、安全生产许可审批、优化企业注册登记、公安审批事项、涉林政务服务等审批事项时限</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3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政务服务局城管局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水利局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交通局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cs="宋体"/>
                <w:i w:val="0"/>
                <w:iCs w:val="0"/>
                <w:color w:val="000000"/>
                <w:kern w:val="0"/>
                <w:sz w:val="20"/>
                <w:szCs w:val="20"/>
                <w:u w:val="none"/>
                <w:lang w:val="en-US" w:eastAsia="zh-CN"/>
              </w:rPr>
            </w:pPr>
            <w:r>
              <w:rPr>
                <w:rFonts w:hint="eastAsia" w:ascii="宋体" w:cs="宋体"/>
                <w:i w:val="0"/>
                <w:iCs w:val="0"/>
                <w:color w:val="000000"/>
                <w:kern w:val="0"/>
                <w:sz w:val="20"/>
                <w:szCs w:val="20"/>
                <w:u w:val="none"/>
                <w:lang w:val="en-US" w:eastAsia="zh-CN"/>
              </w:rPr>
              <w:t>应急管理局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cs="宋体"/>
                <w:i w:val="0"/>
                <w:iCs w:val="0"/>
                <w:color w:val="000000"/>
                <w:kern w:val="0"/>
                <w:sz w:val="20"/>
                <w:szCs w:val="20"/>
                <w:u w:val="none"/>
                <w:lang w:val="en-US" w:eastAsia="zh-CN"/>
              </w:rPr>
            </w:pPr>
            <w:r>
              <w:rPr>
                <w:rFonts w:hint="eastAsia" w:ascii="宋体" w:cs="宋体"/>
                <w:i w:val="0"/>
                <w:iCs w:val="0"/>
                <w:color w:val="000000"/>
                <w:kern w:val="0"/>
                <w:sz w:val="20"/>
                <w:szCs w:val="20"/>
                <w:u w:val="none"/>
                <w:lang w:val="en-US" w:eastAsia="zh-CN"/>
              </w:rPr>
              <w:t>市场监管局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林业局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22</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nil"/>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④加强惠企政策宣传解读和惠企公益广告支持力度。利用各级各类新闻媒体、政府网站、政务“双微”等媒介，加大对惠企政策和企业先进典型及创业故事的宣传，让企业充分了解政策、用好政策。营造全社会支持民营经济健康发展的良好氛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3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宣传部</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23</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nil"/>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⑤送理论进民营企业。成立高质量发展宣讲团、“走进两新组织”宣讲团，深入企业宣讲党的二十大精神和蛟河市鼓励支持民营企业发展的政策举措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3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宣传部</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24</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⑥深入开展律师服务企业活动。开展“律所联商会”活动，选派律师或法律服务工作者与企业、行业商会对接，提供法律服务。组建石材法律服务团，为我市石材做大做强提供全方位法律服务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3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司法局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25</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single" w:color="000000"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⑦放宽企业从业人员落户政策，优化暂住登记办理流程。对在我市民营企业工作的外国人给予签证便利。为民营企业提供公安综合信息查询定制服务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3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公安局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26</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single" w:color="000000"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⑧落实服务企业机制。常态化组织“服务企业月”“企业家日”活动，持续开展市级领导“遍访”企业活动，强化民营企业项目建设支撑，建立重点项目服务秘书机制，支持建筑业企业做大做强，建立重点企业工作对接机制，开展精准服务，积极化解企业发展中遇到的问题</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3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cs="宋体"/>
                <w:i w:val="0"/>
                <w:iCs w:val="0"/>
                <w:color w:val="000000"/>
                <w:kern w:val="0"/>
                <w:sz w:val="20"/>
                <w:szCs w:val="20"/>
                <w:u w:val="none"/>
                <w:lang w:val="en-US" w:eastAsia="zh-CN"/>
              </w:rPr>
            </w:pPr>
            <w:r>
              <w:rPr>
                <w:rFonts w:hint="eastAsia" w:ascii="宋体" w:cs="宋体"/>
                <w:i w:val="0"/>
                <w:iCs w:val="0"/>
                <w:color w:val="000000"/>
                <w:kern w:val="0"/>
                <w:sz w:val="20"/>
                <w:szCs w:val="20"/>
                <w:u w:val="none"/>
                <w:lang w:val="en-US" w:eastAsia="zh-CN"/>
              </w:rPr>
              <w:t>工信局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cs="宋体"/>
                <w:i w:val="0"/>
                <w:iCs w:val="0"/>
                <w:color w:val="000000"/>
                <w:kern w:val="0"/>
                <w:sz w:val="20"/>
                <w:szCs w:val="20"/>
                <w:u w:val="none"/>
                <w:lang w:val="en-US" w:eastAsia="zh-CN"/>
              </w:rPr>
            </w:pPr>
            <w:r>
              <w:rPr>
                <w:rFonts w:hint="eastAsia" w:ascii="宋体" w:cs="宋体"/>
                <w:i w:val="0"/>
                <w:iCs w:val="0"/>
                <w:color w:val="000000"/>
                <w:kern w:val="0"/>
                <w:sz w:val="20"/>
                <w:szCs w:val="20"/>
                <w:u w:val="none"/>
                <w:lang w:val="en-US" w:eastAsia="zh-CN"/>
              </w:rPr>
              <w:t>发改局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eastAsia="宋体" w:cs="宋体"/>
                <w:i w:val="0"/>
                <w:iCs w:val="0"/>
                <w:color w:val="000000"/>
                <w:sz w:val="20"/>
                <w:szCs w:val="20"/>
                <w:u w:val="none"/>
              </w:rPr>
            </w:pPr>
            <w:r>
              <w:rPr>
                <w:rFonts w:hint="eastAsia" w:ascii="宋体" w:cs="宋体"/>
                <w:i w:val="0"/>
                <w:iCs w:val="0"/>
                <w:color w:val="000000"/>
                <w:kern w:val="0"/>
                <w:sz w:val="20"/>
                <w:szCs w:val="20"/>
                <w:u w:val="none"/>
                <w:lang w:val="en-US" w:eastAsia="zh-CN"/>
              </w:rPr>
              <w:t>住建局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27</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single" w:color="000000" w:sz="4" w:space="0"/>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⑨优化建筑业发展环境。支持我市建筑业企业采取联合体投标等方式重大项目建设，允许我市建筑业企业作为联合体牵头人参与投标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3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住建局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28</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nil"/>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⑩支持建筑业总部经济发展。对整建制迁入本市的企业总部，采取一事一议方式，依法依规给予土地、融资、财政奖励等扶持政策</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0"/>
                <w:szCs w:val="20"/>
                <w:u w:val="none"/>
              </w:rPr>
            </w:pPr>
          </w:p>
        </w:tc>
        <w:tc>
          <w:tcPr>
            <w:tcW w:w="13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住建局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序号</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分类</w:t>
            </w:r>
          </w:p>
        </w:tc>
        <w:tc>
          <w:tcPr>
            <w:tcW w:w="8010" w:type="dxa"/>
            <w:tcBorders>
              <w:top w:val="single" w:color="auto"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工作任务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工作措施</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工作进展</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责任部门</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29</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2"/>
                <w:szCs w:val="22"/>
                <w:u w:val="none"/>
              </w:rPr>
            </w:pPr>
            <w:r>
              <w:rPr>
                <w:rFonts w:hint="eastAsia" w:ascii="宋体" w:eastAsia="宋体" w:cs="宋体"/>
                <w:i w:val="0"/>
                <w:iCs w:val="0"/>
                <w:color w:val="000000"/>
                <w:kern w:val="0"/>
                <w:sz w:val="22"/>
                <w:szCs w:val="22"/>
                <w:u w:val="none"/>
                <w:lang w:val="en-US" w:eastAsia="zh-CN"/>
              </w:rPr>
              <w:t>四、实施减税降本行动工程</w:t>
            </w:r>
          </w:p>
        </w:tc>
        <w:tc>
          <w:tcPr>
            <w:tcW w:w="8010" w:type="dxa"/>
            <w:tcBorders>
              <w:top w:val="nil"/>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①强化减税降费政策宣传，开展“便民办税春风行动”，推出便民服务措施强企惠企；落实“首违不罚”事项清单，为企业创造宽松发展环境；联合工商联共同开展“春雨润苗”专项行动，建立“优环境稳增长”税商联动机制。开展纳税信用等级评定工作，开展“银税互动”，帮助企业解决融资难问题</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税务局</w:t>
            </w:r>
          </w:p>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工商联</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30</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②鼓励民营企业创新发展。国家需要重点扶持的高新技术企业减按15% 的税率征收企业所得税，落实研发费用加计扣除政策，鼓励民营企业加大研发投入</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税务局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31</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single" w:color="000000"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③减轻办税负担。积极推行税务证明事项告知承诺制，全面实行“一门”办税。推行“一窗通办”全程服务模式，同时开展延时服务和预约服务，便利纳税人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税务局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32</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single" w:color="000000" w:sz="4" w:space="0"/>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④持续降低企业经营成本。企业招用就业困难人员并缴纳社会保险费、通过公益性岗位安置就业困难人员并缴纳社会保险费的单位，给予社会保险补贴</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税务局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33</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nil"/>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⑤发挥政府性融资担保支持作用。引导政府性融资担保机构发挥作用，将融资担保机构平均担保费率控制在1.5%以内，民营小微企业平均担保费率控制在1%以内。对符合融资担保费率要求的融资性担保机构，积极争取省级专项补助资金</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工信局</w:t>
            </w:r>
          </w:p>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人民银行</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34</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nil"/>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⑥鼓励我市银行业金融机构加大对实体经济发展、乡村振兴、县域突破的支持力度，创新信贷产品，提升服务企业的主动性、针对性及有效性。根据企业实际融资需求，通过线上线下多种方式进行灵活对接，加强政、银、企、保间的交流与合作，实现互利共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工信局</w:t>
            </w:r>
          </w:p>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人民银行</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35</w:t>
            </w:r>
          </w:p>
        </w:tc>
        <w:tc>
          <w:tcPr>
            <w:tcW w:w="11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2"/>
                <w:szCs w:val="22"/>
                <w:u w:val="none"/>
              </w:rPr>
            </w:pPr>
            <w:r>
              <w:rPr>
                <w:rFonts w:hint="eastAsia" w:ascii="宋体" w:eastAsia="宋体" w:cs="宋体"/>
                <w:i w:val="0"/>
                <w:iCs w:val="0"/>
                <w:color w:val="000000"/>
                <w:kern w:val="0"/>
                <w:sz w:val="22"/>
                <w:szCs w:val="22"/>
                <w:u w:val="none"/>
                <w:lang w:val="en-US" w:eastAsia="zh-CN"/>
              </w:rPr>
              <w:t>五、实施优化营商带动工程</w:t>
            </w:r>
          </w:p>
        </w:tc>
        <w:tc>
          <w:tcPr>
            <w:tcW w:w="8010" w:type="dxa"/>
            <w:tcBorders>
              <w:top w:val="single" w:color="000000"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①帮助中小企业开拓市场。组织开展产需对接活动，推动中小企业主动对接大企业，积极融入产业链、供应链体系，在生产、分配、流通等环节更好地参与国内大循环，实现上下游、产供销有效衔接</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工信局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36</w:t>
            </w:r>
          </w:p>
        </w:tc>
        <w:tc>
          <w:tcPr>
            <w:tcW w:w="1101" w:type="dxa"/>
            <w:vMerge w:val="continue"/>
            <w:tcBorders>
              <w:left w:val="single" w:color="000000" w:sz="4" w:space="0"/>
              <w:right w:val="single" w:color="000000" w:sz="4" w:space="0"/>
            </w:tcBorders>
            <w:shd w:val="clear" w:color="auto" w:fill="auto"/>
            <w:vAlign w:val="center"/>
          </w:tcPr>
          <w:p/>
        </w:tc>
        <w:tc>
          <w:tcPr>
            <w:tcW w:w="8010" w:type="dxa"/>
            <w:tcBorders>
              <w:top w:val="single" w:color="000000" w:sz="4" w:space="0"/>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②支持民营企业创建品牌。促进民营乡村旅游企业提质升级，创建旅游示范基地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文广旅局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37</w:t>
            </w:r>
          </w:p>
        </w:tc>
        <w:tc>
          <w:tcPr>
            <w:tcW w:w="1101" w:type="dxa"/>
            <w:vMerge w:val="continue"/>
            <w:tcBorders>
              <w:left w:val="single" w:color="000000" w:sz="4" w:space="0"/>
              <w:right w:val="single" w:color="000000" w:sz="4" w:space="0"/>
            </w:tcBorders>
            <w:shd w:val="clear" w:color="auto" w:fill="auto"/>
            <w:vAlign w:val="center"/>
          </w:tcPr>
          <w:p/>
        </w:tc>
        <w:tc>
          <w:tcPr>
            <w:tcW w:w="8010"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③支持民营企业参与生态工程建设，逐步建立政府政策引导、民营企业投入为主、职工林农广泛参与的多元化机制</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林业局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38</w:t>
            </w:r>
          </w:p>
        </w:tc>
        <w:tc>
          <w:tcPr>
            <w:tcW w:w="1101" w:type="dxa"/>
            <w:vMerge w:val="continue"/>
            <w:tcBorders>
              <w:left w:val="single" w:color="000000" w:sz="4" w:space="0"/>
              <w:right w:val="single" w:color="000000" w:sz="4" w:space="0"/>
            </w:tcBorders>
            <w:shd w:val="clear" w:color="auto" w:fill="auto"/>
            <w:vAlign w:val="center"/>
          </w:tcPr>
          <w:p/>
        </w:tc>
        <w:tc>
          <w:tcPr>
            <w:tcW w:w="8010" w:type="dxa"/>
            <w:tcBorders>
              <w:top w:val="single" w:color="000000" w:sz="4" w:space="0"/>
              <w:left w:val="nil"/>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④构建“亲清”新型检企关系。探索建立定点联系民营企业制度，发挥“检企联络站”作用，通过构建“检察长+”、联席会议、普法宣传、联合调研等常态化沟通协作机制，为域内民营企业提供全方位法律服务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检察院</w:t>
            </w:r>
          </w:p>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工商联</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39</w:t>
            </w:r>
          </w:p>
        </w:tc>
        <w:tc>
          <w:tcPr>
            <w:tcW w:w="1101" w:type="dxa"/>
            <w:vMerge w:val="continue"/>
            <w:tcBorders>
              <w:left w:val="single" w:color="000000" w:sz="4" w:space="0"/>
              <w:bottom w:val="single" w:color="000000" w:sz="4" w:space="0"/>
              <w:right w:val="single" w:color="000000" w:sz="4" w:space="0"/>
            </w:tcBorders>
            <w:shd w:val="clear" w:color="auto" w:fill="auto"/>
            <w:vAlign w:val="center"/>
          </w:tcPr>
          <w:p/>
        </w:tc>
        <w:tc>
          <w:tcPr>
            <w:tcW w:w="8010" w:type="dxa"/>
            <w:tcBorders>
              <w:top w:val="single" w:color="000000" w:sz="4" w:space="0"/>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⑤营造公平竞争市场环境。打造全方位营商环境社会监督体系。采取“部门 + 监测点+ 监督员”模式，充实社会监督队伍，实现营商环境全方位监督。加强对全市各级政务服务中心、便民服务站明察暗访工作力度，优先办理涉及民营企业投诉举报的营商环境问题</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政务服务局</w:t>
            </w:r>
            <w:r>
              <w:rPr>
                <w:rFonts w:hint="eastAsia" w:ascii="宋体" w:cs="宋体"/>
                <w:i w:val="0"/>
                <w:iCs w:val="0"/>
                <w:color w:val="000000"/>
                <w:kern w:val="0"/>
                <w:sz w:val="20"/>
                <w:szCs w:val="20"/>
                <w:u w:val="none"/>
                <w:lang w:val="en-US" w:eastAsia="zh-CN"/>
              </w:rPr>
              <w:t>市场监管局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序号</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分类</w:t>
            </w:r>
          </w:p>
        </w:tc>
        <w:tc>
          <w:tcPr>
            <w:tcW w:w="8010" w:type="dxa"/>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工作任务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工作措施</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工作进展</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责任部门</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40</w:t>
            </w:r>
          </w:p>
        </w:tc>
        <w:tc>
          <w:tcPr>
            <w:tcW w:w="1101"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2"/>
                <w:szCs w:val="22"/>
                <w:u w:val="none"/>
              </w:rPr>
            </w:pPr>
            <w:r>
              <w:rPr>
                <w:rFonts w:hint="eastAsia" w:ascii="宋体" w:eastAsia="宋体" w:cs="宋体"/>
                <w:i w:val="0"/>
                <w:iCs w:val="0"/>
                <w:color w:val="000000"/>
                <w:kern w:val="0"/>
                <w:sz w:val="22"/>
                <w:szCs w:val="22"/>
                <w:u w:val="none"/>
                <w:lang w:val="en-US" w:eastAsia="zh-CN"/>
              </w:rPr>
              <w:t>五、实施优化营商带动工程</w:t>
            </w:r>
          </w:p>
        </w:tc>
        <w:tc>
          <w:tcPr>
            <w:tcW w:w="8010" w:type="dxa"/>
            <w:tcBorders>
              <w:top w:val="single" w:color="auto"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⑥优化法治化营商环境。推行证明事项和涉企许可事项告知承诺制，编制行政许可事项清单，组织指导各行政执法部门实现清单全覆盖；动态调整行政执法“四张流程图”，实现公开率100%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司法局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41</w:t>
            </w:r>
          </w:p>
        </w:tc>
        <w:tc>
          <w:tcPr>
            <w:tcW w:w="1101" w:type="dxa"/>
            <w:vMerge w:val="continue"/>
            <w:tcBorders>
              <w:left w:val="single" w:color="000000" w:sz="4" w:space="0"/>
              <w:right w:val="single" w:color="000000" w:sz="4" w:space="0"/>
            </w:tcBorders>
            <w:shd w:val="clear" w:color="auto" w:fill="auto"/>
            <w:vAlign w:val="center"/>
          </w:tcPr>
          <w:p/>
        </w:tc>
        <w:tc>
          <w:tcPr>
            <w:tcW w:w="8010" w:type="dxa"/>
            <w:tcBorders>
              <w:top w:val="single" w:color="000000"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⑦持续清理拖欠民营企业中小企业账款。积极开展清欠专项行动，督促政府机关、事业单位及国有企业按合同约定及时支付中小企业款项。依托“96611”助企服务热线，提升投诉线索核实处理的及时性和反馈率，规范拖欠线索办理流程，依法依规防范和化解拖欠中小微企业款项问题；</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工信局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42</w:t>
            </w:r>
          </w:p>
        </w:tc>
        <w:tc>
          <w:tcPr>
            <w:tcW w:w="1101" w:type="dxa"/>
            <w:vMerge w:val="continue"/>
            <w:tcBorders>
              <w:left w:val="single" w:color="000000" w:sz="4" w:space="0"/>
              <w:right w:val="single" w:color="000000" w:sz="4" w:space="0"/>
            </w:tcBorders>
            <w:shd w:val="clear" w:color="auto" w:fill="auto"/>
            <w:vAlign w:val="center"/>
          </w:tcPr>
          <w:p/>
        </w:tc>
        <w:tc>
          <w:tcPr>
            <w:tcW w:w="8010" w:type="dxa"/>
            <w:tcBorders>
              <w:top w:val="single" w:color="000000"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⑧放宽市场主体住所登记条件，推进“证照分离”改革，进一步优化企业注册登记服务，压缩企业开办时间，免费刻制5枚印章；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cs="宋体"/>
                <w:i w:val="0"/>
                <w:iCs w:val="0"/>
                <w:color w:val="000000"/>
                <w:kern w:val="0"/>
                <w:sz w:val="20"/>
                <w:szCs w:val="20"/>
                <w:u w:val="none"/>
                <w:lang w:val="en-US" w:eastAsia="zh-CN"/>
              </w:rPr>
              <w:t>市场监管局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43</w:t>
            </w:r>
          </w:p>
        </w:tc>
        <w:tc>
          <w:tcPr>
            <w:tcW w:w="1101" w:type="dxa"/>
            <w:vMerge w:val="continue"/>
            <w:tcBorders>
              <w:left w:val="single" w:color="000000" w:sz="4" w:space="0"/>
              <w:bottom w:val="single" w:color="000000" w:sz="4" w:space="0"/>
              <w:right w:val="single" w:color="000000" w:sz="4" w:space="0"/>
            </w:tcBorders>
            <w:shd w:val="clear" w:color="auto" w:fill="auto"/>
            <w:vAlign w:val="center"/>
          </w:tcPr>
          <w:p/>
        </w:tc>
        <w:tc>
          <w:tcPr>
            <w:tcW w:w="8010" w:type="dxa"/>
            <w:tcBorders>
              <w:top w:val="single" w:color="000000" w:sz="4" w:space="0"/>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⑨鼓励自主创业。对首次在吉林省行政区域内使用本人身份信息注册创办小微企业、从事个体经营，符合登记正常运营1年以上的人员可申请初次创业补贴。补贴标准为每户5000元。符合条件人员只能申领一次，不得与其他政策重复享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人社局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44</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2"/>
                <w:szCs w:val="22"/>
                <w:u w:val="none"/>
              </w:rPr>
            </w:pPr>
            <w:r>
              <w:rPr>
                <w:rFonts w:hint="eastAsia" w:ascii="宋体" w:eastAsia="宋体" w:cs="宋体"/>
                <w:i w:val="0"/>
                <w:iCs w:val="0"/>
                <w:color w:val="000000"/>
                <w:kern w:val="0"/>
                <w:sz w:val="22"/>
                <w:szCs w:val="22"/>
                <w:u w:val="none"/>
                <w:lang w:val="en-US" w:eastAsia="zh-CN"/>
              </w:rPr>
              <w:t>六、实施人才引育拉动工程</w:t>
            </w:r>
          </w:p>
        </w:tc>
        <w:tc>
          <w:tcPr>
            <w:tcW w:w="8010" w:type="dxa"/>
            <w:tcBorders>
              <w:top w:val="single" w:color="auto"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①深入实施民营企业家培育行动，加强民营企业家教育培训。实施校友人才“资智回蛟”行动。组织民营企业家、民营企业带头人参加国家、省、吉林市各类学习培训，依托“吉林企业家大讲堂”，对民营企业负责人进行培训。完善民营企业引才留才扶持政策。健全民营企业人才评价激励机制；</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组织部</w:t>
            </w:r>
          </w:p>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工信局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45</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single" w:color="000000" w:sz="4" w:space="0"/>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②全力提供用工保障，深入实施"想就业找人社"服务创新提升工程。发挥就业服务专员作用，大力开展中小微企业用工基础调查，依托微信平台和"96885"吉人在线平台发布企业用工信息，组织各类招聘会，送岗下乡活动，大力开展企业用工指导、职业指导和职业介绍，促进供需双方匹配，保障企业用工需求；</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人社局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46</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③强化人才引进工作。围绕我市六大产业发展和规上企业人才需求，组织开展助力万名学子"助企兴业"行动和"吉人回吉"行动。针对域外高校，签订框架合作协议，推动我市企业与域外高校建立人才引进合作意向，吸引大学生回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人社局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47</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single" w:color="000000"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④开展企业新型学徒制培养。采取"企校双制、工学一体"的模式，由企业与技工院校、职业院校、职业培训机构、企业培训中心等教育培训机构采取企校双师带徒、工学交替培养等模式共同培养学</w:t>
            </w:r>
            <w:r>
              <w:rPr>
                <w:rFonts w:hint="eastAsia" w:ascii="宋体" w:eastAsia="宋体" w:cs="宋体"/>
                <w:i w:val="0"/>
                <w:iCs w:val="0"/>
                <w:color w:val="000000"/>
                <w:spacing w:val="-6"/>
                <w:kern w:val="0"/>
                <w:sz w:val="18"/>
                <w:szCs w:val="18"/>
                <w:u w:val="none"/>
                <w:lang w:val="en-US" w:eastAsia="zh-CN"/>
              </w:rPr>
              <w:t>徒。有目的性促进人才职业技能培养，全面适应企业发展需求。将对企业给予每人5000元的培训补贴；</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人社局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48</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single" w:color="000000"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⑤指导企业开展职业技能竞赛。鼓励企业广泛开展班组、车间之间的岗位练兵技术比武活动，按照每个项目3万元给予组织竞赛的企业职业技能竞赛补贴。规模以下企业每年最多可以开展五个项目的竞赛，规模以上企业每年最多可以开展十个项目的竞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人社局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49</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single" w:color="000000"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⑥聘请专家进行培训指导。采取“干部+专家”方式，对发现问题，由专家对企业安全管理人员开展现场技术指导和 答疑，帮助企业提升安全管理水平。采取“监管干部+专家”形式对煤矿、非煤矿山安全生产业务开展督导培训。聘请露天矿山开采专家的形式，扶持天岗石材露天矿山对天岗矿山进行现场技术指导和实地培训；</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cs="宋体"/>
                <w:i w:val="0"/>
                <w:iCs w:val="0"/>
                <w:color w:val="000000"/>
                <w:kern w:val="0"/>
                <w:sz w:val="20"/>
                <w:szCs w:val="20"/>
                <w:u w:val="none"/>
                <w:lang w:val="en-US" w:eastAsia="zh-CN"/>
              </w:rPr>
              <w:t>应急管理局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50</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single" w:color="000000" w:sz="4" w:space="0"/>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⑦加快建设高质量创业和服务载体。鼓励各类创业孵化器和企业服务平台完善功能，提高孵化能力和服务水平。对新晋国家级中小企业公共服务示范平台和创业孵化示范基地，视情况给予资金奖励；对新晋省级中小企业公共服务示范平台和创业孵化示范基地，视情况给予资金奖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工信局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序号</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分类</w:t>
            </w:r>
          </w:p>
        </w:tc>
        <w:tc>
          <w:tcPr>
            <w:tcW w:w="8010" w:type="dxa"/>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工作任务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工作措施</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工作进展</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责任部门</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eastAsia="黑体" w:cs="黑体"/>
                <w:b w:val="0"/>
                <w:bCs w:val="0"/>
                <w:i w:val="0"/>
                <w:iCs w:val="0"/>
                <w:color w:val="000000"/>
                <w:kern w:val="0"/>
                <w:sz w:val="22"/>
                <w:szCs w:val="22"/>
                <w:u w:val="none"/>
                <w:lang w:val="en-US" w:eastAsia="zh-CN"/>
              </w:rPr>
            </w:pPr>
            <w:r>
              <w:rPr>
                <w:rFonts w:hint="eastAsia" w:ascii="黑体" w:eastAsia="黑体" w:cs="黑体"/>
                <w:b w:val="0"/>
                <w:bCs w:val="0"/>
                <w:i w:val="0"/>
                <w:iCs w:val="0"/>
                <w:color w:val="000000"/>
                <w:kern w:val="0"/>
                <w:sz w:val="22"/>
                <w:szCs w:val="22"/>
                <w:u w:val="none"/>
                <w:lang w:val="en-US" w:eastAsia="zh-CN"/>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51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2"/>
                <w:szCs w:val="22"/>
                <w:u w:val="none"/>
              </w:rPr>
            </w:pPr>
            <w:r>
              <w:rPr>
                <w:rFonts w:hint="eastAsia" w:ascii="宋体" w:eastAsia="宋体" w:cs="宋体"/>
                <w:i w:val="0"/>
                <w:iCs w:val="0"/>
                <w:color w:val="000000"/>
                <w:kern w:val="0"/>
                <w:sz w:val="22"/>
                <w:szCs w:val="22"/>
                <w:u w:val="none"/>
                <w:lang w:val="en-US" w:eastAsia="zh-CN"/>
              </w:rPr>
              <w:t>七、实施法律保障助动工程</w:t>
            </w:r>
          </w:p>
        </w:tc>
        <w:tc>
          <w:tcPr>
            <w:tcW w:w="8010" w:type="dxa"/>
            <w:tcBorders>
              <w:top w:val="single" w:color="auto"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①落实轻微犯罪依法免责免罚清单。执行《关于民营企业及经营者轻微犯罪依法免责免罚清单》（吉高法〔2020〕17号）要求，保障《清单》一体遵循、一体执行。对民营企业经济活动中的创新创业行为，没有明确禁止性规定的，不得认定为犯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政法委</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检察院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法院</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52</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single" w:color="000000"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②为企业做好“法治服务”，深化保障民营企业合法权益。办理涉民营企业刑事案件时，实行办案单位负责人和办案民警“双责制”。严厉打击涉企违法犯罪和影响企业经营秩序刑事犯罪。开展常态化治安整治，深化“雪亮工程”建设应用，完善警民警企联防联控机制，大力推进“平安企业”“平安园区”建设。健全企业周边治安巡逻防控和预警通报制度，有力维护企业及周边的治安秩序；</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政法委</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检察院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公安局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53</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single" w:color="000000"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rPr>
              <w:t>③优化流程、提高效率，推行调解、化解矛盾。围绕涉企行政复议案件，严格执行《行政复议法》规定，简化工作流程，对案件简单、事实明了，双方争议不大的案件，在法律框架内积极推进行政调解，最大限度降低行政执法对民营企业生产经营的影响，为民营企业发展提供有力法律支撑 。</w:t>
            </w:r>
            <w:r>
              <w:rPr>
                <w:rFonts w:hint="eastAsia" w:ascii="宋体" w:hAnsi="宋体" w:eastAsia="宋体" w:cs="宋体"/>
                <w:i w:val="0"/>
                <w:iCs w:val="0"/>
                <w:color w:val="000000"/>
                <w:kern w:val="0"/>
                <w:sz w:val="18"/>
                <w:szCs w:val="18"/>
                <w:u w:val="none"/>
                <w:lang w:val="en-US" w:eastAsia="zh-CN"/>
              </w:rPr>
              <w:t>强化公益诉讼助企工作。依法审慎适用查封、扣押、冻结等强制措施，最大限度减少司法活动对企业正常生产经营活动影响；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检察院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法院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司法局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54</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single" w:color="000000"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④推进企业合规改革试点工作。有效发挥蛟河市涉案企业合规第三方监督评估机制的作用，通过办理企业刑事合规案件，帮助涉案企业及时堵塞经营管理漏洞，建立健全预防、发现、处理企业违法犯罪行为的内部控制机制，实现司法修复，同时为相关行业合规经营提供样板和借鉴；</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检察院</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2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kern w:val="0"/>
                <w:sz w:val="22"/>
                <w:szCs w:val="22"/>
                <w:u w:val="none"/>
                <w:lang w:val="en-US" w:eastAsia="zh-CN"/>
              </w:rPr>
            </w:pPr>
            <w:r>
              <w:rPr>
                <w:rFonts w:hint="eastAsia" w:ascii="Times New Roman" w:hAnsi="Times New Roman" w:eastAsia="黑体" w:cs="Times New Roman"/>
                <w:i w:val="0"/>
                <w:iCs w:val="0"/>
                <w:color w:val="000000"/>
                <w:kern w:val="0"/>
                <w:sz w:val="22"/>
                <w:szCs w:val="22"/>
                <w:u w:val="none"/>
                <w:lang w:val="en-US" w:eastAsia="zh-CN"/>
              </w:rPr>
              <w:t>55</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10" w:type="dxa"/>
            <w:tcBorders>
              <w:top w:val="single" w:color="000000" w:sz="4" w:space="0"/>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⑤对民营企业实行审慎包容监管执法，制定蛟河市城市管理领域“首违不罚”清单，对全市民营企业初次违法，且造成的危害后果轻微并及时改正的，以批评教育为主，不予行政处罚；制定《交通运输领域轻微违法行为依法不予处罚高频事项清单（试行）》。对交通运输领域轻微违法行为依法不予处罚；</w:t>
            </w:r>
            <w:r>
              <w:rPr>
                <w:rStyle w:val="8"/>
                <w:rFonts w:hint="eastAsia" w:ascii="宋体" w:hAnsi="宋体" w:eastAsia="宋体" w:cs="宋体"/>
                <w:sz w:val="18"/>
                <w:szCs w:val="18"/>
                <w:lang w:val="en-US" w:eastAsia="zh-CN"/>
              </w:rPr>
              <w:t>对4类7项涉及应急管理局监管的安全生产违法违规行为实施“包容审慎”监管，积极推行少用、慎用财产处罚措施，促进柔性执法与自觉守法相互融合；市场监管局</w:t>
            </w:r>
            <w:r>
              <w:rPr>
                <w:rFonts w:hint="eastAsia" w:ascii="宋体" w:hAnsi="宋体" w:eastAsia="宋体" w:cs="宋体"/>
                <w:i w:val="0"/>
                <w:iCs w:val="0"/>
                <w:color w:val="000000"/>
                <w:kern w:val="0"/>
                <w:sz w:val="18"/>
                <w:szCs w:val="18"/>
                <w:u w:val="none"/>
                <w:lang w:val="en-US" w:eastAsia="zh-CN"/>
              </w:rPr>
              <w:t>采取法规宣传、教育引导、告诫说理、行政处罚、监督整改五段式行政执法模式，帮助引导民营企业预防和纠正违法行为。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应急管理局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交通局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市场监管局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城管局</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r>
    </w:tbl>
    <w:p/>
    <w:sectPr>
      <w:pgSz w:w="16838" w:h="11906" w:orient="landscape"/>
      <w:pgMar w:top="1531" w:right="2098" w:bottom="1531"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NDMxZDZhZGVjMjM3N2MxZjAyYzRkMjcxNGE1ZjIifQ=="/>
  </w:docVars>
  <w:rsids>
    <w:rsidRoot w:val="271978BC"/>
    <w:rsid w:val="01C76C48"/>
    <w:rsid w:val="271978BC"/>
    <w:rsid w:val="427F7282"/>
    <w:rsid w:val="5A427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font71"/>
    <w:basedOn w:val="6"/>
    <w:qFormat/>
    <w:uiPriority w:val="0"/>
    <w:rPr>
      <w:rFonts w:ascii="宋体" w:eastAsia="宋体" w:cs="宋体"/>
      <w:color w:val="000000"/>
      <w:sz w:val="20"/>
      <w:szCs w:val="20"/>
      <w:u w:val="none"/>
    </w:rPr>
  </w:style>
  <w:style w:type="character" w:customStyle="1" w:styleId="9">
    <w:name w:val="NormalCharacter"/>
    <w:qFormat/>
    <w:uiPriority w:val="0"/>
    <w:rPr>
      <w:rFonts w:ascii="Calibri" w:hAnsi="Calibri" w:eastAsia="宋体"/>
      <w:kern w:val="2"/>
      <w:sz w:val="22"/>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2023-10-17T05:27:00Z</dcterms:created>
  <dc:creator>梓桓</dc:creator>
  <cp:lastModifiedBy>梓桓</cp:lastModifiedBy>
  <dcterms:modified xsi:type="dcterms:W3CDTF">2023-10-17T05:28:59Z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1F530FBF951F49FB9A178A604E7E3556_11</vt:lpwstr>
  </property>
</Properties>
</file>