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方正小标宋简体"/>
          <w:b/>
          <w:sz w:val="36"/>
          <w:szCs w:val="36"/>
        </w:rPr>
      </w:pPr>
      <w:r>
        <w:rPr>
          <w:rFonts w:hint="eastAsia" w:ascii="宋体" w:hAnsi="宋体" w:eastAsia="宋体" w:cs="方正小标宋简体"/>
          <w:b/>
          <w:sz w:val="36"/>
          <w:szCs w:val="36"/>
        </w:rPr>
        <w:t>吉林市审计局202</w:t>
      </w:r>
      <w:r>
        <w:rPr>
          <w:rFonts w:hint="eastAsia" w:ascii="宋体" w:hAnsi="宋体" w:eastAsia="宋体" w:cs="方正小标宋简体"/>
          <w:b/>
          <w:sz w:val="36"/>
          <w:szCs w:val="36"/>
          <w:lang w:val="en-US" w:eastAsia="zh-CN"/>
        </w:rPr>
        <w:t>2</w:t>
      </w:r>
      <w:r>
        <w:rPr>
          <w:rFonts w:hint="eastAsia" w:ascii="宋体" w:hAnsi="宋体" w:eastAsia="宋体" w:cs="方正小标宋简体"/>
          <w:b/>
          <w:sz w:val="36"/>
          <w:szCs w:val="36"/>
        </w:rPr>
        <w:t>年度政府信息公开工作</w:t>
      </w:r>
    </w:p>
    <w:p>
      <w:pPr>
        <w:spacing w:line="600" w:lineRule="exact"/>
        <w:jc w:val="center"/>
        <w:rPr>
          <w:rFonts w:ascii="宋体" w:hAnsi="宋体" w:eastAsia="宋体" w:cstheme="majorEastAsia"/>
          <w:b/>
          <w:sz w:val="36"/>
          <w:szCs w:val="36"/>
        </w:rPr>
      </w:pPr>
      <w:r>
        <w:rPr>
          <w:rFonts w:hint="eastAsia" w:ascii="宋体" w:hAnsi="宋体" w:eastAsia="宋体" w:cs="方正小标宋简体"/>
          <w:b/>
          <w:sz w:val="36"/>
          <w:szCs w:val="36"/>
        </w:rPr>
        <w:t>年度报告</w:t>
      </w:r>
    </w:p>
    <w:p>
      <w:pPr>
        <w:widowControl/>
        <w:shd w:val="clear" w:color="auto" w:fill="FFFFFF"/>
        <w:spacing w:line="450" w:lineRule="atLeast"/>
        <w:ind w:firstLine="480"/>
        <w:jc w:val="left"/>
        <w:rPr>
          <w:rFonts w:ascii="宋体" w:hAnsi="宋体" w:eastAsia="宋体" w:cs="Arial"/>
          <w:color w:val="000000"/>
          <w:kern w:val="0"/>
          <w:sz w:val="24"/>
          <w:szCs w:val="24"/>
          <w:shd w:val="clear" w:color="auto" w:fill="FFFFFF"/>
        </w:rPr>
      </w:pPr>
    </w:p>
    <w:p>
      <w:pPr>
        <w:widowControl/>
        <w:shd w:val="clear" w:color="auto" w:fill="FFFFFF"/>
        <w:spacing w:line="450" w:lineRule="atLeast"/>
        <w:ind w:firstLine="480"/>
        <w:jc w:val="left"/>
        <w:rPr>
          <w:rFonts w:ascii="宋体" w:hAnsi="宋体" w:eastAsia="宋体" w:cs="Arial"/>
          <w:color w:val="000000"/>
          <w:kern w:val="0"/>
          <w:sz w:val="24"/>
          <w:szCs w:val="24"/>
        </w:rPr>
      </w:pPr>
      <w:r>
        <w:rPr>
          <w:rFonts w:hint="eastAsia" w:ascii="宋体" w:hAnsi="宋体" w:eastAsia="宋体" w:cs="Arial"/>
          <w:color w:val="000000"/>
          <w:kern w:val="0"/>
          <w:sz w:val="24"/>
          <w:szCs w:val="24"/>
          <w:shd w:val="clear" w:color="auto" w:fill="FFFFFF"/>
        </w:rPr>
        <w:t>根据《中华人民共和国政府信息公开条例》（以下简称《条例》）、《吉林省人民政府办公厅关于做好政府信息公开工作年度报告编制发布有关事项的通知》（吉政厅函〔2021〕20号）</w:t>
      </w:r>
      <w:r>
        <w:rPr>
          <w:rFonts w:hint="eastAsia" w:ascii="宋体" w:hAnsi="宋体" w:eastAsia="宋体" w:cs="Arial"/>
          <w:color w:val="000000"/>
          <w:kern w:val="0"/>
          <w:sz w:val="24"/>
          <w:szCs w:val="24"/>
          <w:shd w:val="clear" w:color="auto" w:fill="FFFFFF"/>
          <w:lang w:eastAsia="zh-CN"/>
        </w:rPr>
        <w:t>有关要求</w:t>
      </w:r>
      <w:r>
        <w:rPr>
          <w:rFonts w:hint="eastAsia" w:ascii="宋体" w:hAnsi="宋体" w:eastAsia="宋体" w:cs="Arial"/>
          <w:color w:val="000000"/>
          <w:kern w:val="0"/>
          <w:sz w:val="24"/>
          <w:szCs w:val="24"/>
          <w:shd w:val="clear" w:color="auto" w:fill="FFFFFF"/>
        </w:rPr>
        <w:t>，我局编制了《吉林市审计局202</w:t>
      </w:r>
      <w:r>
        <w:rPr>
          <w:rFonts w:hint="eastAsia" w:ascii="宋体" w:hAnsi="宋体" w:eastAsia="宋体" w:cs="Arial"/>
          <w:color w:val="000000"/>
          <w:kern w:val="0"/>
          <w:sz w:val="24"/>
          <w:szCs w:val="24"/>
          <w:shd w:val="clear" w:color="auto" w:fill="FFFFFF"/>
          <w:lang w:val="en-US" w:eastAsia="zh-CN"/>
        </w:rPr>
        <w:t>2</w:t>
      </w:r>
      <w:r>
        <w:rPr>
          <w:rFonts w:hint="eastAsia" w:ascii="宋体" w:hAnsi="宋体" w:eastAsia="宋体" w:cs="Arial"/>
          <w:color w:val="000000"/>
          <w:kern w:val="0"/>
          <w:sz w:val="24"/>
          <w:szCs w:val="24"/>
          <w:shd w:val="clear" w:color="auto" w:fill="FFFFFF"/>
        </w:rPr>
        <w:t>年政府信息公开工作年度报告》（以下简称《年报》）。本《年报》由总体情况、主动公开政府信息情况、收到和处理政府信息公开申请情况、政府信息公开行政复议及行政诉讼情况、存在主要问题及改进情况、其他需要报告的事项六部分组成。《年报》中所列数据的统计时间为202</w:t>
      </w:r>
      <w:r>
        <w:rPr>
          <w:rFonts w:hint="eastAsia" w:ascii="宋体" w:hAnsi="宋体" w:eastAsia="宋体" w:cs="Arial"/>
          <w:color w:val="000000"/>
          <w:kern w:val="0"/>
          <w:sz w:val="24"/>
          <w:szCs w:val="24"/>
          <w:shd w:val="clear" w:color="auto" w:fill="FFFFFF"/>
          <w:lang w:val="en-US" w:eastAsia="zh-CN"/>
        </w:rPr>
        <w:t>2</w:t>
      </w:r>
      <w:r>
        <w:rPr>
          <w:rFonts w:hint="eastAsia" w:ascii="宋体" w:hAnsi="宋体" w:eastAsia="宋体" w:cs="Arial"/>
          <w:color w:val="000000"/>
          <w:kern w:val="0"/>
          <w:sz w:val="24"/>
          <w:szCs w:val="24"/>
          <w:shd w:val="clear" w:color="auto" w:fill="FFFFFF"/>
        </w:rPr>
        <w:t>年1月1日起至202</w:t>
      </w:r>
      <w:r>
        <w:rPr>
          <w:rFonts w:hint="eastAsia" w:ascii="宋体" w:hAnsi="宋体" w:eastAsia="宋体" w:cs="Arial"/>
          <w:color w:val="000000"/>
          <w:kern w:val="0"/>
          <w:sz w:val="24"/>
          <w:szCs w:val="24"/>
          <w:shd w:val="clear" w:color="auto" w:fill="FFFFFF"/>
          <w:lang w:val="en-US" w:eastAsia="zh-CN"/>
        </w:rPr>
        <w:t>2</w:t>
      </w:r>
      <w:r>
        <w:rPr>
          <w:rFonts w:hint="eastAsia" w:ascii="宋体" w:hAnsi="宋体" w:eastAsia="宋体" w:cs="Arial"/>
          <w:color w:val="000000"/>
          <w:kern w:val="0"/>
          <w:sz w:val="24"/>
          <w:szCs w:val="24"/>
          <w:shd w:val="clear" w:color="auto" w:fill="FFFFFF"/>
        </w:rPr>
        <w:t>年12月31日止。本《年报》通过吉林市人民政府网站——政府信息公开专栏向社会公开（网址：</w:t>
      </w:r>
      <w:r>
        <w:rPr>
          <w:rFonts w:hint="eastAsia" w:ascii="宋体" w:hAnsi="宋体" w:eastAsia="宋体" w:cs="Arial"/>
          <w:color w:val="000000"/>
          <w:kern w:val="0"/>
          <w:sz w:val="24"/>
          <w:szCs w:val="24"/>
        </w:rPr>
        <w:t>http://xxgk.jlcity.gov.cn/gzbm/sjj_1/ndbg/）。</w:t>
      </w:r>
      <w:r>
        <w:rPr>
          <w:rFonts w:hint="eastAsia" w:ascii="宋体" w:hAnsi="宋体" w:eastAsia="宋体" w:cs="Arial"/>
          <w:color w:val="000000"/>
          <w:kern w:val="0"/>
          <w:sz w:val="24"/>
          <w:szCs w:val="24"/>
          <w:shd w:val="clear" w:color="auto" w:fill="FFFFFF"/>
        </w:rPr>
        <w:t>欢迎社会各界进行监督、提出意见，欢迎广大机关、企事业单位、科研院所和人民群众参阅使用。如对本《年报》有疑问、意见和建议，请与吉林市审计局联系。电话：0432-</w:t>
      </w:r>
      <w:r>
        <w:rPr>
          <w:rFonts w:ascii="宋体" w:hAnsi="宋体" w:eastAsia="宋体" w:cs="Arial"/>
          <w:color w:val="000000"/>
          <w:kern w:val="0"/>
          <w:sz w:val="24"/>
          <w:szCs w:val="24"/>
          <w:shd w:val="clear" w:color="auto" w:fill="FFFFFF"/>
        </w:rPr>
        <w:t>62022791</w:t>
      </w:r>
      <w:r>
        <w:rPr>
          <w:rFonts w:hint="eastAsia" w:ascii="宋体" w:hAnsi="宋体" w:eastAsia="宋体" w:cs="Arial"/>
          <w:color w:val="000000"/>
          <w:kern w:val="0"/>
          <w:sz w:val="24"/>
          <w:szCs w:val="24"/>
          <w:shd w:val="clear" w:color="auto" w:fill="FFFFFF"/>
        </w:rPr>
        <w:t>，地址：吉林市北京路91号，邮箱：</w:t>
      </w:r>
      <w:r>
        <w:rPr>
          <w:rFonts w:ascii="宋体" w:hAnsi="宋体" w:eastAsia="宋体" w:cs="Arial"/>
          <w:color w:val="000000"/>
          <w:kern w:val="0"/>
          <w:sz w:val="24"/>
          <w:szCs w:val="24"/>
          <w:shd w:val="clear" w:color="auto" w:fill="FFFFFF"/>
        </w:rPr>
        <w:t>1760868524</w:t>
      </w:r>
      <w:r>
        <w:rPr>
          <w:rFonts w:hint="eastAsia" w:ascii="宋体" w:hAnsi="宋体" w:eastAsia="宋体" w:cs="Arial"/>
          <w:color w:val="000000"/>
          <w:kern w:val="0"/>
          <w:sz w:val="24"/>
          <w:szCs w:val="24"/>
          <w:shd w:val="clear" w:color="auto" w:fill="FFFFFF"/>
        </w:rPr>
        <w:t>@</w:t>
      </w:r>
      <w:r>
        <w:rPr>
          <w:rFonts w:ascii="宋体" w:hAnsi="宋体" w:eastAsia="宋体" w:cs="Arial"/>
          <w:color w:val="000000"/>
          <w:kern w:val="0"/>
          <w:sz w:val="24"/>
          <w:szCs w:val="24"/>
          <w:shd w:val="clear" w:color="auto" w:fill="FFFFFF"/>
        </w:rPr>
        <w:t>qq</w:t>
      </w:r>
      <w:r>
        <w:rPr>
          <w:rFonts w:hint="eastAsia" w:ascii="宋体" w:hAnsi="宋体" w:eastAsia="宋体" w:cs="Arial"/>
          <w:color w:val="000000"/>
          <w:kern w:val="0"/>
          <w:sz w:val="24"/>
          <w:szCs w:val="24"/>
          <w:shd w:val="clear" w:color="auto" w:fill="FFFFFF"/>
        </w:rPr>
        <w:t>.com，邮编：1320</w:t>
      </w:r>
      <w:r>
        <w:rPr>
          <w:rFonts w:ascii="宋体" w:hAnsi="宋体" w:eastAsia="宋体" w:cs="Arial"/>
          <w:color w:val="000000"/>
          <w:kern w:val="0"/>
          <w:sz w:val="24"/>
          <w:szCs w:val="24"/>
          <w:shd w:val="clear" w:color="auto" w:fill="FFFFFF"/>
        </w:rPr>
        <w:t>1</w:t>
      </w:r>
      <w:r>
        <w:rPr>
          <w:rFonts w:hint="eastAsia" w:ascii="宋体" w:hAnsi="宋体" w:eastAsia="宋体" w:cs="Arial"/>
          <w:color w:val="000000"/>
          <w:kern w:val="0"/>
          <w:sz w:val="24"/>
          <w:szCs w:val="24"/>
          <w:shd w:val="clear" w:color="auto" w:fill="FFFFFF"/>
          <w:lang w:val="en-US" w:eastAsia="zh-CN"/>
        </w:rPr>
        <w:t>1</w:t>
      </w:r>
      <w:r>
        <w:rPr>
          <w:rFonts w:hint="eastAsia" w:ascii="宋体" w:hAnsi="宋体" w:eastAsia="宋体" w:cs="Arial"/>
          <w:color w:val="000000"/>
          <w:kern w:val="0"/>
          <w:sz w:val="24"/>
          <w:szCs w:val="24"/>
          <w:shd w:val="clear" w:color="auto" w:fill="FFFFFF"/>
        </w:rPr>
        <w:t>。</w:t>
      </w:r>
    </w:p>
    <w:p>
      <w:pPr>
        <w:widowControl/>
        <w:shd w:val="clear" w:color="auto" w:fill="FFFFFF"/>
        <w:spacing w:line="450" w:lineRule="atLeast"/>
        <w:ind w:firstLine="482"/>
        <w:jc w:val="left"/>
        <w:rPr>
          <w:rFonts w:ascii="宋体" w:hAnsi="宋体" w:eastAsia="宋体" w:cs="Arial"/>
          <w:color w:val="000000"/>
          <w:kern w:val="0"/>
          <w:sz w:val="24"/>
          <w:szCs w:val="24"/>
        </w:rPr>
      </w:pPr>
      <w:r>
        <w:rPr>
          <w:rFonts w:hint="eastAsia" w:ascii="宋体" w:hAnsi="宋体" w:eastAsia="宋体" w:cs="Arial"/>
          <w:b/>
          <w:bCs/>
          <w:color w:val="000000"/>
          <w:kern w:val="0"/>
          <w:sz w:val="24"/>
          <w:szCs w:val="24"/>
          <w:shd w:val="clear" w:color="auto" w:fill="FFFFFF"/>
        </w:rPr>
        <w:t>一、总体情况</w:t>
      </w:r>
    </w:p>
    <w:p>
      <w:pPr>
        <w:widowControl/>
        <w:shd w:val="clear" w:color="auto" w:fill="FFFFFF"/>
        <w:spacing w:line="450" w:lineRule="atLeast"/>
        <w:ind w:firstLine="480"/>
        <w:jc w:val="left"/>
        <w:rPr>
          <w:rFonts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202</w:t>
      </w:r>
      <w:r>
        <w:rPr>
          <w:rFonts w:hint="eastAsia" w:ascii="宋体" w:hAnsi="宋体" w:eastAsia="宋体" w:cs="Arial"/>
          <w:color w:val="000000"/>
          <w:kern w:val="0"/>
          <w:sz w:val="24"/>
          <w:szCs w:val="24"/>
          <w:shd w:val="clear" w:color="auto" w:fill="FFFFFF"/>
          <w:lang w:val="en-US" w:eastAsia="zh-CN"/>
        </w:rPr>
        <w:t>2</w:t>
      </w:r>
      <w:r>
        <w:rPr>
          <w:rFonts w:hint="eastAsia" w:ascii="宋体" w:hAnsi="宋体" w:eastAsia="宋体" w:cs="Arial"/>
          <w:color w:val="000000"/>
          <w:kern w:val="0"/>
          <w:sz w:val="24"/>
          <w:szCs w:val="24"/>
          <w:shd w:val="clear" w:color="auto" w:fill="FFFFFF"/>
        </w:rPr>
        <w:t>年，吉林市审计局根据《202</w:t>
      </w:r>
      <w:r>
        <w:rPr>
          <w:rFonts w:hint="eastAsia" w:ascii="宋体" w:hAnsi="宋体" w:eastAsia="宋体" w:cs="Arial"/>
          <w:color w:val="000000"/>
          <w:kern w:val="0"/>
          <w:sz w:val="24"/>
          <w:szCs w:val="24"/>
          <w:shd w:val="clear" w:color="auto" w:fill="FFFFFF"/>
          <w:lang w:val="en-US" w:eastAsia="zh-CN"/>
        </w:rPr>
        <w:t>2</w:t>
      </w:r>
      <w:r>
        <w:rPr>
          <w:rFonts w:hint="eastAsia" w:ascii="宋体" w:hAnsi="宋体" w:eastAsia="宋体" w:cs="Arial"/>
          <w:color w:val="000000"/>
          <w:kern w:val="0"/>
          <w:sz w:val="24"/>
          <w:szCs w:val="24"/>
          <w:shd w:val="clear" w:color="auto" w:fill="FFFFFF"/>
        </w:rPr>
        <w:t>年</w:t>
      </w:r>
      <w:r>
        <w:rPr>
          <w:rFonts w:hint="eastAsia" w:ascii="宋体" w:hAnsi="宋体" w:eastAsia="宋体" w:cs="Arial"/>
          <w:color w:val="000000"/>
          <w:kern w:val="0"/>
          <w:sz w:val="24"/>
          <w:szCs w:val="24"/>
          <w:shd w:val="clear" w:color="auto" w:fill="FFFFFF"/>
          <w:lang w:eastAsia="zh-CN"/>
        </w:rPr>
        <w:t>吉林市政务公开工作要点任务分解表</w:t>
      </w:r>
      <w:r>
        <w:rPr>
          <w:rFonts w:hint="eastAsia" w:ascii="宋体" w:hAnsi="宋体" w:eastAsia="宋体" w:cs="Arial"/>
          <w:color w:val="000000"/>
          <w:kern w:val="0"/>
          <w:sz w:val="24"/>
          <w:szCs w:val="24"/>
          <w:shd w:val="clear" w:color="auto" w:fill="FFFFFF"/>
        </w:rPr>
        <w:t>》的要求，紧密结合审计工作实际，认真按照《条例》规定，进一步加大审计公开</w:t>
      </w:r>
      <w:r>
        <w:rPr>
          <w:rFonts w:hint="eastAsia" w:ascii="宋体" w:hAnsi="宋体" w:eastAsia="宋体" w:cs="Arial"/>
          <w:color w:val="000000"/>
          <w:kern w:val="0"/>
          <w:sz w:val="24"/>
          <w:szCs w:val="24"/>
          <w:shd w:val="clear" w:color="auto" w:fill="FFFFFF"/>
          <w:lang w:eastAsia="zh-CN"/>
        </w:rPr>
        <w:t>法制化、标准化、规范化建设</w:t>
      </w:r>
      <w:r>
        <w:rPr>
          <w:rFonts w:hint="eastAsia" w:ascii="宋体" w:hAnsi="宋体" w:eastAsia="宋体" w:cs="Arial"/>
          <w:color w:val="000000"/>
          <w:kern w:val="0"/>
          <w:sz w:val="24"/>
          <w:szCs w:val="24"/>
          <w:shd w:val="clear" w:color="auto" w:fill="FFFFFF"/>
        </w:rPr>
        <w:t>，完善政府信息公开制度，拓宽政府信息公开内容。</w:t>
      </w:r>
    </w:p>
    <w:p>
      <w:pPr>
        <w:widowControl/>
        <w:shd w:val="clear" w:color="auto" w:fill="FFFFFF"/>
        <w:spacing w:line="450" w:lineRule="atLeast"/>
        <w:ind w:firstLine="480" w:firstLineChars="200"/>
        <w:jc w:val="left"/>
        <w:rPr>
          <w:rFonts w:ascii="宋体" w:hAnsi="宋体" w:eastAsia="宋体" w:cs="Arial"/>
          <w:color w:val="auto"/>
          <w:kern w:val="0"/>
          <w:sz w:val="24"/>
          <w:szCs w:val="24"/>
          <w:shd w:val="clear" w:color="auto" w:fill="FFFFFF"/>
        </w:rPr>
      </w:pPr>
      <w:r>
        <w:rPr>
          <w:rFonts w:hint="eastAsia" w:ascii="楷体" w:hAnsi="楷体" w:eastAsia="楷体" w:cs="宋体"/>
          <w:color w:val="000000"/>
          <w:kern w:val="0"/>
          <w:sz w:val="24"/>
          <w:szCs w:val="24"/>
        </w:rPr>
        <w:t>（一）积极推动政府信息主动公开。</w:t>
      </w:r>
      <w:r>
        <w:rPr>
          <w:rFonts w:hint="eastAsia" w:ascii="宋体" w:hAnsi="宋体" w:eastAsia="宋体" w:cs="Arial"/>
          <w:color w:val="000000"/>
          <w:kern w:val="0"/>
          <w:sz w:val="24"/>
          <w:szCs w:val="24"/>
          <w:shd w:val="clear" w:color="auto" w:fill="FFFFFF"/>
        </w:rPr>
        <w:t>202</w:t>
      </w:r>
      <w:r>
        <w:rPr>
          <w:rFonts w:hint="eastAsia" w:ascii="宋体" w:hAnsi="宋体" w:eastAsia="宋体" w:cs="Arial"/>
          <w:color w:val="000000"/>
          <w:kern w:val="0"/>
          <w:sz w:val="24"/>
          <w:szCs w:val="24"/>
          <w:shd w:val="clear" w:color="auto" w:fill="FFFFFF"/>
          <w:lang w:val="en-US" w:eastAsia="zh-CN"/>
        </w:rPr>
        <w:t>2</w:t>
      </w:r>
      <w:r>
        <w:rPr>
          <w:rFonts w:hint="eastAsia" w:ascii="宋体" w:hAnsi="宋体" w:eastAsia="宋体" w:cs="Arial"/>
          <w:color w:val="000000"/>
          <w:kern w:val="0"/>
          <w:sz w:val="24"/>
          <w:szCs w:val="24"/>
          <w:shd w:val="clear" w:color="auto" w:fill="FFFFFF"/>
        </w:rPr>
        <w:t>年，我局按照《中华人民共和国政府信息公开条例》，坚持以公开为常态，不公开为例外，遵循公正、公平、合法、便民的原则，主动公开政府信息，充分发挥政府信息对人民群众生产、生活和经济社会活动的服务作用。</w:t>
      </w:r>
      <w:bookmarkStart w:id="0" w:name="_GoBack"/>
      <w:r>
        <w:rPr>
          <w:rFonts w:hint="eastAsia" w:ascii="宋体" w:hAnsi="宋体" w:eastAsia="宋体" w:cs="Arial"/>
          <w:color w:val="auto"/>
          <w:kern w:val="0"/>
          <w:sz w:val="24"/>
          <w:szCs w:val="24"/>
          <w:shd w:val="clear" w:color="auto" w:fill="FFFFFF"/>
        </w:rPr>
        <w:t>今年在政府公开信息目录公开政府信息</w:t>
      </w:r>
      <w:r>
        <w:rPr>
          <w:rFonts w:hint="eastAsia" w:ascii="宋体" w:hAnsi="宋体" w:eastAsia="宋体" w:cs="Arial"/>
          <w:color w:val="auto"/>
          <w:kern w:val="0"/>
          <w:sz w:val="24"/>
          <w:szCs w:val="24"/>
          <w:shd w:val="clear" w:color="auto" w:fill="FFFFFF"/>
          <w:lang w:val="en-US" w:eastAsia="zh-CN"/>
        </w:rPr>
        <w:t>10</w:t>
      </w:r>
      <w:r>
        <w:rPr>
          <w:rFonts w:hint="eastAsia" w:ascii="宋体" w:hAnsi="宋体" w:eastAsia="宋体" w:cs="Arial"/>
          <w:color w:val="auto"/>
          <w:kern w:val="0"/>
          <w:sz w:val="24"/>
          <w:szCs w:val="24"/>
          <w:shd w:val="clear" w:color="auto" w:fill="FFFFFF"/>
        </w:rPr>
        <w:t>篇，在部门网站公开工作开展情况信息</w:t>
      </w:r>
      <w:r>
        <w:rPr>
          <w:rFonts w:hint="eastAsia" w:ascii="宋体" w:hAnsi="宋体" w:eastAsia="宋体" w:cs="Arial"/>
          <w:color w:val="auto"/>
          <w:kern w:val="0"/>
          <w:sz w:val="24"/>
          <w:szCs w:val="24"/>
          <w:shd w:val="clear" w:color="auto" w:fill="FFFFFF"/>
          <w:lang w:val="en-US" w:eastAsia="zh-CN"/>
        </w:rPr>
        <w:t>17</w:t>
      </w:r>
      <w:r>
        <w:rPr>
          <w:rFonts w:hint="eastAsia" w:ascii="宋体" w:hAnsi="宋体" w:eastAsia="宋体" w:cs="Arial"/>
          <w:color w:val="auto"/>
          <w:kern w:val="0"/>
          <w:sz w:val="24"/>
          <w:szCs w:val="24"/>
          <w:shd w:val="clear" w:color="auto" w:fill="FFFFFF"/>
        </w:rPr>
        <w:t>篇，进一步提高审计工作的透明度。</w:t>
      </w:r>
    </w:p>
    <w:p>
      <w:pPr>
        <w:widowControl/>
        <w:shd w:val="clear" w:color="auto" w:fill="FFFFFF"/>
        <w:spacing w:line="450" w:lineRule="atLeast"/>
        <w:ind w:firstLine="480"/>
        <w:jc w:val="left"/>
        <w:rPr>
          <w:rFonts w:ascii="宋体" w:hAnsi="宋体" w:eastAsia="宋体" w:cs="Arial"/>
          <w:color w:val="000000"/>
          <w:kern w:val="0"/>
          <w:sz w:val="24"/>
          <w:szCs w:val="24"/>
          <w:shd w:val="clear" w:color="auto" w:fill="FFFFFF"/>
        </w:rPr>
      </w:pPr>
      <w:r>
        <w:rPr>
          <w:rFonts w:hint="eastAsia" w:ascii="楷体" w:hAnsi="楷体" w:eastAsia="楷体" w:cs="宋体"/>
          <w:color w:val="auto"/>
          <w:kern w:val="0"/>
          <w:sz w:val="24"/>
          <w:szCs w:val="24"/>
        </w:rPr>
        <w:t>（二）认真规范处理依申请公开。</w:t>
      </w:r>
      <w:r>
        <w:rPr>
          <w:rFonts w:hint="eastAsia" w:ascii="宋体" w:hAnsi="宋体" w:eastAsia="宋体" w:cs="Arial"/>
          <w:color w:val="auto"/>
          <w:kern w:val="0"/>
          <w:sz w:val="24"/>
          <w:szCs w:val="24"/>
          <w:shd w:val="clear" w:color="auto" w:fill="FFFFFF"/>
        </w:rPr>
        <w:t>我</w:t>
      </w:r>
      <w:bookmarkEnd w:id="0"/>
      <w:r>
        <w:rPr>
          <w:rFonts w:hint="eastAsia" w:ascii="宋体" w:hAnsi="宋体" w:eastAsia="宋体" w:cs="Arial"/>
          <w:color w:val="000000"/>
          <w:kern w:val="0"/>
          <w:sz w:val="24"/>
          <w:szCs w:val="24"/>
          <w:shd w:val="clear" w:color="auto" w:fill="FFFFFF"/>
        </w:rPr>
        <w:t>局针对收到的公开申请内容，能够认真对待，在规定的时间内进行及时回复，做到数据准确、要素齐备、全面客观反映所申请的内容，并接受社会各界人士的监督。</w:t>
      </w:r>
    </w:p>
    <w:p>
      <w:pPr>
        <w:widowControl/>
        <w:shd w:val="clear" w:color="auto" w:fill="FFFFFF"/>
        <w:spacing w:line="450" w:lineRule="atLeast"/>
        <w:ind w:firstLine="480"/>
        <w:jc w:val="left"/>
        <w:rPr>
          <w:rFonts w:ascii="楷体" w:hAnsi="楷体" w:eastAsia="楷体" w:cs="宋体"/>
          <w:color w:val="000000"/>
          <w:kern w:val="0"/>
          <w:sz w:val="24"/>
          <w:szCs w:val="24"/>
        </w:rPr>
      </w:pPr>
      <w:r>
        <w:rPr>
          <w:rFonts w:hint="eastAsia" w:ascii="楷体" w:hAnsi="楷体" w:eastAsia="楷体" w:cs="宋体"/>
          <w:color w:val="000000"/>
          <w:kern w:val="0"/>
          <w:sz w:val="24"/>
          <w:szCs w:val="24"/>
        </w:rPr>
        <w:t>（三）强化政府信息公开平台保障。</w:t>
      </w:r>
      <w:r>
        <w:rPr>
          <w:rFonts w:hint="eastAsia" w:ascii="宋体" w:hAnsi="宋体" w:eastAsia="宋体" w:cs="Arial"/>
          <w:color w:val="000000"/>
          <w:kern w:val="0"/>
          <w:sz w:val="24"/>
          <w:szCs w:val="24"/>
          <w:shd w:val="clear" w:color="auto" w:fill="FFFFFF"/>
        </w:rPr>
        <w:t>加强互联网政府信息公开平台建设，提高政府信息公开在线办理水平，在政府网站公开的所有信息，主动接受群众监督，对提出的批评和建议，认真采纳，积极改进。</w:t>
      </w:r>
    </w:p>
    <w:p>
      <w:pPr>
        <w:widowControl/>
        <w:shd w:val="clear" w:color="auto" w:fill="FFFFFF"/>
        <w:spacing w:line="450" w:lineRule="atLeast"/>
        <w:ind w:firstLine="480"/>
        <w:jc w:val="left"/>
        <w:rPr>
          <w:rFonts w:ascii="宋体" w:hAnsi="宋体" w:eastAsia="宋体" w:cs="Arial"/>
          <w:color w:val="000000"/>
          <w:kern w:val="0"/>
          <w:sz w:val="24"/>
          <w:szCs w:val="24"/>
          <w:shd w:val="clear" w:color="auto" w:fill="FFFFFF"/>
        </w:rPr>
      </w:pPr>
      <w:r>
        <w:rPr>
          <w:rFonts w:hint="eastAsia" w:ascii="楷体" w:hAnsi="楷体" w:eastAsia="楷体" w:cs="宋体"/>
          <w:color w:val="000000"/>
          <w:kern w:val="0"/>
          <w:sz w:val="24"/>
          <w:szCs w:val="24"/>
        </w:rPr>
        <w:t>（四）做好规范监督保障工作。</w:t>
      </w:r>
      <w:r>
        <w:rPr>
          <w:rFonts w:hint="eastAsia" w:ascii="宋体" w:hAnsi="宋体" w:eastAsia="宋体" w:cs="Arial"/>
          <w:color w:val="000000"/>
          <w:kern w:val="0"/>
          <w:sz w:val="24"/>
          <w:szCs w:val="24"/>
          <w:shd w:val="clear" w:color="auto" w:fill="FFFFFF"/>
        </w:rPr>
        <w:t>202</w:t>
      </w:r>
      <w:r>
        <w:rPr>
          <w:rFonts w:hint="eastAsia" w:ascii="宋体" w:hAnsi="宋体" w:eastAsia="宋体" w:cs="Arial"/>
          <w:color w:val="000000"/>
          <w:kern w:val="0"/>
          <w:sz w:val="24"/>
          <w:szCs w:val="24"/>
          <w:shd w:val="clear" w:color="auto" w:fill="FFFFFF"/>
          <w:lang w:val="en-US" w:eastAsia="zh-CN"/>
        </w:rPr>
        <w:t>2</w:t>
      </w:r>
      <w:r>
        <w:rPr>
          <w:rFonts w:hint="eastAsia" w:ascii="宋体" w:hAnsi="宋体" w:eastAsia="宋体" w:cs="Arial"/>
          <w:color w:val="000000"/>
          <w:kern w:val="0"/>
          <w:sz w:val="24"/>
          <w:szCs w:val="24"/>
          <w:shd w:val="clear" w:color="auto" w:fill="FFFFFF"/>
        </w:rPr>
        <w:t>年，我局进一步加强并完善了政务信息公开工作的组织领导，完善工作措施，坚决贯彻落实“主要领导亲自抓，分管领导具体抓，职能部门抓落实”的工作机制，积极推进政府信息公开工作有序开展。为深入落实《条例》规定和国家、省、市政务公开工作部署，推进决策、执行、管理、服务、结果“五公开”，编制</w:t>
      </w:r>
      <w:r>
        <w:rPr>
          <w:rFonts w:hint="eastAsia" w:ascii="宋体" w:hAnsi="宋体" w:eastAsia="宋体" w:cs="Arial"/>
          <w:color w:val="000000"/>
          <w:kern w:val="0"/>
          <w:sz w:val="24"/>
          <w:szCs w:val="24"/>
          <w:shd w:val="clear" w:color="auto" w:fill="FFFFFF"/>
          <w:lang w:eastAsia="zh-CN"/>
        </w:rPr>
        <w:t>了</w:t>
      </w:r>
      <w:r>
        <w:rPr>
          <w:rFonts w:hint="eastAsia" w:ascii="宋体" w:hAnsi="宋体" w:eastAsia="宋体" w:cs="Arial"/>
          <w:color w:val="000000"/>
          <w:kern w:val="0"/>
          <w:sz w:val="24"/>
          <w:szCs w:val="24"/>
          <w:shd w:val="clear" w:color="auto" w:fill="FFFFFF"/>
        </w:rPr>
        <w:t>《吉林市审计局政务公开事项标准目录》，进一步深化</w:t>
      </w:r>
      <w:r>
        <w:rPr>
          <w:rFonts w:hint="eastAsia" w:ascii="宋体" w:hAnsi="宋体" w:eastAsia="宋体" w:cs="Arial"/>
          <w:color w:val="000000"/>
          <w:kern w:val="0"/>
          <w:sz w:val="24"/>
          <w:szCs w:val="24"/>
          <w:shd w:val="clear" w:color="auto" w:fill="FFFFFF"/>
          <w:lang w:eastAsia="zh-CN"/>
        </w:rPr>
        <w:t>了我局</w:t>
      </w:r>
      <w:r>
        <w:rPr>
          <w:rFonts w:hint="eastAsia" w:ascii="宋体" w:hAnsi="宋体" w:eastAsia="宋体" w:cs="Arial"/>
          <w:color w:val="000000"/>
          <w:kern w:val="0"/>
          <w:sz w:val="24"/>
          <w:szCs w:val="24"/>
          <w:shd w:val="clear" w:color="auto" w:fill="FFFFFF"/>
        </w:rPr>
        <w:t>政务公开标准化规范化工作。为确保</w:t>
      </w:r>
      <w:r>
        <w:rPr>
          <w:rFonts w:hint="eastAsia" w:ascii="宋体" w:hAnsi="宋体" w:eastAsia="宋体" w:cs="Arial"/>
          <w:color w:val="000000"/>
          <w:kern w:val="0"/>
          <w:sz w:val="24"/>
          <w:szCs w:val="24"/>
          <w:shd w:val="clear" w:color="auto" w:fill="FFFFFF"/>
          <w:lang w:eastAsia="zh-CN"/>
        </w:rPr>
        <w:t>政务公开</w:t>
      </w:r>
      <w:r>
        <w:rPr>
          <w:rFonts w:hint="eastAsia" w:ascii="宋体" w:hAnsi="宋体" w:eastAsia="宋体" w:cs="Arial"/>
          <w:color w:val="000000"/>
          <w:kern w:val="0"/>
          <w:sz w:val="24"/>
          <w:szCs w:val="24"/>
          <w:shd w:val="clear" w:color="auto" w:fill="FFFFFF"/>
        </w:rPr>
        <w:t>工作顺利进行，我局专门配备了2名兼职工作人员，并依托吉林市政府网站政务公开专栏作为公共查阅点。</w:t>
      </w:r>
    </w:p>
    <w:p>
      <w:pPr>
        <w:widowControl/>
        <w:shd w:val="clear" w:color="auto" w:fill="FFFFFF"/>
        <w:spacing w:line="450" w:lineRule="atLeast"/>
        <w:ind w:firstLine="482"/>
        <w:jc w:val="left"/>
        <w:rPr>
          <w:rFonts w:ascii="宋体" w:hAnsi="宋体" w:eastAsia="宋体" w:cs="Arial"/>
          <w:color w:val="000000"/>
          <w:kern w:val="0"/>
          <w:sz w:val="24"/>
          <w:szCs w:val="24"/>
        </w:rPr>
      </w:pPr>
      <w:r>
        <w:rPr>
          <w:rFonts w:hint="eastAsia" w:ascii="宋体" w:hAnsi="宋体" w:eastAsia="宋体" w:cs="Arial"/>
          <w:b/>
          <w:bCs/>
          <w:color w:val="000000"/>
          <w:kern w:val="0"/>
          <w:sz w:val="24"/>
          <w:szCs w:val="24"/>
        </w:rPr>
        <w:t>二、主动公开政府信息情况</w:t>
      </w:r>
    </w:p>
    <w:tbl>
      <w:tblPr>
        <w:tblStyle w:val="6"/>
        <w:tblW w:w="9014" w:type="dxa"/>
        <w:jc w:val="center"/>
        <w:tblInd w:w="0" w:type="dxa"/>
        <w:tblLayout w:type="fixed"/>
        <w:tblCellMar>
          <w:top w:w="0" w:type="dxa"/>
          <w:left w:w="0" w:type="dxa"/>
          <w:bottom w:w="0" w:type="dxa"/>
          <w:right w:w="0" w:type="dxa"/>
        </w:tblCellMar>
      </w:tblPr>
      <w:tblGrid>
        <w:gridCol w:w="2461"/>
        <w:gridCol w:w="2184"/>
        <w:gridCol w:w="2184"/>
        <w:gridCol w:w="2185"/>
      </w:tblGrid>
      <w:tr>
        <w:tblPrEx>
          <w:tblLayout w:type="fixed"/>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现行有效件数</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0</w:t>
            </w:r>
          </w:p>
        </w:tc>
        <w:tc>
          <w:tcPr>
            <w:tcW w:w="2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0</w:t>
            </w:r>
          </w:p>
        </w:tc>
      </w:tr>
      <w:tr>
        <w:tblPrEx>
          <w:tblLayout w:type="fixed"/>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1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0</w:t>
            </w:r>
          </w:p>
        </w:tc>
      </w:tr>
      <w:tr>
        <w:tblPrEx>
          <w:tblLayout w:type="fixed"/>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0</w:t>
            </w:r>
          </w:p>
        </w:tc>
      </w:tr>
      <w:tr>
        <w:tblPrEx>
          <w:tblLayout w:type="fixed"/>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0</w:t>
            </w:r>
          </w:p>
        </w:tc>
      </w:tr>
      <w:tr>
        <w:tblPrEx>
          <w:tblLayout w:type="fixed"/>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本年收费金额（单位：万元）</w:t>
            </w:r>
          </w:p>
        </w:tc>
      </w:tr>
      <w:tr>
        <w:tblPrEx>
          <w:tblLayout w:type="fixed"/>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0</w:t>
            </w:r>
          </w:p>
        </w:tc>
      </w:tr>
    </w:tbl>
    <w:p>
      <w:pPr>
        <w:widowControl/>
        <w:shd w:val="clear" w:color="auto" w:fill="FFFFFF"/>
        <w:spacing w:line="450" w:lineRule="atLeast"/>
        <w:ind w:firstLine="482"/>
        <w:jc w:val="left"/>
        <w:rPr>
          <w:rFonts w:ascii="宋体" w:hAnsi="宋体" w:eastAsia="宋体" w:cs="Arial"/>
          <w:color w:val="000000"/>
          <w:kern w:val="0"/>
          <w:sz w:val="24"/>
          <w:szCs w:val="24"/>
        </w:rPr>
      </w:pPr>
      <w:r>
        <w:rPr>
          <w:rFonts w:hint="eastAsia" w:ascii="宋体" w:hAnsi="宋体" w:eastAsia="宋体" w:cs="Arial"/>
          <w:b/>
          <w:bCs/>
          <w:color w:val="000000"/>
          <w:kern w:val="0"/>
          <w:sz w:val="24"/>
          <w:szCs w:val="24"/>
        </w:rPr>
        <w:t>三、收到和处理政府信息公开申请情况</w:t>
      </w:r>
    </w:p>
    <w:tbl>
      <w:tblPr>
        <w:tblStyle w:val="6"/>
        <w:tblW w:w="9014" w:type="dxa"/>
        <w:jc w:val="center"/>
        <w:tblInd w:w="0" w:type="dxa"/>
        <w:tblLayout w:type="fixed"/>
        <w:tblCellMar>
          <w:top w:w="0" w:type="dxa"/>
          <w:left w:w="0" w:type="dxa"/>
          <w:bottom w:w="0" w:type="dxa"/>
          <w:right w:w="0" w:type="dxa"/>
        </w:tblCellMar>
      </w:tblPr>
      <w:tblGrid>
        <w:gridCol w:w="653"/>
        <w:gridCol w:w="816"/>
        <w:gridCol w:w="2650"/>
        <w:gridCol w:w="685"/>
        <w:gridCol w:w="696"/>
        <w:gridCol w:w="729"/>
        <w:gridCol w:w="707"/>
        <w:gridCol w:w="762"/>
        <w:gridCol w:w="685"/>
        <w:gridCol w:w="631"/>
      </w:tblGrid>
      <w:tr>
        <w:tblPrEx>
          <w:tblLayout w:type="fixed"/>
          <w:tblCellMar>
            <w:top w:w="0" w:type="dxa"/>
            <w:left w:w="0" w:type="dxa"/>
            <w:bottom w:w="0" w:type="dxa"/>
            <w:right w:w="0" w:type="dxa"/>
          </w:tblCellMar>
        </w:tblPrEx>
        <w:trPr>
          <w:trHeight w:val="390" w:hRule="atLeast"/>
          <w:jc w:val="center"/>
        </w:trPr>
        <w:tc>
          <w:tcPr>
            <w:tcW w:w="4119"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895"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Layout w:type="fixed"/>
          <w:tblCellMar>
            <w:top w:w="0" w:type="dxa"/>
            <w:left w:w="0" w:type="dxa"/>
            <w:bottom w:w="0" w:type="dxa"/>
            <w:right w:w="0" w:type="dxa"/>
          </w:tblCellMar>
        </w:tblPrEx>
        <w:trPr>
          <w:trHeight w:val="411" w:hRule="atLeast"/>
          <w:jc w:val="center"/>
        </w:trPr>
        <w:tc>
          <w:tcPr>
            <w:tcW w:w="411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68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57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3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Layout w:type="fixed"/>
          <w:tblCellMar>
            <w:top w:w="0" w:type="dxa"/>
            <w:left w:w="0" w:type="dxa"/>
            <w:bottom w:w="0" w:type="dxa"/>
            <w:right w:w="0" w:type="dxa"/>
          </w:tblCellMar>
        </w:tblPrEx>
        <w:trPr>
          <w:jc w:val="center"/>
        </w:trPr>
        <w:tc>
          <w:tcPr>
            <w:tcW w:w="4119" w:type="dxa"/>
            <w:gridSpan w:val="3"/>
            <w:vMerge w:val="continue"/>
            <w:tcBorders>
              <w:top w:val="single" w:color="auto" w:sz="8" w:space="0"/>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685" w:type="dxa"/>
            <w:vMerge w:val="continue"/>
            <w:tcBorders>
              <w:top w:val="nil"/>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商业企业</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科研机构</w:t>
            </w:r>
          </w:p>
        </w:tc>
        <w:tc>
          <w:tcPr>
            <w:tcW w:w="7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76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6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631" w:type="dxa"/>
            <w:vMerge w:val="continue"/>
            <w:tcBorders>
              <w:top w:val="single" w:color="auto" w:sz="8" w:space="0"/>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r>
      <w:tr>
        <w:tblPrEx>
          <w:tblLayout w:type="fixed"/>
          <w:tblCellMar>
            <w:top w:w="0" w:type="dxa"/>
            <w:left w:w="0" w:type="dxa"/>
            <w:bottom w:w="0" w:type="dxa"/>
            <w:right w:w="0" w:type="dxa"/>
          </w:tblCellMar>
        </w:tblPrEx>
        <w:trPr>
          <w:trHeight w:val="422" w:hRule="atLeast"/>
          <w:jc w:val="center"/>
        </w:trPr>
        <w:tc>
          <w:tcPr>
            <w:tcW w:w="41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55" w:hRule="atLeast"/>
          <w:jc w:val="center"/>
        </w:trPr>
        <w:tc>
          <w:tcPr>
            <w:tcW w:w="41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66" w:hRule="atLeast"/>
          <w:jc w:val="center"/>
        </w:trPr>
        <w:tc>
          <w:tcPr>
            <w:tcW w:w="65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346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346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66" w:hRule="atLeast"/>
          <w:jc w:val="center"/>
        </w:trPr>
        <w:tc>
          <w:tcPr>
            <w:tcW w:w="65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1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00" w:hRule="atLeast"/>
          <w:jc w:val="center"/>
        </w:trPr>
        <w:tc>
          <w:tcPr>
            <w:tcW w:w="65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00" w:hRule="atLeast"/>
          <w:jc w:val="center"/>
        </w:trPr>
        <w:tc>
          <w:tcPr>
            <w:tcW w:w="653"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389" w:hRule="atLeast"/>
          <w:jc w:val="center"/>
        </w:trPr>
        <w:tc>
          <w:tcPr>
            <w:tcW w:w="65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379" w:hRule="atLeast"/>
          <w:jc w:val="center"/>
        </w:trPr>
        <w:tc>
          <w:tcPr>
            <w:tcW w:w="653"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20" w:hRule="atLeast"/>
          <w:jc w:val="center"/>
        </w:trPr>
        <w:tc>
          <w:tcPr>
            <w:tcW w:w="65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20" w:hRule="atLeast"/>
          <w:jc w:val="center"/>
        </w:trPr>
        <w:tc>
          <w:tcPr>
            <w:tcW w:w="653"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jc w:val="center"/>
        </w:trPr>
        <w:tc>
          <w:tcPr>
            <w:tcW w:w="65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1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369" w:hRule="atLeast"/>
          <w:jc w:val="center"/>
        </w:trPr>
        <w:tc>
          <w:tcPr>
            <w:tcW w:w="65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00" w:hRule="atLeast"/>
          <w:jc w:val="center"/>
        </w:trPr>
        <w:tc>
          <w:tcPr>
            <w:tcW w:w="653"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81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389" w:hRule="atLeast"/>
          <w:jc w:val="center"/>
        </w:trPr>
        <w:tc>
          <w:tcPr>
            <w:tcW w:w="65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23" w:hRule="atLeast"/>
          <w:jc w:val="center"/>
        </w:trPr>
        <w:tc>
          <w:tcPr>
            <w:tcW w:w="653"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01" w:hRule="atLeast"/>
          <w:jc w:val="center"/>
        </w:trPr>
        <w:tc>
          <w:tcPr>
            <w:tcW w:w="65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jc w:val="center"/>
        </w:trPr>
        <w:tc>
          <w:tcPr>
            <w:tcW w:w="65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1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jc w:val="center"/>
        </w:trPr>
        <w:tc>
          <w:tcPr>
            <w:tcW w:w="653"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45" w:hRule="atLeast"/>
          <w:jc w:val="center"/>
        </w:trPr>
        <w:tc>
          <w:tcPr>
            <w:tcW w:w="65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22" w:hRule="atLeast"/>
          <w:jc w:val="center"/>
        </w:trPr>
        <w:tc>
          <w:tcPr>
            <w:tcW w:w="653"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346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443" w:hRule="atLeast"/>
          <w:jc w:val="center"/>
        </w:trPr>
        <w:tc>
          <w:tcPr>
            <w:tcW w:w="41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2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0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7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85"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63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bl>
    <w:p>
      <w:pPr>
        <w:widowControl/>
        <w:shd w:val="clear" w:color="auto" w:fill="FFFFFF"/>
        <w:spacing w:line="450" w:lineRule="atLeast"/>
        <w:ind w:firstLine="482"/>
        <w:jc w:val="left"/>
        <w:rPr>
          <w:rFonts w:ascii="宋体" w:hAnsi="宋体" w:eastAsia="宋体" w:cs="Arial"/>
          <w:color w:val="000000"/>
          <w:kern w:val="0"/>
          <w:sz w:val="24"/>
          <w:szCs w:val="24"/>
        </w:rPr>
      </w:pPr>
      <w:r>
        <w:rPr>
          <w:rFonts w:hint="eastAsia" w:ascii="宋体" w:hAnsi="宋体" w:eastAsia="宋体" w:cs="Arial"/>
          <w:b/>
          <w:bCs/>
          <w:color w:val="000000"/>
          <w:kern w:val="0"/>
          <w:sz w:val="24"/>
          <w:szCs w:val="24"/>
        </w:rPr>
        <w:t>四、政府信息公开行政复议、行政诉讼情况</w:t>
      </w:r>
    </w:p>
    <w:tbl>
      <w:tblPr>
        <w:tblStyle w:val="6"/>
        <w:tblW w:w="9071" w:type="dxa"/>
        <w:jc w:val="center"/>
        <w:tblInd w:w="0" w:type="dxa"/>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Layout w:type="fixed"/>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行政复议</w:t>
            </w:r>
          </w:p>
        </w:tc>
        <w:tc>
          <w:tcPr>
            <w:tcW w:w="6068"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行政诉讼</w:t>
            </w:r>
          </w:p>
        </w:tc>
      </w:tr>
      <w:tr>
        <w:tblPrEx>
          <w:tblLayout w:type="fixed"/>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结果维持</w:t>
            </w:r>
          </w:p>
        </w:tc>
        <w:tc>
          <w:tcPr>
            <w:tcW w:w="59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总计</w:t>
            </w:r>
          </w:p>
        </w:tc>
        <w:tc>
          <w:tcPr>
            <w:tcW w:w="304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复议后起诉</w:t>
            </w:r>
          </w:p>
        </w:tc>
      </w:tr>
      <w:tr>
        <w:tblPrEx>
          <w:tblLayout w:type="fixed"/>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599" w:type="dxa"/>
            <w:vMerge w:val="continue"/>
            <w:tcBorders>
              <w:top w:val="nil"/>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599" w:type="dxa"/>
            <w:vMerge w:val="continue"/>
            <w:tcBorders>
              <w:top w:val="single" w:color="auto" w:sz="8" w:space="0"/>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606" w:type="dxa"/>
            <w:vMerge w:val="continue"/>
            <w:tcBorders>
              <w:top w:val="single" w:color="auto" w:sz="8" w:space="0"/>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600" w:type="dxa"/>
            <w:vMerge w:val="continue"/>
            <w:tcBorders>
              <w:top w:val="single" w:color="auto" w:sz="8" w:space="0"/>
              <w:left w:val="nil"/>
              <w:bottom w:val="single" w:color="auto" w:sz="8" w:space="0"/>
              <w:right w:val="single" w:color="auto" w:sz="8" w:space="0"/>
            </w:tcBorders>
            <w:shd w:val="clear" w:color="auto" w:fill="F8F8F8"/>
            <w:vAlign w:val="center"/>
          </w:tcPr>
          <w:p>
            <w:pPr>
              <w:widowControl/>
              <w:jc w:val="left"/>
              <w:rPr>
                <w:rFonts w:ascii="宋体" w:hAnsi="宋体" w:eastAsia="宋体" w:cs="宋体"/>
                <w:color w:val="000000"/>
                <w:kern w:val="0"/>
                <w:sz w:val="24"/>
                <w:szCs w:val="24"/>
              </w:rPr>
            </w:pPr>
          </w:p>
        </w:tc>
        <w:tc>
          <w:tcPr>
            <w:tcW w:w="6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结果维持</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结果纠正</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其他结果</w:t>
            </w:r>
          </w:p>
        </w:tc>
        <w:tc>
          <w:tcPr>
            <w:tcW w:w="6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尚未审结</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结果维持</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结果纠正</w:t>
            </w:r>
          </w:p>
        </w:tc>
        <w:tc>
          <w:tcPr>
            <w:tcW w:w="6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尚未审结</w:t>
            </w:r>
          </w:p>
        </w:tc>
        <w:tc>
          <w:tcPr>
            <w:tcW w:w="6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总计</w:t>
            </w:r>
          </w:p>
        </w:tc>
      </w:tr>
      <w:tr>
        <w:tblPrEx>
          <w:tblLayout w:type="fixed"/>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5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c>
          <w:tcPr>
            <w:tcW w:w="6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5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w:t>
            </w:r>
          </w:p>
        </w:tc>
      </w:tr>
    </w:tbl>
    <w:p>
      <w:pPr>
        <w:widowControl/>
        <w:shd w:val="clear" w:color="auto" w:fill="FFFFFF"/>
        <w:spacing w:line="450" w:lineRule="atLeast"/>
        <w:ind w:firstLine="480"/>
        <w:jc w:val="left"/>
        <w:rPr>
          <w:rFonts w:hint="eastAsia" w:ascii="宋体" w:hAnsi="宋体" w:eastAsia="宋体" w:cs="Arial"/>
          <w:b/>
          <w:bCs/>
          <w:color w:val="000000"/>
          <w:kern w:val="0"/>
          <w:sz w:val="24"/>
          <w:szCs w:val="24"/>
          <w:shd w:val="clear" w:color="auto" w:fill="FFFFFF"/>
        </w:rPr>
      </w:pPr>
      <w:r>
        <w:rPr>
          <w:rFonts w:hint="eastAsia" w:ascii="宋体" w:hAnsi="宋体" w:eastAsia="宋体" w:cs="Arial"/>
          <w:b/>
          <w:bCs/>
          <w:color w:val="000000"/>
          <w:kern w:val="0"/>
          <w:sz w:val="24"/>
          <w:szCs w:val="24"/>
          <w:shd w:val="clear" w:color="auto" w:fill="FFFFFF"/>
        </w:rPr>
        <w:t>五、存在的主要问题及改进情况</w:t>
      </w:r>
    </w:p>
    <w:p>
      <w:pPr>
        <w:widowControl/>
        <w:shd w:val="clear" w:color="auto" w:fill="FFFFFF"/>
        <w:spacing w:line="450" w:lineRule="atLeast"/>
        <w:ind w:firstLine="480"/>
        <w:jc w:val="lef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针对政务公开检查中指出的公开专栏错链</w:t>
      </w:r>
      <w:r>
        <w:rPr>
          <w:rFonts w:hint="eastAsia" w:ascii="宋体" w:hAnsi="宋体" w:eastAsia="宋体" w:cs="Arial"/>
          <w:color w:val="000000"/>
          <w:kern w:val="0"/>
          <w:sz w:val="24"/>
          <w:szCs w:val="24"/>
          <w:shd w:val="clear" w:color="auto" w:fill="FFFFFF"/>
          <w:lang w:eastAsia="zh-CN"/>
        </w:rPr>
        <w:t>、错别字</w:t>
      </w:r>
      <w:r>
        <w:rPr>
          <w:rFonts w:hint="eastAsia" w:ascii="宋体" w:hAnsi="宋体" w:eastAsia="宋体" w:cs="Arial"/>
          <w:color w:val="000000"/>
          <w:kern w:val="0"/>
          <w:sz w:val="24"/>
          <w:szCs w:val="24"/>
          <w:shd w:val="clear" w:color="auto" w:fill="FFFFFF"/>
        </w:rPr>
        <w:t>等问题，我局能够做到接受问题，及时</w:t>
      </w:r>
      <w:r>
        <w:rPr>
          <w:rFonts w:hint="eastAsia" w:ascii="宋体" w:hAnsi="宋体" w:eastAsia="宋体" w:cs="Arial"/>
          <w:color w:val="000000"/>
          <w:kern w:val="0"/>
          <w:sz w:val="24"/>
          <w:szCs w:val="24"/>
          <w:shd w:val="clear" w:color="auto" w:fill="FFFFFF"/>
          <w:lang w:eastAsia="zh-CN"/>
        </w:rPr>
        <w:t>改正</w:t>
      </w:r>
      <w:r>
        <w:rPr>
          <w:rFonts w:hint="eastAsia" w:ascii="宋体" w:hAnsi="宋体" w:eastAsia="宋体" w:cs="Arial"/>
          <w:color w:val="000000"/>
          <w:kern w:val="0"/>
          <w:sz w:val="24"/>
          <w:szCs w:val="24"/>
          <w:shd w:val="clear" w:color="auto" w:fill="FFFFFF"/>
        </w:rPr>
        <w:t>更新。</w:t>
      </w:r>
    </w:p>
    <w:p>
      <w:pPr>
        <w:widowControl/>
        <w:shd w:val="clear" w:color="auto" w:fill="FFFFFF"/>
        <w:spacing w:line="450" w:lineRule="atLeast"/>
        <w:ind w:firstLine="480"/>
        <w:jc w:val="left"/>
        <w:rPr>
          <w:rFonts w:hint="eastAsia" w:ascii="宋体" w:hAnsi="宋体" w:eastAsia="宋体" w:cs="Arial"/>
          <w:b w:val="0"/>
          <w:bCs w:val="0"/>
          <w:color w:val="000000"/>
          <w:kern w:val="0"/>
          <w:sz w:val="24"/>
          <w:szCs w:val="24"/>
          <w:shd w:val="clear" w:color="auto" w:fill="FFFFFF"/>
        </w:rPr>
      </w:pPr>
      <w:r>
        <w:rPr>
          <w:rFonts w:hint="eastAsia" w:ascii="宋体" w:hAnsi="宋体" w:eastAsia="宋体" w:cs="Arial"/>
          <w:b/>
          <w:bCs/>
          <w:color w:val="000000"/>
          <w:kern w:val="0"/>
          <w:sz w:val="24"/>
          <w:szCs w:val="24"/>
          <w:shd w:val="clear" w:color="auto" w:fill="FFFFFF"/>
        </w:rPr>
        <w:t>六、其他需要报告的事项</w:t>
      </w:r>
    </w:p>
    <w:p>
      <w:pPr>
        <w:widowControl/>
        <w:shd w:val="clear" w:color="auto" w:fill="FFFFFF"/>
        <w:spacing w:line="450" w:lineRule="atLeast"/>
        <w:ind w:firstLine="480"/>
        <w:jc w:val="lef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无此事项。</w:t>
      </w:r>
    </w:p>
    <w:p>
      <w:pPr>
        <w:widowControl/>
        <w:shd w:val="clear" w:color="auto" w:fill="FFFFFF"/>
        <w:spacing w:line="450" w:lineRule="atLeast"/>
        <w:ind w:firstLine="480"/>
        <w:jc w:val="left"/>
        <w:rPr>
          <w:rFonts w:hint="eastAsia" w:ascii="宋体" w:hAnsi="宋体" w:eastAsia="宋体" w:cs="Arial"/>
          <w:color w:val="000000"/>
          <w:kern w:val="0"/>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5E"/>
    <w:rsid w:val="00171D5E"/>
    <w:rsid w:val="002C44C4"/>
    <w:rsid w:val="002C569F"/>
    <w:rsid w:val="00324DF0"/>
    <w:rsid w:val="004E7FE6"/>
    <w:rsid w:val="00697E7B"/>
    <w:rsid w:val="007B54D6"/>
    <w:rsid w:val="00BB3B48"/>
    <w:rsid w:val="00CC6BB6"/>
    <w:rsid w:val="00CD3FE7"/>
    <w:rsid w:val="00F37C67"/>
    <w:rsid w:val="25A258EA"/>
    <w:rsid w:val="313214C4"/>
    <w:rsid w:val="4AD04394"/>
    <w:rsid w:val="4E7F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385</Words>
  <Characters>2195</Characters>
  <Lines>18</Lines>
  <Paragraphs>5</Paragraphs>
  <TotalTime>43</TotalTime>
  <ScaleCrop>false</ScaleCrop>
  <LinksUpToDate>false</LinksUpToDate>
  <CharactersWithSpaces>2575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2022-02-11T07:54:00Z</dcterms:created>
  <dc:creator>lenovo</dc:creator>
  <cp:lastModifiedBy>Administrator</cp:lastModifiedBy>
  <dcterms:modified xsi:type="dcterms:W3CDTF">2023-01-03T03:05:45Z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