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rPr>
        <w:t>永吉县</w:t>
      </w:r>
      <w:r>
        <w:rPr>
          <w:rFonts w:hint="eastAsia" w:ascii="方正小标宋简体" w:hAnsi="方正小标宋简体" w:eastAsia="方正小标宋简体" w:cs="方正小标宋简体"/>
          <w:b w:val="0"/>
          <w:bCs w:val="0"/>
          <w:kern w:val="0"/>
          <w:sz w:val="44"/>
          <w:szCs w:val="44"/>
          <w:lang w:eastAsia="zh-CN"/>
        </w:rPr>
        <w:t>残疾人联合会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i w:val="0"/>
          <w:caps w:val="0"/>
          <w:color w:val="000000"/>
          <w:spacing w:val="0"/>
          <w:sz w:val="44"/>
          <w:szCs w:val="44"/>
          <w:shd w:val="clear" w:fill="FFFFFF"/>
        </w:rPr>
      </w:pPr>
      <w:r>
        <w:rPr>
          <w:rFonts w:hint="eastAsia" w:ascii="方正小标宋简体" w:hAnsi="方正小标宋简体" w:eastAsia="方正小标宋简体" w:cs="方正小标宋简体"/>
          <w:b w:val="0"/>
          <w:bCs w:val="0"/>
          <w:kern w:val="0"/>
          <w:sz w:val="44"/>
          <w:szCs w:val="44"/>
        </w:rPr>
        <w:t>202</w:t>
      </w:r>
      <w:r>
        <w:rPr>
          <w:rFonts w:hint="eastAsia" w:ascii="方正小标宋简体" w:hAnsi="方正小标宋简体" w:eastAsia="方正小标宋简体" w:cs="方正小标宋简体"/>
          <w:b w:val="0"/>
          <w:bCs w:val="0"/>
          <w:kern w:val="0"/>
          <w:sz w:val="44"/>
          <w:szCs w:val="44"/>
          <w:lang w:val="en-US" w:eastAsia="zh-CN"/>
        </w:rPr>
        <w:t>1</w:t>
      </w:r>
      <w:r>
        <w:rPr>
          <w:rFonts w:hint="eastAsia" w:ascii="方正小标宋简体" w:hAnsi="方正小标宋简体" w:eastAsia="方正小标宋简体" w:cs="方正小标宋简体"/>
          <w:b w:val="0"/>
          <w:bCs w:val="0"/>
          <w:kern w:val="0"/>
          <w:sz w:val="44"/>
          <w:szCs w:val="44"/>
        </w:rPr>
        <w:t>年政府信息公开年度报告</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85" w:lineRule="atLeast"/>
        <w:ind w:left="0" w:firstLine="646"/>
        <w:textAlignment w:val="auto"/>
        <w:rPr>
          <w:rFonts w:hint="eastAsia" w:ascii="仿宋_GB2312" w:hAnsi="仿宋_GB2312" w:eastAsia="仿宋_GB2312" w:cs="仿宋_GB2312"/>
          <w:b w:val="0"/>
          <w:i w:val="0"/>
          <w:caps w:val="0"/>
          <w:color w:val="000000"/>
          <w:spacing w:val="0"/>
          <w:sz w:val="32"/>
          <w:szCs w:val="32"/>
          <w:shd w:val="clear" w:fill="FFFFFF"/>
        </w:rPr>
      </w:pPr>
      <w:r>
        <w:rPr>
          <w:rFonts w:hint="eastAsia" w:ascii="仿宋_GB2312" w:hAnsi="仿宋_GB2312" w:eastAsia="仿宋_GB2312" w:cs="仿宋_GB2312"/>
          <w:b w:val="0"/>
          <w:i w:val="0"/>
          <w:caps w:val="0"/>
          <w:color w:val="000000"/>
          <w:spacing w:val="0"/>
          <w:sz w:val="32"/>
          <w:szCs w:val="32"/>
          <w:shd w:val="clear" w:fill="FFFFFF"/>
        </w:rPr>
        <w:t>根据新修订的《中华人民共和国政府信息公开条例》</w:t>
      </w:r>
      <w:r>
        <w:rPr>
          <w:rFonts w:hint="eastAsia" w:ascii="仿宋_GB2312" w:hAnsi="仿宋_GB2312" w:eastAsia="仿宋_GB2312" w:cs="仿宋_GB2312"/>
          <w:b w:val="0"/>
          <w:i w:val="0"/>
          <w:caps w:val="0"/>
          <w:color w:val="000000"/>
          <w:spacing w:val="0"/>
          <w:sz w:val="32"/>
          <w:szCs w:val="32"/>
          <w:shd w:val="clear" w:fill="FFFFFF"/>
          <w:lang w:eastAsia="zh-CN"/>
        </w:rPr>
        <w:t>（国务院令第</w:t>
      </w:r>
      <w:r>
        <w:rPr>
          <w:rFonts w:hint="eastAsia" w:ascii="仿宋_GB2312" w:hAnsi="仿宋_GB2312" w:eastAsia="仿宋_GB2312" w:cs="仿宋_GB2312"/>
          <w:b w:val="0"/>
          <w:i w:val="0"/>
          <w:caps w:val="0"/>
          <w:color w:val="000000"/>
          <w:spacing w:val="0"/>
          <w:sz w:val="32"/>
          <w:szCs w:val="32"/>
          <w:shd w:val="clear" w:fill="FFFFFF"/>
          <w:lang w:val="en-US" w:eastAsia="zh-CN"/>
        </w:rPr>
        <w:t>711号)</w:t>
      </w:r>
      <w:r>
        <w:rPr>
          <w:rFonts w:hint="eastAsia" w:ascii="仿宋_GB2312" w:hAnsi="仿宋_GB2312" w:eastAsia="仿宋_GB2312" w:cs="仿宋_GB2312"/>
          <w:b w:val="0"/>
          <w:i w:val="0"/>
          <w:caps w:val="0"/>
          <w:color w:val="000000"/>
          <w:spacing w:val="0"/>
          <w:sz w:val="32"/>
          <w:szCs w:val="32"/>
          <w:shd w:val="clear" w:fill="FFFFFF"/>
        </w:rPr>
        <w:t>规定和</w:t>
      </w:r>
      <w:r>
        <w:rPr>
          <w:rFonts w:hint="eastAsia" w:ascii="仿宋_GB2312" w:hAnsi="仿宋_GB2312" w:eastAsia="仿宋_GB2312" w:cs="仿宋_GB2312"/>
          <w:b w:val="0"/>
          <w:i w:val="0"/>
          <w:caps w:val="0"/>
          <w:color w:val="000000"/>
          <w:spacing w:val="0"/>
          <w:sz w:val="32"/>
          <w:szCs w:val="32"/>
          <w:shd w:val="clear" w:fill="FFFFFF"/>
          <w:lang w:eastAsia="zh-CN"/>
        </w:rPr>
        <w:t>《吉林省人民政府办公厅关于做好政府信息公开工作年度报告编制发布有关事项的通知》</w:t>
      </w:r>
      <w:r>
        <w:rPr>
          <w:rFonts w:hint="eastAsia" w:ascii="仿宋_GB2312" w:hAnsi="仿宋_GB2312" w:eastAsia="仿宋_GB2312" w:cs="仿宋_GB2312"/>
          <w:b w:val="0"/>
          <w:i w:val="0"/>
          <w:caps w:val="0"/>
          <w:color w:val="000000"/>
          <w:spacing w:val="0"/>
          <w:sz w:val="32"/>
          <w:szCs w:val="32"/>
          <w:shd w:val="clear" w:fill="FFFFFF"/>
          <w:lang w:val="en-US" w:eastAsia="zh-CN"/>
        </w:rPr>
        <w:t>(吉政厅函[2021]20号)</w:t>
      </w:r>
      <w:r>
        <w:rPr>
          <w:rFonts w:hint="eastAsia" w:ascii="仿宋_GB2312" w:hAnsi="仿宋_GB2312" w:eastAsia="仿宋_GB2312" w:cs="仿宋_GB2312"/>
          <w:b w:val="0"/>
          <w:i w:val="0"/>
          <w:caps w:val="0"/>
          <w:color w:val="000000"/>
          <w:spacing w:val="0"/>
          <w:sz w:val="32"/>
          <w:szCs w:val="32"/>
          <w:shd w:val="clear" w:fill="FFFFFF"/>
        </w:rPr>
        <w:t>有关规定，按照</w:t>
      </w:r>
      <w:r>
        <w:rPr>
          <w:rFonts w:hint="eastAsia" w:ascii="仿宋_GB2312" w:hAnsi="仿宋_GB2312" w:eastAsia="仿宋_GB2312" w:cs="仿宋_GB2312"/>
          <w:b w:val="0"/>
          <w:i w:val="0"/>
          <w:caps w:val="0"/>
          <w:color w:val="000000"/>
          <w:spacing w:val="0"/>
          <w:sz w:val="32"/>
          <w:szCs w:val="32"/>
          <w:shd w:val="clear" w:fill="FFFFFF"/>
          <w:lang w:eastAsia="zh-CN"/>
        </w:rPr>
        <w:t>县</w:t>
      </w:r>
      <w:r>
        <w:rPr>
          <w:rFonts w:hint="eastAsia" w:ascii="仿宋_GB2312" w:hAnsi="仿宋_GB2312" w:eastAsia="仿宋_GB2312" w:cs="仿宋_GB2312"/>
          <w:b w:val="0"/>
          <w:i w:val="0"/>
          <w:caps w:val="0"/>
          <w:color w:val="000000"/>
          <w:spacing w:val="0"/>
          <w:sz w:val="32"/>
          <w:szCs w:val="32"/>
          <w:shd w:val="clear" w:fill="FFFFFF"/>
        </w:rPr>
        <w:t>委、</w:t>
      </w:r>
      <w:r>
        <w:rPr>
          <w:rFonts w:hint="eastAsia" w:ascii="仿宋_GB2312" w:hAnsi="仿宋_GB2312" w:eastAsia="仿宋_GB2312" w:cs="仿宋_GB2312"/>
          <w:b w:val="0"/>
          <w:i w:val="0"/>
          <w:caps w:val="0"/>
          <w:color w:val="000000"/>
          <w:spacing w:val="0"/>
          <w:sz w:val="32"/>
          <w:szCs w:val="32"/>
          <w:shd w:val="clear" w:fill="FFFFFF"/>
          <w:lang w:eastAsia="zh-CN"/>
        </w:rPr>
        <w:t>县</w:t>
      </w:r>
      <w:r>
        <w:rPr>
          <w:rFonts w:hint="eastAsia" w:ascii="仿宋_GB2312" w:hAnsi="仿宋_GB2312" w:eastAsia="仿宋_GB2312" w:cs="仿宋_GB2312"/>
          <w:b w:val="0"/>
          <w:i w:val="0"/>
          <w:caps w:val="0"/>
          <w:color w:val="000000"/>
          <w:spacing w:val="0"/>
          <w:sz w:val="32"/>
          <w:szCs w:val="32"/>
          <w:shd w:val="clear" w:fill="FFFFFF"/>
        </w:rPr>
        <w:t>政府的工作部署，积极主动做好政务公开工作，取得了</w:t>
      </w:r>
      <w:r>
        <w:rPr>
          <w:rFonts w:hint="eastAsia" w:ascii="仿宋_GB2312" w:hAnsi="仿宋_GB2312" w:eastAsia="仿宋_GB2312" w:cs="仿宋_GB2312"/>
          <w:b w:val="0"/>
          <w:i w:val="0"/>
          <w:caps w:val="0"/>
          <w:color w:val="000000"/>
          <w:spacing w:val="0"/>
          <w:sz w:val="32"/>
          <w:szCs w:val="32"/>
          <w:shd w:val="clear" w:fill="FFFFFF"/>
          <w:lang w:eastAsia="zh-CN"/>
        </w:rPr>
        <w:t>良</w:t>
      </w:r>
      <w:r>
        <w:rPr>
          <w:rFonts w:hint="eastAsia" w:ascii="仿宋_GB2312" w:hAnsi="仿宋_GB2312" w:eastAsia="仿宋_GB2312" w:cs="仿宋_GB2312"/>
          <w:b w:val="0"/>
          <w:i w:val="0"/>
          <w:caps w:val="0"/>
          <w:color w:val="000000"/>
          <w:spacing w:val="0"/>
          <w:sz w:val="32"/>
          <w:szCs w:val="32"/>
          <w:shd w:val="clear" w:fill="FFFFFF"/>
        </w:rPr>
        <w:t>好成效</w:t>
      </w:r>
      <w:r>
        <w:rPr>
          <w:rFonts w:hint="eastAsia" w:ascii="仿宋_GB2312" w:hAnsi="仿宋_GB2312" w:eastAsia="仿宋_GB2312" w:cs="仿宋_GB2312"/>
          <w:b w:val="0"/>
          <w:i w:val="0"/>
          <w:caps w:val="0"/>
          <w:color w:val="000000"/>
          <w:spacing w:val="0"/>
          <w:sz w:val="32"/>
          <w:szCs w:val="32"/>
          <w:shd w:val="clear" w:fill="FFFFFF"/>
          <w:lang w:eastAsia="zh-CN"/>
        </w:rPr>
        <w:t>。</w:t>
      </w:r>
      <w:r>
        <w:rPr>
          <w:rFonts w:hint="eastAsia" w:ascii="仿宋_GB2312" w:hAnsi="仿宋_GB2312" w:eastAsia="仿宋_GB2312" w:cs="仿宋_GB2312"/>
          <w:b w:val="0"/>
          <w:i w:val="0"/>
          <w:caps w:val="0"/>
          <w:color w:val="000000"/>
          <w:spacing w:val="0"/>
          <w:sz w:val="32"/>
          <w:szCs w:val="32"/>
          <w:shd w:val="clear" w:fill="FFFFFF"/>
        </w:rPr>
        <w:t>现将202</w:t>
      </w:r>
      <w:r>
        <w:rPr>
          <w:rFonts w:hint="eastAsia" w:ascii="仿宋_GB2312" w:hAnsi="仿宋_GB2312" w:eastAsia="仿宋_GB2312" w:cs="仿宋_GB2312"/>
          <w:b w:val="0"/>
          <w:i w:val="0"/>
          <w:caps w:val="0"/>
          <w:color w:val="000000"/>
          <w:spacing w:val="0"/>
          <w:sz w:val="32"/>
          <w:szCs w:val="32"/>
          <w:shd w:val="clear" w:fill="FFFFFF"/>
          <w:lang w:val="en-US" w:eastAsia="zh-CN"/>
        </w:rPr>
        <w:t>1</w:t>
      </w:r>
      <w:r>
        <w:rPr>
          <w:rFonts w:hint="eastAsia" w:ascii="仿宋_GB2312" w:hAnsi="仿宋_GB2312" w:eastAsia="仿宋_GB2312" w:cs="仿宋_GB2312"/>
          <w:b w:val="0"/>
          <w:i w:val="0"/>
          <w:caps w:val="0"/>
          <w:color w:val="000000"/>
          <w:spacing w:val="0"/>
          <w:sz w:val="32"/>
          <w:szCs w:val="32"/>
          <w:shd w:val="clear" w:fill="FFFFFF"/>
        </w:rPr>
        <w:t>年度政务信息公开</w:t>
      </w:r>
      <w:r>
        <w:rPr>
          <w:rFonts w:hint="eastAsia" w:ascii="仿宋_GB2312" w:hAnsi="仿宋_GB2312" w:eastAsia="仿宋_GB2312" w:cs="仿宋_GB2312"/>
          <w:b w:val="0"/>
          <w:i w:val="0"/>
          <w:caps w:val="0"/>
          <w:color w:val="000000"/>
          <w:spacing w:val="0"/>
          <w:sz w:val="32"/>
          <w:szCs w:val="32"/>
          <w:shd w:val="clear" w:fill="FFFFFF"/>
          <w:lang w:eastAsia="zh-CN"/>
        </w:rPr>
        <w:t>年度报告</w:t>
      </w:r>
      <w:r>
        <w:rPr>
          <w:rFonts w:hint="eastAsia" w:ascii="仿宋_GB2312" w:hAnsi="仿宋_GB2312" w:eastAsia="仿宋_GB2312" w:cs="仿宋_GB2312"/>
          <w:b w:val="0"/>
          <w:i w:val="0"/>
          <w:caps w:val="0"/>
          <w:color w:val="000000"/>
          <w:spacing w:val="0"/>
          <w:sz w:val="32"/>
          <w:szCs w:val="32"/>
          <w:shd w:val="clear" w:fill="FFFFFF"/>
        </w:rPr>
        <w:t>予以公布：</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85" w:lineRule="atLeast"/>
        <w:ind w:left="0" w:firstLine="646"/>
        <w:textAlignment w:val="auto"/>
        <w:rPr>
          <w:rFonts w:hint="eastAsia" w:ascii="黑体" w:hAnsi="黑体" w:eastAsia="黑体" w:cs="黑体"/>
        </w:rPr>
      </w:pPr>
      <w:r>
        <w:rPr>
          <w:rFonts w:hint="eastAsia" w:ascii="黑体" w:hAnsi="黑体" w:eastAsia="黑体" w:cs="黑体"/>
          <w:spacing w:val="0"/>
          <w:sz w:val="31"/>
          <w:szCs w:val="31"/>
          <w:shd w:val="clear" w:fill="FFFFFF"/>
        </w:rPr>
        <w:t>一、总体情况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85" w:lineRule="atLeast"/>
        <w:ind w:left="0" w:firstLine="646"/>
        <w:textAlignment w:val="auto"/>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rPr>
        <w:t>1年，县残联以习近平新时代中国特色社会主义思想为指导，深入学习贯彻党的第十九届六中全会重要讲话指示精神，按照《中华人民共和国政府信息公开条例》规定要求，认真贯彻县委、县政府关于全面推进政务公开工作的系列部署，着力健全和完善政府信息公开机制，认真做好政务公开各项工作，并取得良好成效。</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85" w:lineRule="atLeast"/>
        <w:ind w:left="0" w:firstLine="646"/>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w:t>
      </w:r>
    </w:p>
    <w:p>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5" w:lineRule="atLeast"/>
        <w:ind w:left="0" w:firstLine="646"/>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eastAsia="zh-CN"/>
        </w:rPr>
        <w:t>县残联高度重视政府信息公开工作，不断健全和完善信息工作领导小组，把政府信息公开工作纳入重要议事日程，认真组织实施，切实加强监督管理，将责任落实到人，及时准确地发布</w:t>
      </w:r>
      <w:bookmarkStart w:id="0" w:name="_GoBack"/>
      <w:bookmarkEnd w:id="0"/>
      <w:r>
        <w:rPr>
          <w:rFonts w:hint="eastAsia" w:ascii="仿宋_GB2312" w:hAnsi="仿宋_GB2312" w:eastAsia="仿宋_GB2312" w:cs="仿宋_GB2312"/>
          <w:sz w:val="31"/>
          <w:szCs w:val="31"/>
          <w:lang w:eastAsia="zh-CN"/>
        </w:rPr>
        <w:t>相关信息，有效提升公共服务水平，促进了信息公开工作的深入开展。本年度共计发布政务公开信息</w:t>
      </w:r>
      <w:r>
        <w:rPr>
          <w:rFonts w:hint="eastAsia" w:ascii="仿宋_GB2312" w:hAnsi="仿宋_GB2312" w:eastAsia="仿宋_GB2312" w:cs="仿宋_GB2312"/>
          <w:sz w:val="31"/>
          <w:szCs w:val="31"/>
          <w:lang w:val="en-US" w:eastAsia="zh-CN"/>
        </w:rPr>
        <w:t>41条，涉及改善民生、社会福利、扶贫、残疾人康复等规范性文件。</w:t>
      </w:r>
    </w:p>
    <w:p>
      <w:pPr>
        <w:pStyle w:val="2"/>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85" w:lineRule="atLeast"/>
        <w:ind w:right="0" w:rightChars="0" w:firstLine="620" w:firstLineChars="200"/>
        <w:textAlignment w:val="auto"/>
        <w:rPr>
          <w:rFonts w:hint="eastAsia" w:ascii="楷体_GB2312" w:hAnsi="楷体_GB2312" w:eastAsia="楷体_GB2312" w:cs="楷体_GB2312"/>
          <w:sz w:val="31"/>
          <w:szCs w:val="31"/>
          <w:lang w:eastAsia="zh-CN"/>
        </w:rPr>
      </w:pPr>
      <w:r>
        <w:rPr>
          <w:rFonts w:hint="eastAsia" w:ascii="楷体_GB2312" w:hAnsi="楷体_GB2312" w:eastAsia="楷体_GB2312" w:cs="楷体_GB2312"/>
          <w:sz w:val="31"/>
          <w:szCs w:val="31"/>
          <w:lang w:eastAsia="zh-CN"/>
        </w:rPr>
        <w:t>（二）管理情况</w:t>
      </w:r>
    </w:p>
    <w:p>
      <w:pPr>
        <w:pStyle w:val="2"/>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85" w:lineRule="atLeast"/>
        <w:ind w:right="0" w:rightChars="0" w:firstLine="620" w:firstLineChars="200"/>
        <w:textAlignment w:val="auto"/>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eastAsia="zh-CN"/>
        </w:rPr>
        <w:t>县残联坚持“谁主管、谁负责、谁公开、谁审查”的原则，不断完善信息公开制度，制定一系列涉及政府信息公开工作规范制度，明确政府信息公开的范围、原则、内容、变更、程序、形式、责任等有关事项，使政府信息公开工作制度化、规范化、日常化。将政务公开与业务工作有机结合，实现政务公开制度化、规范化。</w:t>
      </w:r>
    </w:p>
    <w:p>
      <w:pPr>
        <w:pStyle w:val="2"/>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360" w:lineRule="auto"/>
        <w:ind w:right="0" w:rightChars="0" w:firstLine="620" w:firstLineChars="200"/>
        <w:textAlignment w:val="auto"/>
        <w:rPr>
          <w:rFonts w:hint="eastAsia" w:ascii="楷体_GB2312" w:hAnsi="楷体_GB2312" w:eastAsia="楷体_GB2312" w:cs="楷体_GB2312"/>
          <w:sz w:val="31"/>
          <w:szCs w:val="31"/>
          <w:lang w:eastAsia="zh-CN"/>
        </w:rPr>
      </w:pPr>
      <w:r>
        <w:rPr>
          <w:rFonts w:hint="eastAsia" w:ascii="楷体_GB2312" w:hAnsi="楷体_GB2312" w:eastAsia="楷体_GB2312" w:cs="楷体_GB2312"/>
          <w:sz w:val="31"/>
          <w:szCs w:val="31"/>
          <w:lang w:eastAsia="zh-CN"/>
        </w:rPr>
        <w:t>（三）监督保障</w:t>
      </w:r>
    </w:p>
    <w:p>
      <w:pPr>
        <w:ind w:firstLine="640" w:firstLineChars="200"/>
        <w:rPr>
          <w:rFonts w:hint="eastAsia" w:ascii="仿宋_GB2312" w:hAnsi="仿宋_GB2312" w:eastAsia="仿宋_GB2312" w:cs="仿宋_GB2312"/>
          <w:i w:val="0"/>
          <w:iCs w:val="0"/>
          <w:caps w:val="0"/>
          <w:color w:val="3D3D3D"/>
          <w:spacing w:val="0"/>
          <w:sz w:val="32"/>
          <w:szCs w:val="32"/>
          <w:shd w:val="clear" w:fill="FFFFFF"/>
        </w:rPr>
      </w:pPr>
      <w:r>
        <w:rPr>
          <w:rFonts w:hint="eastAsia" w:ascii="仿宋_GB2312" w:hAnsi="仿宋_GB2312" w:eastAsia="仿宋_GB2312" w:cs="仿宋_GB2312"/>
          <w:i w:val="0"/>
          <w:iCs w:val="0"/>
          <w:caps w:val="0"/>
          <w:color w:val="3D3D3D"/>
          <w:spacing w:val="0"/>
          <w:sz w:val="32"/>
          <w:szCs w:val="32"/>
          <w:shd w:val="clear" w:fill="FFFFFF"/>
        </w:rPr>
        <w:t>县残联党组高度重视政务公开工作，严格落实信息公开责任，切实加强监督保障。一是积极参加县政务公开办组织的政务公开业务培训和调度会议，不定期开展政务公开业务辅导，增强领导干部、各科室工作人员的政务公开意识，提高发布信息、提升政务公开工作水平。二是依照《中华人民共和国保守国家秘密法》、县残联有关规定，凡是要公开的信息，均先报办公室进行严格保密审查确认，坚决做到“涉密信息不公开、公开信息不涉密”。</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二、主动公开政府信息情况</w:t>
      </w:r>
    </w:p>
    <w:tbl>
      <w:tblPr>
        <w:tblStyle w:val="3"/>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numPr>
          <w:ilvl w:val="0"/>
          <w:numId w:val="1"/>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收到和处理政府信息公开申请情况</w:t>
      </w:r>
    </w:p>
    <w:tbl>
      <w:tblPr>
        <w:tblStyle w:val="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9" w:type="dxa"/>
            <w:gridSpan w:val="3"/>
            <w:vMerge w:val="restart"/>
            <w:vAlign w:val="center"/>
          </w:tcPr>
          <w:p>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895" w:type="dxa"/>
            <w:gridSpan w:val="7"/>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Pr>
          <w:p>
            <w:pPr>
              <w:rPr>
                <w:rFonts w:ascii="宋体" w:hAnsi="宋体" w:eastAsia="宋体" w:cs="宋体"/>
                <w:b/>
                <w:bCs/>
                <w:sz w:val="24"/>
                <w:szCs w:val="24"/>
              </w:rPr>
            </w:pPr>
          </w:p>
        </w:tc>
        <w:tc>
          <w:tcPr>
            <w:tcW w:w="685" w:type="dxa"/>
            <w:vMerge w:val="restart"/>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79" w:type="dxa"/>
            <w:gridSpan w:val="5"/>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1" w:type="dxa"/>
            <w:vMerge w:val="restart"/>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Pr>
          <w:p>
            <w:pPr>
              <w:rPr>
                <w:rFonts w:ascii="宋体" w:hAnsi="宋体" w:eastAsia="宋体" w:cs="宋体"/>
                <w:b/>
                <w:bCs/>
                <w:sz w:val="24"/>
                <w:szCs w:val="24"/>
              </w:rPr>
            </w:pPr>
          </w:p>
        </w:tc>
        <w:tc>
          <w:tcPr>
            <w:tcW w:w="685" w:type="dxa"/>
            <w:vMerge w:val="continue"/>
          </w:tcPr>
          <w:p>
            <w:pPr>
              <w:rPr>
                <w:rFonts w:ascii="宋体" w:hAnsi="宋体" w:eastAsia="宋体" w:cs="宋体"/>
                <w:b/>
                <w:bCs/>
                <w:sz w:val="24"/>
                <w:szCs w:val="24"/>
              </w:rPr>
            </w:pPr>
          </w:p>
        </w:tc>
        <w:tc>
          <w:tcPr>
            <w:tcW w:w="696"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29"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7"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2"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5"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1" w:type="dxa"/>
            <w:vMerge w:val="continue"/>
          </w:tcPr>
          <w:p>
            <w:pPr>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5" w:type="dxa"/>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96" w:type="dxa"/>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29" w:type="dxa"/>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07" w:type="dxa"/>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62" w:type="dxa"/>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85" w:type="dxa"/>
            <w:vAlign w:val="center"/>
          </w:tcPr>
          <w:p>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w:t>
            </w:r>
          </w:p>
        </w:tc>
        <w:tc>
          <w:tcPr>
            <w:tcW w:w="631" w:type="dxa"/>
            <w:vAlign w:val="center"/>
          </w:tcPr>
          <w:p>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vAlign w:val="center"/>
          </w:tcPr>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66" w:type="dxa"/>
            <w:gridSpan w:val="2"/>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3466" w:type="dxa"/>
            <w:gridSpan w:val="2"/>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Pr>
          <w:p>
            <w:pPr>
              <w:rPr>
                <w:rFonts w:ascii="宋体" w:hAnsi="宋体" w:eastAsia="宋体" w:cs="宋体"/>
                <w:b/>
                <w:bCs/>
                <w:sz w:val="24"/>
                <w:szCs w:val="24"/>
              </w:rPr>
            </w:pPr>
          </w:p>
        </w:tc>
        <w:tc>
          <w:tcPr>
            <w:tcW w:w="3466" w:type="dxa"/>
            <w:gridSpan w:val="2"/>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center"/>
          </w:tcPr>
          <w:p>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bl>
    <w:p>
      <w:pPr>
        <w:numPr>
          <w:ilvl w:val="0"/>
          <w:numId w:val="1"/>
        </w:numPr>
        <w:ind w:firstLine="640" w:firstLineChars="200"/>
        <w:rPr>
          <w:rFonts w:ascii="宋体" w:hAnsi="宋体" w:eastAsia="宋体" w:cs="宋体"/>
          <w:b/>
          <w:bCs/>
          <w:sz w:val="32"/>
          <w:szCs w:val="32"/>
        </w:rPr>
      </w:pPr>
      <w:r>
        <w:rPr>
          <w:rFonts w:hint="eastAsia" w:ascii="黑体" w:hAnsi="黑体" w:eastAsia="黑体" w:cs="黑体"/>
          <w:b w:val="0"/>
          <w:bCs w:val="0"/>
          <w:sz w:val="32"/>
          <w:szCs w:val="32"/>
        </w:rPr>
        <w:t>政府信息公开行政复议、行政诉讼情况</w:t>
      </w:r>
    </w:p>
    <w:tbl>
      <w:tblPr>
        <w:tblStyle w:val="3"/>
        <w:tblW w:w="9071" w:type="dxa"/>
        <w:jc w:val="center"/>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tblPrEx>
          <w:tblCellMar>
            <w:top w:w="0" w:type="dxa"/>
            <w:left w:w="0" w:type="dxa"/>
            <w:bottom w:w="0" w:type="dxa"/>
            <w:right w:w="0" w:type="dxa"/>
          </w:tblCellMar>
        </w:tblPrEx>
        <w:trPr>
          <w:jc w:val="center"/>
        </w:trPr>
        <w:tc>
          <w:tcPr>
            <w:tcW w:w="302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行政复议</w:t>
            </w:r>
          </w:p>
        </w:tc>
        <w:tc>
          <w:tcPr>
            <w:tcW w:w="604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行政诉讼</w:t>
            </w:r>
          </w:p>
        </w:tc>
      </w:tr>
      <w:tr>
        <w:tblPrEx>
          <w:tblCellMar>
            <w:top w:w="0" w:type="dxa"/>
            <w:left w:w="0" w:type="dxa"/>
            <w:bottom w:w="0" w:type="dxa"/>
            <w:right w:w="0" w:type="dxa"/>
          </w:tblCellMar>
        </w:tblPrEx>
        <w:trPr>
          <w:jc w:val="center"/>
        </w:trPr>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1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304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未经复议直接起诉</w:t>
            </w:r>
          </w:p>
        </w:tc>
        <w:tc>
          <w:tcPr>
            <w:tcW w:w="300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复议后起诉</w:t>
            </w:r>
          </w:p>
        </w:tc>
      </w:tr>
      <w:tr>
        <w:tblPrEx>
          <w:tblCellMar>
            <w:top w:w="0" w:type="dxa"/>
            <w:left w:w="0" w:type="dxa"/>
            <w:bottom w:w="0" w:type="dxa"/>
            <w:right w:w="0" w:type="dxa"/>
          </w:tblCellMar>
        </w:tblPrEx>
        <w:trPr>
          <w:jc w:val="center"/>
        </w:trPr>
        <w:tc>
          <w:tcPr>
            <w:tcW w:w="665"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592"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15"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54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其他结果</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r>
      <w:tr>
        <w:tblPrEx>
          <w:tblCellMar>
            <w:top w:w="0" w:type="dxa"/>
            <w:left w:w="0" w:type="dxa"/>
            <w:bottom w:w="0" w:type="dxa"/>
            <w:right w:w="0"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r>
    </w:tbl>
    <w:p>
      <w:pPr>
        <w:ind w:firstLine="643" w:firstLineChars="200"/>
        <w:rPr>
          <w:rFonts w:ascii="宋体" w:hAnsi="宋体" w:eastAsia="宋体" w:cs="宋体"/>
          <w:sz w:val="32"/>
          <w:szCs w:val="32"/>
        </w:rPr>
      </w:pPr>
      <w:r>
        <w:rPr>
          <w:rFonts w:hint="eastAsia" w:ascii="宋体" w:hAnsi="宋体" w:eastAsia="宋体" w:cs="宋体"/>
          <w:b/>
          <w:bCs/>
          <w:sz w:val="32"/>
          <w:szCs w:val="32"/>
        </w:rPr>
        <w:t>五、存在的主要问题及改进情况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2021年，县残联政务信息公开工作虽然取得了一定进展，但离县委、县政府和人民群众的要求还有一定的差距。一是政务信息公开力度有待进一步</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；二是政务信息公开的内容还不够全面；三是信息公开更新还不够及时。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此，将采取以下改进措施：一是加大信息公开力度。进一步完善信息公开制度，强化信息公开的责任意识、大局意识、服务意识，确保政务信息公开工作及时、准确。二是更好地接受社会公众对信息公开情况的监督。三是大力开展残疾人法律法规宣传教育活动，增强群众对政务信息公开工作的认知度。</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ascii="仿宋_GB2312" w:hAnsi="宋体" w:eastAsia="仿宋_GB2312" w:cs="仿宋_GB2312"/>
          <w:i w:val="0"/>
          <w:iCs w:val="0"/>
          <w:caps w:val="0"/>
          <w:color w:val="000000"/>
          <w:spacing w:val="0"/>
          <w:sz w:val="32"/>
          <w:szCs w:val="32"/>
          <w:shd w:val="clear" w:fill="FFFFFF"/>
        </w:rPr>
        <w:t>本报告统计数据期限自20</w:t>
      </w:r>
      <w:r>
        <w:rPr>
          <w:rFonts w:hint="eastAsia" w:ascii="仿宋_GB2312" w:hAnsi="宋体" w:eastAsia="仿宋_GB2312" w:cs="仿宋_GB2312"/>
          <w:i w:val="0"/>
          <w:iCs w:val="0"/>
          <w:caps w:val="0"/>
          <w:color w:val="000000"/>
          <w:spacing w:val="0"/>
          <w:sz w:val="32"/>
          <w:szCs w:val="32"/>
          <w:shd w:val="clear" w:fill="FFFFFF"/>
          <w:lang w:val="en-US" w:eastAsia="zh-CN"/>
        </w:rPr>
        <w:t>21</w:t>
      </w:r>
      <w:r>
        <w:rPr>
          <w:rFonts w:hint="eastAsia" w:ascii="仿宋_GB2312" w:hAnsi="宋体" w:eastAsia="仿宋_GB2312" w:cs="仿宋_GB2312"/>
          <w:i w:val="0"/>
          <w:iCs w:val="0"/>
          <w:caps w:val="0"/>
          <w:color w:val="000000"/>
          <w:spacing w:val="0"/>
          <w:sz w:val="32"/>
          <w:szCs w:val="32"/>
          <w:shd w:val="clear" w:fill="FFFFFF"/>
        </w:rPr>
        <w:t>年1月1日起至20</w:t>
      </w:r>
      <w:r>
        <w:rPr>
          <w:rFonts w:hint="eastAsia" w:ascii="仿宋_GB2312" w:hAnsi="宋体" w:eastAsia="仿宋_GB2312" w:cs="仿宋_GB2312"/>
          <w:i w:val="0"/>
          <w:iCs w:val="0"/>
          <w:caps w:val="0"/>
          <w:color w:val="000000"/>
          <w:spacing w:val="0"/>
          <w:sz w:val="32"/>
          <w:szCs w:val="32"/>
          <w:shd w:val="clear" w:fill="FFFFFF"/>
          <w:lang w:val="en-US" w:eastAsia="zh-CN"/>
        </w:rPr>
        <w:t>21</w:t>
      </w:r>
      <w:r>
        <w:rPr>
          <w:rFonts w:hint="eastAsia" w:ascii="仿宋_GB2312" w:hAnsi="宋体" w:eastAsia="仿宋_GB2312" w:cs="仿宋_GB2312"/>
          <w:i w:val="0"/>
          <w:iCs w:val="0"/>
          <w:caps w:val="0"/>
          <w:color w:val="000000"/>
          <w:spacing w:val="0"/>
          <w:sz w:val="32"/>
          <w:szCs w:val="32"/>
          <w:shd w:val="clear" w:fill="FFFFFF"/>
        </w:rPr>
        <w:t>年12月31日止。如对本年报有疑问、意见和建议，请联系永吉县残联综合科。地址：口前镇滨北路379号，电话：0432-64228185</w:t>
      </w:r>
      <w:r>
        <w:rPr>
          <w:rFonts w:hint="eastAsia" w:ascii="仿宋_GB2312" w:hAnsi="宋体" w:eastAsia="仿宋_GB2312" w:cs="仿宋_GB2312"/>
          <w:i w:val="0"/>
          <w:iCs w:val="0"/>
          <w:caps w:val="0"/>
          <w:color w:val="000000"/>
          <w:spacing w:val="0"/>
          <w:sz w:val="32"/>
          <w:szCs w:val="32"/>
          <w:shd w:val="clear"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A99"/>
    <w:rsid w:val="009F26F2"/>
    <w:rsid w:val="00A72D9F"/>
    <w:rsid w:val="010B76F2"/>
    <w:rsid w:val="01795A72"/>
    <w:rsid w:val="04CE11B9"/>
    <w:rsid w:val="05CE0884"/>
    <w:rsid w:val="07071B14"/>
    <w:rsid w:val="09354781"/>
    <w:rsid w:val="0983332C"/>
    <w:rsid w:val="09C8299C"/>
    <w:rsid w:val="0A1D366F"/>
    <w:rsid w:val="0A9E5E78"/>
    <w:rsid w:val="0AEA04F5"/>
    <w:rsid w:val="0C794484"/>
    <w:rsid w:val="0D8B55C6"/>
    <w:rsid w:val="1031306E"/>
    <w:rsid w:val="11597885"/>
    <w:rsid w:val="12B654AE"/>
    <w:rsid w:val="16CA33D4"/>
    <w:rsid w:val="19CE75EE"/>
    <w:rsid w:val="1A753836"/>
    <w:rsid w:val="1B601C8B"/>
    <w:rsid w:val="1BCD6CB0"/>
    <w:rsid w:val="1C57790E"/>
    <w:rsid w:val="20330EE3"/>
    <w:rsid w:val="20DE357A"/>
    <w:rsid w:val="26E5719E"/>
    <w:rsid w:val="29E2266D"/>
    <w:rsid w:val="2B1803C1"/>
    <w:rsid w:val="2B4B1B15"/>
    <w:rsid w:val="2DAD3B63"/>
    <w:rsid w:val="2EFF3AD7"/>
    <w:rsid w:val="2FB9045A"/>
    <w:rsid w:val="34B128F9"/>
    <w:rsid w:val="36A04B2A"/>
    <w:rsid w:val="4053755C"/>
    <w:rsid w:val="40D91972"/>
    <w:rsid w:val="42602A72"/>
    <w:rsid w:val="42EF48E0"/>
    <w:rsid w:val="457E0411"/>
    <w:rsid w:val="46696E2A"/>
    <w:rsid w:val="4730365B"/>
    <w:rsid w:val="4881611D"/>
    <w:rsid w:val="4AD54756"/>
    <w:rsid w:val="4AEF189E"/>
    <w:rsid w:val="4B7229CF"/>
    <w:rsid w:val="4C0A12CF"/>
    <w:rsid w:val="4D600EC9"/>
    <w:rsid w:val="4DB27309"/>
    <w:rsid w:val="51E04DAD"/>
    <w:rsid w:val="52A336A2"/>
    <w:rsid w:val="52E3080D"/>
    <w:rsid w:val="53832D10"/>
    <w:rsid w:val="54075574"/>
    <w:rsid w:val="54B54386"/>
    <w:rsid w:val="56567336"/>
    <w:rsid w:val="56C07E13"/>
    <w:rsid w:val="56F563A5"/>
    <w:rsid w:val="571915F2"/>
    <w:rsid w:val="571A7074"/>
    <w:rsid w:val="57453FF0"/>
    <w:rsid w:val="5AE738B1"/>
    <w:rsid w:val="5C474772"/>
    <w:rsid w:val="5E5608DB"/>
    <w:rsid w:val="62587EE5"/>
    <w:rsid w:val="63F56A0D"/>
    <w:rsid w:val="640E68C7"/>
    <w:rsid w:val="6421269A"/>
    <w:rsid w:val="64AE1302"/>
    <w:rsid w:val="699762C9"/>
    <w:rsid w:val="6AA716B4"/>
    <w:rsid w:val="6C55074B"/>
    <w:rsid w:val="6CE15670"/>
    <w:rsid w:val="6DDA0547"/>
    <w:rsid w:val="6F5A1CBD"/>
    <w:rsid w:val="6F9E42AF"/>
    <w:rsid w:val="7389136C"/>
    <w:rsid w:val="740530F8"/>
    <w:rsid w:val="788D5058"/>
    <w:rsid w:val="7B0D1C9E"/>
    <w:rsid w:val="7B787C1E"/>
    <w:rsid w:val="7B9863F5"/>
    <w:rsid w:val="7D025527"/>
    <w:rsid w:val="7F8B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2023-12-15T04:28:00Z</dcterms:created>
  <dc:creator>Administrator</dc:creator>
  <cp:lastModifiedBy>Administrator</cp:lastModifiedBy>
  <cp:lastPrinted>2023-12-18T01:04:08Z</cp:lastPrinted>
  <dcterms:modified xsi:type="dcterms:W3CDTF">2023-12-18T01:12:44Z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C408FD3FA25C4C08BD6809F51B66AF40</vt:lpwstr>
  </property>
</Properties>
</file>