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吉林市烟草专卖局</w:t>
      </w:r>
    </w:p>
    <w:p>
      <w:pPr>
        <w:jc w:val="center"/>
        <w:rPr>
          <w:rFonts w:hint="eastAsia" w:ascii="方正小标宋简体" w:eastAsia="方正小标宋简体"/>
          <w:sz w:val="44"/>
          <w:szCs w:val="44"/>
        </w:rPr>
      </w:pPr>
      <w:r>
        <w:rPr>
          <w:rFonts w:hint="eastAsia" w:ascii="方正小标宋简体" w:eastAsia="方正小标宋简体"/>
          <w:sz w:val="44"/>
          <w:szCs w:val="44"/>
        </w:rPr>
        <w:t>烟草制品零售点合理布局规定</w:t>
      </w:r>
    </w:p>
    <w:p>
      <w:pPr>
        <w:jc w:val="center"/>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jc w:val="center"/>
        <w:rPr>
          <w:rFonts w:hint="eastAsia" w:ascii="仿宋_GB2312" w:hAnsi="仿宋_GB2312" w:eastAsia="仿宋_GB2312" w:cs="仿宋_GB2312"/>
          <w:sz w:val="32"/>
          <w:szCs w:val="32"/>
        </w:rPr>
      </w:pPr>
    </w:p>
    <w:p>
      <w:pPr>
        <w:jc w:val="center"/>
        <w:rPr>
          <w:rFonts w:ascii="仿宋_GB2312" w:eastAsia="仿宋_GB2312"/>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为维护国家利益、消费者利益及</w:t>
      </w:r>
      <w:r>
        <w:rPr>
          <w:rFonts w:hint="eastAsia" w:ascii="仿宋_GB2312" w:eastAsia="仿宋_GB2312"/>
          <w:sz w:val="32"/>
          <w:szCs w:val="32"/>
          <w:lang w:val="en-US" w:eastAsia="zh-CN"/>
        </w:rPr>
        <w:t>保护</w:t>
      </w:r>
      <w:r>
        <w:rPr>
          <w:rFonts w:hint="eastAsia" w:ascii="仿宋_GB2312" w:eastAsia="仿宋_GB2312"/>
          <w:sz w:val="32"/>
          <w:szCs w:val="32"/>
        </w:rPr>
        <w:t>未成年人的合法权益，优化烟草制品零售点设置，防止无序过度竞争，依据《中华人民共和国行政许可法》《中华人民共和国烟草专卖法》《中华人民共和国未成年人保护法》《中华人民共和国烟草专卖法实施条例》《烟草专卖许可证管理办法》等相关规定，结合吉林</w:t>
      </w:r>
      <w:r>
        <w:rPr>
          <w:rFonts w:hint="eastAsia" w:ascii="仿宋_GB2312" w:eastAsia="仿宋_GB2312"/>
          <w:sz w:val="32"/>
          <w:szCs w:val="32"/>
          <w:lang w:eastAsia="zh-CN"/>
        </w:rPr>
        <w:t>市</w:t>
      </w:r>
      <w:r>
        <w:rPr>
          <w:rFonts w:hint="eastAsia" w:ascii="仿宋_GB2312" w:eastAsia="仿宋_GB2312"/>
          <w:sz w:val="32"/>
          <w:szCs w:val="32"/>
        </w:rPr>
        <w:t>地区实际，制定本规定。</w:t>
      </w:r>
    </w:p>
    <w:p>
      <w:pPr>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本规定适用于吉林市行政区域内烟草制品零售点(以下简称“零售点”)的布局管理。</w:t>
      </w:r>
    </w:p>
    <w:p>
      <w:pPr>
        <w:spacing w:line="360" w:lineRule="auto"/>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本规定所称零售点</w:t>
      </w:r>
      <w:r>
        <w:rPr>
          <w:rFonts w:hint="eastAsia" w:ascii="仿宋_GB2312" w:hAnsi="楷体" w:eastAsia="仿宋_GB2312" w:cs="仿宋_GB2312"/>
          <w:sz w:val="32"/>
          <w:szCs w:val="32"/>
          <w:lang w:bidi="ar"/>
        </w:rPr>
        <w:t>是指依法取得烟草专卖零售许可证的公民、法人或其他组织从事烟草制品零售业务的与住所相独立的固定经营场所，许可证经营地址信息应当具体明确且具有唯一性。</w:t>
      </w:r>
    </w:p>
    <w:p>
      <w:pPr>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_GB2312" w:eastAsia="仿宋_GB2312"/>
          <w:sz w:val="32"/>
          <w:szCs w:val="32"/>
          <w:lang w:eastAsia="zh-CN"/>
        </w:rPr>
        <w:t>本规定</w:t>
      </w:r>
      <w:r>
        <w:rPr>
          <w:rFonts w:hint="eastAsia" w:ascii="仿宋_GB2312" w:eastAsia="仿宋_GB2312"/>
          <w:sz w:val="32"/>
          <w:szCs w:val="32"/>
        </w:rPr>
        <w:t>遵循依法行政、科学规划、服务社会、均衡发展的原则，并根据</w:t>
      </w:r>
      <w:r>
        <w:rPr>
          <w:rFonts w:hint="eastAsia" w:ascii="仿宋_GB2312" w:hAnsi="楷体" w:eastAsia="仿宋_GB2312" w:cs="仿宋_GB2312"/>
          <w:sz w:val="32"/>
          <w:szCs w:val="32"/>
          <w:lang w:bidi="ar"/>
        </w:rPr>
        <w:t>辖区人口分布、交通状况、经济发展水平和消费需求</w:t>
      </w:r>
      <w:r>
        <w:rPr>
          <w:rFonts w:hint="eastAsia" w:ascii="仿宋_GB2312" w:eastAsia="仿宋_GB2312"/>
          <w:sz w:val="32"/>
          <w:szCs w:val="32"/>
        </w:rPr>
        <w:t>等因素确定，组合运用</w:t>
      </w:r>
      <w:r>
        <w:rPr>
          <w:rFonts w:hint="eastAsia" w:ascii="仿宋_GB2312" w:hAnsi="楷体" w:eastAsia="仿宋_GB2312" w:cs="仿宋_GB2312"/>
          <w:sz w:val="32"/>
          <w:szCs w:val="32"/>
          <w:lang w:bidi="ar"/>
        </w:rPr>
        <w:t>数量管理、间距管理</w:t>
      </w:r>
      <w:r>
        <w:rPr>
          <w:rFonts w:hint="eastAsia" w:ascii="仿宋_GB2312" w:eastAsia="仿宋_GB2312"/>
          <w:sz w:val="32"/>
          <w:szCs w:val="32"/>
        </w:rPr>
        <w:t>的布局模式。</w:t>
      </w:r>
    </w:p>
    <w:p>
      <w:pPr>
        <w:spacing w:line="360" w:lineRule="auto"/>
        <w:ind w:firstLine="640" w:firstLineChars="200"/>
        <w:rPr>
          <w:rFonts w:hint="eastAsia" w:ascii="仿宋_GB2312" w:hAnsi="楷体" w:eastAsia="仿宋_GB2312" w:cs="仿宋_GB2312"/>
          <w:color w:val="auto"/>
          <w:sz w:val="32"/>
          <w:szCs w:val="32"/>
          <w:lang w:eastAsia="zh-CN" w:bidi="ar"/>
        </w:rPr>
      </w:pPr>
      <w:r>
        <w:rPr>
          <w:rFonts w:hint="eastAsia" w:ascii="黑体" w:hAnsi="黑体" w:eastAsia="黑体"/>
          <w:sz w:val="32"/>
          <w:szCs w:val="32"/>
        </w:rPr>
        <w:t>第五条</w:t>
      </w:r>
      <w:r>
        <w:rPr>
          <w:rFonts w:hint="eastAsia" w:ascii="仿宋_GB2312" w:eastAsia="仿宋_GB2312"/>
          <w:sz w:val="32"/>
          <w:szCs w:val="32"/>
        </w:rPr>
        <w:t xml:space="preserve">  本规定所称</w:t>
      </w:r>
      <w:r>
        <w:rPr>
          <w:rFonts w:hint="eastAsia" w:ascii="仿宋_GB2312" w:eastAsia="仿宋_GB2312"/>
          <w:sz w:val="32"/>
          <w:szCs w:val="32"/>
          <w:lang w:eastAsia="zh-CN"/>
        </w:rPr>
        <w:t>数量</w:t>
      </w:r>
      <w:r>
        <w:rPr>
          <w:rFonts w:hint="eastAsia" w:ascii="仿宋_GB2312" w:eastAsia="仿宋_GB2312"/>
          <w:sz w:val="32"/>
          <w:szCs w:val="32"/>
        </w:rPr>
        <w:t>管理，是指以城区街道、农村乡镇为市场单元实行</w:t>
      </w:r>
      <w:r>
        <w:rPr>
          <w:rFonts w:hint="eastAsia" w:ascii="仿宋_GB2312" w:eastAsia="仿宋_GB2312"/>
          <w:sz w:val="32"/>
          <w:szCs w:val="32"/>
          <w:lang w:eastAsia="zh-CN"/>
        </w:rPr>
        <w:t>总量</w:t>
      </w:r>
      <w:r>
        <w:rPr>
          <w:rFonts w:hint="eastAsia" w:ascii="仿宋_GB2312" w:hAnsi="楷体" w:eastAsia="仿宋_GB2312" w:cs="仿宋_GB2312"/>
          <w:color w:val="auto"/>
          <w:sz w:val="32"/>
          <w:szCs w:val="32"/>
          <w:lang w:eastAsia="zh-CN" w:bidi="ar"/>
        </w:rPr>
        <w:t>指导数管理。</w:t>
      </w:r>
    </w:p>
    <w:p>
      <w:pPr>
        <w:spacing w:line="360" w:lineRule="auto"/>
        <w:ind w:firstLine="640" w:firstLineChars="200"/>
        <w:rPr>
          <w:rFonts w:hint="eastAsia" w:ascii="仿宋_GB2312" w:hAnsi="楷体" w:eastAsia="仿宋_GB2312" w:cs="仿宋_GB2312"/>
          <w:sz w:val="32"/>
          <w:szCs w:val="32"/>
          <w:lang w:bidi="ar"/>
        </w:rPr>
      </w:pPr>
      <w:r>
        <w:rPr>
          <w:rFonts w:hint="eastAsia" w:ascii="仿宋_GB2312" w:hAnsi="楷体" w:eastAsia="仿宋_GB2312" w:cs="仿宋_GB2312"/>
          <w:sz w:val="32"/>
          <w:szCs w:val="32"/>
          <w:lang w:bidi="ar"/>
        </w:rPr>
        <w:t>总量指导数是指市场单元内可设置零售点数量的上限，零售点数量达到或超过总量指导数上限的市场单元，不予设置零售点。</w:t>
      </w:r>
    </w:p>
    <w:p>
      <w:pPr>
        <w:spacing w:line="360" w:lineRule="auto"/>
        <w:ind w:firstLine="640" w:firstLineChars="200"/>
        <w:rPr>
          <w:rFonts w:hint="eastAsia" w:ascii="仿宋_GB2312" w:hAnsi="楷体" w:eastAsia="仿宋_GB2312" w:cs="仿宋_GB2312"/>
          <w:sz w:val="32"/>
          <w:szCs w:val="32"/>
          <w:lang w:eastAsia="zh-CN" w:bidi="ar"/>
        </w:rPr>
      </w:pPr>
      <w:r>
        <w:rPr>
          <w:rFonts w:hint="eastAsia" w:ascii="仿宋_GB2312" w:eastAsia="仿宋_GB2312"/>
          <w:sz w:val="32"/>
          <w:szCs w:val="32"/>
        </w:rPr>
        <w:t>对超出</w:t>
      </w:r>
      <w:r>
        <w:rPr>
          <w:rFonts w:hint="eastAsia" w:ascii="仿宋_GB2312" w:eastAsia="仿宋_GB2312"/>
          <w:sz w:val="32"/>
          <w:szCs w:val="32"/>
          <w:lang w:eastAsia="zh-CN"/>
        </w:rPr>
        <w:t>总量指导数上限</w:t>
      </w:r>
      <w:r>
        <w:rPr>
          <w:rFonts w:hint="eastAsia" w:ascii="仿宋_GB2312" w:eastAsia="仿宋_GB2312"/>
          <w:sz w:val="32"/>
          <w:szCs w:val="32"/>
        </w:rPr>
        <w:t>的申请，按申请时间的先后顺序进行登记备案，排队轮候。</w:t>
      </w:r>
    </w:p>
    <w:p>
      <w:pPr>
        <w:numPr>
          <w:ilvl w:val="0"/>
          <w:numId w:val="1"/>
        </w:numPr>
        <w:ind w:left="-10" w:leftChars="0" w:firstLine="640" w:firstLineChars="0"/>
        <w:rPr>
          <w:rFonts w:hint="eastAsia" w:ascii="仿宋_GB2312" w:hAnsi="楷体" w:eastAsia="仿宋_GB2312" w:cs="仿宋_GB2312"/>
          <w:color w:val="auto"/>
          <w:sz w:val="32"/>
          <w:szCs w:val="32"/>
          <w:lang w:bidi="ar"/>
        </w:rPr>
      </w:pPr>
      <w:r>
        <w:rPr>
          <w:rFonts w:hint="eastAsia" w:ascii="仿宋_GB2312" w:eastAsia="仿宋_GB2312"/>
          <w:sz w:val="32"/>
          <w:szCs w:val="32"/>
          <w:lang w:val="en-US" w:eastAsia="zh-CN"/>
        </w:rPr>
        <w:t xml:space="preserve"> </w:t>
      </w:r>
      <w:r>
        <w:rPr>
          <w:rFonts w:hint="eastAsia" w:ascii="仿宋_GB2312" w:eastAsia="仿宋_GB2312"/>
          <w:sz w:val="32"/>
          <w:szCs w:val="32"/>
        </w:rPr>
        <w:t>本规定所称间距</w:t>
      </w:r>
      <w:r>
        <w:rPr>
          <w:rFonts w:hint="eastAsia" w:ascii="仿宋_GB2312" w:eastAsia="仿宋_GB2312"/>
          <w:sz w:val="32"/>
          <w:szCs w:val="32"/>
          <w:lang w:eastAsia="zh-CN"/>
        </w:rPr>
        <w:t>管理</w:t>
      </w:r>
      <w:r>
        <w:rPr>
          <w:rFonts w:hint="eastAsia" w:ascii="仿宋_GB2312" w:eastAsia="仿宋_GB2312"/>
          <w:sz w:val="32"/>
          <w:szCs w:val="32"/>
        </w:rPr>
        <w:t>是指两个零售点之间</w:t>
      </w:r>
      <w:r>
        <w:rPr>
          <w:rFonts w:hint="eastAsia" w:ascii="仿宋_GB2312" w:eastAsia="仿宋_GB2312"/>
          <w:sz w:val="32"/>
          <w:szCs w:val="32"/>
          <w:lang w:val="en-US" w:eastAsia="zh-CN"/>
        </w:rPr>
        <w:t>的</w:t>
      </w:r>
      <w:r>
        <w:rPr>
          <w:rFonts w:hint="eastAsia" w:ascii="仿宋_GB2312" w:eastAsia="仿宋_GB2312"/>
          <w:sz w:val="32"/>
          <w:szCs w:val="32"/>
        </w:rPr>
        <w:t>最短安全通行距离。</w:t>
      </w:r>
    </w:p>
    <w:p>
      <w:pPr>
        <w:jc w:val="center"/>
        <w:rPr>
          <w:rFonts w:ascii="仿宋_GB2312" w:eastAsia="仿宋_GB2312"/>
          <w:sz w:val="32"/>
          <w:szCs w:val="32"/>
        </w:rPr>
      </w:pPr>
      <w:r>
        <w:rPr>
          <w:rFonts w:hint="eastAsia" w:ascii="黑体" w:hAnsi="黑体" w:eastAsia="黑体"/>
          <w:sz w:val="32"/>
          <w:szCs w:val="32"/>
        </w:rPr>
        <w:t>第二章  合理布局规划标准</w:t>
      </w:r>
    </w:p>
    <w:p>
      <w:pPr>
        <w:numPr>
          <w:ilvl w:val="0"/>
          <w:numId w:val="0"/>
        </w:numPr>
        <w:ind w:firstLine="640" w:firstLineChars="200"/>
        <w:rPr>
          <w:rFonts w:hint="eastAsia" w:ascii="仿宋_GB2312" w:eastAsia="仿宋_GB2312"/>
          <w:sz w:val="32"/>
          <w:szCs w:val="32"/>
          <w:lang w:val="en-US" w:eastAsia="zh-CN"/>
        </w:rPr>
      </w:pPr>
      <w:r>
        <w:rPr>
          <w:rFonts w:hint="eastAsia" w:ascii="国标黑体" w:hAnsi="国标黑体" w:eastAsia="国标黑体" w:cs="国标黑体"/>
          <w:sz w:val="32"/>
          <w:szCs w:val="32"/>
          <w:lang w:eastAsia="zh-CN"/>
        </w:rPr>
        <w:t>第七条</w:t>
      </w:r>
      <w:r>
        <w:rPr>
          <w:rFonts w:hint="eastAsia" w:ascii="仿宋_GB2312" w:eastAsia="仿宋_GB2312"/>
          <w:sz w:val="32"/>
          <w:szCs w:val="32"/>
          <w:lang w:val="en-US" w:eastAsia="zh-CN"/>
        </w:rPr>
        <w:t xml:space="preserve">  吉林市</w:t>
      </w:r>
      <w:r>
        <w:rPr>
          <w:rFonts w:hint="eastAsia" w:ascii="仿宋_GB2312" w:eastAsia="仿宋_GB2312"/>
          <w:sz w:val="32"/>
          <w:szCs w:val="32"/>
        </w:rPr>
        <w:t>行政区域所辖城区</w:t>
      </w:r>
      <w:r>
        <w:rPr>
          <w:rFonts w:hint="eastAsia" w:ascii="仿宋_GB2312" w:eastAsia="仿宋_GB2312"/>
          <w:sz w:val="32"/>
          <w:szCs w:val="32"/>
          <w:lang w:eastAsia="zh-CN"/>
        </w:rPr>
        <w:t>街（路）</w:t>
      </w:r>
      <w:r>
        <w:rPr>
          <w:rFonts w:hint="eastAsia" w:ascii="仿宋_GB2312" w:eastAsia="仿宋_GB2312"/>
          <w:sz w:val="32"/>
          <w:szCs w:val="32"/>
        </w:rPr>
        <w:t>、农村乡镇</w:t>
      </w:r>
      <w:r>
        <w:rPr>
          <w:rFonts w:hint="eastAsia" w:ascii="仿宋_GB2312" w:eastAsia="仿宋_GB2312"/>
          <w:sz w:val="32"/>
          <w:szCs w:val="32"/>
          <w:lang w:eastAsia="zh-CN"/>
        </w:rPr>
        <w:t>街里</w:t>
      </w:r>
      <w:r>
        <w:rPr>
          <w:rFonts w:hint="eastAsia" w:ascii="仿宋_GB2312" w:eastAsia="仿宋_GB2312"/>
          <w:sz w:val="32"/>
          <w:szCs w:val="32"/>
        </w:rPr>
        <w:t>零售点间距不少于</w:t>
      </w:r>
      <w:r>
        <w:rPr>
          <w:rFonts w:hint="eastAsia" w:ascii="仿宋_GB2312" w:eastAsia="仿宋_GB2312"/>
          <w:color w:val="000000"/>
          <w:sz w:val="32"/>
          <w:szCs w:val="32"/>
        </w:rPr>
        <w:t>50米</w:t>
      </w:r>
      <w:r>
        <w:rPr>
          <w:rFonts w:hint="eastAsia" w:ascii="仿宋_GB2312" w:eastAsia="仿宋_GB2312"/>
          <w:color w:val="000000"/>
          <w:sz w:val="32"/>
          <w:szCs w:val="32"/>
          <w:lang w:eastAsia="zh-CN"/>
        </w:rPr>
        <w:t>。</w:t>
      </w:r>
    </w:p>
    <w:p>
      <w:pPr>
        <w:numPr>
          <w:ilvl w:val="0"/>
          <w:numId w:val="0"/>
        </w:numPr>
        <w:ind w:firstLine="640" w:firstLineChars="200"/>
        <w:rPr>
          <w:rFonts w:hint="eastAsia" w:ascii="仿宋_GB2312" w:eastAsia="仿宋_GB2312"/>
          <w:sz w:val="32"/>
          <w:szCs w:val="32"/>
          <w:lang w:eastAsia="zh-CN"/>
        </w:rPr>
      </w:pPr>
      <w:r>
        <w:rPr>
          <w:rFonts w:hint="eastAsia" w:ascii="国标黑体" w:hAnsi="国标黑体" w:eastAsia="国标黑体" w:cs="国标黑体"/>
          <w:sz w:val="32"/>
          <w:szCs w:val="32"/>
          <w:u w:val="none"/>
          <w:lang w:eastAsia="zh-CN"/>
        </w:rPr>
        <w:t>第</w:t>
      </w:r>
      <w:r>
        <w:rPr>
          <w:rFonts w:hint="eastAsia" w:ascii="国标黑体" w:hAnsi="国标黑体" w:eastAsia="国标黑体" w:cs="国标黑体"/>
          <w:sz w:val="32"/>
          <w:szCs w:val="32"/>
          <w:u w:val="none"/>
          <w:lang w:val="en-US" w:eastAsia="zh-CN"/>
        </w:rPr>
        <w:t>八</w:t>
      </w:r>
      <w:r>
        <w:rPr>
          <w:rFonts w:hint="eastAsia" w:ascii="国标黑体" w:hAnsi="国标黑体" w:eastAsia="国标黑体" w:cs="国标黑体"/>
          <w:sz w:val="32"/>
          <w:szCs w:val="32"/>
          <w:u w:val="none"/>
          <w:lang w:eastAsia="zh-CN"/>
        </w:rPr>
        <w:t>条</w:t>
      </w:r>
      <w:r>
        <w:rPr>
          <w:rFonts w:hint="eastAsia" w:ascii="仿宋_GB2312" w:eastAsia="仿宋_GB2312"/>
          <w:sz w:val="32"/>
          <w:szCs w:val="32"/>
          <w:u w:val="none"/>
          <w:lang w:val="en-US" w:eastAsia="zh-CN"/>
        </w:rPr>
        <w:t xml:space="preserve">  </w:t>
      </w:r>
      <w:r>
        <w:rPr>
          <w:rFonts w:hint="eastAsia" w:ascii="仿宋_GB2312" w:eastAsia="仿宋_GB2312"/>
          <w:sz w:val="32"/>
          <w:szCs w:val="32"/>
        </w:rPr>
        <w:t>农村自然村下设的每个村民小组（队、社）最多设置</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r>
        <w:rPr>
          <w:rFonts w:hint="eastAsia" w:ascii="仿宋_GB2312" w:eastAsia="仿宋_GB2312"/>
          <w:color w:val="auto"/>
          <w:sz w:val="32"/>
          <w:szCs w:val="32"/>
          <w:lang w:eastAsia="zh-CN"/>
        </w:rPr>
        <w:t>零售点。如该</w:t>
      </w:r>
      <w:r>
        <w:rPr>
          <w:rFonts w:hint="eastAsia" w:ascii="仿宋_GB2312" w:eastAsia="仿宋_GB2312"/>
          <w:sz w:val="32"/>
          <w:szCs w:val="32"/>
        </w:rPr>
        <w:t>村民小组（队、社）</w:t>
      </w:r>
      <w:r>
        <w:rPr>
          <w:rFonts w:hint="eastAsia" w:ascii="仿宋_GB2312" w:eastAsia="仿宋_GB2312"/>
          <w:sz w:val="32"/>
          <w:szCs w:val="32"/>
          <w:lang w:eastAsia="zh-CN"/>
        </w:rPr>
        <w:t>无零售点，可不受总量指导数上限限制。</w:t>
      </w:r>
    </w:p>
    <w:p>
      <w:pPr>
        <w:numPr>
          <w:ilvl w:val="0"/>
          <w:numId w:val="0"/>
        </w:numPr>
        <w:ind w:firstLine="640" w:firstLineChars="200"/>
        <w:rPr>
          <w:rFonts w:hint="eastAsia" w:ascii="仿宋_GB2312" w:eastAsia="仿宋_GB2312"/>
          <w:sz w:val="32"/>
          <w:szCs w:val="32"/>
          <w:lang w:eastAsia="zh-CN"/>
        </w:rPr>
      </w:pPr>
      <w:r>
        <w:rPr>
          <w:rFonts w:hint="eastAsia" w:ascii="国标黑体" w:hAnsi="国标黑体" w:eastAsia="国标黑体" w:cs="国标黑体"/>
          <w:sz w:val="32"/>
          <w:szCs w:val="32"/>
          <w:u w:val="none"/>
          <w:lang w:eastAsia="zh-CN"/>
        </w:rPr>
        <w:t>第</w:t>
      </w:r>
      <w:r>
        <w:rPr>
          <w:rFonts w:hint="eastAsia" w:ascii="国标黑体" w:hAnsi="国标黑体" w:eastAsia="国标黑体" w:cs="国标黑体"/>
          <w:sz w:val="32"/>
          <w:szCs w:val="32"/>
          <w:u w:val="none"/>
          <w:lang w:val="en-US" w:eastAsia="zh-CN"/>
        </w:rPr>
        <w:t>九</w:t>
      </w:r>
      <w:r>
        <w:rPr>
          <w:rFonts w:hint="eastAsia" w:ascii="国标黑体" w:hAnsi="国标黑体" w:eastAsia="国标黑体" w:cs="国标黑体"/>
          <w:sz w:val="32"/>
          <w:szCs w:val="32"/>
          <w:u w:val="none"/>
          <w:lang w:eastAsia="zh-CN"/>
        </w:rPr>
        <w:t>条</w:t>
      </w:r>
      <w:r>
        <w:rPr>
          <w:rFonts w:hint="eastAsia" w:ascii="仿宋_GB2312" w:eastAsia="仿宋_GB2312"/>
          <w:sz w:val="32"/>
          <w:szCs w:val="32"/>
          <w:u w:val="none"/>
          <w:lang w:val="en-US" w:eastAsia="zh-CN"/>
        </w:rPr>
        <w:t xml:space="preserve">  </w:t>
      </w:r>
      <w:r>
        <w:rPr>
          <w:rFonts w:hint="eastAsia" w:ascii="仿宋_GB2312" w:eastAsia="仿宋_GB2312"/>
          <w:color w:val="auto"/>
          <w:sz w:val="32"/>
          <w:szCs w:val="32"/>
        </w:rPr>
        <w:t>零售点与中</w:t>
      </w:r>
      <w:r>
        <w:rPr>
          <w:rFonts w:hint="eastAsia" w:ascii="仿宋_GB2312" w:eastAsia="仿宋_GB2312"/>
          <w:sz w:val="32"/>
          <w:szCs w:val="32"/>
        </w:rPr>
        <w:t>小学、幼儿园进出通道口中心点</w:t>
      </w:r>
      <w:r>
        <w:rPr>
          <w:rFonts w:hint="eastAsia" w:ascii="仿宋_GB2312" w:eastAsia="仿宋_GB2312"/>
          <w:sz w:val="32"/>
          <w:szCs w:val="32"/>
          <w:lang w:eastAsia="zh-CN"/>
        </w:rPr>
        <w:t>间距</w:t>
      </w:r>
      <w:r>
        <w:rPr>
          <w:rFonts w:hint="eastAsia" w:ascii="仿宋_GB2312" w:eastAsia="仿宋_GB2312"/>
          <w:sz w:val="32"/>
          <w:szCs w:val="32"/>
        </w:rPr>
        <w:t>不少于50米。</w:t>
      </w:r>
    </w:p>
    <w:p>
      <w:pPr>
        <w:numPr>
          <w:ilvl w:val="0"/>
          <w:numId w:val="0"/>
        </w:numPr>
        <w:ind w:firstLine="640" w:firstLineChars="200"/>
        <w:rPr>
          <w:rFonts w:hint="eastAsia" w:ascii="仿宋_GB2312" w:eastAsia="仿宋_GB2312"/>
          <w:sz w:val="32"/>
          <w:szCs w:val="32"/>
          <w:u w:val="none"/>
          <w:lang w:eastAsia="zh-CN"/>
        </w:rPr>
      </w:pPr>
      <w:r>
        <w:rPr>
          <w:rFonts w:hint="eastAsia" w:ascii="国标黑体" w:hAnsi="国标黑体" w:eastAsia="国标黑体" w:cs="国标黑体"/>
          <w:sz w:val="32"/>
          <w:szCs w:val="32"/>
          <w:lang w:eastAsia="zh-CN"/>
        </w:rPr>
        <w:t>第</w:t>
      </w:r>
      <w:r>
        <w:rPr>
          <w:rFonts w:hint="eastAsia" w:ascii="国标黑体" w:hAnsi="国标黑体" w:eastAsia="国标黑体" w:cs="国标黑体"/>
          <w:sz w:val="32"/>
          <w:szCs w:val="32"/>
          <w:lang w:val="en-US" w:eastAsia="zh-CN"/>
        </w:rPr>
        <w:t>十条</w:t>
      </w:r>
      <w:r>
        <w:rPr>
          <w:rFonts w:hint="eastAsia" w:ascii="仿宋_GB2312" w:eastAsia="仿宋_GB2312"/>
          <w:sz w:val="32"/>
          <w:szCs w:val="32"/>
          <w:lang w:val="en-US" w:eastAsia="zh-CN"/>
        </w:rPr>
        <w:t xml:space="preserve">  具有下列情形之一的，按照</w:t>
      </w:r>
      <w:r>
        <w:rPr>
          <w:rFonts w:hint="eastAsia" w:ascii="仿宋_GB2312" w:eastAsia="仿宋_GB2312"/>
          <w:sz w:val="32"/>
          <w:szCs w:val="32"/>
        </w:rPr>
        <w:t>特定区域限量管理</w:t>
      </w:r>
      <w:r>
        <w:rPr>
          <w:rFonts w:hint="eastAsia" w:ascii="仿宋_GB2312" w:eastAsia="仿宋_GB2312"/>
          <w:sz w:val="32"/>
          <w:szCs w:val="32"/>
          <w:lang w:eastAsia="zh-CN"/>
        </w:rPr>
        <w:t>设置零售点</w:t>
      </w:r>
      <w:r>
        <w:rPr>
          <w:rFonts w:hint="eastAsia" w:ascii="仿宋_GB2312" w:eastAsia="仿宋_GB2312"/>
          <w:sz w:val="32"/>
          <w:szCs w:val="32"/>
        </w:rPr>
        <w:t>，</w:t>
      </w:r>
      <w:r>
        <w:rPr>
          <w:rFonts w:hint="eastAsia" w:ascii="仿宋_GB2312" w:eastAsia="仿宋_GB2312"/>
          <w:sz w:val="32"/>
          <w:szCs w:val="32"/>
          <w:lang w:eastAsia="zh-CN"/>
        </w:rPr>
        <w:t>该零售点</w:t>
      </w:r>
      <w:r>
        <w:rPr>
          <w:rFonts w:hint="eastAsia" w:ascii="仿宋_GB2312" w:eastAsia="仿宋_GB2312"/>
          <w:sz w:val="32"/>
          <w:szCs w:val="32"/>
          <w:u w:val="none"/>
        </w:rPr>
        <w:t>不受外部最近零售点的距离限制，也不影响外部周边零售点的间距测量</w:t>
      </w:r>
      <w:r>
        <w:rPr>
          <w:rFonts w:hint="eastAsia" w:ascii="仿宋_GB2312" w:eastAsia="仿宋_GB2312"/>
          <w:sz w:val="32"/>
          <w:szCs w:val="32"/>
          <w:u w:val="none"/>
          <w:lang w:eastAsia="zh-CN"/>
        </w:rPr>
        <w:t>：</w:t>
      </w:r>
    </w:p>
    <w:p>
      <w:pPr>
        <w:widowControl/>
        <w:spacing w:after="90" w:line="59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整体</w:t>
      </w:r>
      <w:r>
        <w:rPr>
          <w:rFonts w:hint="eastAsia" w:ascii="仿宋_GB2312" w:eastAsia="仿宋_GB2312"/>
          <w:sz w:val="32"/>
          <w:szCs w:val="32"/>
          <w:u w:val="none"/>
        </w:rPr>
        <w:t>经营面积在</w:t>
      </w:r>
      <w:r>
        <w:rPr>
          <w:rFonts w:hint="eastAsia" w:ascii="仿宋_GB2312" w:eastAsia="仿宋_GB2312"/>
          <w:sz w:val="32"/>
          <w:szCs w:val="32"/>
          <w:u w:val="none"/>
          <w:lang w:val="en-US" w:eastAsia="zh-CN"/>
        </w:rPr>
        <w:t>1000</w:t>
      </w:r>
      <w:r>
        <w:rPr>
          <w:rFonts w:hint="eastAsia" w:ascii="仿宋_GB2312" w:eastAsia="仿宋_GB2312"/>
          <w:sz w:val="32"/>
          <w:szCs w:val="32"/>
          <w:u w:val="none"/>
        </w:rPr>
        <w:t>平方</w:t>
      </w:r>
      <w:r>
        <w:rPr>
          <w:rFonts w:hint="eastAsia" w:ascii="仿宋_GB2312" w:eastAsia="仿宋_GB2312"/>
          <w:sz w:val="32"/>
          <w:szCs w:val="32"/>
          <w:u w:val="none"/>
          <w:lang w:eastAsia="zh-CN"/>
        </w:rPr>
        <w:t>米以下（含）</w:t>
      </w:r>
      <w:r>
        <w:rPr>
          <w:rFonts w:hint="eastAsia" w:ascii="仿宋_GB2312" w:eastAsia="仿宋_GB2312"/>
          <w:sz w:val="32"/>
          <w:szCs w:val="32"/>
          <w:u w:val="none"/>
        </w:rPr>
        <w:t>的</w:t>
      </w:r>
      <w:r>
        <w:rPr>
          <w:rFonts w:hint="eastAsia" w:ascii="仿宋_GB2312" w:eastAsia="仿宋_GB2312"/>
          <w:sz w:val="32"/>
          <w:szCs w:val="32"/>
        </w:rPr>
        <w:t>商场、大型综合超市等场所内部设置</w:t>
      </w:r>
      <w:r>
        <w:rPr>
          <w:rFonts w:hint="eastAsia" w:ascii="仿宋_GB2312" w:eastAsia="仿宋_GB2312"/>
          <w:sz w:val="32"/>
          <w:szCs w:val="32"/>
          <w:lang w:val="en-US" w:eastAsia="zh-CN"/>
        </w:rPr>
        <w:t>1</w:t>
      </w:r>
      <w:r>
        <w:rPr>
          <w:rFonts w:hint="eastAsia" w:ascii="仿宋_GB2312" w:eastAsia="仿宋_GB2312"/>
          <w:sz w:val="32"/>
          <w:szCs w:val="32"/>
        </w:rPr>
        <w:t>个零售点</w:t>
      </w:r>
      <w:r>
        <w:rPr>
          <w:rFonts w:hint="eastAsia" w:ascii="仿宋_GB2312" w:eastAsia="仿宋_GB2312"/>
          <w:sz w:val="32"/>
          <w:szCs w:val="32"/>
          <w:lang w:eastAsia="zh-CN"/>
        </w:rPr>
        <w:t>，每增加</w:t>
      </w:r>
      <w:r>
        <w:rPr>
          <w:rFonts w:hint="eastAsia" w:ascii="仿宋_GB2312" w:eastAsia="仿宋_GB2312"/>
          <w:sz w:val="32"/>
          <w:szCs w:val="32"/>
          <w:lang w:val="en-US" w:eastAsia="zh-CN"/>
        </w:rPr>
        <w:t>1000平方米增设1个，最多设置3个</w:t>
      </w:r>
      <w:bookmarkStart w:id="0" w:name="_GoBack"/>
      <w:bookmarkEnd w:id="0"/>
      <w:r>
        <w:rPr>
          <w:rFonts w:hint="eastAsia" w:ascii="仿宋_GB2312" w:eastAsia="仿宋_GB2312"/>
          <w:sz w:val="32"/>
          <w:szCs w:val="32"/>
        </w:rPr>
        <w:t>且与内部其他零售点间距不少于</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米</w:t>
      </w:r>
      <w:r>
        <w:rPr>
          <w:rFonts w:hint="eastAsia" w:ascii="仿宋_GB2312" w:eastAsia="仿宋_GB2312"/>
          <w:color w:val="000000"/>
          <w:sz w:val="32"/>
          <w:szCs w:val="32"/>
          <w:lang w:eastAsia="zh-CN"/>
        </w:rPr>
        <w:t>；</w:t>
      </w:r>
    </w:p>
    <w:p>
      <w:pPr>
        <w:widowControl/>
        <w:spacing w:after="90" w:line="59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各类综合批发市场、专业市场、农贸市场内</w:t>
      </w:r>
      <w:r>
        <w:rPr>
          <w:rFonts w:hint="eastAsia" w:ascii="仿宋_GB2312" w:eastAsia="仿宋_GB2312"/>
          <w:sz w:val="32"/>
          <w:szCs w:val="32"/>
          <w:lang w:eastAsia="zh-CN"/>
        </w:rPr>
        <w:t>，</w:t>
      </w:r>
      <w:r>
        <w:rPr>
          <w:rFonts w:hint="eastAsia" w:ascii="仿宋_GB2312" w:eastAsia="仿宋_GB2312"/>
          <w:sz w:val="32"/>
          <w:szCs w:val="32"/>
        </w:rPr>
        <w:t>每</w:t>
      </w:r>
      <w:r>
        <w:rPr>
          <w:rFonts w:hint="eastAsia" w:ascii="仿宋_GB2312" w:eastAsia="仿宋_GB2312"/>
          <w:sz w:val="32"/>
          <w:szCs w:val="32"/>
          <w:lang w:val="en-US" w:eastAsia="zh-CN"/>
        </w:rPr>
        <w:t>50</w:t>
      </w:r>
      <w:r>
        <w:rPr>
          <w:rFonts w:hint="eastAsia" w:ascii="仿宋_GB2312" w:eastAsia="仿宋_GB2312"/>
          <w:sz w:val="32"/>
          <w:szCs w:val="32"/>
        </w:rPr>
        <w:t>个可供租赁位设置1个零售点，最多不超过3个且与周围零售点间距不少于</w:t>
      </w:r>
      <w:r>
        <w:rPr>
          <w:rFonts w:hint="eastAsia" w:ascii="仿宋_GB2312" w:eastAsia="仿宋_GB2312"/>
          <w:color w:val="000000"/>
          <w:sz w:val="32"/>
          <w:szCs w:val="32"/>
        </w:rPr>
        <w:t>50米</w:t>
      </w:r>
      <w:r>
        <w:rPr>
          <w:rFonts w:hint="eastAsia" w:ascii="仿宋_GB2312" w:eastAsia="仿宋_GB2312"/>
          <w:sz w:val="32"/>
          <w:szCs w:val="32"/>
        </w:rPr>
        <w:t>；可供租赁位不足</w:t>
      </w:r>
      <w:r>
        <w:rPr>
          <w:rFonts w:hint="eastAsia" w:ascii="仿宋_GB2312" w:eastAsia="仿宋_GB2312"/>
          <w:sz w:val="32"/>
          <w:szCs w:val="32"/>
          <w:lang w:val="en-US" w:eastAsia="zh-CN"/>
        </w:rPr>
        <w:t>50</w:t>
      </w:r>
      <w:r>
        <w:rPr>
          <w:rFonts w:hint="eastAsia" w:ascii="仿宋_GB2312" w:eastAsia="仿宋_GB2312"/>
          <w:sz w:val="32"/>
          <w:szCs w:val="32"/>
        </w:rPr>
        <w:t>个的，可设置1个零售点</w:t>
      </w:r>
      <w:r>
        <w:rPr>
          <w:rFonts w:hint="eastAsia" w:ascii="仿宋_GB2312" w:eastAsia="仿宋_GB2312"/>
          <w:sz w:val="32"/>
          <w:szCs w:val="32"/>
          <w:lang w:eastAsia="zh-CN"/>
        </w:rPr>
        <w:t>；</w:t>
      </w:r>
    </w:p>
    <w:p>
      <w:pPr>
        <w:widowControl/>
        <w:spacing w:after="90" w:line="590" w:lineRule="exact"/>
        <w:ind w:firstLine="640" w:firstLineChars="200"/>
        <w:rPr>
          <w:rFonts w:ascii="仿宋_GB2312" w:eastAsia="仿宋_GB2312"/>
          <w:color w:val="auto"/>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sz w:val="32"/>
          <w:szCs w:val="32"/>
          <w:lang w:val="en-US" w:eastAsia="zh-CN"/>
        </w:rPr>
        <w:t>吉林市火车站（吉林</w:t>
      </w:r>
      <w:r>
        <w:rPr>
          <w:rFonts w:hint="eastAsia" w:ascii="仿宋_GB2312" w:eastAsia="仿宋_GB2312"/>
          <w:sz w:val="32"/>
          <w:szCs w:val="32"/>
        </w:rPr>
        <w:t>站</w:t>
      </w:r>
      <w:r>
        <w:rPr>
          <w:rFonts w:hint="eastAsia" w:ascii="仿宋_GB2312" w:eastAsia="仿宋_GB2312"/>
          <w:sz w:val="32"/>
          <w:szCs w:val="32"/>
          <w:lang w:val="en-US" w:eastAsia="zh-CN"/>
        </w:rPr>
        <w:t>）</w:t>
      </w:r>
      <w:r>
        <w:rPr>
          <w:rFonts w:hint="eastAsia" w:ascii="仿宋_GB2312" w:eastAsia="仿宋_GB2312"/>
          <w:sz w:val="32"/>
          <w:szCs w:val="32"/>
        </w:rPr>
        <w:t>候车大厅内，最多设置3个零售点</w:t>
      </w:r>
      <w:r>
        <w:rPr>
          <w:rFonts w:hint="eastAsia" w:ascii="仿宋_GB2312" w:eastAsia="仿宋_GB2312"/>
          <w:sz w:val="32"/>
          <w:szCs w:val="32"/>
          <w:lang w:eastAsia="zh-CN"/>
        </w:rPr>
        <w:t>；</w:t>
      </w:r>
      <w:r>
        <w:rPr>
          <w:rFonts w:hint="eastAsia" w:ascii="仿宋_GB2312" w:eastAsia="仿宋_GB2312"/>
          <w:sz w:val="32"/>
          <w:szCs w:val="32"/>
          <w:lang w:val="en-US" w:eastAsia="zh-CN"/>
        </w:rPr>
        <w:t>其他火车站</w:t>
      </w:r>
      <w:r>
        <w:rPr>
          <w:rFonts w:hint="eastAsia" w:ascii="仿宋_GB2312" w:eastAsia="仿宋_GB2312"/>
          <w:sz w:val="32"/>
          <w:szCs w:val="32"/>
        </w:rPr>
        <w:t>、长途汽车站的候车大厅内，最多设置</w:t>
      </w:r>
      <w:r>
        <w:rPr>
          <w:rFonts w:hint="eastAsia" w:ascii="仿宋_GB2312" w:eastAsia="仿宋_GB2312"/>
          <w:sz w:val="32"/>
          <w:szCs w:val="32"/>
          <w:lang w:val="en-US" w:eastAsia="zh-CN"/>
        </w:rPr>
        <w:t>1</w:t>
      </w:r>
      <w:r>
        <w:rPr>
          <w:rFonts w:hint="eastAsia" w:ascii="仿宋_GB2312" w:eastAsia="仿宋_GB2312"/>
          <w:sz w:val="32"/>
          <w:szCs w:val="32"/>
        </w:rPr>
        <w:t>个零售点；</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w:t>
      </w:r>
      <w:r>
        <w:rPr>
          <w:rFonts w:hint="eastAsia" w:ascii="仿宋_GB2312" w:eastAsia="仿宋_GB2312"/>
          <w:sz w:val="32"/>
          <w:szCs w:val="32"/>
        </w:rPr>
        <w:t>高速公路服务区内，最多设置1个零售点；</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w:t>
      </w:r>
      <w:r>
        <w:rPr>
          <w:rFonts w:hint="eastAsia" w:ascii="仿宋_GB2312" w:eastAsia="仿宋_GB2312"/>
          <w:sz w:val="32"/>
          <w:szCs w:val="32"/>
        </w:rPr>
        <w:t>高等院校校园内，最多设置</w:t>
      </w:r>
      <w:r>
        <w:rPr>
          <w:rFonts w:hint="eastAsia" w:ascii="仿宋_GB2312" w:eastAsia="仿宋_GB2312"/>
          <w:sz w:val="32"/>
          <w:szCs w:val="32"/>
          <w:lang w:val="en-US" w:eastAsia="zh-CN"/>
        </w:rPr>
        <w:t>3</w:t>
      </w:r>
      <w:r>
        <w:rPr>
          <w:rFonts w:hint="eastAsia" w:ascii="仿宋_GB2312" w:eastAsia="仿宋_GB2312"/>
          <w:sz w:val="32"/>
          <w:szCs w:val="32"/>
        </w:rPr>
        <w:t>个零售点；</w:t>
      </w:r>
    </w:p>
    <w:p>
      <w:pPr>
        <w:widowControl/>
        <w:spacing w:after="90" w:line="59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w:t>
      </w:r>
      <w:r>
        <w:rPr>
          <w:rFonts w:hint="eastAsia" w:ascii="仿宋_GB2312" w:eastAsia="仿宋_GB2312"/>
          <w:sz w:val="32"/>
          <w:szCs w:val="32"/>
        </w:rPr>
        <w:t>旅游景区</w:t>
      </w:r>
      <w:r>
        <w:rPr>
          <w:rFonts w:hint="eastAsia" w:ascii="仿宋_GB2312" w:eastAsia="仿宋_GB2312"/>
          <w:sz w:val="32"/>
          <w:szCs w:val="32"/>
          <w:lang w:eastAsia="zh-CN"/>
        </w:rPr>
        <w:t>内且经官方允许</w:t>
      </w:r>
      <w:r>
        <w:rPr>
          <w:rFonts w:hint="eastAsia" w:ascii="仿宋_GB2312" w:eastAsia="仿宋_GB2312"/>
          <w:sz w:val="32"/>
          <w:szCs w:val="32"/>
        </w:rPr>
        <w:t>，最多设置2个零售点</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eastAsia="仿宋_GB2312"/>
          <w:sz w:val="32"/>
          <w:szCs w:val="32"/>
          <w:lang w:eastAsia="zh-CN"/>
        </w:rPr>
        <w:t>部队、监狱内，</w:t>
      </w:r>
      <w:r>
        <w:rPr>
          <w:rFonts w:hint="eastAsia" w:ascii="仿宋_GB2312" w:eastAsia="仿宋_GB2312"/>
          <w:sz w:val="32"/>
          <w:szCs w:val="32"/>
        </w:rPr>
        <w:t>最多设置1个零售点。</w:t>
      </w:r>
    </w:p>
    <w:p>
      <w:pPr>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十一</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具有下列情形之一的，</w:t>
      </w:r>
      <w:r>
        <w:rPr>
          <w:rFonts w:hint="eastAsia" w:ascii="仿宋_GB2312" w:eastAsia="仿宋_GB2312"/>
          <w:sz w:val="32"/>
          <w:szCs w:val="32"/>
          <w:lang w:eastAsia="zh-CN"/>
        </w:rPr>
        <w:t>受本规定</w:t>
      </w:r>
      <w:r>
        <w:rPr>
          <w:rFonts w:hint="eastAsia" w:ascii="仿宋_GB2312" w:hAnsi="楷体" w:eastAsia="仿宋_GB2312" w:cs="仿宋_GB2312"/>
          <w:sz w:val="32"/>
          <w:szCs w:val="32"/>
          <w:lang w:bidi="ar"/>
        </w:rPr>
        <w:t>总量指导数</w:t>
      </w:r>
      <w:r>
        <w:rPr>
          <w:rFonts w:hint="eastAsia" w:ascii="仿宋_GB2312" w:hAnsi="楷体" w:eastAsia="仿宋_GB2312" w:cs="仿宋_GB2312"/>
          <w:sz w:val="32"/>
          <w:szCs w:val="32"/>
          <w:lang w:eastAsia="zh-CN" w:bidi="ar"/>
        </w:rPr>
        <w:t>限制，</w:t>
      </w:r>
      <w:r>
        <w:rPr>
          <w:rFonts w:hint="eastAsia" w:ascii="仿宋_GB2312" w:hAnsi="楷体" w:eastAsia="仿宋_GB2312" w:cs="仿宋_GB2312"/>
          <w:color w:val="auto"/>
          <w:sz w:val="32"/>
          <w:szCs w:val="32"/>
          <w:lang w:bidi="ar"/>
        </w:rPr>
        <w:t>与最临近零售点</w:t>
      </w:r>
      <w:r>
        <w:rPr>
          <w:rFonts w:hint="eastAsia" w:ascii="仿宋_GB2312" w:eastAsia="仿宋_GB2312"/>
          <w:color w:val="auto"/>
          <w:sz w:val="32"/>
          <w:szCs w:val="32"/>
          <w:lang w:eastAsia="zh-CN"/>
        </w:rPr>
        <w:t>间距</w:t>
      </w:r>
      <w:r>
        <w:rPr>
          <w:rFonts w:hint="eastAsia" w:ascii="仿宋_GB2312" w:hAnsi="楷体" w:eastAsia="仿宋_GB2312" w:cs="仿宋_GB2312"/>
          <w:color w:val="auto"/>
          <w:sz w:val="32"/>
          <w:szCs w:val="32"/>
          <w:lang w:bidi="ar"/>
        </w:rPr>
        <w:t>不少于</w:t>
      </w:r>
      <w:r>
        <w:rPr>
          <w:rFonts w:hint="eastAsia" w:ascii="仿宋_GB2312" w:hAnsi="楷体" w:eastAsia="仿宋_GB2312" w:cs="仿宋_GB2312"/>
          <w:color w:val="auto"/>
          <w:sz w:val="32"/>
          <w:szCs w:val="32"/>
          <w:lang w:val="en-US" w:eastAsia="zh-CN" w:bidi="ar"/>
        </w:rPr>
        <w:t>25米</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w:t>
      </w:r>
      <w:r>
        <w:rPr>
          <w:rFonts w:hint="eastAsia" w:ascii="仿宋_GB2312" w:hAnsi="楷体" w:eastAsia="仿宋_GB2312" w:cs="仿宋_GB2312"/>
          <w:color w:val="auto"/>
          <w:sz w:val="32"/>
          <w:szCs w:val="32"/>
          <w:lang w:bidi="ar"/>
        </w:rPr>
        <w:t>经国家或政府部门认定并出具有效证明的具有民事行为能力的伤残军警、军警烈属（配偶、父母或子女）、</w:t>
      </w:r>
      <w:r>
        <w:rPr>
          <w:rFonts w:hint="eastAsia" w:ascii="仿宋_GB2312" w:eastAsia="仿宋_GB2312"/>
          <w:color w:val="auto"/>
          <w:sz w:val="32"/>
          <w:szCs w:val="32"/>
        </w:rPr>
        <w:t>残疾人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除精神残疾、智力残疾外</w:t>
      </w:r>
      <w:r>
        <w:rPr>
          <w:rFonts w:hint="eastAsia" w:ascii="仿宋_GB2312" w:eastAsia="仿宋_GB2312"/>
          <w:color w:val="auto"/>
          <w:sz w:val="32"/>
          <w:szCs w:val="32"/>
          <w:lang w:eastAsia="zh-CN"/>
        </w:rPr>
        <w:t>）</w:t>
      </w:r>
      <w:r>
        <w:rPr>
          <w:rFonts w:hint="eastAsia" w:ascii="仿宋_GB2312" w:hAnsi="楷体" w:eastAsia="仿宋_GB2312" w:cs="仿宋_GB2312"/>
          <w:color w:val="auto"/>
          <w:sz w:val="32"/>
          <w:szCs w:val="32"/>
          <w:lang w:bidi="ar"/>
        </w:rPr>
        <w:t>，以及国家或政府部门明文给予政策扶持的纾困、优抚对象，首次申请且本人自主在店经营</w:t>
      </w:r>
      <w:r>
        <w:rPr>
          <w:rFonts w:hint="eastAsia" w:ascii="仿宋_GB2312" w:hAnsi="楷体" w:eastAsia="仿宋_GB2312" w:cs="仿宋_GB2312"/>
          <w:color w:val="auto"/>
          <w:sz w:val="32"/>
          <w:szCs w:val="32"/>
          <w:lang w:eastAsia="zh-CN" w:bidi="ar"/>
        </w:rPr>
        <w:t>且</w:t>
      </w:r>
      <w:r>
        <w:rPr>
          <w:rFonts w:hint="eastAsia" w:ascii="仿宋_GB2312" w:hAnsi="楷体" w:eastAsia="仿宋_GB2312" w:cs="仿宋_GB2312"/>
          <w:color w:val="auto"/>
          <w:sz w:val="32"/>
          <w:szCs w:val="32"/>
          <w:lang w:bidi="ar"/>
        </w:rPr>
        <w:t>营业执照组成形式为个体工商户、个人独资企业、家庭经营的个体工商户</w:t>
      </w:r>
      <w:r>
        <w:rPr>
          <w:rFonts w:hint="eastAsia" w:ascii="仿宋_GB2312" w:hAnsi="楷体" w:eastAsia="仿宋_GB2312" w:cs="仿宋_GB2312"/>
          <w:color w:val="auto"/>
          <w:sz w:val="32"/>
          <w:szCs w:val="32"/>
          <w:lang w:eastAsia="zh-CN" w:bidi="ar"/>
        </w:rPr>
        <w:t>的；</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w:t>
      </w:r>
      <w:r>
        <w:rPr>
          <w:rFonts w:hint="eastAsia" w:ascii="仿宋_GB2312" w:hAnsi="楷体" w:eastAsia="仿宋_GB2312" w:cs="仿宋_GB2312"/>
          <w:color w:val="auto"/>
          <w:sz w:val="32"/>
          <w:szCs w:val="32"/>
          <w:lang w:bidi="ar"/>
        </w:rPr>
        <w:t>因新建中小学、幼儿园或原中小学、幼儿园改（扩）建导致</w:t>
      </w:r>
      <w:r>
        <w:rPr>
          <w:rFonts w:hint="eastAsia" w:ascii="仿宋_GB2312" w:hAnsi="楷体" w:eastAsia="仿宋_GB2312" w:cs="仿宋_GB2312"/>
          <w:color w:val="auto"/>
          <w:sz w:val="32"/>
          <w:szCs w:val="32"/>
          <w:lang w:eastAsia="zh-CN" w:bidi="ar"/>
        </w:rPr>
        <w:t>零售点</w:t>
      </w:r>
      <w:r>
        <w:rPr>
          <w:rFonts w:hint="eastAsia" w:ascii="仿宋_GB2312" w:hAnsi="楷体" w:eastAsia="仿宋_GB2312" w:cs="仿宋_GB2312"/>
          <w:color w:val="auto"/>
          <w:sz w:val="32"/>
          <w:szCs w:val="32"/>
          <w:lang w:bidi="ar"/>
        </w:rPr>
        <w:t>经营场所位于中小学、幼儿园周围限制区域，持证人在</w:t>
      </w:r>
      <w:r>
        <w:rPr>
          <w:rFonts w:hint="eastAsia" w:ascii="仿宋_GB2312" w:eastAsia="仿宋_GB2312"/>
          <w:color w:val="auto"/>
          <w:sz w:val="32"/>
          <w:szCs w:val="32"/>
        </w:rPr>
        <w:t>烟草专卖零售许可证</w:t>
      </w:r>
      <w:r>
        <w:rPr>
          <w:rFonts w:hint="eastAsia" w:ascii="仿宋_GB2312" w:hAnsi="楷体" w:eastAsia="仿宋_GB2312" w:cs="仿宋_GB2312"/>
          <w:color w:val="auto"/>
          <w:sz w:val="32"/>
          <w:szCs w:val="32"/>
          <w:lang w:bidi="ar"/>
        </w:rPr>
        <w:t>有效期内主动歇业申请到原</w:t>
      </w:r>
      <w:r>
        <w:rPr>
          <w:rFonts w:hint="eastAsia" w:ascii="仿宋_GB2312" w:eastAsia="仿宋_GB2312"/>
          <w:sz w:val="32"/>
          <w:szCs w:val="32"/>
          <w:lang w:val="en-US" w:eastAsia="zh-CN"/>
        </w:rPr>
        <w:t>烟草专卖零售许可证</w:t>
      </w:r>
      <w:r>
        <w:rPr>
          <w:rFonts w:hint="eastAsia" w:ascii="仿宋_GB2312" w:hAnsi="楷体" w:eastAsia="仿宋_GB2312" w:cs="仿宋_GB2312"/>
          <w:color w:val="auto"/>
          <w:sz w:val="32"/>
          <w:szCs w:val="32"/>
          <w:lang w:bidi="ar"/>
        </w:rPr>
        <w:t>发证机关辖区内其他地址经营的</w:t>
      </w:r>
      <w:r>
        <w:rPr>
          <w:rFonts w:hint="eastAsia" w:ascii="仿宋_GB2312" w:hAnsi="楷体" w:eastAsia="仿宋_GB2312" w:cs="仿宋_GB2312"/>
          <w:color w:val="auto"/>
          <w:sz w:val="32"/>
          <w:szCs w:val="32"/>
          <w:lang w:eastAsia="zh-CN" w:bidi="ar"/>
        </w:rPr>
        <w:t>；</w:t>
      </w:r>
    </w:p>
    <w:p>
      <w:pPr>
        <w:ind w:firstLine="640" w:firstLineChars="200"/>
        <w:rPr>
          <w:rFonts w:hint="eastAsia" w:ascii="仿宋_GB2312" w:hAnsi="楷体" w:eastAsia="仿宋_GB2312" w:cs="仿宋_GB2312"/>
          <w:color w:val="auto"/>
          <w:sz w:val="32"/>
          <w:szCs w:val="32"/>
          <w:lang w:eastAsia="zh-CN" w:bidi="ar"/>
        </w:rPr>
      </w:pPr>
      <w:r>
        <w:rPr>
          <w:rFonts w:hint="eastAsia" w:ascii="仿宋_GB2312" w:eastAsia="仿宋_GB2312"/>
          <w:sz w:val="32"/>
          <w:szCs w:val="32"/>
          <w:lang w:val="en-US" w:eastAsia="zh-CN"/>
        </w:rPr>
        <w:t>（三）</w:t>
      </w:r>
      <w:r>
        <w:rPr>
          <w:rFonts w:hint="eastAsia" w:ascii="仿宋_GB2312" w:hAnsi="楷体" w:eastAsia="仿宋_GB2312" w:cs="仿宋_GB2312"/>
          <w:color w:val="auto"/>
          <w:sz w:val="32"/>
          <w:szCs w:val="32"/>
          <w:lang w:bidi="ar"/>
        </w:rPr>
        <w:t>因道路规划、城市建设等客观原因造成无法在核定经营地址经营，持证人在</w:t>
      </w:r>
      <w:r>
        <w:rPr>
          <w:rFonts w:hint="eastAsia" w:ascii="仿宋_GB2312" w:eastAsia="仿宋_GB2312"/>
          <w:color w:val="auto"/>
          <w:sz w:val="32"/>
          <w:szCs w:val="32"/>
        </w:rPr>
        <w:t>烟草专卖零售许可证</w:t>
      </w:r>
      <w:r>
        <w:rPr>
          <w:rFonts w:hint="eastAsia" w:ascii="仿宋_GB2312" w:hAnsi="楷体" w:eastAsia="仿宋_GB2312" w:cs="仿宋_GB2312"/>
          <w:color w:val="auto"/>
          <w:sz w:val="32"/>
          <w:szCs w:val="32"/>
          <w:lang w:bidi="ar"/>
        </w:rPr>
        <w:t>有效期内申请变更到原</w:t>
      </w:r>
      <w:r>
        <w:rPr>
          <w:rFonts w:hint="eastAsia" w:ascii="仿宋_GB2312" w:eastAsia="仿宋_GB2312"/>
          <w:sz w:val="32"/>
          <w:szCs w:val="32"/>
          <w:lang w:val="en-US" w:eastAsia="zh-CN"/>
        </w:rPr>
        <w:t>烟草专卖零售许可证</w:t>
      </w:r>
      <w:r>
        <w:rPr>
          <w:rFonts w:hint="eastAsia" w:ascii="仿宋_GB2312" w:hAnsi="楷体" w:eastAsia="仿宋_GB2312" w:cs="仿宋_GB2312"/>
          <w:color w:val="auto"/>
          <w:sz w:val="32"/>
          <w:szCs w:val="32"/>
          <w:lang w:bidi="ar"/>
        </w:rPr>
        <w:t>发证机关辖区内其他地址经营的</w:t>
      </w:r>
      <w:r>
        <w:rPr>
          <w:rFonts w:hint="eastAsia" w:ascii="仿宋_GB2312" w:hAnsi="楷体" w:eastAsia="仿宋_GB2312" w:cs="仿宋_GB2312"/>
          <w:color w:val="auto"/>
          <w:sz w:val="32"/>
          <w:szCs w:val="32"/>
          <w:lang w:eastAsia="zh-CN" w:bidi="ar"/>
        </w:rPr>
        <w:t>；</w:t>
      </w:r>
    </w:p>
    <w:p>
      <w:pPr>
        <w:ind w:firstLine="640" w:firstLineChars="200"/>
        <w:rPr>
          <w:rFonts w:hint="eastAsia" w:ascii="仿宋_GB2312" w:hAnsi="楷体" w:eastAsia="仿宋_GB2312" w:cs="仿宋_GB2312"/>
          <w:color w:val="auto"/>
          <w:sz w:val="32"/>
          <w:szCs w:val="32"/>
          <w:lang w:val="en-US" w:eastAsia="zh-CN" w:bidi="ar"/>
        </w:rPr>
      </w:pPr>
      <w:r>
        <w:rPr>
          <w:rFonts w:hint="eastAsia" w:ascii="仿宋_GB2312" w:hAnsi="楷体" w:eastAsia="仿宋_GB2312" w:cs="仿宋_GB2312"/>
          <w:color w:val="auto"/>
          <w:sz w:val="32"/>
          <w:szCs w:val="32"/>
          <w:lang w:val="en-US" w:eastAsia="zh-CN" w:bidi="ar"/>
        </w:rPr>
        <w:t>（四）</w:t>
      </w:r>
      <w:r>
        <w:rPr>
          <w:rFonts w:hint="eastAsia" w:ascii="仿宋_GB2312" w:eastAsia="仿宋_GB2312"/>
          <w:sz w:val="32"/>
          <w:szCs w:val="32"/>
        </w:rPr>
        <w:t>属当地政府新开发项目、招商引资项目、政府扶持的地方经济发展项目的。</w:t>
      </w:r>
    </w:p>
    <w:p>
      <w:pPr>
        <w:ind w:firstLine="640" w:firstLineChars="200"/>
        <w:rPr>
          <w:rFonts w:hint="eastAsia"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color w:val="auto"/>
          <w:sz w:val="32"/>
          <w:szCs w:val="32"/>
        </w:rPr>
        <w:t>具有下列情形之一</w:t>
      </w:r>
      <w:r>
        <w:rPr>
          <w:rFonts w:hint="eastAsia" w:ascii="仿宋_GB2312" w:eastAsia="仿宋_GB2312"/>
          <w:color w:val="auto"/>
          <w:sz w:val="32"/>
          <w:szCs w:val="32"/>
          <w:lang w:eastAsia="zh-CN"/>
        </w:rPr>
        <w:t>且</w:t>
      </w:r>
      <w:r>
        <w:rPr>
          <w:rFonts w:hint="eastAsia" w:ascii="仿宋_GB2312" w:eastAsia="仿宋_GB2312"/>
          <w:color w:val="auto"/>
          <w:sz w:val="32"/>
          <w:szCs w:val="32"/>
        </w:rPr>
        <w:t>依法在原经营地址重新办理烟草专卖零售许可证的</w:t>
      </w:r>
      <w:r>
        <w:rPr>
          <w:rFonts w:hint="eastAsia" w:ascii="仿宋_GB2312" w:eastAsia="仿宋_GB2312"/>
          <w:color w:val="auto"/>
          <w:sz w:val="32"/>
          <w:szCs w:val="32"/>
          <w:lang w:eastAsia="zh-CN"/>
        </w:rPr>
        <w:t>，</w:t>
      </w:r>
      <w:r>
        <w:rPr>
          <w:rFonts w:hint="eastAsia" w:ascii="仿宋_GB2312" w:eastAsia="仿宋_GB2312"/>
          <w:color w:val="auto"/>
          <w:sz w:val="32"/>
          <w:szCs w:val="32"/>
        </w:rPr>
        <w:t>可不受本规定</w:t>
      </w:r>
      <w:r>
        <w:rPr>
          <w:rFonts w:hint="eastAsia" w:ascii="仿宋_GB2312" w:hAnsi="楷体" w:eastAsia="仿宋_GB2312" w:cs="仿宋_GB2312"/>
          <w:sz w:val="32"/>
          <w:szCs w:val="32"/>
          <w:lang w:bidi="ar"/>
        </w:rPr>
        <w:t>总量指导数</w:t>
      </w:r>
      <w:r>
        <w:rPr>
          <w:rFonts w:hint="eastAsia" w:ascii="仿宋_GB2312" w:eastAsia="仿宋_GB2312"/>
          <w:color w:val="auto"/>
          <w:sz w:val="32"/>
          <w:szCs w:val="32"/>
          <w:lang w:eastAsia="zh-CN"/>
        </w:rPr>
        <w:t>和间距</w:t>
      </w:r>
      <w:r>
        <w:rPr>
          <w:rFonts w:hint="eastAsia" w:ascii="仿宋_GB2312" w:eastAsia="仿宋_GB2312"/>
          <w:color w:val="auto"/>
          <w:sz w:val="32"/>
          <w:szCs w:val="32"/>
        </w:rPr>
        <w:t>的限制</w:t>
      </w:r>
      <w:r>
        <w:rPr>
          <w:rFonts w:hint="eastAsia" w:ascii="仿宋_GB2312" w:eastAsia="仿宋_GB2312"/>
          <w:color w:val="auto"/>
          <w:sz w:val="32"/>
          <w:szCs w:val="32"/>
          <w:lang w:eastAsia="zh-CN"/>
        </w:rPr>
        <w:t>，</w:t>
      </w:r>
      <w:r>
        <w:rPr>
          <w:rFonts w:hint="eastAsia" w:ascii="仿宋_GB2312" w:eastAsia="仿宋_GB2312"/>
          <w:color w:val="auto"/>
          <w:sz w:val="32"/>
          <w:szCs w:val="32"/>
        </w:rPr>
        <w:t>中</w:t>
      </w:r>
      <w:r>
        <w:rPr>
          <w:rFonts w:hint="eastAsia" w:ascii="仿宋_GB2312" w:eastAsia="仿宋_GB2312"/>
          <w:sz w:val="32"/>
          <w:szCs w:val="32"/>
        </w:rPr>
        <w:t>小学、幼儿园</w:t>
      </w:r>
      <w:r>
        <w:rPr>
          <w:rFonts w:hint="eastAsia" w:ascii="仿宋_GB2312" w:eastAsia="仿宋_GB2312"/>
          <w:sz w:val="32"/>
          <w:szCs w:val="32"/>
          <w:lang w:eastAsia="zh-CN"/>
        </w:rPr>
        <w:t>周围间距要求除外</w:t>
      </w:r>
      <w:r>
        <w:rPr>
          <w:rFonts w:hint="eastAsia" w:ascii="仿宋_GB2312" w:eastAsia="仿宋_GB2312"/>
          <w:color w:val="auto"/>
          <w:sz w:val="32"/>
          <w:szCs w:val="32"/>
        </w:rPr>
        <w:t>：</w:t>
      </w:r>
    </w:p>
    <w:p>
      <w:pPr>
        <w:spacing w:line="360" w:lineRule="auto"/>
        <w:ind w:firstLine="640" w:firstLineChars="200"/>
        <w:rPr>
          <w:rFonts w:hint="eastAsia" w:ascii="仿宋_GB2312" w:hAnsi="楷体" w:eastAsia="仿宋_GB2312" w:cs="仿宋_GB2312"/>
          <w:sz w:val="32"/>
          <w:szCs w:val="32"/>
        </w:rPr>
      </w:pPr>
      <w:r>
        <w:rPr>
          <w:rFonts w:hint="eastAsia" w:ascii="仿宋_GB2312" w:hAnsi="楷体" w:eastAsia="仿宋_GB2312" w:cs="仿宋_GB2312"/>
          <w:sz w:val="32"/>
          <w:szCs w:val="32"/>
          <w:lang w:eastAsia="zh-CN" w:bidi="ar"/>
        </w:rPr>
        <w:t>（一）</w:t>
      </w:r>
      <w:r>
        <w:rPr>
          <w:rFonts w:hint="eastAsia" w:ascii="仿宋_GB2312" w:hAnsi="宋体" w:eastAsia="仿宋_GB2312" w:cs="仿宋_GB2312"/>
          <w:color w:val="auto"/>
          <w:sz w:val="32"/>
          <w:szCs w:val="32"/>
          <w:lang w:bidi="ar"/>
        </w:rPr>
        <w:t>烟草专卖零售许可证持证人已经死亡或者丧失民事行为能力</w:t>
      </w:r>
      <w:r>
        <w:rPr>
          <w:rFonts w:hint="eastAsia" w:ascii="仿宋_GB2312" w:hAnsi="宋体" w:eastAsia="仿宋_GB2312" w:cs="仿宋_GB2312"/>
          <w:color w:val="auto"/>
          <w:sz w:val="32"/>
          <w:szCs w:val="32"/>
          <w:lang w:val="en-US" w:eastAsia="zh-CN" w:bidi="ar"/>
        </w:rPr>
        <w:t>3个月内</w:t>
      </w:r>
      <w:r>
        <w:rPr>
          <w:rFonts w:hint="eastAsia" w:ascii="仿宋_GB2312" w:hAnsi="宋体" w:eastAsia="仿宋_GB2312" w:cs="仿宋_GB2312"/>
          <w:color w:val="auto"/>
          <w:sz w:val="32"/>
          <w:szCs w:val="32"/>
          <w:lang w:bidi="ar"/>
        </w:rPr>
        <w:t>，其配偶、父母或者子女向</w:t>
      </w:r>
      <w:r>
        <w:rPr>
          <w:rFonts w:hint="eastAsia" w:ascii="仿宋_GB2312" w:hAnsi="楷体" w:eastAsia="仿宋_GB2312" w:cs="仿宋_GB2312"/>
          <w:color w:val="auto"/>
          <w:sz w:val="32"/>
          <w:szCs w:val="32"/>
          <w:lang w:bidi="ar"/>
        </w:rPr>
        <w:t>原</w:t>
      </w:r>
      <w:r>
        <w:rPr>
          <w:rFonts w:hint="eastAsia" w:ascii="仿宋_GB2312" w:eastAsia="仿宋_GB2312"/>
          <w:sz w:val="32"/>
          <w:szCs w:val="32"/>
          <w:lang w:val="en-US" w:eastAsia="zh-CN"/>
        </w:rPr>
        <w:t>烟草专卖零售许可证</w:t>
      </w:r>
      <w:r>
        <w:rPr>
          <w:rFonts w:hint="eastAsia" w:ascii="仿宋_GB2312" w:hAnsi="楷体" w:eastAsia="仿宋_GB2312" w:cs="仿宋_GB2312"/>
          <w:color w:val="auto"/>
          <w:sz w:val="32"/>
          <w:szCs w:val="32"/>
          <w:lang w:bidi="ar"/>
        </w:rPr>
        <w:t>发证机关</w:t>
      </w:r>
      <w:r>
        <w:rPr>
          <w:rFonts w:hint="eastAsia" w:ascii="仿宋_GB2312" w:hAnsi="宋体" w:eastAsia="仿宋_GB2312" w:cs="仿宋_GB2312"/>
          <w:color w:val="auto"/>
          <w:sz w:val="32"/>
          <w:szCs w:val="32"/>
          <w:lang w:bidi="ar"/>
        </w:rPr>
        <w:t>提供相关证明材料的</w:t>
      </w:r>
      <w:r>
        <w:rPr>
          <w:rFonts w:hint="eastAsia" w:ascii="仿宋_GB2312" w:hAnsi="宋体" w:eastAsia="仿宋_GB2312" w:cs="仿宋_GB2312"/>
          <w:color w:val="auto"/>
          <w:sz w:val="32"/>
          <w:szCs w:val="32"/>
          <w:lang w:eastAsia="zh-CN" w:bidi="ar"/>
        </w:rPr>
        <w:t>；</w:t>
      </w:r>
    </w:p>
    <w:p>
      <w:pPr>
        <w:spacing w:line="360" w:lineRule="auto"/>
        <w:ind w:firstLine="640" w:firstLineChars="200"/>
        <w:rPr>
          <w:rFonts w:hint="eastAsia" w:ascii="仿宋_GB2312" w:hAnsi="楷体" w:eastAsia="仿宋_GB2312" w:cs="仿宋_GB2312"/>
          <w:sz w:val="32"/>
          <w:szCs w:val="32"/>
          <w:lang w:eastAsia="zh-CN" w:bidi="ar"/>
        </w:rPr>
      </w:pPr>
      <w:r>
        <w:rPr>
          <w:rFonts w:hint="eastAsia" w:ascii="仿宋_GB2312" w:hAnsi="楷体" w:eastAsia="仿宋_GB2312" w:cs="仿宋_GB2312"/>
          <w:sz w:val="32"/>
          <w:szCs w:val="32"/>
          <w:lang w:eastAsia="zh-CN" w:bidi="ar"/>
        </w:rPr>
        <w:t>（二）</w:t>
      </w:r>
      <w:r>
        <w:rPr>
          <w:rFonts w:hint="eastAsia" w:ascii="仿宋_GB2312" w:eastAsia="仿宋_GB2312"/>
          <w:color w:val="auto"/>
          <w:sz w:val="32"/>
          <w:szCs w:val="32"/>
        </w:rPr>
        <w:t>中小学、幼儿园</w:t>
      </w:r>
      <w:r>
        <w:rPr>
          <w:rFonts w:hint="eastAsia" w:ascii="仿宋_GB2312" w:eastAsia="仿宋_GB2312"/>
          <w:color w:val="auto"/>
          <w:sz w:val="32"/>
          <w:szCs w:val="32"/>
          <w:lang w:eastAsia="zh-CN"/>
        </w:rPr>
        <w:t>周围守法经营</w:t>
      </w:r>
      <w:r>
        <w:rPr>
          <w:rFonts w:hint="eastAsia" w:ascii="仿宋_GB2312" w:eastAsia="仿宋_GB2312"/>
          <w:color w:val="auto"/>
          <w:sz w:val="32"/>
          <w:szCs w:val="32"/>
        </w:rPr>
        <w:t>持证零售户，原烟草专卖零售许</w:t>
      </w:r>
      <w:r>
        <w:rPr>
          <w:rFonts w:hint="eastAsia" w:ascii="仿宋_GB2312" w:eastAsia="仿宋_GB2312"/>
          <w:sz w:val="32"/>
          <w:szCs w:val="32"/>
        </w:rPr>
        <w:t>可证因间距原因办理歇业或注销后，该中小学、幼儿园搬迁或转向经营</w:t>
      </w:r>
      <w:r>
        <w:rPr>
          <w:rFonts w:hint="eastAsia" w:ascii="仿宋_GB2312" w:eastAsia="仿宋_GB2312"/>
          <w:sz w:val="32"/>
          <w:szCs w:val="32"/>
          <w:lang w:val="en-US" w:eastAsia="zh-CN"/>
        </w:rPr>
        <w:t>且该零售户未受本规定第十一条第（二）项照顾的。</w:t>
      </w:r>
      <w:r>
        <w:rPr>
          <w:rFonts w:hint="eastAsia" w:ascii="黑体" w:hAnsi="黑体" w:eastAsia="黑体"/>
          <w:sz w:val="32"/>
          <w:szCs w:val="32"/>
          <w:lang w:val="en-US" w:eastAsia="zh-CN"/>
        </w:rPr>
        <w:t xml:space="preserve">    </w:t>
      </w:r>
    </w:p>
    <w:p>
      <w:pPr>
        <w:ind w:firstLine="640" w:firstLineChars="200"/>
        <w:rPr>
          <w:rFonts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sz w:val="32"/>
          <w:szCs w:val="32"/>
        </w:rPr>
        <w:t xml:space="preserve">  具有下列情形之一的，不予设置零售点：</w:t>
      </w:r>
    </w:p>
    <w:p>
      <w:pPr>
        <w:ind w:firstLine="642" w:firstLineChars="200"/>
        <w:rPr>
          <w:rFonts w:ascii="楷体" w:hAnsi="楷体" w:eastAsia="楷体"/>
          <w:b/>
          <w:sz w:val="32"/>
          <w:szCs w:val="32"/>
        </w:rPr>
      </w:pPr>
      <w:r>
        <w:rPr>
          <w:rFonts w:hint="eastAsia" w:ascii="楷体" w:hAnsi="楷体" w:eastAsia="楷体"/>
          <w:b/>
          <w:sz w:val="32"/>
          <w:szCs w:val="32"/>
        </w:rPr>
        <w:t>（一）申请主体资格方面</w:t>
      </w:r>
    </w:p>
    <w:p>
      <w:pPr>
        <w:ind w:firstLine="640" w:firstLineChars="200"/>
        <w:rPr>
          <w:rFonts w:ascii="仿宋_GB2312" w:eastAsia="仿宋_GB2312"/>
          <w:sz w:val="32"/>
          <w:szCs w:val="32"/>
        </w:rPr>
      </w:pPr>
      <w:r>
        <w:rPr>
          <w:rFonts w:hint="eastAsia" w:ascii="仿宋_GB2312" w:eastAsia="仿宋_GB2312"/>
          <w:sz w:val="32"/>
          <w:szCs w:val="32"/>
        </w:rPr>
        <w:t>1.申请人为未成年人、限制民事行为能力人及无民事行为能力人的；</w:t>
      </w:r>
    </w:p>
    <w:p>
      <w:pPr>
        <w:ind w:firstLine="640" w:firstLineChars="200"/>
        <w:rPr>
          <w:rFonts w:ascii="仿宋_GB2312" w:eastAsia="仿宋_GB2312"/>
          <w:sz w:val="32"/>
          <w:szCs w:val="32"/>
        </w:rPr>
      </w:pPr>
      <w:r>
        <w:rPr>
          <w:rFonts w:hint="eastAsia" w:ascii="仿宋_GB2312" w:eastAsia="仿宋_GB2312"/>
          <w:sz w:val="32"/>
          <w:szCs w:val="32"/>
        </w:rPr>
        <w:t>2.取消从事烟草专卖业务资格不满三年的；</w:t>
      </w:r>
    </w:p>
    <w:p>
      <w:pPr>
        <w:ind w:firstLine="640" w:firstLineChars="200"/>
        <w:rPr>
          <w:rFonts w:ascii="仿宋_GB2312" w:eastAsia="仿宋_GB2312"/>
          <w:sz w:val="32"/>
          <w:szCs w:val="32"/>
        </w:rPr>
      </w:pPr>
      <w:r>
        <w:rPr>
          <w:rFonts w:hint="eastAsia" w:ascii="仿宋_GB2312" w:eastAsia="仿宋_GB2312"/>
          <w:sz w:val="32"/>
          <w:szCs w:val="32"/>
        </w:rPr>
        <w:t>3.因申请人隐瞒有关情况或者提供虚假材料，</w:t>
      </w:r>
      <w:r>
        <w:rPr>
          <w:rFonts w:hint="eastAsia" w:ascii="仿宋_GB2312" w:eastAsia="仿宋_GB2312"/>
          <w:sz w:val="32"/>
          <w:szCs w:val="32"/>
          <w:lang w:val="en-US" w:eastAsia="zh-CN"/>
        </w:rPr>
        <w:t>烟草专卖零售许可证发证机关</w:t>
      </w:r>
      <w:r>
        <w:rPr>
          <w:rFonts w:hint="eastAsia" w:ascii="仿宋_GB2312" w:eastAsia="仿宋_GB2312"/>
          <w:sz w:val="32"/>
          <w:szCs w:val="32"/>
        </w:rPr>
        <w:t>作出不予受理或者不予发证决定后，申请人一年内再次提出申请的；</w:t>
      </w:r>
    </w:p>
    <w:p>
      <w:pPr>
        <w:ind w:firstLine="640" w:firstLineChars="200"/>
        <w:rPr>
          <w:rFonts w:ascii="仿宋_GB2312" w:eastAsia="仿宋_GB2312"/>
          <w:sz w:val="32"/>
          <w:szCs w:val="32"/>
        </w:rPr>
      </w:pPr>
      <w:r>
        <w:rPr>
          <w:rFonts w:hint="eastAsia" w:ascii="仿宋_GB2312" w:eastAsia="仿宋_GB2312"/>
          <w:sz w:val="32"/>
          <w:szCs w:val="32"/>
        </w:rPr>
        <w:t>4.因申请人以欺骗、贿赂等不正当手段取得的烟草专卖许可证被撤销后，申请人三年内再次提出申请的；</w:t>
      </w:r>
    </w:p>
    <w:p>
      <w:pPr>
        <w:ind w:firstLine="640" w:firstLineChars="200"/>
        <w:rPr>
          <w:rFonts w:ascii="仿宋_GB2312" w:eastAsia="仿宋_GB2312"/>
          <w:sz w:val="32"/>
          <w:szCs w:val="32"/>
        </w:rPr>
      </w:pPr>
      <w:r>
        <w:rPr>
          <w:rFonts w:hint="eastAsia" w:ascii="仿宋_GB2312" w:eastAsia="仿宋_GB2312"/>
          <w:sz w:val="32"/>
          <w:szCs w:val="32"/>
        </w:rPr>
        <w:t>5.未领取烟草专卖零售许可证经营烟草专卖品业务，并且一年内被执法机关处罚两次以上，在三年内申请烟草专卖零售许可证的；</w:t>
      </w:r>
    </w:p>
    <w:p>
      <w:pPr>
        <w:ind w:firstLine="640" w:firstLineChars="200"/>
        <w:rPr>
          <w:rFonts w:ascii="仿宋_GB2312" w:eastAsia="仿宋_GB2312"/>
          <w:sz w:val="32"/>
          <w:szCs w:val="32"/>
        </w:rPr>
      </w:pPr>
      <w:r>
        <w:rPr>
          <w:rFonts w:hint="eastAsia" w:ascii="仿宋_GB2312" w:eastAsia="仿宋_GB2312"/>
          <w:sz w:val="32"/>
          <w:szCs w:val="32"/>
        </w:rPr>
        <w:t>6.未领取烟草专卖零售许可证经营烟草专卖品业务被追究刑事责任，在三年内申请领取烟草专卖零售许可证的；</w:t>
      </w:r>
    </w:p>
    <w:p>
      <w:pPr>
        <w:ind w:firstLine="640" w:firstLineChars="200"/>
        <w:rPr>
          <w:rFonts w:ascii="仿宋_GB2312" w:eastAsia="仿宋_GB2312"/>
          <w:sz w:val="32"/>
          <w:szCs w:val="32"/>
        </w:rPr>
      </w:pPr>
      <w:r>
        <w:rPr>
          <w:rFonts w:hint="eastAsia" w:ascii="仿宋_GB2312" w:eastAsia="仿宋_GB2312"/>
          <w:sz w:val="32"/>
          <w:szCs w:val="32"/>
        </w:rPr>
        <w:t>7.未领取营业执照的；</w:t>
      </w:r>
    </w:p>
    <w:p>
      <w:pPr>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8.</w:t>
      </w:r>
      <w:r>
        <w:rPr>
          <w:rFonts w:hint="eastAsia" w:ascii="仿宋_GB2312" w:eastAsia="仿宋_GB2312"/>
          <w:color w:val="auto"/>
          <w:sz w:val="32"/>
          <w:szCs w:val="32"/>
        </w:rPr>
        <w:t>外商投资的商业企业或者个体工商户，或者其以特许、吸纳加盟店以及其他再投资等形式变相从事烟草专卖品经营的</w:t>
      </w:r>
      <w:r>
        <w:rPr>
          <w:rFonts w:hint="eastAsia" w:ascii="仿宋_GB2312" w:eastAsia="仿宋_GB2312"/>
          <w:color w:val="auto"/>
          <w:sz w:val="32"/>
          <w:szCs w:val="32"/>
          <w:lang w:eastAsia="zh-CN"/>
        </w:rPr>
        <w:t>。</w:t>
      </w:r>
    </w:p>
    <w:p>
      <w:pPr>
        <w:ind w:firstLine="642" w:firstLineChars="200"/>
        <w:rPr>
          <w:rFonts w:ascii="楷体" w:hAnsi="楷体" w:eastAsia="楷体"/>
          <w:b/>
          <w:sz w:val="32"/>
          <w:szCs w:val="32"/>
        </w:rPr>
      </w:pPr>
      <w:r>
        <w:rPr>
          <w:rFonts w:hint="eastAsia" w:ascii="楷体" w:hAnsi="楷体" w:eastAsia="楷体"/>
          <w:b/>
          <w:sz w:val="32"/>
          <w:szCs w:val="32"/>
        </w:rPr>
        <w:t>（二）经营场所方面</w:t>
      </w:r>
    </w:p>
    <w:p>
      <w:pPr>
        <w:ind w:firstLine="640" w:firstLineChars="200"/>
        <w:rPr>
          <w:rFonts w:ascii="仿宋_GB2312" w:eastAsia="仿宋_GB2312"/>
          <w:sz w:val="32"/>
          <w:szCs w:val="32"/>
        </w:rPr>
      </w:pPr>
      <w:r>
        <w:rPr>
          <w:rFonts w:hint="eastAsia" w:ascii="仿宋_GB2312" w:eastAsia="仿宋_GB2312"/>
          <w:sz w:val="32"/>
          <w:szCs w:val="32"/>
        </w:rPr>
        <w:t>1.无固定经营场所的；</w:t>
      </w:r>
    </w:p>
    <w:p>
      <w:pPr>
        <w:ind w:firstLine="640" w:firstLineChars="200"/>
        <w:rPr>
          <w:rFonts w:ascii="仿宋_GB2312" w:eastAsia="仿宋_GB2312"/>
          <w:sz w:val="32"/>
          <w:szCs w:val="32"/>
        </w:rPr>
      </w:pPr>
      <w:r>
        <w:rPr>
          <w:rFonts w:hint="eastAsia" w:ascii="仿宋_GB2312" w:eastAsia="仿宋_GB2312"/>
          <w:sz w:val="32"/>
          <w:szCs w:val="32"/>
        </w:rPr>
        <w:t>2.经营场所与住所不相独立的；</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3.经营场所基于安全因素不适宜经营烟草制品的；</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4.</w:t>
      </w:r>
      <w:r>
        <w:rPr>
          <w:rFonts w:hint="eastAsia" w:ascii="仿宋_GB2312" w:hAnsi="楷体" w:eastAsia="仿宋_GB2312" w:cs="仿宋_GB2312"/>
          <w:sz w:val="32"/>
          <w:szCs w:val="32"/>
          <w:lang w:bidi="ar"/>
        </w:rPr>
        <w:t>生产、经营、存储有毒有害、易挥发类等易造成烟草制品吸食安全隐患的经营场所</w:t>
      </w:r>
      <w:r>
        <w:rPr>
          <w:rFonts w:hint="eastAsia" w:ascii="仿宋_GB2312" w:hAnsi="楷体" w:eastAsia="仿宋_GB2312" w:cs="仿宋_GB2312"/>
          <w:sz w:val="32"/>
          <w:szCs w:val="32"/>
          <w:lang w:eastAsia="zh-CN" w:bidi="ar"/>
        </w:rPr>
        <w:t>；</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hAnsi="楷体" w:eastAsia="仿宋_GB2312" w:cs="仿宋_GB2312"/>
          <w:sz w:val="32"/>
          <w:szCs w:val="32"/>
          <w:lang w:bidi="ar"/>
        </w:rPr>
        <w:t>人员聚集的重点防火场所以及易造成生产安全隐患的经营场所</w:t>
      </w:r>
      <w:r>
        <w:rPr>
          <w:rFonts w:hint="eastAsia" w:ascii="仿宋_GB2312" w:hAnsi="楷体" w:eastAsia="仿宋_GB2312" w:cs="仿宋_GB2312"/>
          <w:sz w:val="32"/>
          <w:szCs w:val="32"/>
          <w:lang w:eastAsia="zh-CN" w:bidi="ar"/>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同一经营场所已经办理了烟草专卖零售许可证且该许可证还在有效期内的；</w:t>
      </w:r>
    </w:p>
    <w:p>
      <w:pPr>
        <w:spacing w:line="360" w:lineRule="auto"/>
        <w:ind w:firstLine="640" w:firstLineChars="200"/>
        <w:rPr>
          <w:rFonts w:hint="eastAsia" w:ascii="仿宋_GB2312" w:eastAsia="仿宋_GB2312"/>
          <w:color w:val="auto"/>
          <w:sz w:val="32"/>
          <w:szCs w:val="32"/>
        </w:rPr>
      </w:pPr>
      <w:r>
        <w:rPr>
          <w:rFonts w:hint="eastAsia" w:ascii="仿宋_GB2312" w:hAnsi="楷体" w:eastAsia="仿宋_GB2312" w:cs="仿宋_GB2312"/>
          <w:color w:val="auto"/>
          <w:sz w:val="32"/>
          <w:szCs w:val="32"/>
          <w:lang w:val="en-US" w:eastAsia="zh-CN" w:bidi="ar"/>
        </w:rPr>
        <w:t>7.</w:t>
      </w:r>
      <w:r>
        <w:rPr>
          <w:rFonts w:hint="eastAsia" w:ascii="仿宋_GB2312" w:hAnsi="楷体" w:eastAsia="仿宋_GB2312" w:cs="仿宋_GB2312"/>
          <w:color w:val="auto"/>
          <w:sz w:val="32"/>
          <w:szCs w:val="32"/>
          <w:lang w:bidi="ar"/>
        </w:rPr>
        <w:t>未成年人活动聚集场所及其附属设施内部以及容易诱导未成年人关注、购买、吸食烟草制品的场所内部</w:t>
      </w:r>
      <w:r>
        <w:rPr>
          <w:rFonts w:hint="eastAsia" w:ascii="仿宋_GB2312" w:eastAsia="仿宋_GB2312"/>
          <w:color w:val="auto"/>
          <w:sz w:val="32"/>
          <w:szCs w:val="32"/>
        </w:rPr>
        <w:t>；</w:t>
      </w:r>
    </w:p>
    <w:p>
      <w:pPr>
        <w:ind w:firstLine="640" w:firstLineChars="200"/>
        <w:rPr>
          <w:rFonts w:hint="eastAsia" w:ascii="仿宋_GB2312" w:eastAsia="仿宋_GB2312"/>
          <w:color w:val="FF0000"/>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w:t>
      </w:r>
      <w:r>
        <w:rPr>
          <w:rFonts w:hint="eastAsia" w:ascii="仿宋_GB2312" w:eastAsia="仿宋_GB2312"/>
          <w:sz w:val="32"/>
          <w:szCs w:val="32"/>
        </w:rPr>
        <w:t>不能有效识别未成年人,无有效措施限制未成年人购买烟草制品的无人超市、无人商店。</w:t>
      </w:r>
    </w:p>
    <w:p>
      <w:pPr>
        <w:ind w:firstLine="642" w:firstLineChars="200"/>
        <w:rPr>
          <w:rFonts w:ascii="楷体" w:hAnsi="楷体" w:eastAsia="楷体"/>
          <w:b/>
          <w:sz w:val="32"/>
          <w:szCs w:val="32"/>
        </w:rPr>
      </w:pPr>
      <w:r>
        <w:rPr>
          <w:rFonts w:hint="eastAsia" w:ascii="楷体" w:hAnsi="楷体" w:eastAsia="楷体"/>
          <w:b/>
          <w:sz w:val="32"/>
          <w:szCs w:val="32"/>
        </w:rPr>
        <w:t>（三）经营模式方面</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1.利用自动售货机或者其他</w:t>
      </w:r>
      <w:r>
        <w:rPr>
          <w:rFonts w:hint="eastAsia" w:ascii="仿宋_GB2312" w:eastAsia="仿宋_GB2312"/>
          <w:color w:val="auto"/>
          <w:sz w:val="32"/>
          <w:szCs w:val="32"/>
          <w:lang w:eastAsia="zh-CN"/>
        </w:rPr>
        <w:t>自动</w:t>
      </w:r>
      <w:r>
        <w:rPr>
          <w:rFonts w:hint="eastAsia" w:ascii="仿宋_GB2312" w:eastAsia="仿宋_GB2312"/>
          <w:color w:val="auto"/>
          <w:sz w:val="32"/>
          <w:szCs w:val="32"/>
        </w:rPr>
        <w:t>售货形式</w:t>
      </w:r>
      <w:r>
        <w:rPr>
          <w:rFonts w:hint="eastAsia" w:ascii="仿宋_GB2312" w:eastAsia="仿宋_GB2312"/>
          <w:color w:val="auto"/>
          <w:sz w:val="32"/>
          <w:szCs w:val="32"/>
          <w:lang w:eastAsia="zh-CN"/>
        </w:rPr>
        <w:t>，</w:t>
      </w:r>
      <w:r>
        <w:rPr>
          <w:rFonts w:hint="eastAsia" w:ascii="仿宋_GB2312" w:eastAsia="仿宋_GB2312"/>
          <w:color w:val="auto"/>
          <w:sz w:val="32"/>
          <w:szCs w:val="32"/>
        </w:rPr>
        <w:t>销售或者变相销售烟草制品的；</w:t>
      </w:r>
    </w:p>
    <w:p>
      <w:pPr>
        <w:ind w:firstLine="640" w:firstLineChars="200"/>
        <w:rPr>
          <w:rFonts w:ascii="仿宋_GB2312" w:eastAsia="仿宋_GB2312"/>
          <w:sz w:val="32"/>
          <w:szCs w:val="32"/>
        </w:rPr>
      </w:pPr>
      <w:r>
        <w:rPr>
          <w:rFonts w:hint="eastAsia" w:ascii="仿宋_GB2312" w:eastAsia="仿宋_GB2312"/>
          <w:sz w:val="32"/>
          <w:szCs w:val="32"/>
        </w:rPr>
        <w:t>2.利用信息网络渠道销售烟草</w:t>
      </w:r>
      <w:r>
        <w:rPr>
          <w:rFonts w:hint="eastAsia" w:ascii="仿宋_GB2312" w:eastAsia="仿宋_GB2312"/>
          <w:sz w:val="32"/>
          <w:szCs w:val="32"/>
          <w:lang w:eastAsia="zh-CN"/>
        </w:rPr>
        <w:t>专卖品</w:t>
      </w:r>
      <w:r>
        <w:rPr>
          <w:rFonts w:hint="eastAsia" w:ascii="仿宋_GB2312" w:eastAsia="仿宋_GB2312"/>
          <w:sz w:val="32"/>
          <w:szCs w:val="32"/>
        </w:rPr>
        <w:t>的。</w:t>
      </w:r>
    </w:p>
    <w:p>
      <w:pPr>
        <w:ind w:firstLine="642" w:firstLineChars="200"/>
        <w:rPr>
          <w:rFonts w:ascii="楷体" w:hAnsi="楷体" w:eastAsia="楷体"/>
          <w:b/>
          <w:sz w:val="32"/>
          <w:szCs w:val="32"/>
        </w:rPr>
      </w:pPr>
      <w:r>
        <w:rPr>
          <w:rFonts w:hint="eastAsia" w:ascii="楷体" w:hAnsi="楷体" w:eastAsia="楷体"/>
          <w:b/>
          <w:sz w:val="32"/>
          <w:szCs w:val="32"/>
        </w:rPr>
        <w:t>（四）特殊区域方面</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楷体" w:eastAsia="仿宋_GB2312" w:cs="仿宋_GB2312"/>
          <w:sz w:val="32"/>
          <w:szCs w:val="32"/>
          <w:lang w:bidi="ar"/>
        </w:rPr>
        <w:t>位于党政机关、医院内部的</w:t>
      </w:r>
      <w:r>
        <w:rPr>
          <w:rFonts w:hint="eastAsia" w:ascii="仿宋_GB2312" w:eastAsia="仿宋_GB2312"/>
          <w:sz w:val="32"/>
          <w:szCs w:val="32"/>
        </w:rPr>
        <w:t>；</w:t>
      </w:r>
    </w:p>
    <w:p>
      <w:pPr>
        <w:ind w:firstLine="640" w:firstLineChars="200"/>
        <w:rPr>
          <w:rFonts w:ascii="黑体" w:hAnsi="黑体" w:eastAsia="黑体"/>
          <w:sz w:val="32"/>
          <w:szCs w:val="32"/>
        </w:rPr>
      </w:pPr>
      <w:r>
        <w:rPr>
          <w:rFonts w:hint="eastAsia" w:ascii="仿宋_GB2312" w:eastAsia="仿宋_GB2312"/>
          <w:sz w:val="32"/>
          <w:szCs w:val="32"/>
        </w:rPr>
        <w:t>2.政府或相关部门（单位）明令禁止经营卷烟类商品的区域。</w:t>
      </w:r>
    </w:p>
    <w:p>
      <w:pPr>
        <w:ind w:firstLine="640" w:firstLineChars="200"/>
        <w:rPr>
          <w:rFonts w:hint="eastAsia" w:ascii="仿宋_GB2312" w:eastAsia="仿宋_GB2312"/>
          <w:color w:val="auto"/>
          <w:sz w:val="32"/>
          <w:szCs w:val="32"/>
        </w:rPr>
      </w:pPr>
      <w:r>
        <w:rPr>
          <w:rFonts w:hint="eastAsia" w:ascii="黑体" w:hAnsi="黑体" w:eastAsia="黑体"/>
          <w:sz w:val="32"/>
          <w:szCs w:val="32"/>
        </w:rPr>
        <w:t>第十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color w:val="auto"/>
          <w:sz w:val="32"/>
          <w:szCs w:val="32"/>
        </w:rPr>
        <w:t>本规定中“固定经营场所”</w:t>
      </w:r>
      <w:r>
        <w:rPr>
          <w:rFonts w:hint="eastAsia" w:ascii="仿宋_GB2312" w:hAnsi="楷体" w:eastAsia="仿宋_GB2312" w:cs="仿宋_GB2312"/>
          <w:sz w:val="32"/>
          <w:szCs w:val="32"/>
          <w:lang w:bidi="ar"/>
        </w:rPr>
        <w:t>是指用于商品销售、存储的不可移动且合法使用的场所，不包括流动摊点（车、棚）、违章建筑、临时建筑物（建筑工地除外）等。</w:t>
      </w:r>
    </w:p>
    <w:p>
      <w:pPr>
        <w:numPr>
          <w:ilvl w:val="0"/>
          <w:numId w:val="0"/>
        </w:numPr>
        <w:ind w:firstLine="640" w:firstLineChars="200"/>
        <w:rPr>
          <w:rFonts w:hint="eastAsia" w:ascii="仿宋_GB2312" w:eastAsia="仿宋_GB2312"/>
          <w:sz w:val="32"/>
          <w:szCs w:val="32"/>
        </w:rPr>
      </w:pPr>
      <w:r>
        <w:rPr>
          <w:rFonts w:hint="eastAsia" w:ascii="国标黑体" w:hAnsi="国标黑体" w:eastAsia="国标黑体" w:cs="国标黑体"/>
          <w:sz w:val="32"/>
          <w:szCs w:val="32"/>
          <w:lang w:eastAsia="zh-CN"/>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rPr>
        <w:t>本规定中“与住所相独立”是指经营场所与生活区域相独立，可对消费者</w:t>
      </w:r>
      <w:r>
        <w:rPr>
          <w:rFonts w:hint="eastAsia" w:ascii="仿宋_GB2312" w:eastAsia="仿宋_GB2312"/>
          <w:sz w:val="32"/>
          <w:szCs w:val="32"/>
          <w:lang w:val="en-US" w:eastAsia="zh-CN"/>
        </w:rPr>
        <w:t>完</w:t>
      </w:r>
      <w:r>
        <w:rPr>
          <w:rFonts w:hint="eastAsia" w:ascii="仿宋_GB2312" w:eastAsia="仿宋_GB2312"/>
          <w:sz w:val="32"/>
          <w:szCs w:val="32"/>
        </w:rPr>
        <w:t>全开放（店面处于完全开放状态，消费者和行政</w:t>
      </w:r>
      <w:r>
        <w:rPr>
          <w:rFonts w:hint="eastAsia" w:ascii="仿宋_GB2312" w:eastAsia="仿宋_GB2312"/>
          <w:sz w:val="32"/>
          <w:szCs w:val="32"/>
          <w:lang w:val="en-US" w:eastAsia="zh-CN"/>
        </w:rPr>
        <w:t>管理</w:t>
      </w:r>
      <w:r>
        <w:rPr>
          <w:rFonts w:hint="eastAsia" w:ascii="仿宋_GB2312" w:eastAsia="仿宋_GB2312"/>
          <w:sz w:val="32"/>
          <w:szCs w:val="32"/>
        </w:rPr>
        <w:t>部门不受限进出）。</w:t>
      </w:r>
    </w:p>
    <w:p>
      <w:pPr>
        <w:ind w:firstLine="640" w:firstLineChars="200"/>
        <w:rPr>
          <w:rFonts w:hint="eastAsia" w:ascii="仿宋_GB2312" w:eastAsia="仿宋_GB2312"/>
          <w:sz w:val="32"/>
          <w:szCs w:val="32"/>
          <w:lang w:eastAsia="zh-CN"/>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六</w:t>
      </w:r>
      <w:r>
        <w:rPr>
          <w:rFonts w:hint="eastAsia" w:ascii="黑体" w:hAnsi="黑体" w:eastAsia="黑体"/>
          <w:color w:val="auto"/>
          <w:sz w:val="32"/>
          <w:szCs w:val="32"/>
        </w:rPr>
        <w:t>条</w:t>
      </w:r>
      <w:r>
        <w:rPr>
          <w:rFonts w:hint="eastAsia" w:ascii="仿宋_GB2312" w:eastAsia="仿宋_GB2312"/>
          <w:sz w:val="32"/>
          <w:szCs w:val="32"/>
        </w:rPr>
        <w:t xml:space="preserve">  </w:t>
      </w:r>
      <w:r>
        <w:rPr>
          <w:rFonts w:hint="eastAsia" w:ascii="仿宋_GB2312" w:eastAsia="仿宋_GB2312"/>
          <w:color w:val="auto"/>
          <w:sz w:val="32"/>
          <w:szCs w:val="32"/>
        </w:rPr>
        <w:t>本规定中</w:t>
      </w:r>
      <w:r>
        <w:rPr>
          <w:rFonts w:hint="eastAsia" w:ascii="仿宋_GB2312" w:eastAsia="仿宋_GB2312"/>
          <w:color w:val="auto"/>
          <w:sz w:val="32"/>
          <w:szCs w:val="32"/>
          <w:lang w:eastAsia="zh-CN"/>
        </w:rPr>
        <w:t>“</w:t>
      </w:r>
      <w:r>
        <w:rPr>
          <w:rFonts w:hint="eastAsia" w:ascii="仿宋_GB2312" w:hAnsi="楷体" w:eastAsia="仿宋_GB2312" w:cs="仿宋_GB2312"/>
          <w:sz w:val="32"/>
          <w:szCs w:val="32"/>
          <w:lang w:bidi="ar"/>
        </w:rPr>
        <w:t>生产、经营、存储有毒有害、易挥发类等易造成烟草制品吸食安全隐患的经营场所</w:t>
      </w:r>
      <w:r>
        <w:rPr>
          <w:rFonts w:hint="eastAsia" w:ascii="仿宋_GB2312" w:eastAsia="仿宋_GB2312"/>
          <w:color w:val="auto"/>
          <w:sz w:val="32"/>
          <w:szCs w:val="32"/>
          <w:lang w:eastAsia="zh-CN"/>
        </w:rPr>
        <w:t>”</w:t>
      </w:r>
      <w:r>
        <w:rPr>
          <w:rFonts w:hint="eastAsia" w:ascii="仿宋_GB2312" w:hAnsi="楷体" w:eastAsia="仿宋_GB2312" w:cs="仿宋_GB2312"/>
          <w:sz w:val="32"/>
          <w:szCs w:val="32"/>
          <w:lang w:bidi="ar"/>
        </w:rPr>
        <w:t>包括但不限于主营业务为化学制剂、农药化肥、油漆、医药卫生、五金交电、机耕农具、祭祀用品、废品回收、美容美发、修理修配、汽车服务、生鲜肉品、水产畜牧、兽医饲料、宠物商店、宗教用品</w:t>
      </w:r>
      <w:r>
        <w:rPr>
          <w:rFonts w:hint="eastAsia" w:ascii="仿宋_GB2312" w:hAnsi="楷体" w:eastAsia="仿宋_GB2312" w:cs="仿宋_GB2312"/>
          <w:color w:val="auto"/>
          <w:sz w:val="32"/>
          <w:szCs w:val="32"/>
          <w:lang w:bidi="ar"/>
        </w:rPr>
        <w:t>等</w:t>
      </w:r>
      <w:r>
        <w:rPr>
          <w:rFonts w:hint="eastAsia" w:ascii="仿宋_GB2312" w:hAnsi="楷体" w:eastAsia="仿宋_GB2312" w:cs="仿宋_GB2312"/>
          <w:color w:val="auto"/>
          <w:sz w:val="32"/>
          <w:szCs w:val="32"/>
          <w:lang w:eastAsia="zh-CN" w:bidi="ar"/>
        </w:rPr>
        <w:t>。</w:t>
      </w:r>
    </w:p>
    <w:p>
      <w:pPr>
        <w:ind w:firstLine="640" w:firstLineChars="200"/>
        <w:rPr>
          <w:rFonts w:hint="eastAsia"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七</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color w:val="auto"/>
          <w:sz w:val="32"/>
          <w:szCs w:val="32"/>
        </w:rPr>
        <w:t>本规定中</w:t>
      </w:r>
      <w:r>
        <w:rPr>
          <w:rFonts w:hint="eastAsia" w:ascii="仿宋_GB2312" w:eastAsia="仿宋_GB2312"/>
          <w:color w:val="auto"/>
          <w:sz w:val="32"/>
          <w:szCs w:val="32"/>
          <w:lang w:eastAsia="zh-CN"/>
        </w:rPr>
        <w:t>“</w:t>
      </w:r>
      <w:r>
        <w:rPr>
          <w:rFonts w:hint="eastAsia" w:ascii="仿宋_GB2312" w:hAnsi="楷体" w:eastAsia="仿宋_GB2312" w:cs="仿宋_GB2312"/>
          <w:sz w:val="32"/>
          <w:szCs w:val="32"/>
          <w:lang w:bidi="ar"/>
        </w:rPr>
        <w:t>人员聚集的重点防火场所以及易造成生产安全隐患的经营场所</w:t>
      </w:r>
      <w:r>
        <w:rPr>
          <w:rFonts w:hint="eastAsia" w:ascii="仿宋_GB2312" w:eastAsia="仿宋_GB2312"/>
          <w:color w:val="auto"/>
          <w:sz w:val="32"/>
          <w:szCs w:val="32"/>
          <w:lang w:eastAsia="zh-CN"/>
        </w:rPr>
        <w:t>”</w:t>
      </w:r>
      <w:r>
        <w:rPr>
          <w:rFonts w:hint="eastAsia" w:ascii="仿宋_GB2312" w:hAnsi="楷体" w:eastAsia="仿宋_GB2312" w:cs="仿宋_GB2312"/>
          <w:sz w:val="32"/>
          <w:szCs w:val="32"/>
          <w:lang w:bidi="ar"/>
        </w:rPr>
        <w:t>包括但不限于主营业务为烟花爆竹、装潢装饰、网吧游戏等</w:t>
      </w:r>
      <w:r>
        <w:rPr>
          <w:rFonts w:hint="eastAsia" w:ascii="仿宋_GB2312" w:hAnsi="楷体" w:eastAsia="仿宋_GB2312" w:cs="仿宋_GB2312"/>
          <w:color w:val="auto"/>
          <w:sz w:val="32"/>
          <w:szCs w:val="32"/>
          <w:lang w:eastAsia="zh-CN" w:bidi="ar"/>
        </w:rPr>
        <w:t>。</w:t>
      </w:r>
    </w:p>
    <w:p>
      <w:pPr>
        <w:ind w:firstLine="640" w:firstLineChars="200"/>
        <w:rPr>
          <w:rFonts w:hint="eastAsia" w:ascii="仿宋_GB2312" w:eastAsia="仿宋_GB2312"/>
          <w:color w:val="auto"/>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lang w:val="en-US" w:eastAsia="zh-CN"/>
        </w:rPr>
        <w:t>八</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color w:val="auto"/>
          <w:sz w:val="32"/>
          <w:szCs w:val="32"/>
        </w:rPr>
        <w:t>本规定中“</w:t>
      </w:r>
      <w:r>
        <w:rPr>
          <w:rFonts w:hint="eastAsia" w:ascii="仿宋_GB2312" w:hAnsi="楷体" w:eastAsia="仿宋_GB2312" w:cs="仿宋_GB2312"/>
          <w:color w:val="auto"/>
          <w:sz w:val="32"/>
          <w:szCs w:val="32"/>
          <w:lang w:bidi="ar"/>
        </w:rPr>
        <w:t>未成年人活动聚集场所及其附属设施内部以及容易诱导未成年人关注、购买、吸食烟草制品的场所内部</w:t>
      </w:r>
      <w:r>
        <w:rPr>
          <w:rFonts w:hint="eastAsia" w:ascii="仿宋_GB2312" w:eastAsia="仿宋_GB2312"/>
          <w:color w:val="auto"/>
          <w:sz w:val="32"/>
          <w:szCs w:val="32"/>
        </w:rPr>
        <w:t>”</w:t>
      </w:r>
      <w:r>
        <w:rPr>
          <w:rFonts w:hint="eastAsia" w:ascii="仿宋_GB2312" w:hAnsi="楷体" w:eastAsia="仿宋_GB2312" w:cs="仿宋_GB2312"/>
          <w:color w:val="auto"/>
          <w:sz w:val="32"/>
          <w:szCs w:val="32"/>
          <w:lang w:bidi="ar"/>
        </w:rPr>
        <w:t>包括但不限于爱国主义教育基地、图书馆、青少年宫、儿童活动中心、未成年人游乐场、母婴用品、文具玩具等</w:t>
      </w:r>
      <w:r>
        <w:rPr>
          <w:rFonts w:hint="eastAsia" w:ascii="仿宋_GB2312" w:eastAsia="仿宋_GB2312"/>
          <w:color w:val="auto"/>
          <w:sz w:val="32"/>
          <w:szCs w:val="32"/>
        </w:rPr>
        <w:t>。</w:t>
      </w:r>
    </w:p>
    <w:p>
      <w:pPr>
        <w:ind w:firstLine="640" w:firstLineChars="200"/>
        <w:rPr>
          <w:rFonts w:hint="eastAsia" w:ascii="仿宋_GB2312" w:hAnsi="楷体" w:eastAsia="仿宋_GB2312" w:cs="仿宋_GB2312"/>
          <w:color w:val="auto"/>
          <w:sz w:val="32"/>
          <w:szCs w:val="32"/>
          <w:lang w:eastAsia="zh-CN" w:bidi="ar"/>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lang w:val="en-US" w:eastAsia="zh-CN"/>
        </w:rPr>
        <w:t>九</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color w:val="auto"/>
          <w:sz w:val="32"/>
          <w:szCs w:val="32"/>
        </w:rPr>
        <w:t>本规定中所称的</w:t>
      </w:r>
      <w:r>
        <w:rPr>
          <w:rFonts w:hint="eastAsia" w:ascii="仿宋_GB2312" w:eastAsia="仿宋_GB2312"/>
          <w:color w:val="auto"/>
          <w:sz w:val="32"/>
          <w:szCs w:val="32"/>
          <w:lang w:eastAsia="zh-CN"/>
        </w:rPr>
        <w:t>“</w:t>
      </w:r>
      <w:r>
        <w:rPr>
          <w:rFonts w:hint="eastAsia" w:ascii="仿宋_GB2312" w:hAnsi="楷体" w:eastAsia="仿宋_GB2312" w:cs="仿宋_GB2312"/>
          <w:sz w:val="32"/>
          <w:szCs w:val="32"/>
          <w:lang w:bidi="ar"/>
        </w:rPr>
        <w:t>中小学</w:t>
      </w:r>
      <w:r>
        <w:rPr>
          <w:rFonts w:hint="eastAsia" w:ascii="仿宋_GB2312" w:hAnsi="楷体" w:eastAsia="仿宋_GB2312" w:cs="仿宋_GB2312"/>
          <w:sz w:val="32"/>
          <w:szCs w:val="32"/>
          <w:lang w:eastAsia="zh-CN" w:bidi="ar"/>
        </w:rPr>
        <w:t>”</w:t>
      </w:r>
      <w:r>
        <w:rPr>
          <w:rFonts w:hint="eastAsia" w:ascii="仿宋_GB2312" w:hAnsi="楷体" w:eastAsia="仿宋_GB2312" w:cs="仿宋_GB2312"/>
          <w:sz w:val="32"/>
          <w:szCs w:val="32"/>
          <w:lang w:bidi="ar"/>
        </w:rPr>
        <w:t>是指普通中小学、特殊教育学校、中等职业学校、专门学校；</w:t>
      </w:r>
      <w:r>
        <w:rPr>
          <w:rFonts w:hint="eastAsia" w:ascii="仿宋_GB2312" w:hAnsi="楷体" w:eastAsia="仿宋_GB2312" w:cs="仿宋_GB2312"/>
          <w:sz w:val="32"/>
          <w:szCs w:val="32"/>
          <w:lang w:eastAsia="zh-CN" w:bidi="ar"/>
        </w:rPr>
        <w:t>“</w:t>
      </w:r>
      <w:r>
        <w:rPr>
          <w:rFonts w:hint="eastAsia" w:ascii="仿宋_GB2312" w:hAnsi="楷体" w:eastAsia="仿宋_GB2312" w:cs="仿宋_GB2312"/>
          <w:sz w:val="32"/>
          <w:szCs w:val="32"/>
          <w:lang w:bidi="ar"/>
        </w:rPr>
        <w:t>幼儿园</w:t>
      </w:r>
      <w:r>
        <w:rPr>
          <w:rFonts w:hint="eastAsia" w:ascii="仿宋_GB2312" w:hAnsi="楷体" w:eastAsia="仿宋_GB2312" w:cs="仿宋_GB2312"/>
          <w:sz w:val="32"/>
          <w:szCs w:val="32"/>
          <w:lang w:eastAsia="zh-CN" w:bidi="ar"/>
        </w:rPr>
        <w:t>”</w:t>
      </w:r>
      <w:r>
        <w:rPr>
          <w:rFonts w:hint="eastAsia" w:ascii="仿宋_GB2312" w:hAnsi="楷体" w:eastAsia="仿宋_GB2312" w:cs="仿宋_GB2312"/>
          <w:sz w:val="32"/>
          <w:szCs w:val="32"/>
          <w:lang w:bidi="ar"/>
        </w:rPr>
        <w:t>是指经教育行政部门审批并取得办园许可证的单位，不包括幼儿看护点、早教机构、学前托管等场所。</w:t>
      </w:r>
    </w:p>
    <w:p>
      <w:pPr>
        <w:ind w:firstLine="640" w:firstLineChars="200"/>
        <w:rPr>
          <w:rFonts w:hint="eastAsia" w:ascii="仿宋_GB2312" w:hAnsi="楷体" w:eastAsia="仿宋_GB2312" w:cs="仿宋_GB2312"/>
          <w:color w:val="auto"/>
          <w:sz w:val="32"/>
          <w:szCs w:val="32"/>
          <w:lang w:eastAsia="zh-CN" w:bidi="ar"/>
        </w:rPr>
      </w:pPr>
      <w:r>
        <w:rPr>
          <w:rFonts w:hint="eastAsia" w:ascii="仿宋_GB2312" w:eastAsia="仿宋_GB2312"/>
          <w:sz w:val="32"/>
          <w:szCs w:val="32"/>
        </w:rPr>
        <w:t>本规定中的“中小学、幼儿园进出通道口”</w:t>
      </w:r>
      <w:r>
        <w:rPr>
          <w:rFonts w:hint="eastAsia" w:ascii="仿宋_GB2312" w:hAnsi="楷体" w:eastAsia="仿宋_GB2312" w:cs="仿宋_GB2312"/>
          <w:sz w:val="32"/>
          <w:szCs w:val="32"/>
          <w:lang w:bidi="ar"/>
        </w:rPr>
        <w:t>是指供师生日常出入使用的通道口，包括主校门、侧门等，不含消防通道、后勤通道、应急通道、垃圾通道等。</w:t>
      </w:r>
    </w:p>
    <w:p>
      <w:pPr>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w:t>
      </w:r>
      <w:r>
        <w:rPr>
          <w:rFonts w:hint="eastAsia" w:ascii="黑体" w:hAnsi="黑体" w:eastAsia="黑体"/>
          <w:sz w:val="32"/>
          <w:szCs w:val="32"/>
        </w:rPr>
        <w:t>条</w:t>
      </w:r>
      <w:r>
        <w:rPr>
          <w:rFonts w:hint="eastAsia" w:ascii="仿宋_GB2312" w:eastAsia="仿宋_GB2312"/>
          <w:sz w:val="32"/>
          <w:szCs w:val="32"/>
        </w:rPr>
        <w:t xml:space="preserve">  本规定中所称的“最短安全通行距离”是指行人同侧、异侧、拐角等可通过</w:t>
      </w:r>
      <w:r>
        <w:rPr>
          <w:rFonts w:hint="eastAsia" w:ascii="仿宋_GB2312" w:eastAsia="仿宋_GB2312"/>
          <w:sz w:val="32"/>
          <w:szCs w:val="32"/>
          <w:lang w:val="en-US" w:eastAsia="zh-CN"/>
        </w:rPr>
        <w:t>且</w:t>
      </w:r>
      <w:r>
        <w:rPr>
          <w:rFonts w:hint="eastAsia" w:ascii="仿宋_GB2312" w:eastAsia="仿宋_GB2312"/>
          <w:sz w:val="32"/>
          <w:szCs w:val="32"/>
        </w:rPr>
        <w:t>符合交通规则的最短间距。</w:t>
      </w:r>
    </w:p>
    <w:p>
      <w:pPr>
        <w:ind w:firstLine="640" w:firstLineChars="200"/>
        <w:rPr>
          <w:rFonts w:hint="eastAsia" w:ascii="仿宋_GB2312" w:eastAsia="仿宋_GB2312"/>
          <w:sz w:val="32"/>
          <w:szCs w:val="32"/>
        </w:rPr>
      </w:pPr>
      <w:r>
        <w:rPr>
          <w:rFonts w:hint="eastAsia" w:ascii="仿宋_GB2312" w:eastAsia="仿宋_GB2312"/>
          <w:sz w:val="32"/>
          <w:szCs w:val="32"/>
        </w:rPr>
        <w:t>“最短安全通行距离”具体测量方式及方法，按</w:t>
      </w:r>
      <w:r>
        <w:rPr>
          <w:rFonts w:hint="eastAsia" w:ascii="仿宋_GB2312" w:eastAsia="仿宋_GB2312"/>
          <w:color w:val="auto"/>
          <w:sz w:val="32"/>
          <w:szCs w:val="32"/>
        </w:rPr>
        <w:t>照《</w:t>
      </w:r>
      <w:r>
        <w:rPr>
          <w:rFonts w:hint="eastAsia" w:ascii="仿宋_GB2312" w:eastAsia="仿宋_GB2312"/>
          <w:color w:val="auto"/>
          <w:sz w:val="32"/>
          <w:szCs w:val="32"/>
          <w:lang w:eastAsia="zh-CN"/>
        </w:rPr>
        <w:t>吉林</w:t>
      </w:r>
      <w:r>
        <w:rPr>
          <w:rFonts w:hint="eastAsia" w:ascii="仿宋_GB2312" w:eastAsia="仿宋_GB2312"/>
          <w:color w:val="auto"/>
          <w:sz w:val="32"/>
          <w:szCs w:val="32"/>
        </w:rPr>
        <w:t>市烟草专卖局烟草制品零售点间距测量标准》</w:t>
      </w:r>
      <w:r>
        <w:rPr>
          <w:rFonts w:hint="eastAsia" w:ascii="仿宋_GB2312" w:eastAsia="仿宋_GB2312"/>
          <w:sz w:val="32"/>
          <w:szCs w:val="32"/>
          <w:lang w:val="en-US" w:eastAsia="zh-CN"/>
        </w:rPr>
        <w:t>执行</w:t>
      </w:r>
      <w:r>
        <w:rPr>
          <w:rFonts w:hint="eastAsia" w:ascii="仿宋_GB2312" w:eastAsia="仿宋_GB2312"/>
          <w:sz w:val="32"/>
          <w:szCs w:val="32"/>
        </w:rPr>
        <w:t>。</w:t>
      </w:r>
    </w:p>
    <w:p>
      <w:pPr>
        <w:jc w:val="center"/>
        <w:rPr>
          <w:rFonts w:hint="default" w:ascii="仿宋_GB2312" w:eastAsia="仿宋_GB2312"/>
          <w:sz w:val="32"/>
          <w:szCs w:val="32"/>
          <w:lang w:val="en-US" w:eastAsia="zh-CN"/>
        </w:rPr>
      </w:pPr>
      <w:r>
        <w:rPr>
          <w:rFonts w:hint="eastAsia" w:ascii="国标黑体" w:hAnsi="国标黑体" w:eastAsia="国标黑体" w:cs="国标黑体"/>
          <w:sz w:val="32"/>
          <w:szCs w:val="32"/>
          <w:lang w:eastAsia="zh-CN"/>
        </w:rPr>
        <w:t>第三章</w:t>
      </w:r>
      <w:r>
        <w:rPr>
          <w:rFonts w:hint="eastAsia" w:ascii="仿宋_GB2312" w:eastAsia="仿宋_GB2312"/>
          <w:sz w:val="32"/>
          <w:szCs w:val="32"/>
          <w:lang w:val="en-US" w:eastAsia="zh-CN"/>
        </w:rPr>
        <w:t xml:space="preserve">  </w:t>
      </w:r>
      <w:r>
        <w:rPr>
          <w:rFonts w:hint="eastAsia" w:ascii="黑体" w:hAnsi="黑体" w:eastAsia="黑体" w:cs="仿宋_GB2312"/>
          <w:bCs/>
          <w:sz w:val="32"/>
          <w:szCs w:val="32"/>
        </w:rPr>
        <w:t>附  则</w:t>
      </w:r>
    </w:p>
    <w:p>
      <w:pPr>
        <w:ind w:firstLine="640" w:firstLineChars="200"/>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一</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一般情况下，</w:t>
      </w:r>
      <w:r>
        <w:rPr>
          <w:rFonts w:hint="eastAsia" w:ascii="仿宋_GB2312" w:eastAsia="仿宋_GB2312"/>
          <w:sz w:val="32"/>
          <w:szCs w:val="32"/>
          <w:lang w:eastAsia="zh-CN"/>
        </w:rPr>
        <w:t>总量指导数至少</w:t>
      </w:r>
      <w:r>
        <w:rPr>
          <w:rFonts w:hint="eastAsia" w:ascii="仿宋_GB2312" w:eastAsia="仿宋_GB2312"/>
          <w:sz w:val="32"/>
          <w:szCs w:val="32"/>
        </w:rPr>
        <w:t>每年进行一次动态调整，以吉林市地方政府网站、吉林市市民服务中心</w:t>
      </w:r>
      <w:r>
        <w:rPr>
          <w:rFonts w:hint="eastAsia" w:ascii="仿宋_GB2312" w:eastAsia="仿宋_GB2312"/>
          <w:sz w:val="32"/>
          <w:szCs w:val="32"/>
          <w:lang w:eastAsia="zh-CN"/>
        </w:rPr>
        <w:t>或</w:t>
      </w:r>
      <w:r>
        <w:rPr>
          <w:rFonts w:hint="eastAsia" w:ascii="仿宋_GB2312" w:eastAsia="仿宋_GB2312"/>
          <w:sz w:val="32"/>
          <w:szCs w:val="32"/>
        </w:rPr>
        <w:t>各级</w:t>
      </w:r>
      <w:r>
        <w:rPr>
          <w:rFonts w:hint="eastAsia" w:ascii="仿宋_GB2312" w:eastAsia="仿宋_GB2312"/>
          <w:sz w:val="32"/>
          <w:szCs w:val="32"/>
          <w:lang w:val="en-US" w:eastAsia="zh-CN"/>
        </w:rPr>
        <w:t>烟草专卖零售许可证发证机关</w:t>
      </w:r>
      <w:r>
        <w:rPr>
          <w:rFonts w:hint="eastAsia" w:ascii="仿宋_GB2312" w:eastAsia="仿宋_GB2312"/>
          <w:sz w:val="32"/>
          <w:szCs w:val="32"/>
        </w:rPr>
        <w:t>办证窗口等载体公示数量为准。</w:t>
      </w:r>
    </w:p>
    <w:p>
      <w:pPr>
        <w:spacing w:line="360" w:lineRule="auto"/>
        <w:ind w:firstLine="640" w:firstLineChars="200"/>
        <w:rPr>
          <w:rFonts w:hint="eastAsia" w:ascii="仿宋_GB2312" w:eastAsia="仿宋_GB2312" w:cs="仿宋_GB2312"/>
          <w:color w:val="auto"/>
          <w:sz w:val="32"/>
          <w:szCs w:val="32"/>
        </w:rPr>
      </w:pPr>
      <w:r>
        <w:rPr>
          <w:rFonts w:hint="eastAsia" w:ascii="黑体" w:hAnsi="黑体" w:eastAsia="黑体"/>
          <w:sz w:val="32"/>
          <w:szCs w:val="32"/>
        </w:rPr>
        <w:t>第</w:t>
      </w:r>
      <w:r>
        <w:rPr>
          <w:rFonts w:hint="eastAsia" w:ascii="黑体" w:hAnsi="黑体" w:eastAsia="黑体"/>
          <w:sz w:val="32"/>
          <w:szCs w:val="32"/>
          <w:lang w:eastAsia="zh-CN"/>
        </w:rPr>
        <w:t>二十二</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本规定中的“以上”“达到”“不少于”</w:t>
      </w:r>
      <w:r>
        <w:rPr>
          <w:rFonts w:hint="eastAsia" w:ascii="仿宋_GB2312" w:eastAsia="仿宋_GB2312"/>
          <w:sz w:val="32"/>
          <w:szCs w:val="32"/>
          <w:lang w:val="en-US" w:eastAsia="zh-CN"/>
        </w:rPr>
        <w:t>均</w:t>
      </w:r>
      <w:r>
        <w:rPr>
          <w:rFonts w:hint="eastAsia" w:ascii="仿宋_GB2312" w:eastAsia="仿宋_GB2312"/>
          <w:sz w:val="32"/>
          <w:szCs w:val="32"/>
        </w:rPr>
        <w:t>包含本数。</w:t>
      </w:r>
    </w:p>
    <w:p>
      <w:pPr>
        <w:ind w:firstLine="640" w:firstLineChars="200"/>
        <w:rPr>
          <w:rFonts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sz w:val="32"/>
          <w:szCs w:val="32"/>
        </w:rPr>
        <w:t xml:space="preserve">  法律法规和政策另有规定的，从其规定。</w:t>
      </w:r>
    </w:p>
    <w:p>
      <w:pPr>
        <w:ind w:firstLine="640" w:firstLineChars="200"/>
        <w:rPr>
          <w:rFonts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四</w:t>
      </w:r>
      <w:r>
        <w:rPr>
          <w:rFonts w:hint="eastAsia" w:ascii="黑体" w:hAnsi="黑体" w:eastAsia="黑体"/>
          <w:sz w:val="32"/>
          <w:szCs w:val="32"/>
        </w:rPr>
        <w:t>条</w:t>
      </w:r>
      <w:r>
        <w:rPr>
          <w:rFonts w:hint="eastAsia" w:ascii="仿宋_GB2312" w:eastAsia="仿宋_GB2312"/>
          <w:sz w:val="32"/>
          <w:szCs w:val="32"/>
        </w:rPr>
        <w:t xml:space="preserve">  本规定由吉林市烟草专卖局负责解释</w:t>
      </w:r>
      <w:r>
        <w:rPr>
          <w:rFonts w:hint="eastAsia" w:ascii="仿宋_GB2312" w:eastAsia="仿宋_GB2312"/>
          <w:sz w:val="32"/>
          <w:szCs w:val="32"/>
          <w:lang w:eastAsia="zh-CN"/>
        </w:rPr>
        <w:t>，</w:t>
      </w:r>
      <w:r>
        <w:rPr>
          <w:rFonts w:hint="eastAsia" w:ascii="仿宋_GB2312" w:eastAsia="仿宋_GB2312"/>
          <w:sz w:val="32"/>
          <w:szCs w:val="32"/>
        </w:rPr>
        <w:t>自2024年</w:t>
      </w:r>
      <w:r>
        <w:rPr>
          <w:rFonts w:hint="eastAsia" w:ascii="仿宋_GB2312" w:eastAsia="仿宋_GB2312"/>
          <w:sz w:val="32"/>
          <w:szCs w:val="32"/>
          <w:lang w:val="en-US" w:eastAsia="zh-CN"/>
        </w:rPr>
        <w:t>X</w:t>
      </w:r>
      <w:r>
        <w:rPr>
          <w:rFonts w:hint="eastAsia" w:ascii="仿宋_GB2312" w:eastAsia="仿宋_GB2312"/>
          <w:sz w:val="32"/>
          <w:szCs w:val="32"/>
        </w:rPr>
        <w:t>月</w:t>
      </w:r>
      <w:r>
        <w:rPr>
          <w:rFonts w:hint="eastAsia" w:ascii="仿宋_GB2312" w:eastAsia="仿宋_GB2312"/>
          <w:sz w:val="32"/>
          <w:szCs w:val="32"/>
          <w:lang w:val="en-US" w:eastAsia="zh-CN"/>
        </w:rPr>
        <w:t>XX</w:t>
      </w:r>
      <w:r>
        <w:rPr>
          <w:rFonts w:hint="eastAsia" w:ascii="仿宋_GB2312" w:eastAsia="仿宋_GB2312"/>
          <w:sz w:val="32"/>
          <w:szCs w:val="32"/>
        </w:rPr>
        <w:t>日起施行</w:t>
      </w:r>
      <w:r>
        <w:rPr>
          <w:rFonts w:hint="eastAsia" w:ascii="仿宋_GB2312" w:eastAsia="仿宋_GB2312"/>
          <w:sz w:val="32"/>
          <w:szCs w:val="32"/>
          <w:lang w:eastAsia="zh-CN"/>
        </w:rPr>
        <w:t>，</w:t>
      </w:r>
      <w:r>
        <w:rPr>
          <w:rFonts w:hint="eastAsia" w:ascii="仿宋_GB2312" w:eastAsia="仿宋_GB2312"/>
          <w:sz w:val="32"/>
          <w:szCs w:val="32"/>
        </w:rPr>
        <w:t>原《吉林市烟草专卖局烟草制品零售点合理布局规定》（吉市烟专〔202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51</w:t>
      </w:r>
      <w:r>
        <w:rPr>
          <w:rFonts w:hint="eastAsia" w:ascii="仿宋_GB2312" w:eastAsia="仿宋_GB2312"/>
          <w:sz w:val="32"/>
          <w:szCs w:val="32"/>
        </w:rPr>
        <w:t>号）同时废止。</w:t>
      </w:r>
    </w:p>
    <w:sectPr>
      <w:headerReference r:id="rId3" w:type="default"/>
      <w:footerReference r:id="rId5" w:type="default"/>
      <w:headerReference r:id="rId4" w:type="even"/>
      <w:footerReference r:id="rId6" w:type="even"/>
      <w:pgSz w:w="11906" w:h="16838"/>
      <w:pgMar w:top="1701" w:right="1531" w:bottom="215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rPr>
    </w:pPr>
    <w:r>
      <w:rPr>
        <w:rStyle w:val="7"/>
        <w:rFonts w:hint="eastAsia"/>
        <w:sz w:val="28"/>
      </w:rPr>
      <w:t>—</w:t>
    </w:r>
    <w:r>
      <w:rPr>
        <w:rStyle w:val="7"/>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10</w:t>
    </w:r>
    <w:r>
      <w:rPr>
        <w:rStyle w:val="7"/>
        <w:sz w:val="28"/>
      </w:rPr>
      <w:fldChar w:fldCharType="end"/>
    </w:r>
    <w:r>
      <w:rPr>
        <w:rStyle w:val="7"/>
        <w:sz w:val="28"/>
      </w:rPr>
      <w:t xml:space="preserve"> </w:t>
    </w:r>
    <w:r>
      <w:rPr>
        <w:rStyle w:val="7"/>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64" w:h="357" w:hRule="exact" w:wrap="around" w:vAnchor="page" w:hAnchor="margin" w:xAlign="outside" w:y="15083"/>
      <w:rPr>
        <w:rStyle w:val="7"/>
        <w:sz w:val="28"/>
      </w:rPr>
    </w:pPr>
    <w:r>
      <w:rPr>
        <w:rStyle w:val="7"/>
        <w:rFonts w:hint="eastAsia"/>
        <w:sz w:val="28"/>
      </w:rPr>
      <w:t xml:space="preserve">  —</w:t>
    </w:r>
    <w:r>
      <w:rPr>
        <w:rStyle w:val="7"/>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2</w:t>
    </w:r>
    <w:r>
      <w:rPr>
        <w:rStyle w:val="7"/>
        <w:sz w:val="28"/>
      </w:rPr>
      <w:fldChar w:fldCharType="end"/>
    </w:r>
    <w:r>
      <w:rPr>
        <w:rStyle w:val="7"/>
        <w:sz w:val="28"/>
      </w:rPr>
      <w:t xml:space="preserve"> </w:t>
    </w:r>
    <w:r>
      <w:rPr>
        <w:rStyle w:val="7"/>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F399D"/>
    <w:multiLevelType w:val="singleLevel"/>
    <w:tmpl w:val="EFDF399D"/>
    <w:lvl w:ilvl="0" w:tentative="0">
      <w:start w:val="6"/>
      <w:numFmt w:val="chineseCounting"/>
      <w:suff w:val="space"/>
      <w:lvlText w:val="第%1条"/>
      <w:lvlJc w:val="left"/>
      <w:pPr>
        <w:ind w:left="-10"/>
      </w:pPr>
      <w:rPr>
        <w:rFonts w:hint="eastAsia" w:ascii="国标黑体" w:hAnsi="国标黑体" w:eastAsia="国标黑体" w:cs="国标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74"/>
    <w:rsid w:val="00042C0C"/>
    <w:rsid w:val="00052E2F"/>
    <w:rsid w:val="00066347"/>
    <w:rsid w:val="003D5B9E"/>
    <w:rsid w:val="00436155"/>
    <w:rsid w:val="004B7D81"/>
    <w:rsid w:val="00642859"/>
    <w:rsid w:val="009B1E2B"/>
    <w:rsid w:val="00B845F3"/>
    <w:rsid w:val="00C148B2"/>
    <w:rsid w:val="00F2101B"/>
    <w:rsid w:val="00FF3974"/>
    <w:rsid w:val="0C65A66C"/>
    <w:rsid w:val="0CD847B4"/>
    <w:rsid w:val="15BC2745"/>
    <w:rsid w:val="18C7169F"/>
    <w:rsid w:val="19A224D8"/>
    <w:rsid w:val="19FF2C1B"/>
    <w:rsid w:val="1FF714B0"/>
    <w:rsid w:val="20CA1001"/>
    <w:rsid w:val="20D31399"/>
    <w:rsid w:val="239B2A0B"/>
    <w:rsid w:val="25A25BCF"/>
    <w:rsid w:val="2ED365E7"/>
    <w:rsid w:val="2FFF8DC3"/>
    <w:rsid w:val="2FFFCA4A"/>
    <w:rsid w:val="36324DEA"/>
    <w:rsid w:val="37BB806D"/>
    <w:rsid w:val="3A7D0C8A"/>
    <w:rsid w:val="3B679E9B"/>
    <w:rsid w:val="3E8930B8"/>
    <w:rsid w:val="3FFDC5F6"/>
    <w:rsid w:val="46E7BCEF"/>
    <w:rsid w:val="4FB7034B"/>
    <w:rsid w:val="51B5ED5C"/>
    <w:rsid w:val="53B70CA8"/>
    <w:rsid w:val="55BFB442"/>
    <w:rsid w:val="55D7C578"/>
    <w:rsid w:val="56F7D817"/>
    <w:rsid w:val="57BB82C5"/>
    <w:rsid w:val="59A94107"/>
    <w:rsid w:val="5BCE9D53"/>
    <w:rsid w:val="5BEF67B9"/>
    <w:rsid w:val="5BFD6BAF"/>
    <w:rsid w:val="5CFF6F48"/>
    <w:rsid w:val="5DFD6CE5"/>
    <w:rsid w:val="5FFB4399"/>
    <w:rsid w:val="62335ACE"/>
    <w:rsid w:val="64236DAC"/>
    <w:rsid w:val="6A7B614A"/>
    <w:rsid w:val="6CFF2AC8"/>
    <w:rsid w:val="6FB5A555"/>
    <w:rsid w:val="73414B11"/>
    <w:rsid w:val="74BF1A14"/>
    <w:rsid w:val="74DEF301"/>
    <w:rsid w:val="7547B4F5"/>
    <w:rsid w:val="768B6103"/>
    <w:rsid w:val="773DC1BD"/>
    <w:rsid w:val="77463222"/>
    <w:rsid w:val="79E78C8B"/>
    <w:rsid w:val="7AEB31AA"/>
    <w:rsid w:val="7B880651"/>
    <w:rsid w:val="7DFF02CD"/>
    <w:rsid w:val="7EAFF9D8"/>
    <w:rsid w:val="7EE7C99A"/>
    <w:rsid w:val="7F6BCC34"/>
    <w:rsid w:val="7F7B49A5"/>
    <w:rsid w:val="7FA69CB1"/>
    <w:rsid w:val="7FE75911"/>
    <w:rsid w:val="7FE81F2D"/>
    <w:rsid w:val="7FEC564C"/>
    <w:rsid w:val="7FEF3FDD"/>
    <w:rsid w:val="7FFFF22A"/>
    <w:rsid w:val="97D62E5C"/>
    <w:rsid w:val="A6FF941E"/>
    <w:rsid w:val="AF3E15F3"/>
    <w:rsid w:val="AF9F7B65"/>
    <w:rsid w:val="AFEFCCD2"/>
    <w:rsid w:val="BE2BF240"/>
    <w:rsid w:val="BF775A3A"/>
    <w:rsid w:val="BFBFE75F"/>
    <w:rsid w:val="CFF6964E"/>
    <w:rsid w:val="D6BDCA4E"/>
    <w:rsid w:val="D7B9C156"/>
    <w:rsid w:val="D9BF81DC"/>
    <w:rsid w:val="DBBD4B5D"/>
    <w:rsid w:val="E55DE60C"/>
    <w:rsid w:val="E7F5085A"/>
    <w:rsid w:val="E7F5CA8F"/>
    <w:rsid w:val="E8FC818C"/>
    <w:rsid w:val="EE6F8E8C"/>
    <w:rsid w:val="EEEEE7E2"/>
    <w:rsid w:val="EEF9AEEA"/>
    <w:rsid w:val="EFBEDE96"/>
    <w:rsid w:val="F3AE8A93"/>
    <w:rsid w:val="F6F87A2B"/>
    <w:rsid w:val="F72B3F73"/>
    <w:rsid w:val="F7676E88"/>
    <w:rsid w:val="F777D3B4"/>
    <w:rsid w:val="F7BFFDB6"/>
    <w:rsid w:val="F7FB1955"/>
    <w:rsid w:val="FBBBFD45"/>
    <w:rsid w:val="FC07BF38"/>
    <w:rsid w:val="FCFFAC15"/>
    <w:rsid w:val="FDE81E8C"/>
    <w:rsid w:val="FDEC099E"/>
    <w:rsid w:val="FEBB66D5"/>
    <w:rsid w:val="FEEF6CF8"/>
    <w:rsid w:val="FF5AB422"/>
    <w:rsid w:val="FF77F11A"/>
    <w:rsid w:val="FFDB8222"/>
    <w:rsid w:val="FFEB4E64"/>
    <w:rsid w:val="FFEEB381"/>
    <w:rsid w:val="FFF7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脚 Char"/>
    <w:basedOn w:val="6"/>
    <w:link w:val="3"/>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625</Words>
  <Characters>3565</Characters>
  <Lines>29</Lines>
  <Paragraphs>8</Paragraphs>
  <TotalTime>25</TotalTime>
  <ScaleCrop>false</ScaleCrop>
  <LinksUpToDate>false</LinksUpToDate>
  <CharactersWithSpaces>4182</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2024-02-13T22:33:00Z</dcterms:created>
  <dc:creator>user</dc:creator>
  <cp:lastModifiedBy>uos</cp:lastModifiedBy>
  <cp:lastPrinted>2024-07-15T21:55:00Z</cp:lastPrinted>
  <dcterms:modified xsi:type="dcterms:W3CDTF">2024-07-30T08:43:54Z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CF19AC4AB4E6599C3A35A866407978B1</vt:lpwstr>
  </property>
</Properties>
</file>