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9CFCDB">
      <w:pPr>
        <w:rPr>
          <w:rFonts w:hint="eastAsia" w:ascii="黑体" w:hAnsi="黑体" w:eastAsia="黑体" w:cs="黑体"/>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1</w:t>
      </w:r>
    </w:p>
    <w:p w14:paraId="731B3B52">
      <w:pPr>
        <w:spacing w:line="560" w:lineRule="exact"/>
        <w:jc w:val="center"/>
        <w:rPr>
          <w:rFonts w:hint="eastAsia" w:ascii="方正小标宋简体" w:hAnsi="宋体" w:eastAsia="方正小标宋简体" w:cs="宋体"/>
          <w:bCs/>
          <w:sz w:val="44"/>
          <w:szCs w:val="44"/>
          <w:lang w:eastAsia="zh-CN"/>
        </w:rPr>
      </w:pPr>
      <w:r>
        <w:rPr>
          <w:rFonts w:hint="eastAsia" w:ascii="方正小标宋简体" w:hAnsi="宋体" w:eastAsia="方正小标宋简体" w:cs="宋体"/>
          <w:bCs/>
          <w:sz w:val="44"/>
          <w:szCs w:val="44"/>
        </w:rPr>
        <w:t>关于废止和修改</w:t>
      </w:r>
      <w:r>
        <w:rPr>
          <w:rFonts w:hint="eastAsia" w:ascii="方正小标宋简体" w:hAnsi="宋体" w:eastAsia="方正小标宋简体" w:cs="宋体"/>
          <w:bCs/>
          <w:sz w:val="44"/>
          <w:szCs w:val="44"/>
          <w:lang w:eastAsia="zh-CN"/>
        </w:rPr>
        <w:t>部分</w:t>
      </w:r>
      <w:r>
        <w:rPr>
          <w:rFonts w:hint="eastAsia" w:ascii="方正小标宋简体" w:hAnsi="宋体" w:eastAsia="方正小标宋简体" w:cs="宋体"/>
          <w:bCs/>
          <w:sz w:val="44"/>
          <w:szCs w:val="44"/>
        </w:rPr>
        <w:t>地方性法规的</w:t>
      </w:r>
      <w:r>
        <w:rPr>
          <w:rFonts w:hint="eastAsia" w:ascii="方正小标宋简体" w:hAnsi="宋体" w:eastAsia="方正小标宋简体" w:cs="宋体"/>
          <w:bCs/>
          <w:sz w:val="44"/>
          <w:szCs w:val="44"/>
          <w:lang w:eastAsia="zh-CN"/>
        </w:rPr>
        <w:t>决定</w:t>
      </w:r>
    </w:p>
    <w:p w14:paraId="7E05901E">
      <w:pPr>
        <w:spacing w:line="560" w:lineRule="exact"/>
        <w:jc w:val="center"/>
        <w:rPr>
          <w:rFonts w:hint="eastAsia" w:ascii="楷体" w:hAnsi="楷体" w:eastAsia="楷体" w:cs="楷体"/>
          <w:bCs/>
          <w:sz w:val="32"/>
          <w:szCs w:val="32"/>
          <w:lang w:eastAsia="zh-CN"/>
        </w:rPr>
      </w:pPr>
      <w:r>
        <w:rPr>
          <w:rFonts w:hint="eastAsia" w:ascii="楷体" w:hAnsi="楷体" w:eastAsia="楷体" w:cs="楷体"/>
          <w:bCs/>
          <w:sz w:val="32"/>
          <w:szCs w:val="32"/>
          <w:lang w:eastAsia="zh-CN"/>
        </w:rPr>
        <w:t>（草案征求意见稿）</w:t>
      </w:r>
    </w:p>
    <w:p w14:paraId="417199D5">
      <w:pPr>
        <w:spacing w:line="560" w:lineRule="exact"/>
        <w:rPr>
          <w:rFonts w:ascii="宋体" w:hAnsi="宋体"/>
          <w:color w:val="000000"/>
          <w:sz w:val="44"/>
          <w:szCs w:val="44"/>
        </w:rPr>
      </w:pPr>
    </w:p>
    <w:p w14:paraId="46473DEA">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黑体" w:hAnsi="黑体" w:eastAsia="黑体" w:cs="黑体"/>
          <w:sz w:val="32"/>
          <w:szCs w:val="32"/>
          <w:lang w:val="en-US" w:eastAsia="zh-CN"/>
        </w:rPr>
        <w:t>一、</w:t>
      </w:r>
      <w:r>
        <w:rPr>
          <w:rFonts w:hint="eastAsia" w:ascii="黑体" w:hAnsi="黑体" w:eastAsia="黑体" w:cs="黑体"/>
          <w:kern w:val="0"/>
          <w:sz w:val="32"/>
          <w:szCs w:val="32"/>
          <w:lang w:val="en-US" w:eastAsia="zh-CN" w:bidi="ar"/>
        </w:rPr>
        <w:t>废止《吉林市科学技术进步条例》</w:t>
      </w:r>
      <w:r>
        <w:rPr>
          <w:rFonts w:hint="eastAsia" w:ascii="仿宋_GB2312" w:hAnsi="仿宋_GB2312" w:eastAsia="仿宋_GB2312" w:cs="仿宋_GB2312"/>
          <w:kern w:val="0"/>
          <w:sz w:val="32"/>
          <w:szCs w:val="32"/>
          <w:lang w:val="en-US" w:eastAsia="zh-CN" w:bidi="ar"/>
        </w:rPr>
        <w:t>（</w:t>
      </w:r>
      <w:r>
        <w:rPr>
          <w:rFonts w:hint="default" w:ascii="仿宋_GB2312" w:hAnsi="仿宋_GB2312" w:eastAsia="仿宋_GB2312" w:cs="仿宋_GB2312"/>
          <w:kern w:val="0"/>
          <w:sz w:val="32"/>
          <w:szCs w:val="32"/>
          <w:lang w:val="en-US" w:eastAsia="zh-CN" w:bidi="ar"/>
        </w:rPr>
        <w:t>2009年7月31日吉林市第十四届人民代表大会常务委员会第十一次会议通过  2009年9月25日吉林省第十一届人民代表大会常务委员会第十四次会议批准</w:t>
      </w:r>
      <w:bookmarkStart w:id="0" w:name="_GoBack"/>
      <w:bookmarkEnd w:id="0"/>
      <w:r>
        <w:rPr>
          <w:rFonts w:hint="eastAsia" w:ascii="仿宋_GB2312" w:hAnsi="仿宋_GB2312" w:eastAsia="仿宋_GB2312" w:cs="仿宋_GB2312"/>
          <w:kern w:val="0"/>
          <w:sz w:val="32"/>
          <w:szCs w:val="32"/>
          <w:lang w:val="en-US" w:eastAsia="zh-CN" w:bidi="ar"/>
        </w:rPr>
        <w:t xml:space="preserve">  </w:t>
      </w:r>
      <w:r>
        <w:rPr>
          <w:rFonts w:hint="default" w:ascii="仿宋_GB2312" w:hAnsi="仿宋_GB2312" w:eastAsia="仿宋_GB2312" w:cs="仿宋_GB2312"/>
          <w:kern w:val="0"/>
          <w:sz w:val="32"/>
          <w:szCs w:val="32"/>
          <w:lang w:val="en-US" w:eastAsia="zh-CN" w:bidi="ar"/>
        </w:rPr>
        <w:t>2024年12月16日吉林市第十七届人民代表大会常务委员会第二十三次会议修改</w:t>
      </w:r>
      <w:r>
        <w:rPr>
          <w:rFonts w:hint="eastAsia" w:ascii="仿宋_GB2312" w:hAnsi="仿宋_GB2312" w:eastAsia="仿宋_GB2312" w:cs="仿宋_GB2312"/>
          <w:kern w:val="0"/>
          <w:sz w:val="32"/>
          <w:szCs w:val="32"/>
          <w:lang w:val="en-US" w:eastAsia="zh-CN" w:bidi="ar"/>
        </w:rPr>
        <w:t xml:space="preserve">  </w:t>
      </w:r>
      <w:r>
        <w:rPr>
          <w:rFonts w:hint="default" w:ascii="仿宋_GB2312" w:hAnsi="仿宋_GB2312" w:eastAsia="仿宋_GB2312" w:cs="仿宋_GB2312"/>
          <w:kern w:val="0"/>
          <w:sz w:val="32"/>
          <w:szCs w:val="32"/>
          <w:lang w:val="en-US" w:eastAsia="zh-CN" w:bidi="ar"/>
        </w:rPr>
        <w:t>2025年3月27日吉林省第十四届人民代表大会常务委员会第十六次</w:t>
      </w:r>
      <w:r>
        <w:rPr>
          <w:rFonts w:hint="eastAsia" w:ascii="仿宋_GB2312" w:hAnsi="仿宋_GB2312" w:eastAsia="仿宋_GB2312" w:cs="仿宋_GB2312"/>
          <w:kern w:val="0"/>
          <w:sz w:val="32"/>
          <w:szCs w:val="32"/>
          <w:lang w:val="en-US" w:eastAsia="zh-CN" w:bidi="ar"/>
        </w:rPr>
        <w:t>会议批准）</w:t>
      </w:r>
    </w:p>
    <w:p w14:paraId="0B4976F4">
      <w:pPr>
        <w:pStyle w:val="3"/>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黑体" w:hAnsi="黑体" w:eastAsia="黑体" w:cs="黑体"/>
          <w:kern w:val="2"/>
          <w:sz w:val="32"/>
          <w:szCs w:val="32"/>
          <w:lang w:val="en-US" w:eastAsia="zh-CN" w:bidi="ar-SA"/>
        </w:rPr>
        <w:t>二、</w:t>
      </w:r>
      <w:r>
        <w:rPr>
          <w:rFonts w:hint="eastAsia" w:ascii="黑体" w:hAnsi="黑体" w:eastAsia="黑体" w:cs="黑体"/>
          <w:kern w:val="0"/>
          <w:sz w:val="32"/>
          <w:szCs w:val="32"/>
          <w:lang w:val="en-US" w:eastAsia="zh-CN" w:bidi="ar"/>
        </w:rPr>
        <w:t>对下列两</w:t>
      </w:r>
      <w:r>
        <w:rPr>
          <w:rFonts w:hint="eastAsia" w:ascii="黑体" w:hAnsi="黑体" w:eastAsia="黑体" w:cs="黑体"/>
          <w:kern w:val="2"/>
          <w:sz w:val="32"/>
          <w:szCs w:val="32"/>
          <w:lang w:val="en-US" w:eastAsia="zh-CN" w:bidi="ar-SA"/>
        </w:rPr>
        <w:t>部地方性法规予以修改</w:t>
      </w:r>
    </w:p>
    <w:p w14:paraId="744122CE">
      <w:pPr>
        <w:pStyle w:val="3"/>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0"/>
          <w:sz w:val="32"/>
          <w:szCs w:val="32"/>
          <w:lang w:val="en-US" w:eastAsia="zh-CN" w:bidi="ar"/>
        </w:rPr>
        <w:t>（一）将《吉林市城区养犬管理条例》第四条第一款修改为：“本市城市建成区内允许饲养小型犬，限制饲养中型犬，禁止出售、饲养烈性犬</w:t>
      </w:r>
      <w:r>
        <w:rPr>
          <w:rFonts w:hint="eastAsia" w:ascii="仿宋_GB2312" w:hAnsi="仿宋_GB2312" w:eastAsia="仿宋_GB2312" w:cs="仿宋_GB2312"/>
          <w:kern w:val="2"/>
          <w:sz w:val="32"/>
          <w:szCs w:val="32"/>
          <w:lang w:val="en-US" w:eastAsia="zh-CN" w:bidi="ar-SA"/>
        </w:rPr>
        <w:t>、大型犬。”</w:t>
      </w:r>
    </w:p>
    <w:p w14:paraId="122EB602">
      <w:pPr>
        <w:pStyle w:val="3"/>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2"/>
          <w:sz w:val="32"/>
          <w:szCs w:val="32"/>
          <w:lang w:val="en-US" w:eastAsia="zh-CN" w:bidi="ar-SA"/>
        </w:rPr>
        <w:t>删去第十四</w:t>
      </w:r>
      <w:r>
        <w:rPr>
          <w:rFonts w:hint="eastAsia" w:ascii="仿宋_GB2312" w:hAnsi="仿宋_GB2312" w:eastAsia="仿宋_GB2312" w:cs="仿宋_GB2312"/>
          <w:kern w:val="0"/>
          <w:sz w:val="32"/>
          <w:szCs w:val="32"/>
          <w:lang w:val="en-US" w:eastAsia="zh-CN" w:bidi="ar"/>
        </w:rPr>
        <w:t>条第三款。</w:t>
      </w:r>
    </w:p>
    <w:p w14:paraId="5FFDC3E1">
      <w:pPr>
        <w:pStyle w:val="3"/>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将第十五条第一款修改为：“市城市管理部门负责查处养犬人不及时清除犬只粪便及呕吐物等破坏市容环境卫生的不文明行为，督促清扫保洁机构及时实施清扫保洁。”</w:t>
      </w:r>
    </w:p>
    <w:p w14:paraId="45E199C6">
      <w:pPr>
        <w:pStyle w:val="3"/>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删去第十八条。</w:t>
      </w:r>
    </w:p>
    <w:p w14:paraId="5943C6F6">
      <w:pPr>
        <w:pStyle w:val="3"/>
        <w:keepNext w:val="0"/>
        <w:keepLines w:val="0"/>
        <w:pageBreakBefore w:val="0"/>
        <w:widowControl w:val="0"/>
        <w:suppressLineNumbers w:val="0"/>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kern w:val="0"/>
          <w:sz w:val="32"/>
          <w:szCs w:val="32"/>
          <w:lang w:val="en-US" w:eastAsia="zh-CN" w:bidi="ar"/>
        </w:rPr>
        <w:t>将第十九条改为第十八条，将第一项修改</w:t>
      </w:r>
      <w:r>
        <w:rPr>
          <w:rFonts w:hint="eastAsia" w:ascii="仿宋_GB2312" w:hAnsi="仿宋_GB2312" w:eastAsia="仿宋_GB2312" w:cs="仿宋_GB2312"/>
          <w:kern w:val="2"/>
          <w:sz w:val="32"/>
          <w:szCs w:val="32"/>
          <w:lang w:val="en-US" w:eastAsia="zh-CN" w:bidi="ar-SA"/>
        </w:rPr>
        <w:t>为：“（一）违反第四条第一款规定，出售、饲养烈性</w:t>
      </w:r>
      <w:r>
        <w:rPr>
          <w:rFonts w:hint="eastAsia" w:ascii="仿宋_GB2312" w:hAnsi="仿宋_GB2312" w:eastAsia="仿宋_GB2312" w:cs="仿宋_GB2312"/>
          <w:kern w:val="0"/>
          <w:sz w:val="32"/>
          <w:szCs w:val="32"/>
          <w:lang w:val="en-US" w:eastAsia="zh-CN" w:bidi="ar"/>
        </w:rPr>
        <w:t>犬的，予以警告；警告后不</w:t>
      </w:r>
      <w:r>
        <w:rPr>
          <w:rFonts w:hint="eastAsia" w:ascii="仿宋_GB2312" w:hAnsi="仿宋_GB2312" w:eastAsia="仿宋_GB2312" w:cs="仿宋_GB2312"/>
          <w:kern w:val="2"/>
          <w:sz w:val="32"/>
          <w:szCs w:val="32"/>
          <w:lang w:val="en-US" w:eastAsia="zh-CN" w:bidi="ar-SA"/>
        </w:rPr>
        <w:t>改正的，或者致使动物伤害他人的，没收犬只，处五日以下拘留或者1000元以下罚款；情节较重的，处五日以上十日以下拘留”。</w:t>
      </w:r>
      <w:r>
        <w:rPr>
          <w:rFonts w:hint="eastAsia" w:ascii="仿宋_GB2312" w:hAnsi="仿宋_GB2312" w:eastAsia="仿宋_GB2312" w:cs="仿宋_GB2312"/>
          <w:kern w:val="0"/>
          <w:sz w:val="32"/>
          <w:szCs w:val="32"/>
          <w:lang w:val="en-US" w:eastAsia="zh-CN" w:bidi="ar"/>
        </w:rPr>
        <w:t>增加一项，作为第二项：“（二）违反第四条第一款规定，出售、饲养大型犬的，</w:t>
      </w:r>
      <w:r>
        <w:rPr>
          <w:rFonts w:hint="eastAsia" w:ascii="仿宋_GB2312" w:hAnsi="仿宋_GB2312" w:eastAsia="仿宋_GB2312" w:cs="仿宋_GB2312"/>
          <w:b w:val="0"/>
          <w:bCs w:val="0"/>
          <w:kern w:val="0"/>
          <w:sz w:val="32"/>
          <w:szCs w:val="32"/>
          <w:lang w:val="en-US" w:eastAsia="zh-CN" w:bidi="ar"/>
        </w:rPr>
        <w:t>予以警告；警告后不改正的，没收犬只，处500元以上1000元以下罚款”。将第五项改为第六项，修改为：“（六）违反第六条、第七条第二款、第八条、第九条、第十条关于养犬义务和携带犬只外出等规定的，予以警告，警告后不改正的，处以200元的罚款；未履行看管义务，致使犬只造成交通事故的，养犬人承担相应的赔偿责任”。增加一项，作为第七项：“（七）违反第七条第一款规定，饲养犬只干扰他人正常生活的，予以警告；警告后不改正的，或者放任动物恐吓他人的，处1000元以下罚款”。</w:t>
      </w:r>
    </w:p>
    <w:p w14:paraId="1C6C6939">
      <w:pPr>
        <w:pStyle w:val="2"/>
        <w:ind w:firstLine="640"/>
        <w:rPr>
          <w:rFonts w:hint="eastAsia" w:ascii="仿宋_GB2312" w:hAnsi="仿宋_GB2312" w:eastAsia="仿宋_GB2312" w:cs="仿宋_GB2312"/>
          <w:b w:val="0"/>
          <w:bCs w:val="0"/>
          <w:kern w:val="0"/>
          <w:sz w:val="32"/>
          <w:szCs w:val="32"/>
          <w:lang w:val="en-US" w:eastAsia="zh-CN" w:bidi="ar"/>
        </w:rPr>
      </w:pPr>
      <w:r>
        <w:rPr>
          <w:rFonts w:hint="eastAsia" w:ascii="仿宋_GB2312" w:hAnsi="仿宋_GB2312" w:eastAsia="仿宋_GB2312" w:cs="仿宋_GB2312"/>
          <w:b w:val="0"/>
          <w:bCs w:val="0"/>
          <w:kern w:val="0"/>
          <w:sz w:val="32"/>
          <w:szCs w:val="32"/>
          <w:lang w:val="en-US" w:eastAsia="zh-CN" w:bidi="ar"/>
        </w:rPr>
        <w:t>将第二十条改为第十九条，修改为：“打击、报复举报、投诉人的，以暴力或者以暴力相威胁阻挠执法人员执行公务的，公安机关可以依据《中华人民共和国治安管理处罚法》对违法行为人实施行政拘留；涉嫌犯罪的，移交司法机关处理。”</w:t>
      </w:r>
    </w:p>
    <w:p w14:paraId="660EE770">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kern w:val="0"/>
          <w:sz w:val="32"/>
          <w:szCs w:val="32"/>
          <w:lang w:val="en-US" w:eastAsia="zh-CN" w:bidi="ar"/>
        </w:rPr>
        <w:t>将《吉林市气象灾害防御条例》</w:t>
      </w:r>
      <w:r>
        <w:rPr>
          <w:rFonts w:hint="eastAsia" w:ascii="仿宋_GB2312" w:hAnsi="仿宋_GB2312" w:eastAsia="仿宋_GB2312" w:cs="仿宋_GB2312"/>
          <w:color w:val="auto"/>
          <w:kern w:val="2"/>
          <w:sz w:val="32"/>
          <w:szCs w:val="32"/>
          <w:highlight w:val="none"/>
          <w:lang w:val="en-US" w:eastAsia="zh-CN" w:bidi="ar-SA"/>
        </w:rPr>
        <w:t>增加一条，作为第六条：“公民、法人和其他组织有义务参与气象灾害防御工作，在气象灾害发生后开展自救互救。”</w:t>
      </w:r>
    </w:p>
    <w:p w14:paraId="07636D4B">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增加一条，作为第九条: “市、县（市、区）人民政府应当组织气象、应急管理等部门根据气象灾害性质特点和气象灾害风险评估结果，将本行政区域内可能遭受气象灾害较大影响的单位列入气象灾害防御重点单位目录，并向社会公布。”</w:t>
      </w:r>
    </w:p>
    <w:p w14:paraId="2717838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增加一条，作为第十条：“市、县（市、区）人民政府应当组织有关部门加强对气象灾害防御重点单位的监督检查。</w:t>
      </w:r>
    </w:p>
    <w:p w14:paraId="54931CD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“市、县（市）气象主管机构应当指导气象灾害防御重点单位做好气象灾害防御工作。”</w:t>
      </w:r>
    </w:p>
    <w:p w14:paraId="3087070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将第八条改为第十一条，修改为：“市、县（市）气象主管机构应当根据气象灾害防御系统建设规划，加强本行政区域内气象监测设施建设的规划、指导、监督和行业管理。</w:t>
      </w:r>
    </w:p>
    <w:p w14:paraId="5DA6340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发展和改革、水利、农业农村、应急管理、规划和自然资源等相关部门要协同做好监测设施布局规划，重要气象设施建设项目在项目建议书和可行性研究报告批准前，应当征求同级气象主管机构意见，避免重复建设。”</w:t>
      </w:r>
    </w:p>
    <w:p w14:paraId="62CCD3D6">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增加一条，作为第十四条：“水利、农业农村、应急管理、规划和自然资源等相关部门、有关组织和个人新建、改建、迁移、撤销气象探测设施的，应当自建成之日或者迁移、撤销后三个月内将相关信息报送当地气象主管机构。</w:t>
      </w:r>
    </w:p>
    <w:p w14:paraId="2BE1844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“气象探测设施建成和投入使用后，应当定期开展计量检定和标校，并向气象主管机构汇交、共享气象监测数据。”</w:t>
      </w:r>
    </w:p>
    <w:p w14:paraId="3F970751">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将第十二条改为第十六条，将第一款中的“气象部门”修改为“气象主管机构”，将第二款中的“气象、应急”修改为“气象主管机构和应急管理”。</w:t>
      </w:r>
    </w:p>
    <w:p w14:paraId="0DD6D44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增加一条，作为第十九条：“大型群众性活动的承办者应当及时主动获取天气预报和气象灾害预警信息，将气象灾害预防纳入安全工作方案，适时调整活动方案或者采取安全保障措施。”</w:t>
      </w:r>
    </w:p>
    <w:p w14:paraId="0CA0C15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将第十五条改为第二十条，修改为：“与气候条件密切相关的国土空间规划、专项规划、区域发展规划、气候资源开发利用规划、区域评估、国家重点建设工程、重大基础设施、公共工程、重大区域性经济开发项目，大型太阳能、风能等气候资源开发利用项目，核、化工等项目应当按照国家和省有关规定，由气象主管机构组织气候可行性论证机构进行论证，分析、评估气候适宜性、气象灾害风险性以及项目实施后可能对局地气候产生的影响。</w:t>
      </w:r>
    </w:p>
    <w:p w14:paraId="334C04E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“气候可行性论证项目范围应当按照省有关规定执行。”  </w:t>
      </w:r>
    </w:p>
    <w:p w14:paraId="180A3A7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将第二十二条改为第二十七条，将其中的“人工增雨”修改为“人工增雨（雪）”。</w:t>
      </w:r>
    </w:p>
    <w:p w14:paraId="69A3547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将第三十条改为第三十五条，修改为：“市、县（市、区）人民政府应当加强对雷电灾害防御工作的领导，纳入安全生产监督管理工作范围。</w:t>
      </w:r>
    </w:p>
    <w:p w14:paraId="4EBBA1EC">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“负有安全生产监督管理职责的行业主管部门应当将雷电灾害防御工作纳入安全生产责任制，切实履行本行业的防雷安全监管责任。”</w:t>
      </w:r>
    </w:p>
    <w:p w14:paraId="6C771CC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将第三十一条改为第三十六条，修改为：“投入使用后的雷电防护装置应当根据国家有关建筑物防雷标准实行定期检测制度。雷电防护装置应当每年检测一次，对爆炸和火灾危险环境场所的雷电防护装置应当每半年检测一次。</w:t>
      </w:r>
    </w:p>
    <w:p w14:paraId="61BD095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“建（构）筑物、场所和设施的所有人或者管理人应当做好雷电防护装置的日常检查和维护工作，委托具备相应资质的雷电防护装置检测机构进行定期检测；经检测不合格的，应当在规定的期限内进行整改。</w:t>
      </w:r>
    </w:p>
    <w:p w14:paraId="2347645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将第三十二条改为第三十七条，修改为：“从事雷电防护装置检测的单位，应当依法取得国家规定的资质，按照法律、法规和相关规定开展雷电防护装置检测活动，并接受雷电防护装置检测项目所在地气象主管机构的监督管理。</w:t>
      </w:r>
    </w:p>
    <w:p w14:paraId="283A788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“检测单位应当在检测完成后5个工作日内，将检测报告、现场检测影像等资料上传至全国防雷减灾综合服务平台。”</w:t>
      </w:r>
    </w:p>
    <w:p w14:paraId="3E01FB09">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将第三十八条改为第四十三条，修改为：“违反本条例规定，市、县（市、区）、乡镇人民政府、气象主管机构和其他有关部门及其工作人员有下列行为之一的，由其上级机关或者监察机关责令改正；情节严重的，对直接负责的主管人员和其他直接责任人员，依法给予处分：</w:t>
      </w:r>
    </w:p>
    <w:p w14:paraId="01CED7F2">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“（一）未按照规定采取气象灾害预防措施的；</w:t>
      </w:r>
    </w:p>
    <w:p w14:paraId="1AE62A5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“（二）隐瞒、谎报或者由于玩忽职守导致重大漏报、错报气象灾害预警信息的。”</w:t>
      </w:r>
    </w:p>
    <w:p w14:paraId="55C759A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此外，将本条例中的“县（市）区”修改为“县（市、区）”，“县级以上气象主管机构”修改为“市、县（市）气象主管机构”，“防雷装置”修改为“雷电防护装置”。</w:t>
      </w:r>
    </w:p>
    <w:p w14:paraId="0E615E9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kern w:val="2"/>
          <w:sz w:val="32"/>
          <w:szCs w:val="32"/>
          <w:highlight w:val="none"/>
          <w:lang w:val="en-US" w:eastAsia="zh-CN" w:bidi="ar-SA"/>
        </w:rPr>
        <w:t>对相关地方性法规中的条文顺序作相应调整。</w:t>
      </w:r>
    </w:p>
    <w:p w14:paraId="55431EB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auto"/>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FF2250"/>
    <w:multiLevelType w:val="singleLevel"/>
    <w:tmpl w:val="6CFF225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C7B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Normal (Web)"/>
    <w:basedOn w:val="1"/>
    <w:qFormat/>
    <w:uiPriority w:val="0"/>
    <w:pPr>
      <w:spacing w:before="100" w:beforeAutospacing="1" w:after="10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2026-05-14T08:15:46Z</dcterms:created>
  <dc:creator>25269</dc:creator>
  <cp:lastModifiedBy>铭</cp:lastModifiedBy>
  <dcterms:modified xsi:type="dcterms:W3CDTF">2026-05-14T08:15:54Z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eyJoZGlkIjoiYTM0YjUxNmQ3NjExZjc4NmFiNzM2NmM5NzFjZjJlNzMiLCJ1c2VySWQiOiIxMTM0NzAwNTUxIn0=</vt:lpwstr>
  </property>
  <property fmtid="{D5CDD505-2E9C-101B-9397-08002B2CF9AE}" pid="4" name="ICV">
    <vt:lpwstr>EC323BC04B104B9180DC19ADC9DB23A7_12</vt:lpwstr>
  </property>
</Properties>
</file>