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9E9CA4">
      <w:pPr>
        <w:widowControl/>
        <w:spacing w:line="600" w:lineRule="exact"/>
        <w:jc w:val="both"/>
        <w:rPr>
          <w:rFonts w:ascii="方正小标宋简体" w:eastAsia="方正小标宋简体"/>
          <w:sz w:val="44"/>
          <w:szCs w:val="44"/>
        </w:rPr>
      </w:pPr>
      <w:r>
        <w:rPr>
          <w:rFonts w:hint="eastAsia" w:ascii="方正小标宋简体" w:eastAsia="方正小标宋简体"/>
          <w:sz w:val="44"/>
          <w:szCs w:val="44"/>
          <w:lang w:eastAsia="zh-CN"/>
        </w:rPr>
        <w:t>吉林市</w:t>
      </w:r>
      <w:r>
        <w:rPr>
          <w:rFonts w:hint="eastAsia" w:ascii="方正小标宋简体" w:eastAsia="方正小标宋简体"/>
          <w:sz w:val="44"/>
          <w:szCs w:val="44"/>
        </w:rPr>
        <w:t>关于</w:t>
      </w:r>
      <w:r>
        <w:rPr>
          <w:rFonts w:hint="eastAsia" w:ascii="方正小标宋简体" w:eastAsia="方正小标宋简体"/>
          <w:sz w:val="44"/>
          <w:szCs w:val="44"/>
          <w:lang w:val="en-US" w:eastAsia="zh-CN"/>
        </w:rPr>
        <w:t>第二轮省</w:t>
      </w:r>
      <w:r>
        <w:rPr>
          <w:rFonts w:hint="eastAsia" w:ascii="方正小标宋简体" w:eastAsia="方正小标宋简体"/>
          <w:sz w:val="44"/>
          <w:szCs w:val="44"/>
        </w:rPr>
        <w:t>生态环境保护督察反馈</w:t>
      </w:r>
      <w:r>
        <w:rPr>
          <w:rFonts w:hint="eastAsia" w:ascii="方正小标宋简体" w:eastAsia="方正小标宋简体"/>
          <w:sz w:val="44"/>
          <w:szCs w:val="44"/>
          <w:lang w:val="en-US" w:eastAsia="zh-CN"/>
        </w:rPr>
        <w:t>问题</w:t>
      </w:r>
      <w:r>
        <w:rPr>
          <w:rFonts w:hint="eastAsia" w:ascii="方正小标宋简体" w:eastAsia="方正小标宋简体"/>
          <w:sz w:val="44"/>
          <w:szCs w:val="44"/>
        </w:rPr>
        <w:t>整改任务（序号</w:t>
      </w:r>
      <w:r>
        <w:rPr>
          <w:rFonts w:hint="eastAsia" w:ascii="方正小标宋简体" w:eastAsia="方正小标宋简体"/>
          <w:sz w:val="44"/>
          <w:szCs w:val="44"/>
          <w:lang w:val="en-US" w:eastAsia="zh-CN"/>
        </w:rPr>
        <w:t>三</w:t>
      </w:r>
      <w:r>
        <w:rPr>
          <w:rFonts w:hint="eastAsia" w:ascii="方正小标宋简体" w:eastAsia="方正小标宋简体"/>
          <w:sz w:val="44"/>
          <w:szCs w:val="44"/>
        </w:rPr>
        <w:t>）销号确认表</w:t>
      </w:r>
    </w:p>
    <w:p w14:paraId="025F48C6">
      <w:pPr>
        <w:widowControl/>
        <w:rPr>
          <w:rFonts w:hint="eastAsia" w:eastAsia="楷体_GB2312"/>
          <w:sz w:val="32"/>
          <w:szCs w:val="32"/>
        </w:rPr>
      </w:pPr>
    </w:p>
    <w:tbl>
      <w:tblPr>
        <w:tblStyle w:val="3"/>
        <w:tblW w:w="93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56"/>
        <w:gridCol w:w="6486"/>
      </w:tblGrid>
      <w:tr w14:paraId="4FB3F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9" w:hRule="atLeast"/>
          <w:jc w:val="center"/>
        </w:trPr>
        <w:tc>
          <w:tcPr>
            <w:tcW w:w="2856" w:type="dxa"/>
            <w:noWrap w:val="0"/>
            <w:vAlign w:val="center"/>
          </w:tcPr>
          <w:p w14:paraId="0D54F53C">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eastAsia="楷体_GB2312"/>
                <w:kern w:val="0"/>
                <w:sz w:val="32"/>
                <w:szCs w:val="32"/>
              </w:rPr>
            </w:pPr>
            <w:r>
              <w:rPr>
                <w:rFonts w:hint="eastAsia" w:eastAsia="楷体_GB2312"/>
                <w:kern w:val="0"/>
                <w:sz w:val="32"/>
                <w:szCs w:val="32"/>
              </w:rPr>
              <w:t>整改任务</w:t>
            </w:r>
          </w:p>
        </w:tc>
        <w:tc>
          <w:tcPr>
            <w:tcW w:w="6486" w:type="dxa"/>
            <w:noWrap w:val="0"/>
            <w:vAlign w:val="center"/>
          </w:tcPr>
          <w:p w14:paraId="3049F44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一些地方编制“十四五”规划时降低标准，放松绿色生态类指标要求。国家及吉林省“十四五”规划均设定了5个绿色生态类指标，且全是约束性指标。但督察发现，吉林市昌邑区、通化市柳河县等 15 个县</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市、区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设定的指标体系，未包含能耗和二氧化碳排放降低两项指标。长春市九台区、白城市通榆县等18个县</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市、区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设定的指标体系，未包含环境空气质量优良天数或地表水优良水体比例。</w:t>
            </w:r>
          </w:p>
        </w:tc>
      </w:tr>
      <w:tr w14:paraId="0D78A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9" w:hRule="atLeast"/>
          <w:jc w:val="center"/>
        </w:trPr>
        <w:tc>
          <w:tcPr>
            <w:tcW w:w="2856" w:type="dxa"/>
            <w:noWrap w:val="0"/>
            <w:vAlign w:val="center"/>
          </w:tcPr>
          <w:p w14:paraId="15F4314A">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eastAsia="楷体_GB2312"/>
                <w:kern w:val="0"/>
                <w:sz w:val="32"/>
                <w:szCs w:val="32"/>
              </w:rPr>
            </w:pPr>
            <w:r>
              <w:rPr>
                <w:rFonts w:hint="eastAsia" w:eastAsia="楷体_GB2312"/>
                <w:kern w:val="0"/>
                <w:sz w:val="32"/>
                <w:szCs w:val="32"/>
              </w:rPr>
              <w:t>整改目标</w:t>
            </w:r>
          </w:p>
        </w:tc>
        <w:tc>
          <w:tcPr>
            <w:tcW w:w="6486" w:type="dxa"/>
            <w:noWrap w:val="0"/>
            <w:vAlign w:val="center"/>
          </w:tcPr>
          <w:p w14:paraId="793B9EEF">
            <w:pPr>
              <w:keepNext w:val="0"/>
              <w:keepLines w:val="0"/>
              <w:pageBreakBefore w:val="0"/>
              <w:kinsoku/>
              <w:wordWrap/>
              <w:overflowPunct/>
              <w:topLinePunct w:val="0"/>
              <w:autoSpaceDE/>
              <w:autoSpaceDN/>
              <w:bidi w:val="0"/>
              <w:adjustRightInd/>
              <w:snapToGrid/>
              <w:spacing w:line="560" w:lineRule="exact"/>
              <w:ind w:firstLine="320" w:firstLineChars="1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“十四五”规 划指标设置进一步规范，绿色生态类指标全部纳入考核指标体系。</w:t>
            </w:r>
          </w:p>
        </w:tc>
      </w:tr>
      <w:tr w14:paraId="768CB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0" w:hRule="atLeast"/>
          <w:jc w:val="center"/>
        </w:trPr>
        <w:tc>
          <w:tcPr>
            <w:tcW w:w="2856" w:type="dxa"/>
            <w:noWrap w:val="0"/>
            <w:vAlign w:val="center"/>
          </w:tcPr>
          <w:p w14:paraId="66FA9F9A">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eastAsia="楷体_GB2312"/>
                <w:kern w:val="0"/>
                <w:sz w:val="32"/>
                <w:szCs w:val="32"/>
              </w:rPr>
            </w:pPr>
            <w:r>
              <w:rPr>
                <w:rFonts w:hint="eastAsia" w:eastAsia="楷体_GB2312"/>
                <w:kern w:val="0"/>
                <w:sz w:val="32"/>
                <w:szCs w:val="32"/>
              </w:rPr>
              <w:t>整改措施</w:t>
            </w:r>
          </w:p>
        </w:tc>
        <w:tc>
          <w:tcPr>
            <w:tcW w:w="6486" w:type="dxa"/>
            <w:noWrap w:val="0"/>
            <w:vAlign w:val="center"/>
          </w:tcPr>
          <w:p w14:paraId="51FFAA99">
            <w:pPr>
              <w:pStyle w:val="2"/>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firstLine="320" w:firstLineChars="100"/>
              <w:textAlignment w:val="auto"/>
              <w:rPr>
                <w:rFonts w:hint="eastAsia" w:ascii="仿宋_GB2312" w:hAnsi="仿宋_GB2312" w:eastAsia="仿宋_GB2312" w:cs="仿宋_GB2312"/>
                <w:szCs w:val="32"/>
              </w:rPr>
            </w:pPr>
            <w:r>
              <w:rPr>
                <w:rFonts w:hint="eastAsia" w:ascii="仿宋_GB2312" w:hAnsi="仿宋_GB2312" w:eastAsia="仿宋_GB2312" w:cs="仿宋_GB2312"/>
                <w:szCs w:val="32"/>
              </w:rPr>
              <w:t>省</w:t>
            </w:r>
            <w:r>
              <w:rPr>
                <w:rFonts w:hint="eastAsia" w:ascii="仿宋_GB2312" w:hAnsi="仿宋_GB2312" w:eastAsia="仿宋_GB2312" w:cs="仿宋_GB2312"/>
                <w:szCs w:val="32"/>
                <w:lang w:val="en-US" w:eastAsia="zh-CN"/>
              </w:rPr>
              <w:t>整改</w:t>
            </w:r>
            <w:r>
              <w:rPr>
                <w:rFonts w:hint="eastAsia" w:ascii="仿宋_GB2312" w:hAnsi="仿宋_GB2312" w:eastAsia="仿宋_GB2312" w:cs="仿宋_GB2312"/>
                <w:szCs w:val="32"/>
              </w:rPr>
              <w:t>措施</w:t>
            </w:r>
          </w:p>
          <w:p w14:paraId="455D0912">
            <w:pPr>
              <w:pStyle w:val="2"/>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Cs w:val="32"/>
              </w:rPr>
            </w:pPr>
            <w:r>
              <w:rPr>
                <w:rFonts w:hint="eastAsia" w:ascii="仿宋_GB2312" w:hAnsi="仿宋_GB2312" w:eastAsia="仿宋_GB2312" w:cs="仿宋_GB2312"/>
                <w:kern w:val="2"/>
                <w:sz w:val="32"/>
                <w:szCs w:val="32"/>
                <w:lang w:val="en-US" w:eastAsia="zh-CN" w:bidi="ar-SA"/>
              </w:rPr>
              <w:t>（一）</w:t>
            </w:r>
            <w:r>
              <w:rPr>
                <w:rFonts w:hint="eastAsia" w:ascii="仿宋_GB2312" w:hAnsi="仿宋_GB2312" w:eastAsia="仿宋_GB2312" w:cs="仿宋_GB2312"/>
                <w:szCs w:val="32"/>
              </w:rPr>
              <w:t>各市</w:t>
            </w:r>
            <w:r>
              <w:rPr>
                <w:rFonts w:hint="eastAsia" w:ascii="仿宋_GB2312" w:hAnsi="仿宋_GB2312" w:eastAsia="仿宋_GB2312" w:cs="仿宋_GB2312"/>
                <w:szCs w:val="32"/>
                <w:lang w:eastAsia="zh-CN"/>
              </w:rPr>
              <w:t>（</w:t>
            </w:r>
            <w:r>
              <w:rPr>
                <w:rFonts w:hint="eastAsia" w:ascii="仿宋_GB2312" w:hAnsi="仿宋_GB2312" w:eastAsia="仿宋_GB2312" w:cs="仿宋_GB2312"/>
                <w:szCs w:val="32"/>
              </w:rPr>
              <w:t>州</w:t>
            </w:r>
            <w:r>
              <w:rPr>
                <w:rFonts w:hint="eastAsia" w:ascii="仿宋_GB2312" w:hAnsi="仿宋_GB2312" w:eastAsia="仿宋_GB2312" w:cs="仿宋_GB2312"/>
                <w:szCs w:val="32"/>
                <w:lang w:eastAsia="zh-CN"/>
              </w:rPr>
              <w:t>）</w:t>
            </w:r>
            <w:r>
              <w:rPr>
                <w:rFonts w:hint="eastAsia" w:ascii="仿宋_GB2312" w:hAnsi="仿宋_GB2312" w:eastAsia="仿宋_GB2312" w:cs="仿宋_GB2312"/>
                <w:szCs w:val="32"/>
              </w:rPr>
              <w:t>对本级及所辖县</w:t>
            </w:r>
            <w:r>
              <w:rPr>
                <w:rFonts w:hint="eastAsia" w:ascii="仿宋_GB2312" w:hAnsi="仿宋_GB2312" w:eastAsia="仿宋_GB2312" w:cs="仿宋_GB2312"/>
                <w:szCs w:val="32"/>
                <w:lang w:eastAsia="zh-CN"/>
              </w:rPr>
              <w:t>（</w:t>
            </w:r>
            <w:r>
              <w:rPr>
                <w:rFonts w:hint="eastAsia" w:ascii="仿宋_GB2312" w:hAnsi="仿宋_GB2312" w:eastAsia="仿宋_GB2312" w:cs="仿宋_GB2312"/>
                <w:szCs w:val="32"/>
              </w:rPr>
              <w:t>市、区</w:t>
            </w:r>
            <w:r>
              <w:rPr>
                <w:rFonts w:hint="eastAsia" w:ascii="仿宋_GB2312" w:hAnsi="仿宋_GB2312" w:eastAsia="仿宋_GB2312" w:cs="仿宋_GB2312"/>
                <w:szCs w:val="32"/>
                <w:lang w:eastAsia="zh-CN"/>
              </w:rPr>
              <w:t>）</w:t>
            </w:r>
            <w:r>
              <w:rPr>
                <w:rFonts w:hint="eastAsia" w:ascii="仿宋_GB2312" w:hAnsi="仿宋_GB2312" w:eastAsia="仿宋_GB2312" w:cs="仿宋_GB2312"/>
                <w:szCs w:val="32"/>
              </w:rPr>
              <w:t>编制的“十四五”规划中5个绿色生态类约束性指标设置情况进行全面排查梳理，形成问题清单。</w:t>
            </w:r>
          </w:p>
          <w:p w14:paraId="20C34E1A">
            <w:pPr>
              <w:keepNext w:val="0"/>
              <w:keepLines w:val="0"/>
              <w:pageBreakBefore w:val="0"/>
              <w:numPr>
                <w:ilvl w:val="0"/>
                <w:numId w:val="0"/>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二）各市（州）对本级及所辖县（市、区）存在绿色生态类指标未纳入且尚未颁布实施的规划，立即调整补充。对规划已经颁布实施的，将指标纳入年度考核指标体系，并按照相关规定在中期评估过程中进行调整补充。</w:t>
            </w:r>
          </w:p>
          <w:p w14:paraId="24A2BECA">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吉林市整改措施</w:t>
            </w:r>
          </w:p>
          <w:p w14:paraId="2F7C1EB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（一）市发改委对《吉林市国民经济和社会发展第十四个五年规划纲要》中绿色生态类约束性指标设置情况进行全面梳理排查，确保5个约束性指标设置明确清晰。</w:t>
            </w:r>
          </w:p>
          <w:p w14:paraId="60E66D1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二）各县（市）区党委、政府严格对照省、市“十四五”规划对本地“十四五”规划重新复核，对存在绿色生态类指标未纳入且尚未颁布实施的规划，立即调整补充；对规划已经颁布实施的，将指标纳入年度考核指标体系，并按照相关规定在中期评估过程中进行调整补充，确保按照要求落实各项约束性指标。</w:t>
            </w:r>
          </w:p>
          <w:p w14:paraId="58BE41A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（三）各县（市）区党委、政府建立完善规划编制审核机制，层层压实责任、层层把关，加强各项指标校对，不降低标准。</w:t>
            </w:r>
          </w:p>
          <w:p w14:paraId="7A343A9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（四）昌邑区严格对标省、市“十四五”规划，将单位 GDP 能耗、二氧化碳排放降低，环境空气质量优良天数和地表水优良水体比例等约束性指标纳入昌邑区“十四五”规划，提交区人大审议后实施。</w:t>
            </w:r>
          </w:p>
        </w:tc>
      </w:tr>
      <w:tr w14:paraId="6345F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1" w:hRule="atLeast"/>
          <w:jc w:val="center"/>
        </w:trPr>
        <w:tc>
          <w:tcPr>
            <w:tcW w:w="2856" w:type="dxa"/>
            <w:noWrap w:val="0"/>
            <w:vAlign w:val="center"/>
          </w:tcPr>
          <w:p w14:paraId="16CF3B1A">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eastAsia="楷体_GB2312"/>
                <w:kern w:val="0"/>
                <w:sz w:val="32"/>
                <w:szCs w:val="32"/>
              </w:rPr>
            </w:pPr>
            <w:r>
              <w:rPr>
                <w:rFonts w:hint="eastAsia" w:eastAsia="楷体_GB2312"/>
                <w:kern w:val="0"/>
                <w:sz w:val="32"/>
                <w:szCs w:val="32"/>
              </w:rPr>
              <w:t>整改完成情况</w:t>
            </w:r>
          </w:p>
        </w:tc>
        <w:tc>
          <w:tcPr>
            <w:tcW w:w="6486" w:type="dxa"/>
            <w:noWrap w:val="0"/>
            <w:vAlign w:val="center"/>
          </w:tcPr>
          <w:p w14:paraId="321AECF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（一）市发改委对《吉林市国民经济和社会发展第十四个五年计划》中绿色生态类约束性指标设置情况进行了全面梳理排查，经排查，5项约束性指标设置明确清晰。</w:t>
            </w:r>
          </w:p>
          <w:p w14:paraId="0FFC2B3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（二）吉林市组织各县（市）区党委、政府严格对照省、市“十四五”规划对本地“十四五”规划重新复核，各县（市）区已将绿色生态类指标纳入“十四五”规划。</w:t>
            </w:r>
          </w:p>
          <w:p w14:paraId="4F1DCA6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（三）我市组织各县（市）区党委 政府严格对照省、市“十四五”规划重新复核，逐项对照，各县 （市）区已将绿色生态类指标纳入“十四五”规划，各项指标不低于省标准；</w:t>
            </w:r>
          </w:p>
          <w:p w14:paraId="3111380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（四）经调整，昌邑区已将能耗和二氧化碳排放降低两项指标纳入“十四五”规划。</w:t>
            </w:r>
          </w:p>
          <w:p w14:paraId="441F6D31">
            <w:pPr>
              <w:keepNext w:val="0"/>
              <w:keepLines w:val="0"/>
              <w:pageBreakBefore w:val="0"/>
              <w:widowControl/>
              <w:kinsoku/>
              <w:wordWrap/>
              <w:overflowPunct/>
              <w:topLinePunct w:val="0"/>
              <w:autoSpaceDE/>
              <w:autoSpaceDN/>
              <w:bidi w:val="0"/>
              <w:adjustRightInd/>
              <w:snapToGrid/>
              <w:spacing w:line="560" w:lineRule="exact"/>
              <w:ind w:firstLine="420" w:firstLineChars="200"/>
              <w:textAlignment w:val="auto"/>
              <w:rPr>
                <w:rFonts w:eastAsia="楷体_GB2312"/>
                <w:kern w:val="0"/>
                <w:szCs w:val="32"/>
              </w:rPr>
            </w:pPr>
          </w:p>
        </w:tc>
      </w:tr>
    </w:tbl>
    <w:p w14:paraId="7B3CAE1F">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3"/>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8A233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3"/>
    <w:basedOn w:val="1"/>
    <w:next w:val="1"/>
    <w:qFormat/>
    <w:uiPriority w:val="0"/>
    <w:pPr>
      <w:keepNext/>
      <w:keepLines/>
      <w:spacing w:beforeLines="0" w:beforeAutospacing="0" w:afterLines="0" w:afterAutospacing="0" w:line="560" w:lineRule="exact"/>
      <w:ind w:left="630" w:leftChars="300"/>
      <w:jc w:val="left"/>
      <w:outlineLvl w:val="2"/>
    </w:pPr>
    <w:rPr>
      <w:rFonts w:ascii="Times New Roman" w:hAnsi="Times New Roman" w:eastAsia="楷体"/>
      <w:sz w:val="32"/>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2025-05-22T02:10:15Z</dcterms:created>
  <dc:creator>Administrator</dc:creator>
  <cp:lastModifiedBy>Administrator</cp:lastModifiedBy>
  <dcterms:modified xsi:type="dcterms:W3CDTF">2025-05-22T02:10:40Z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KSOTemplateDocerSaveRecord">
    <vt:lpwstr>eyJoZGlkIjoiYTkxY2U2NTU3N2FjZmJmMTE1ZDM2YmMwNjk2N2ExNDQifQ==</vt:lpwstr>
  </property>
  <property fmtid="{D5CDD505-2E9C-101B-9397-08002B2CF9AE}" pid="4" name="ICV">
    <vt:lpwstr>2E5FD98654784E44B2391AB3DFF3C045_12</vt:lpwstr>
  </property>
</Properties>
</file>