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4AE1A">
      <w:pPr>
        <w:keepNext w:val="0"/>
        <w:keepLines w:val="0"/>
        <w:pageBreakBefore w:val="0"/>
        <w:kinsoku/>
        <w:wordWrap/>
        <w:overflowPunct/>
        <w:topLinePunct w:val="0"/>
        <w:autoSpaceDE/>
        <w:autoSpaceDN/>
        <w:bidi w:val="0"/>
        <w:adjustRightInd/>
        <w:snapToGrid/>
        <w:spacing w:line="576" w:lineRule="exact"/>
        <w:textAlignment w:val="auto"/>
        <w:rPr>
          <w:rFonts w:hint="eastAsia" w:ascii="黑体" w:hAnsi="黑体" w:eastAsia="黑体" w:cs="黑体"/>
          <w:sz w:val="32"/>
          <w:szCs w:val="32"/>
          <w:u w:val="none"/>
        </w:rPr>
      </w:pPr>
      <w:r>
        <w:rPr>
          <w:rFonts w:hint="eastAsia" w:ascii="黑体" w:hAnsi="黑体" w:eastAsia="黑体" w:cs="黑体"/>
          <w:sz w:val="32"/>
          <w:szCs w:val="32"/>
          <w:u w:val="none"/>
        </w:rPr>
        <w:t>附件1</w:t>
      </w:r>
    </w:p>
    <w:p w14:paraId="5A6B5150">
      <w:pPr>
        <w:keepNext w:val="0"/>
        <w:keepLines w:val="0"/>
        <w:pageBreakBefore w:val="0"/>
        <w:kinsoku/>
        <w:wordWrap/>
        <w:overflowPunct/>
        <w:topLinePunct w:val="0"/>
        <w:autoSpaceDE/>
        <w:autoSpaceDN/>
        <w:bidi w:val="0"/>
        <w:adjustRightInd/>
        <w:snapToGrid/>
        <w:spacing w:line="576" w:lineRule="exact"/>
        <w:textAlignment w:val="auto"/>
        <w:rPr>
          <w:rFonts w:hint="default" w:ascii="Times New Roman" w:hAnsi="Times New Roman" w:cs="Times New Roman"/>
          <w:sz w:val="32"/>
          <w:szCs w:val="32"/>
          <w:u w:val="none"/>
        </w:rPr>
      </w:pPr>
    </w:p>
    <w:p w14:paraId="57D1A892">
      <w:pPr>
        <w:keepNext w:val="0"/>
        <w:keepLines w:val="0"/>
        <w:pageBreakBefore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公文小标宋" w:cs="Times New Roman"/>
          <w:sz w:val="44"/>
          <w:szCs w:val="44"/>
          <w:u w:val="none"/>
        </w:rPr>
      </w:pPr>
      <w:r>
        <w:rPr>
          <w:rFonts w:hint="default" w:ascii="Times New Roman" w:hAnsi="Times New Roman" w:eastAsia="方正公文小标宋" w:cs="Times New Roman"/>
          <w:sz w:val="44"/>
          <w:szCs w:val="44"/>
          <w:u w:val="none"/>
        </w:rPr>
        <w:t>2026年</w:t>
      </w:r>
      <w:r>
        <w:rPr>
          <w:rFonts w:hint="eastAsia" w:ascii="Times New Roman" w:hAnsi="Times New Roman" w:eastAsia="方正公文小标宋" w:cs="方正公文小标宋"/>
          <w:sz w:val="44"/>
          <w:szCs w:val="44"/>
          <w:u w:val="none"/>
          <w:lang w:val="en-US" w:eastAsia="zh-CN"/>
        </w:rPr>
        <w:t>揭榜挂帅（军令状）机制项目榜单</w:t>
      </w:r>
    </w:p>
    <w:p w14:paraId="54D96615">
      <w:pPr>
        <w:keepNext w:val="0"/>
        <w:keepLines w:val="0"/>
        <w:pageBreakBefore w:val="0"/>
        <w:kinsoku/>
        <w:wordWrap/>
        <w:overflowPunct/>
        <w:topLinePunct w:val="0"/>
        <w:autoSpaceDE/>
        <w:autoSpaceDN/>
        <w:bidi w:val="0"/>
        <w:adjustRightInd/>
        <w:snapToGrid/>
        <w:spacing w:line="576" w:lineRule="exact"/>
        <w:textAlignment w:val="auto"/>
        <w:rPr>
          <w:rFonts w:hint="default" w:ascii="Times New Roman" w:hAnsi="Times New Roman" w:eastAsia="方正小标宋简体" w:cs="Times New Roman"/>
          <w:sz w:val="32"/>
          <w:szCs w:val="32"/>
          <w:u w:val="none"/>
        </w:rPr>
      </w:pPr>
    </w:p>
    <w:p w14:paraId="5867914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榜单一：优质母牛高效利用关键技术研发与示范</w:t>
      </w:r>
    </w:p>
    <w:p w14:paraId="7E7B5901">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7E30395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单位名称:吉林省长春皓月清真肉业股份有限公司</w:t>
      </w:r>
    </w:p>
    <w:p w14:paraId="23456A6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项目联系人：许军 15500025781</w:t>
      </w:r>
    </w:p>
    <w:p w14:paraId="501FB95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4B0CCE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5E69F21A">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0CF5F2E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我公司优质母牛的繁殖效率较低，导致肉牛核心群和优秀遗传资源利用不足的产业问题，攻克以优质母牛重要繁殖性状基因的挖掘与鉴定、一胎双犊繁育技术体系产业化应用，实现优质肉牛核心群高效利用与提质增效。</w:t>
      </w:r>
    </w:p>
    <w:p w14:paraId="4CA0B8D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1．优质母牛重要繁殖性状基因的挖掘与鉴定</w:t>
      </w:r>
    </w:p>
    <w:p w14:paraId="2EC54A5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挖掘与鉴定优质母牛重要繁殖性状（卵泡发育能力、超数排卵性状、胚胎耐冻性）相关的基因标记，优选供体牛群，提高供体牛群的遗传品质。</w:t>
      </w:r>
    </w:p>
    <w:p w14:paraId="494CB7F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2．母牛一胎双犊繁育关键技术研发与应用</w:t>
      </w:r>
    </w:p>
    <w:p w14:paraId="544A3A4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优化受体母牛激素处理方案，并融合多维度生理参数与特异性生物标志物，建立高灵敏度、高特异度的黄体血流量动态评估方法，确保双胎受体母牛具备良好的黄体功能，提高以体内胚胎生产、人工授精+胚胎移植为基础的一胎双犊生产效率，降低生产成本，实现母牛一胎双犊技术产业化应用。</w:t>
      </w:r>
    </w:p>
    <w:p w14:paraId="7080C4E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02499E4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1．一胎双犊犊牛出生200头以上，筛选适合作为双胎移植受体母牛500头以上；</w:t>
      </w:r>
    </w:p>
    <w:p w14:paraId="34F3E25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2．挖掘与鉴定优质母牛重要繁殖性状相关基因标记5个以上；</w:t>
      </w:r>
    </w:p>
    <w:p w14:paraId="6B6FB3A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3．受体母牛60天孕检双胎妊娠率≥70%，双胎犊牛产后30日龄成活率≥90%，母牛年繁殖效率≥120%；</w:t>
      </w:r>
    </w:p>
    <w:p w14:paraId="11FD00E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4．6月龄母犊牛体重150公斤以上，公犊牛体重180公斤以上；</w:t>
      </w:r>
    </w:p>
    <w:p w14:paraId="7EC212B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5．组织培训繁育技术人员100人次以上。</w:t>
      </w:r>
    </w:p>
    <w:p w14:paraId="07ED9C47">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7D17122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项目研发总投入1500万元，揭榜金额300万元，出于满足实际研究需求考虑，最终预算允许商谈调整。</w:t>
      </w:r>
    </w:p>
    <w:p w14:paraId="271C15D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项目执行期2年，即2026年1月-2027年12月。</w:t>
      </w:r>
    </w:p>
    <w:p w14:paraId="4B7B5ADA">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5DB7957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bookmarkStart w:id="0" w:name="OLE_LINK2"/>
      <w:r>
        <w:rPr>
          <w:rFonts w:hint="default" w:ascii="Times New Roman" w:hAnsi="Times New Roman" w:eastAsia="仿宋_GB2312" w:cs="Times New Roman"/>
          <w:sz w:val="32"/>
          <w:szCs w:val="32"/>
          <w:u w:val="none"/>
        </w:rPr>
        <w:t>1</w:t>
      </w:r>
      <w:bookmarkEnd w:id="0"/>
      <w:r>
        <w:rPr>
          <w:rFonts w:hint="default" w:ascii="Times New Roman" w:hAnsi="Times New Roman" w:eastAsia="仿宋_GB2312" w:cs="Times New Roman"/>
          <w:sz w:val="32"/>
          <w:szCs w:val="32"/>
          <w:u w:val="none"/>
        </w:rPr>
        <w:t>.揭榜方应为吉林省境内具有独立法人资格的高校或科研院所，具有较强的研发实力、科研条件和稳定的人员队伍，有能力完成发榜方提出的任务，与发榜方不得存在股权、期权等关联关系；</w:t>
      </w:r>
    </w:p>
    <w:p w14:paraId="6717902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w:t>
      </w:r>
      <w:bookmarkStart w:id="1" w:name="OLE_LINK5"/>
      <w:r>
        <w:rPr>
          <w:rFonts w:hint="default" w:ascii="Times New Roman" w:hAnsi="Times New Roman" w:eastAsia="仿宋_GB2312" w:cs="Times New Roman"/>
          <w:sz w:val="32"/>
          <w:szCs w:val="32"/>
          <w:u w:val="none"/>
        </w:rPr>
        <w:t>.</w:t>
      </w:r>
      <w:bookmarkEnd w:id="1"/>
      <w:r>
        <w:rPr>
          <w:rFonts w:hint="default" w:ascii="Times New Roman" w:hAnsi="Times New Roman" w:eastAsia="仿宋_GB2312" w:cs="Times New Roman"/>
          <w:sz w:val="32"/>
          <w:szCs w:val="32"/>
          <w:u w:val="none"/>
        </w:rPr>
        <w:t>能对发榜项目任务提出可行的解决方案，掌握自主知识产权；</w:t>
      </w:r>
    </w:p>
    <w:p w14:paraId="2DD9B04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3.优先支持具有良好科研业绩基础，达到国内领先水平，并具备丰富肉牛产业生产经验的单位和团队，鼓励组建创新联合体共同开展揭榜攻关；</w:t>
      </w:r>
    </w:p>
    <w:p w14:paraId="35A9873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6FF0E8A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68ADA067">
      <w:pPr>
        <w:keepNext w:val="0"/>
        <w:keepLines w:val="0"/>
        <w:pageBreakBefore w:val="0"/>
        <w:kinsoku/>
        <w:wordWrap/>
        <w:overflowPunct/>
        <w:topLinePunct w:val="0"/>
        <w:autoSpaceDE/>
        <w:autoSpaceDN/>
        <w:bidi w:val="0"/>
        <w:adjustRightInd/>
        <w:snapToGrid/>
        <w:spacing w:line="576" w:lineRule="exact"/>
        <w:textAlignment w:val="auto"/>
        <w:rPr>
          <w:rFonts w:hint="default" w:ascii="Times New Roman" w:hAnsi="Times New Roman" w:eastAsia="仿宋" w:cs="Times New Roman"/>
          <w:sz w:val="32"/>
          <w:szCs w:val="32"/>
          <w:u w:val="none"/>
        </w:rPr>
      </w:pPr>
    </w:p>
    <w:p w14:paraId="61F2F0D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黑体" w:cs="Times New Roman"/>
          <w:sz w:val="32"/>
          <w:szCs w:val="32"/>
          <w:u w:val="none"/>
        </w:rPr>
        <w:t>榜单二：基于闪释技术的鲜人参全成分冻干片关键技术研究与产业化</w:t>
      </w:r>
    </w:p>
    <w:p w14:paraId="081B4C5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4455867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单位名称:修正药业集团股份有限公司 </w:t>
      </w:r>
    </w:p>
    <w:p w14:paraId="1B9CC9A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项目联系人：闫立成18704479999</w:t>
      </w:r>
    </w:p>
    <w:p w14:paraId="30930778">
      <w:pPr>
        <w:keepNext w:val="0"/>
        <w:keepLines w:val="0"/>
        <w:pageBreakBefore w:val="0"/>
        <w:kinsoku/>
        <w:wordWrap/>
        <w:overflowPunct/>
        <w:topLinePunct w:val="0"/>
        <w:autoSpaceDE/>
        <w:autoSpaceDN/>
        <w:bidi w:val="0"/>
        <w:adjustRightInd/>
        <w:snapToGrid/>
        <w:spacing w:line="576" w:lineRule="exact"/>
        <w:ind w:firstLine="2560" w:firstLineChars="8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张福生13944598938</w:t>
      </w:r>
    </w:p>
    <w:p w14:paraId="6F02D6A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2B0A083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1A8B1AD8">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1EEAB8A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人参皂苷、多糖、寡糖、单糖、氨基酸、多肽、蛋白质、挥发油、维生素、微量元素、有机酸、核苷酸、黄酮、甾醇等，是人参主要活性成分和营养物质。上市人参产品，工艺以水提醇沉、质量以总皂苷检测为主，活性成分破坏或缺失严重，产品质量无法全面表征，人参功效未能充分发挥，浪费资源，影响品质，产品升级困难。</w:t>
      </w:r>
    </w:p>
    <w:p w14:paraId="325C78C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项目“鲜人参全成分冻干片”以各类活性成分种类高度富集、辅料零添加、口腔闪释崩解为特点，关键的多糖降解与微粉化、无骨架冻干结晶控制工艺是其“卡脖子”问题，而建立多成分表征的产品质量标准，将填补人参精深加工行业空白。</w:t>
      </w:r>
    </w:p>
    <w:p w14:paraId="1E42C87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拟围绕以下内容开展项目研究：</w:t>
      </w:r>
    </w:p>
    <w:p w14:paraId="71F7097E">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1.活性成分的种类保留和提取转移率研究</w:t>
      </w:r>
    </w:p>
    <w:p w14:paraId="33A0C29E">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 w:cs="Times New Roman"/>
          <w:bCs/>
          <w:sz w:val="32"/>
          <w:szCs w:val="32"/>
          <w:u w:val="none"/>
        </w:rPr>
        <w:t>①</w:t>
      </w:r>
      <w:r>
        <w:rPr>
          <w:rFonts w:hint="default" w:ascii="Times New Roman" w:hAnsi="Times New Roman" w:eastAsia="仿宋_GB2312" w:cs="Times New Roman"/>
          <w:bCs/>
          <w:sz w:val="32"/>
          <w:szCs w:val="32"/>
          <w:u w:val="none"/>
        </w:rPr>
        <w:t>围绕人参皂苷、多糖、寡糖、单糖、氨基酸、多肽、蛋白质、挥发油、维生素、微量元素、有机酸、核苷酸、黄酮、甾醇等活性成分和营养物质，进一步优化提取工艺，最大限度保留活性成分的种类；</w:t>
      </w:r>
    </w:p>
    <w:p w14:paraId="1DB03A3A">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②通过细化工艺参数，建立关键生产控制指标，进一步提高各种活性成分的提取富集水平和含量指标，最大限度提高鲜人参总提取物的收率；</w:t>
      </w:r>
    </w:p>
    <w:p w14:paraId="39459275">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③对总提取物、中间体和成品等开展分离纯化研究，明确其中皂苷、多糖、寡糖、单糖、氨基酸、多肽、蛋白质、挥发油、维生素、微量元素、有机酸、核苷酸、黄酮、甾醇等关键活性成分的含量。</w:t>
      </w:r>
    </w:p>
    <w:p w14:paraId="6749BB3B">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2.多糖酶解与冻干微粉化以及产品成型研究</w:t>
      </w:r>
    </w:p>
    <w:p w14:paraId="1B0DF231">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①对提取分离出的部分多糖进行酶解转化，获得高活性、可溶性的低分子糖类物质，通过分离液的冻干控制，使其兼具辅料功能，以替代骨架材料和崩解剂，实现产品辅料的零添加。</w:t>
      </w:r>
    </w:p>
    <w:p w14:paraId="55712E95">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②开展产品的液氮冻干成型试验研究，通过细化二次复配、液氮速冻工艺参数和关键控制指标，保证冻干过程的结晶与产品微孔结构，降低脆碎度，提高口腔闪释崩解效果。</w:t>
      </w:r>
    </w:p>
    <w:p w14:paraId="11B4301B">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3.标准提升、质控体系完善与稳定性考察研究</w:t>
      </w:r>
    </w:p>
    <w:p w14:paraId="5FD813D5">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①开展质量标准提升研究，建立从鲜人参原料、提取物、中间体、成品的质量标准和检验方法，对主要活性成分精准监测；</w:t>
      </w:r>
    </w:p>
    <w:p w14:paraId="15F46D85">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②建立完善的全程质量控制标准体系，实现质量管控全覆盖，确保产品的批间、批内一致性与稳定性；</w:t>
      </w:r>
    </w:p>
    <w:p w14:paraId="72A6CD1B">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③开展影响因素试验、加速试验、长期试验，为产品的生产、包装、贮存、运输条件提供科学依据，同时通过试验建立产品的有效期。</w:t>
      </w:r>
    </w:p>
    <w:p w14:paraId="27901A5C">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4.产品功效评价研究</w:t>
      </w:r>
    </w:p>
    <w:p w14:paraId="2F0BD1BD">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①对产品进行体内、外生物活性评价，以及人体试食试验，以阐明其与鲜人参非冻干片、生晒参片、红参片的区别，目的是科学阐释其市场价值。</w:t>
      </w:r>
    </w:p>
    <w:p w14:paraId="43323B14">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②拟开展的活性评价包括：抗氧化、免疫力调节、记忆改善、缓解疲劳、延缓衰老、肝脏保护、肠道菌群调节等。</w:t>
      </w:r>
    </w:p>
    <w:p w14:paraId="17BE97D0">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③利用多组学技术以及现代分子生物学技术，开展关键作用机制研究。</w:t>
      </w:r>
    </w:p>
    <w:p w14:paraId="14D58826">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5.全程质量溯源研究与体系建立</w:t>
      </w:r>
    </w:p>
    <w:p w14:paraId="130C3978">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①依托当地人参产业大数据平台，利用物联网、电子围栏等技术手段，对鲜人参产地、原料来源、销售流向等进行监控；</w:t>
      </w:r>
    </w:p>
    <w:p w14:paraId="03984DE5">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②开展人参食品生产的数字化转型研究，利用DCS、SCARD、MES、电子标签等数字技术，实现生产加工、检测化验、仓储物流等数据采集、传输、反馈，生成电子记录存档并局域网上传。</w:t>
      </w:r>
    </w:p>
    <w:p w14:paraId="6A63E8CF">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6.构建人参食品中试研究平台</w:t>
      </w:r>
    </w:p>
    <w:p w14:paraId="3D1DDB63">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①依托现有设施条件，提升人参高通量分离纯化，农残重金属高效检测等能力，补齐人参食品中试放大试验研究短板，搭建人参食品精深加工的体系化中试验证平台；</w:t>
      </w:r>
    </w:p>
    <w:p w14:paraId="0574F65A">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②完成多批次产品中试放大，制备出合格样品；</w:t>
      </w:r>
    </w:p>
    <w:p w14:paraId="138D4D52">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③开展鲜人参全成分冻干片的功效机制研究，并进一步评价确认产品的安全性。</w:t>
      </w:r>
    </w:p>
    <w:p w14:paraId="1A96E878">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7.鲜人参全成分冻干片投产上市</w:t>
      </w:r>
    </w:p>
    <w:p w14:paraId="5208229A">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①建立产品生产工艺规程和SOP；</w:t>
      </w:r>
    </w:p>
    <w:p w14:paraId="2B1F94B4">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②建立产品内控质量标准和SOP；</w:t>
      </w:r>
    </w:p>
    <w:p w14:paraId="4238DC10">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③开展大生产验证，修订内控标准和技术规程；</w:t>
      </w:r>
    </w:p>
    <w:p w14:paraId="6D13FA68">
      <w:pPr>
        <w:keepNext w:val="0"/>
        <w:keepLines w:val="0"/>
        <w:pageBreakBefore w:val="0"/>
        <w:kinsoku/>
        <w:wordWrap/>
        <w:overflowPunct/>
        <w:topLinePunct w:val="0"/>
        <w:autoSpaceDE/>
        <w:autoSpaceDN/>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④实现“鲜人参全成分冻干片”新产品成果转化。</w:t>
      </w:r>
    </w:p>
    <w:p w14:paraId="0C68FD2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398E39A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1.利用多糖酶解等方法，突破人参多糖转化及通过冻干实现微粉化，提高其活性并兼具骨架材料和速崩剂作用的关键技术；</w:t>
      </w:r>
    </w:p>
    <w:p w14:paraId="0E3F3E3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2.转化糖二次复配后，解决冻干过程结晶控制技术难题，降低脆碎度以提高冻干片强度，确保冻干过程形成均匀微孔结构以提高口腔闪释崩解效果，建立鲜人参全成分冻干片大生产工艺技术标准体系；</w:t>
      </w:r>
    </w:p>
    <w:p w14:paraId="3D11530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3.围绕人参皂苷、多糖、寡糖、单糖、氨基酸、多肽、蛋白质、挥发油、维生素、微量元素、有机酸、核苷酸、黄酮、甾醇等大类组分，开展原料、中间体、成品标志性成分的检测分析研究，建立多成分表征的质量控制标准体系和检验技术方法；</w:t>
      </w:r>
    </w:p>
    <w:p w14:paraId="285B268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4.开展影响因素试验、加速试验、长期试验等稳定性考察，建立产品的有效期；</w:t>
      </w:r>
    </w:p>
    <w:p w14:paraId="6A738AA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5.对比已上市的人参产品，开展鲜人参全成分冻干片功效机制等系统性研究；</w:t>
      </w:r>
    </w:p>
    <w:p w14:paraId="1752332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6.考核指标：</w:t>
      </w:r>
    </w:p>
    <w:p w14:paraId="55E9F6A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①鲜人参全成分冻干片新产品1个；</w:t>
      </w:r>
    </w:p>
    <w:p w14:paraId="3DCC2D6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②鲜人参总提取物收率≥20%；</w:t>
      </w:r>
    </w:p>
    <w:p w14:paraId="391093C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③活性成分的种类保留不低于90%；</w:t>
      </w:r>
    </w:p>
    <w:p w14:paraId="4E77659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④辅料添加量为0；</w:t>
      </w:r>
    </w:p>
    <w:p w14:paraId="07EDBB9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⑤口腔崩解时间3-10S；</w:t>
      </w:r>
    </w:p>
    <w:p w14:paraId="4EAB67D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⑥生产工艺规程1套；</w:t>
      </w:r>
    </w:p>
    <w:p w14:paraId="2F17193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⑦质量标准1套；</w:t>
      </w:r>
    </w:p>
    <w:p w14:paraId="5AF67C7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⑧申请发明专利1-2项；</w:t>
      </w:r>
    </w:p>
    <w:p w14:paraId="3C404A5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⑨核心期刊论文1-2篇。</w:t>
      </w:r>
    </w:p>
    <w:p w14:paraId="1CFCF95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3D16274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项目研发总投入1700.00万元，揭榜金额500.00万元，出于满足实际研究需求考虑，最终预算允许商谈调整。</w:t>
      </w:r>
    </w:p>
    <w:p w14:paraId="4A83267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项目执行期3年，即2026年1月-2028年12月。</w:t>
      </w:r>
    </w:p>
    <w:p w14:paraId="369BFBE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47345FC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1.省级以上实力较强的高校院所或科研机构，人员队伍稳定，满足榜单技术要求，有能力达成项目考核指标；</w:t>
      </w:r>
    </w:p>
    <w:p w14:paraId="4C18D06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2.能够提出可行性的技术解决方案，掌握自主知识产权；</w:t>
      </w:r>
    </w:p>
    <w:p w14:paraId="6DF3887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 xml:space="preserve">3.具备开展人参提取、分离、纯化、冻干、检测分析、功效机制、安全评价等相关试验研究条件，保证按计划完成目标任务； </w:t>
      </w:r>
    </w:p>
    <w:p w14:paraId="5A64543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4.支撑发榜企业实现项目产品投产上市；</w:t>
      </w:r>
    </w:p>
    <w:p w14:paraId="504ED93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5.优先选择科研业绩突出单位与团队，并愿意与发榜企业组成创新联合体协同开展技术攻关；</w:t>
      </w:r>
    </w:p>
    <w:p w14:paraId="5C7C50E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6.财务状况良好且管理规范，经费预算与使用合理；</w:t>
      </w:r>
    </w:p>
    <w:p w14:paraId="7B757DB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7.良好的科研道德与科研诚信，过往无不良信用记录；</w:t>
      </w:r>
    </w:p>
    <w:p w14:paraId="5BE93B8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8.积极配合发榜企业对本项目的整体实施推进工作。</w:t>
      </w:r>
    </w:p>
    <w:p w14:paraId="0DA907B1">
      <w:pPr>
        <w:keepNext w:val="0"/>
        <w:keepLines w:val="0"/>
        <w:pageBreakBefore w:val="0"/>
        <w:kinsoku/>
        <w:wordWrap/>
        <w:overflowPunct/>
        <w:topLinePunct w:val="0"/>
        <w:autoSpaceDE/>
        <w:autoSpaceDN/>
        <w:bidi w:val="0"/>
        <w:adjustRightInd/>
        <w:snapToGrid/>
        <w:spacing w:line="576" w:lineRule="exact"/>
        <w:textAlignment w:val="auto"/>
        <w:rPr>
          <w:rFonts w:hint="default" w:ascii="Times New Roman" w:hAnsi="Times New Roman" w:eastAsia="黑体" w:cs="Times New Roman"/>
          <w:sz w:val="32"/>
          <w:szCs w:val="32"/>
          <w:u w:val="none"/>
        </w:rPr>
      </w:pPr>
    </w:p>
    <w:p w14:paraId="21E4EBC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三</w:t>
      </w:r>
      <w:r>
        <w:rPr>
          <w:rFonts w:hint="default" w:ascii="Times New Roman" w:hAnsi="Times New Roman" w:eastAsia="黑体" w:cs="Times New Roman"/>
          <w:sz w:val="32"/>
          <w:szCs w:val="32"/>
          <w:u w:val="none"/>
        </w:rPr>
        <w:t>：牛副产物-人参鹿茸活性成分协同增效利用技术研究</w:t>
      </w:r>
    </w:p>
    <w:p w14:paraId="63E89C77">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774DFBB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单位名称:长春新牧科技有限公司</w:t>
      </w:r>
    </w:p>
    <w:p w14:paraId="1710CEB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项目联系人：汪雪烨</w:t>
      </w:r>
    </w:p>
    <w:p w14:paraId="4F102D4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4214FC8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4A11644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646AF9DA">
      <w:pPr>
        <w:keepNext w:val="0"/>
        <w:keepLines w:val="0"/>
        <w:pageBreakBefore w:val="0"/>
        <w:widowControl/>
        <w:kinsoku/>
        <w:wordWrap/>
        <w:overflowPunct/>
        <w:topLinePunct w:val="0"/>
        <w:autoSpaceDE/>
        <w:autoSpaceDN/>
        <w:bidi w:val="0"/>
        <w:adjustRightInd/>
        <w:snapToGrid/>
        <w:spacing w:line="576" w:lineRule="exact"/>
        <w:ind w:firstLine="419" w:firstLineChars="131"/>
        <w:jc w:val="left"/>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吉林省千万头肉牛工程建设中产生的大量牛骨、牛皮、牛血、牛胎盘等副产物利用率低（&lt;40%）的现状，远低于国家2025年75%的综合利用率目标，亟需突破其高值化利用技术与多元化产品开发不足的技术瓶颈，以实现资源高效转化、减少环境污染、提升产业链价值。本项目中发榜方需完成前期筹备与原料供给，</w:t>
      </w:r>
      <w:r>
        <w:rPr>
          <w:rFonts w:hint="default" w:ascii="Times New Roman" w:hAnsi="Times New Roman" w:eastAsia="仿宋_GB2312" w:cs="Times New Roman"/>
          <w:sz w:val="32"/>
          <w:szCs w:val="32"/>
          <w:u w:val="none"/>
          <w:lang w:bidi="ar"/>
        </w:rPr>
        <w:t>保健食品开发与申报；</w:t>
      </w:r>
      <w:r>
        <w:rPr>
          <w:rFonts w:hint="default" w:ascii="Times New Roman" w:hAnsi="Times New Roman" w:eastAsia="仿宋_GB2312" w:cs="Times New Roman"/>
          <w:sz w:val="32"/>
          <w:szCs w:val="32"/>
          <w:u w:val="none"/>
        </w:rPr>
        <w:t>揭榜方需为发榜方提供</w:t>
      </w:r>
      <w:r>
        <w:rPr>
          <w:rFonts w:hint="default" w:ascii="Times New Roman" w:hAnsi="Times New Roman" w:eastAsia="仿宋_GB2312" w:cs="Times New Roman"/>
          <w:sz w:val="32"/>
          <w:szCs w:val="32"/>
          <w:u w:val="none"/>
          <w:lang w:bidi="ar"/>
        </w:rPr>
        <w:t>保健食品开发与申报所需的原料</w:t>
      </w:r>
      <w:r>
        <w:rPr>
          <w:rFonts w:hint="default" w:ascii="Times New Roman" w:hAnsi="Times New Roman" w:eastAsia="仿宋_GB2312" w:cs="Times New Roman"/>
          <w:sz w:val="32"/>
          <w:szCs w:val="32"/>
          <w:u w:val="none"/>
        </w:rPr>
        <w:t>配伍依据和使用依据，</w:t>
      </w:r>
      <w:r>
        <w:rPr>
          <w:rFonts w:hint="default" w:ascii="Times New Roman" w:hAnsi="Times New Roman" w:eastAsia="仿宋_GB2312" w:cs="Times New Roman"/>
          <w:sz w:val="32"/>
          <w:szCs w:val="32"/>
          <w:u w:val="none"/>
          <w:lang w:bidi="ar"/>
        </w:rPr>
        <w:t>涉及原料提取与纯化工艺研究、</w:t>
      </w:r>
      <w:r>
        <w:rPr>
          <w:rFonts w:hint="default" w:ascii="Times New Roman" w:hAnsi="Times New Roman" w:eastAsia="仿宋_GB2312" w:cs="Times New Roman"/>
          <w:sz w:val="32"/>
          <w:szCs w:val="32"/>
          <w:u w:val="none"/>
        </w:rPr>
        <w:t>功能验证及知识产权与成果产出。具体研究内容如下：</w:t>
      </w:r>
    </w:p>
    <w:p w14:paraId="753209A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1.多原料利用技术：整合牛骨、牛皮、牛血、牛胎盘等副产物，通过差异化预处理工艺，实现全组分高效转化，突破单一原料利用局限，提升资源综合利用率。</w:t>
      </w:r>
    </w:p>
    <w:p w14:paraId="675DB01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绿色高效提取技术：针对不同原料特性创新提取方法，采用超声波/超高压辅助酶法提取活性成分，结合胶原蛋白溶解性与弹性蛋白耐酶解特性实现分步分离；牛血/胎盘蛋白定向酶解为小分子肽，同步实现多类蛋白及肽的高效提取，提高目标成分得率；开发超声波辅助制备高吸收性柠檬酸钙，结合微生物发酵技术转化可溶性钙，创新肽钙螯合物制备工艺。</w:t>
      </w:r>
    </w:p>
    <w:p w14:paraId="4C3207B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3.精准分离纯化体系：创新构建“多酶分步定向酶解+多级纯化”联用技术，对肽类进行多级酶解制备，结合超滤、色谱等多级纯化手段，实现肽段的精准分离，提升活性肽的纯度。</w:t>
      </w:r>
    </w:p>
    <w:p w14:paraId="401D088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4.人参鹿茸活性成分协同复配技术：融合人参鹿茸活性成分，创新“牛副产品活性成分-人参鹿茸等活性成分”协同复配工艺。</w:t>
      </w:r>
    </w:p>
    <w:p w14:paraId="463BAC2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5.多维度功能验证体系：建立体外与体内功能联合验证平台，系统评估产品抗氧化、免疫调节及营养补充功能，为高值化应用提供科学依据。</w:t>
      </w:r>
    </w:p>
    <w:p w14:paraId="3339619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229160C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1.提取工艺参数优化指标：</w:t>
      </w:r>
    </w:p>
    <w:p w14:paraId="7AB4E9B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（1）建立≥4种牛副产物（皮、骨、胎盘、血）功能成分（胶原蛋白、弹性蛋白、活性肽等）的高效提取工艺，纯度90%以上。 </w:t>
      </w:r>
    </w:p>
    <w:p w14:paraId="08FFB22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（2）建立人参皂苷、鹿茸多肽或生长因子等活性成分的酶法提取和纯化工艺。</w:t>
      </w:r>
    </w:p>
    <w:p w14:paraId="048485F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（3）协同增效技术：应用酶解/发酵技术提升活性成分得率，较传统的化学提取方法提高15%以上。</w:t>
      </w:r>
    </w:p>
    <w:p w14:paraId="5D98C6D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2.功能成分与活性功效验证指标</w:t>
      </w:r>
    </w:p>
    <w:p w14:paraId="0A532A5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（1）成分鉴定：明确≥4类牛副产物核心功能成分的分析检测。</w:t>
      </w:r>
    </w:p>
    <w:p w14:paraId="06BA680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（2）功效评价：通过细胞/动物实验验证≥3项核心功效（如抗氧化、骨关节保护、免疫调节）。</w:t>
      </w:r>
    </w:p>
    <w:p w14:paraId="7B38B4B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sz w:val="32"/>
          <w:szCs w:val="32"/>
          <w:u w:val="none"/>
        </w:rPr>
        <w:t>（3）验证牛副产物与人参、鹿茸活性成分复配后的协同增效作用，功效提升幅度≥10%。</w:t>
      </w:r>
    </w:p>
    <w:p w14:paraId="594CF9E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3.为发榜方申报保健食品提供原料、配伍依据、使用量效关系。</w:t>
      </w:r>
    </w:p>
    <w:p w14:paraId="50B61A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4.受理发明专利3件以上。</w:t>
      </w:r>
    </w:p>
    <w:p w14:paraId="5A0BBDD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5.发表核心及以上级别期刊论文10篇以上。</w:t>
      </w:r>
    </w:p>
    <w:p w14:paraId="1E6ADD5A">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133833F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805</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161</w:t>
      </w:r>
      <w:r>
        <w:rPr>
          <w:rFonts w:hint="default" w:ascii="Times New Roman" w:hAnsi="Times New Roman" w:eastAsia="仿宋_GB2312" w:cs="Times New Roman"/>
          <w:sz w:val="32"/>
          <w:szCs w:val="32"/>
          <w:u w:val="none"/>
        </w:rPr>
        <w:t>万元，出于满足实际研究需求考虑，最终预算允许商谈调整。</w:t>
      </w:r>
    </w:p>
    <w:p w14:paraId="7565A12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7F1AE8DF">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43D5D8B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1.单位性质：需为具备独立法人资格的高等院校或高新技术企业和科研院所，业务领域涵盖生物工程等相关方向，近3年无重大安全质量事故及科研诚信问题。</w:t>
      </w:r>
    </w:p>
    <w:p w14:paraId="5EB33F3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2.研发能力：拥有核心研发团队，有食源性多肽开发基础优先。</w:t>
      </w:r>
    </w:p>
    <w:p w14:paraId="78CBD48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3.硬件条件：配备超声波/超高压提取设备、酶解反应釜、超滤系统、高效液相色谱等核心装置；具备原料预处理、活性成分复配实验室；自有或合作拥有体外细胞实验、体内动物模型评价的功能验证平台。</w:t>
      </w:r>
    </w:p>
    <w:p w14:paraId="4F790E7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4.投入保障：</w:t>
      </w:r>
    </w:p>
    <w:p w14:paraId="67ACD19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（1）人员保障：揭榜方必须组建一支专职、稳定的核心技术团队。项目负责人及至少2名核心骨干，在项目执行期内须保证其人事关系在揭榜单位。</w:t>
      </w:r>
    </w:p>
    <w:p w14:paraId="49D63CE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（2）设施与平台保障：揭榜方须拥有与榜单任务相关的自有实验室、中试基地、性能测试平台等。需提供场地照片、租赁合同或所有权证明。</w:t>
      </w:r>
    </w:p>
    <w:p w14:paraId="519D33F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（3）时间投入：项目负责人承诺在本项目上的工作时间不低于50%。</w:t>
      </w:r>
    </w:p>
    <w:p w14:paraId="5812832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53C22C4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四</w:t>
      </w:r>
      <w:r>
        <w:rPr>
          <w:rFonts w:hint="default" w:ascii="Times New Roman" w:hAnsi="Times New Roman" w:eastAsia="黑体" w:cs="Times New Roman"/>
          <w:sz w:val="32"/>
          <w:szCs w:val="32"/>
          <w:u w:val="none"/>
        </w:rPr>
        <w:t>：人参多糖专用生产技术研发及在化妆品中的应用</w:t>
      </w:r>
    </w:p>
    <w:p w14:paraId="6123C5A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6050368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单位名称:东方红西洋参药业（通化）股份有限公司</w:t>
      </w:r>
    </w:p>
    <w:p w14:paraId="48F31EB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项目联系人：于海峰 18626581182</w:t>
      </w:r>
    </w:p>
    <w:p w14:paraId="226EF3D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7063E1D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1FD8D6B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70DE0E9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研究对人参废料和残渣进行高效的前处理方法，有利于提高人参多糖的提取率，再采用物理方法制备高纯度人参多糖；利用酶法或者化学方法可控降解人参多糖中试化制备低分子量人参多糖；利用超声波辅助大孔树脂对人参残渣多糖进行高效脱色。研究不同分子量人参多糖的结构表征、理化性质和功能活性。将人参多糖与其他化妆品配料进行复配得到具有护肤功效的系列口服美容产品和化妆品产品。构建人参多糖化妆品的技术质量指标和操作规范。项目可为人参多糖在化妆领域的产业化应用提供技术支撑和引领。</w:t>
      </w:r>
    </w:p>
    <w:p w14:paraId="511CF8E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1.人参多糖高效提取技术及制备低分子量人参多糖技术。</w:t>
      </w:r>
    </w:p>
    <w:p w14:paraId="624DC61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2.人参多糖杂质控制技术，能够开发出较高纯度人参多糖，并能够验证其有效性及安全性。</w:t>
      </w:r>
    </w:p>
    <w:p w14:paraId="144E0FA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3.研究各种人参多糖的结构特征、理化性质及对皮肤的功能作用。</w:t>
      </w:r>
    </w:p>
    <w:p w14:paraId="38F1B15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4.能够稳定生产出符合化妆品行业标准要求的人参多糖系列产品及相应口服和美容化妆品。</w:t>
      </w:r>
    </w:p>
    <w:p w14:paraId="04F0F22C">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 xml:space="preserve">四、对揭榜方的技术需求 </w:t>
      </w:r>
    </w:p>
    <w:p w14:paraId="1EA83A8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1.通过原料预处理及物理辅助提取等集成创新获得高效人参多糖制备工艺并提供优化参数；</w:t>
      </w:r>
    </w:p>
    <w:p w14:paraId="6A819DE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2.利用可控降解技术获得低分子量人参多糖制备工艺并提供优化参数；</w:t>
      </w:r>
    </w:p>
    <w:p w14:paraId="35383EB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3.利用超声、膜分离等先进技术获得高纯度人参多糖生产工艺并提供优化参数；</w:t>
      </w:r>
    </w:p>
    <w:p w14:paraId="7323647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4.提供体内和体外各种人参多糖美白、保湿和抗氧化等护肤功效性试验结果及其生物安全性评价；</w:t>
      </w:r>
    </w:p>
    <w:p w14:paraId="36E5D48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5.提供人参多糖为主要原料分别制备乳液和凝胶的技术方案和参数；</w:t>
      </w:r>
    </w:p>
    <w:p w14:paraId="155C4C0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6.获得低分子量人参酸性多糖、人参中性多糖和人参多糖3种，多糖呈浅黄或白色，无异味；含量≥75%，溶解度≥90%，平均相对分子质量大于1000道尔顿；</w:t>
      </w:r>
    </w:p>
    <w:p w14:paraId="3E672D3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7.根据市场的消费需求，开发高附加值人参多糖系列口服美容产品5个，外用化妆品10个。</w:t>
      </w:r>
    </w:p>
    <w:p w14:paraId="3C50066D">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6430778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500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100</w:t>
      </w:r>
      <w:r>
        <w:rPr>
          <w:rFonts w:hint="default" w:ascii="Times New Roman" w:hAnsi="Times New Roman" w:eastAsia="仿宋_GB2312" w:cs="Times New Roman"/>
          <w:sz w:val="32"/>
          <w:szCs w:val="32"/>
          <w:u w:val="none"/>
        </w:rPr>
        <w:t>万元，出于满足实际研究需求考虑，最终预算允许商谈调整。</w:t>
      </w:r>
    </w:p>
    <w:p w14:paraId="35BC0D8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6E03B0AF">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 w:cs="Times New Roman"/>
          <w:color w:val="0000FF"/>
          <w:sz w:val="32"/>
          <w:szCs w:val="32"/>
          <w:u w:val="none"/>
        </w:rPr>
      </w:pPr>
      <w:r>
        <w:rPr>
          <w:rFonts w:hint="default" w:ascii="Times New Roman" w:hAnsi="Times New Roman" w:eastAsia="楷体" w:cs="Times New Roman"/>
          <w:b/>
          <w:bCs/>
          <w:sz w:val="32"/>
          <w:szCs w:val="32"/>
          <w:u w:val="none"/>
        </w:rPr>
        <w:t>六、对揭榜方的要求</w:t>
      </w:r>
    </w:p>
    <w:p w14:paraId="0247948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1.揭榜方，具有较强的研发实力、科研条件和稳定的人员队伍等，有能力完成发榜方提出的任务；</w:t>
      </w:r>
    </w:p>
    <w:p w14:paraId="5F59EBC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2.近年来在人参多糖应用研究方面具有较突出的研发基础和成果，在人参多糖脱色策略和口服美容研究方面具有重大突破；</w:t>
      </w:r>
    </w:p>
    <w:p w14:paraId="74035E8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3.能对发榜项目任务提出可行的解决方案，掌握自主知识产权；</w:t>
      </w:r>
    </w:p>
    <w:p w14:paraId="2FBFDB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4.优先支持良好科研业绩基础的单位和团队，鼓励组建创新联合体共同开展揭榜攻关；</w:t>
      </w:r>
    </w:p>
    <w:p w14:paraId="4A80D6D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5.财务状况良好且管理规范；</w:t>
      </w:r>
    </w:p>
    <w:p w14:paraId="7CDE9E8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sz w:val="32"/>
          <w:szCs w:val="32"/>
          <w:u w:val="none"/>
        </w:rPr>
        <w:t>6.具有良好的科研道德和社会诚信，近三年内无不良信用记录。</w:t>
      </w:r>
    </w:p>
    <w:p w14:paraId="3641FF0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194192D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五</w:t>
      </w:r>
      <w:r>
        <w:rPr>
          <w:rFonts w:hint="default" w:ascii="Times New Roman" w:hAnsi="Times New Roman" w:eastAsia="黑体" w:cs="Times New Roman"/>
          <w:sz w:val="32"/>
          <w:szCs w:val="32"/>
          <w:u w:val="none"/>
        </w:rPr>
        <w:t xml:space="preserve">：高品质肉猪生产关键技术研发 </w:t>
      </w:r>
    </w:p>
    <w:p w14:paraId="02C6227A">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05BE05D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单位名称:吉林普康农业有限公司</w:t>
      </w:r>
    </w:p>
    <w:p w14:paraId="3D0F7DA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项目联系人：田雪萍</w:t>
      </w:r>
    </w:p>
    <w:p w14:paraId="1A509C9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联系电话：15044012981</w:t>
      </w:r>
    </w:p>
    <w:p w14:paraId="5011CD4C">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3155B6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5E00F17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785F03B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1.优质商品猪杂交组合筛选</w:t>
      </w:r>
    </w:p>
    <w:p w14:paraId="4E7B1EF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开展多品种（品系）猪杂交组合试验，建立一套科学的性能测定与综合评价体系，筛选出最高效、优质的杂交组合。最优杂交组合商品猪瘦肉率＞62%、肌内脂肪＞2.5%、风味氨基酸占比＞30%，并实现技术推广，带动出栏优质商品猪2万头。</w:t>
      </w:r>
    </w:p>
    <w:p w14:paraId="2D4EA22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color w:val="000000" w:themeColor="text1"/>
          <w:sz w:val="32"/>
          <w:szCs w:val="32"/>
          <w:u w:val="none"/>
          <w14:textFill>
            <w14:solidFill>
              <w14:schemeClr w14:val="tx1"/>
            </w14:solidFill>
          </w14:textFill>
        </w:rPr>
        <w:t>精准营养综合配套技术研发</w:t>
      </w:r>
    </w:p>
    <w:p w14:paraId="147A42E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针对筛选出的最优杂交组合商品猪，研究动态营养需求，构建精准饲喂模型。育肥阶段日粮粗蛋白水平在常规基础上降低2个百分点。在生长性能不变或有所提高的前提下，实现头均饲料成本降低20元以上。</w:t>
      </w:r>
    </w:p>
    <w:p w14:paraId="5AE20B6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3.功能型饲料配方研发与应用</w:t>
      </w:r>
    </w:p>
    <w:p w14:paraId="340FBD3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结合吉林省特色饲料资源研发两类功能型饲料配方提升猪肉品质和保障肠道健康，减少抗生素使用。肉质改善型配方：使肌内脂肪含量提升0.3%</w:t>
      </w:r>
      <w:r>
        <w:rPr>
          <w:rFonts w:hint="default" w:ascii="Times New Roman" w:hAnsi="Times New Roman" w:eastAsia="仿宋_GB2312" w:cs="Times New Roman"/>
          <w:sz w:val="32"/>
          <w:szCs w:val="32"/>
          <w:u w:val="none"/>
          <w:lang w:val="en-US" w:eastAsia="zh-CN"/>
        </w:rPr>
        <w:t>-</w:t>
      </w:r>
      <w:r>
        <w:rPr>
          <w:rFonts w:hint="default" w:ascii="Times New Roman" w:hAnsi="Times New Roman" w:eastAsia="仿宋_GB2312" w:cs="Times New Roman"/>
          <w:sz w:val="32"/>
          <w:szCs w:val="32"/>
          <w:u w:val="none"/>
        </w:rPr>
        <w:t>1.0%。肠道健康型配方：使仔猪腹泻率有效控制至2%</w:t>
      </w:r>
      <w:r>
        <w:rPr>
          <w:rFonts w:hint="default" w:ascii="Times New Roman" w:hAnsi="Times New Roman" w:eastAsia="仿宋_GB2312" w:cs="Times New Roman"/>
          <w:sz w:val="32"/>
          <w:szCs w:val="32"/>
          <w:u w:val="none"/>
          <w:lang w:val="en-US" w:eastAsia="zh-CN"/>
        </w:rPr>
        <w:t>-</w:t>
      </w:r>
      <w:r>
        <w:rPr>
          <w:rFonts w:hint="default" w:ascii="Times New Roman" w:hAnsi="Times New Roman" w:eastAsia="仿宋_GB2312" w:cs="Times New Roman"/>
          <w:sz w:val="32"/>
          <w:szCs w:val="32"/>
          <w:u w:val="none"/>
        </w:rPr>
        <w:t>3%。</w:t>
      </w:r>
    </w:p>
    <w:p w14:paraId="5615D332">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76ECBFC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EE0000"/>
          <w:sz w:val="32"/>
          <w:szCs w:val="32"/>
          <w:u w:val="none"/>
        </w:rPr>
      </w:pPr>
      <w:r>
        <w:rPr>
          <w:rFonts w:hint="default" w:ascii="Times New Roman" w:hAnsi="Times New Roman" w:eastAsia="仿宋_GB2312" w:cs="Times New Roman"/>
          <w:sz w:val="32"/>
          <w:szCs w:val="32"/>
          <w:u w:val="none"/>
        </w:rPr>
        <w:t>（1）开展不同猪种品系间杂交组合并进行生产性能测定（生长性能、屠宰性能、肉质性状、繁殖性能），筛选最优杂交组合1个。商品猪瘦肉率＞62%、IMF＞2.5%、风味氨基酸占总氨基酸比例＞30%</w:t>
      </w:r>
      <w:r>
        <w:rPr>
          <w:rFonts w:hint="default" w:ascii="Times New Roman" w:hAnsi="Times New Roman" w:eastAsia="仿宋_GB2312" w:cs="Times New Roman"/>
          <w:color w:val="000000" w:themeColor="text1"/>
          <w:sz w:val="32"/>
          <w:szCs w:val="32"/>
          <w:u w:val="none"/>
          <w14:textFill>
            <w14:solidFill>
              <w14:schemeClr w14:val="tx1"/>
            </w14:solidFill>
          </w14:textFill>
        </w:rPr>
        <w:t>。</w:t>
      </w:r>
    </w:p>
    <w:p w14:paraId="4B92D6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EE0000"/>
          <w:sz w:val="32"/>
          <w:szCs w:val="32"/>
          <w:u w:val="none"/>
        </w:rPr>
      </w:pPr>
      <w:r>
        <w:rPr>
          <w:rFonts w:hint="default" w:ascii="Times New Roman" w:hAnsi="Times New Roman" w:eastAsia="仿宋_GB2312" w:cs="Times New Roman"/>
          <w:sz w:val="32"/>
          <w:szCs w:val="32"/>
          <w:u w:val="none"/>
        </w:rPr>
        <w:t>（2）通过精准营养综合配套技术应用，育肥阶段日粮粗蛋白水平降低2个百分点，头均饲料成本降低20元。</w:t>
      </w:r>
    </w:p>
    <w:p w14:paraId="2FD5E56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_GB2312" w:cs="Times New Roman"/>
          <w:sz w:val="32"/>
          <w:szCs w:val="32"/>
          <w:u w:val="none"/>
        </w:rPr>
        <w:t>（3）结合吉林省特色饲料资源，通过筛选并研发提升猪肉品质及提高免疫力的功能型饲料配方2个，肉质改善型配方IMF提升0.3%~1.0%，免疫提高型配方仔猪腹泻率降低至2%~3%。</w:t>
      </w:r>
    </w:p>
    <w:p w14:paraId="3BBF6B8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1B860E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1000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200</w:t>
      </w:r>
      <w:r>
        <w:rPr>
          <w:rFonts w:hint="default" w:ascii="Times New Roman" w:hAnsi="Times New Roman" w:eastAsia="仿宋_GB2312" w:cs="Times New Roman"/>
          <w:sz w:val="32"/>
          <w:szCs w:val="32"/>
          <w:u w:val="none"/>
        </w:rPr>
        <w:t>万元，出于满足实际研究需求考虑，最终预算允许商谈调整。</w:t>
      </w:r>
    </w:p>
    <w:p w14:paraId="58209E5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2138654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3EE7B5B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1.揭榜方需为省内具有较高科研水平和实验条件的机构，有能力完成发榜方提出的任务；</w:t>
      </w:r>
    </w:p>
    <w:p w14:paraId="6497621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2.揭绑团队成员应有动物遗传育种与繁殖、动物营养与饲料科学、动物疫病防控等多学科背景的专业人员组成，具有跨学科合作解决复杂问题的能力。团队从事猪业科学方面的研究；</w:t>
      </w:r>
    </w:p>
    <w:p w14:paraId="0787A7C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3.要求有一定相关技术研究基础，专利储备方面有较强优势，能对发榜项目任务提出可行的解决方案，有能力完成发榜方提出的任务。</w:t>
      </w:r>
    </w:p>
    <w:p w14:paraId="720FC26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4.对发榜项目任务提出可行的解决方案，掌握自主知识产权。</w:t>
      </w:r>
    </w:p>
    <w:p w14:paraId="0CEFFC6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5.优先支持具有良好科研业绩基础的单位和团队，鼓励组建创新联合体共同开展揭榜攻关；</w:t>
      </w:r>
    </w:p>
    <w:p w14:paraId="6B146F8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6.财务状况良好且管理规范；</w:t>
      </w:r>
    </w:p>
    <w:p w14:paraId="28D7D6A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7.具有良好的科研道德和社会诚信，近三年内无不良信用记录。</w:t>
      </w:r>
    </w:p>
    <w:p w14:paraId="7C44924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7B60656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六</w:t>
      </w:r>
      <w:r>
        <w:rPr>
          <w:rFonts w:hint="default" w:ascii="Times New Roman" w:hAnsi="Times New Roman" w:eastAsia="黑体" w:cs="Times New Roman"/>
          <w:sz w:val="32"/>
          <w:szCs w:val="32"/>
          <w:u w:val="none"/>
        </w:rPr>
        <w:t>：无菌高剪切均一微球连续制备技术及装备研究</w:t>
      </w:r>
    </w:p>
    <w:p w14:paraId="3392A88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070E468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单位名称:长春赛斯医疗生物工程有限公司</w:t>
      </w:r>
    </w:p>
    <w:p w14:paraId="30E120D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项目联系人：李平</w:t>
      </w:r>
    </w:p>
    <w:p w14:paraId="04E0AEE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联系电话：13756675375  18946526721</w:t>
      </w:r>
    </w:p>
    <w:p w14:paraId="2A66265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39CFDA3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549B636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2C1410E1">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高通量、多相连续制备技术</w:t>
      </w:r>
    </w:p>
    <w:p w14:paraId="467A724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在微球生产过程中，传统生产技术生产效率低下，无法实现大规模产业化的需求。本项目旨在通过连续流动剪切处理多相物料(如O/W和W/O等体系)，实现对可降解聚合物微球的高效、并行化的制备。</w:t>
      </w:r>
    </w:p>
    <w:p w14:paraId="07EC7F5D">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高精密、高转速多级转-定子机械机构设计与制造</w:t>
      </w:r>
    </w:p>
    <w:p w14:paraId="39FC848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在多级转-定子结构制备微球的过程中，几何形状、缝隙精度以及表面光洁度对剪切流场产生显著影响。机械机构需具备微米级的加工精度和高表面光洁度，以确保转子与定子之间的配合间隙均匀稳定，避免因机械加工误差导致流场分布不均，进而影响微球的粒径分布和形态一致性。同时高转速运行对机械结构的动平衡、轴承系统及材料强度提出更高要求。为保证在10000rpm的工况下仍能维持稳定运转，需通过精确的动平衡校正、低振动轴系设计及高强度材料选型，以降低离心载荷和振动对剪切间隙及流场均匀性的影响，从而确保微球制备过程的稳定性与可重复性。</w:t>
      </w:r>
    </w:p>
    <w:p w14:paraId="453711CB">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流量与流比的精准控制</w:t>
      </w:r>
    </w:p>
    <w:p w14:paraId="733BB98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流量与流比的精准、稳定控制是影响微球粒径最关键、最敏感的参数之一，在固定旋转剪切转速下，液滴粒径与流比呈强正相关关系。需要设计精准的流量控制系统，可以满足双相进料的高精度控制，并需要消除固有输出脉动的影响，保证流量与流比的精准控制。</w:t>
      </w:r>
    </w:p>
    <w:p w14:paraId="1C8388DA">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4.</w:t>
      </w:r>
      <w:r>
        <w:rPr>
          <w:rFonts w:hint="default" w:ascii="Times New Roman" w:hAnsi="Times New Roman" w:eastAsia="仿宋_GB2312" w:cs="Times New Roman"/>
          <w:sz w:val="32"/>
          <w:szCs w:val="32"/>
          <w:u w:val="none"/>
        </w:rPr>
        <w:t>高速剪切及剪切速率的精准控制</w:t>
      </w:r>
    </w:p>
    <w:p w14:paraId="0902A58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采用高剪切速度的转子-定子组合，能使剪切能量呈指数级提升，进而增强乳化效率，并且能够制备出粒径更小的微球。剪切速率是直接决定液滴破碎能力和最终微球粒径的最核心参数。其控制精度直接决定了产品的单分散性。</w:t>
      </w:r>
    </w:p>
    <w:p w14:paraId="06FF6B1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5.</w:t>
      </w:r>
      <w:r>
        <w:rPr>
          <w:rFonts w:hint="default" w:ascii="Times New Roman" w:hAnsi="Times New Roman" w:eastAsia="仿宋_GB2312" w:cs="Times New Roman"/>
          <w:sz w:val="32"/>
          <w:szCs w:val="32"/>
          <w:u w:val="none"/>
        </w:rPr>
        <w:t>无菌化操作环境生产保障</w:t>
      </w:r>
    </w:p>
    <w:p w14:paraId="1A85AB9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于可植入微球，其生产环境必须达到严格的无菌级别，以避免微生物污染导致产品失效或引发严重的临床安全风险。这要求生产环境需符合GMP相关标准，并配备高效空气过滤系统及层流净化装置，同时对生产过程中的人员操作、物料传递、设备清洁消毒等环节进行全程监控，确保生产处于无菌控制状态。</w:t>
      </w:r>
    </w:p>
    <w:p w14:paraId="7125754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楷体" w:cs="Times New Roman"/>
          <w:sz w:val="32"/>
          <w:szCs w:val="32"/>
          <w:u w:val="none"/>
        </w:rPr>
      </w:pPr>
      <w:r>
        <w:rPr>
          <w:rFonts w:hint="default" w:ascii="Times New Roman" w:hAnsi="Times New Roman" w:eastAsia="楷体" w:cs="Times New Roman"/>
          <w:sz w:val="32"/>
          <w:szCs w:val="32"/>
          <w:u w:val="none"/>
        </w:rPr>
        <w:t>技术指标：</w:t>
      </w:r>
    </w:p>
    <w:p w14:paraId="4EAC272E">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双相进料系统流量无级可调，设备处理流量满足20L/h,流量精度满足±1%；</w:t>
      </w:r>
    </w:p>
    <w:p w14:paraId="7E8A2587">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适用于制备1-100μm级乳液/微球，粒径可控，可制备O/W和W/O等体系；</w:t>
      </w:r>
    </w:p>
    <w:p w14:paraId="00912FA1">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微球离散系数CV&lt;5%，批次重复率&lt;5%；</w:t>
      </w:r>
    </w:p>
    <w:p w14:paraId="17EB4801">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4.</w:t>
      </w:r>
      <w:r>
        <w:rPr>
          <w:rFonts w:hint="default" w:ascii="Times New Roman" w:hAnsi="Times New Roman" w:eastAsia="仿宋_GB2312" w:cs="Times New Roman"/>
          <w:sz w:val="32"/>
          <w:szCs w:val="32"/>
          <w:u w:val="none"/>
        </w:rPr>
        <w:t>粒径分布跨度(span)≤0.8；</w:t>
      </w:r>
    </w:p>
    <w:p w14:paraId="74FDBE2C">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5.</w:t>
      </w:r>
      <w:r>
        <w:rPr>
          <w:rFonts w:hint="default" w:ascii="Times New Roman" w:hAnsi="Times New Roman" w:eastAsia="仿宋_GB2312" w:cs="Times New Roman"/>
          <w:sz w:val="32"/>
          <w:szCs w:val="32"/>
          <w:u w:val="none"/>
        </w:rPr>
        <w:t>接液零件表面粗糙度≤0.4μm，非接液表面粗糙度≤0.8μm；</w:t>
      </w:r>
    </w:p>
    <w:p w14:paraId="7BF72B81">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6.</w:t>
      </w:r>
      <w:r>
        <w:rPr>
          <w:rFonts w:hint="default" w:ascii="Times New Roman" w:hAnsi="Times New Roman" w:eastAsia="仿宋_GB2312" w:cs="Times New Roman"/>
          <w:sz w:val="32"/>
          <w:szCs w:val="32"/>
          <w:u w:val="none"/>
        </w:rPr>
        <w:t>多级转子转速无级可调，转速范围满足300-10000rpm，转速精度士10rpm；</w:t>
      </w:r>
    </w:p>
    <w:p w14:paraId="2676683D">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7.</w:t>
      </w:r>
      <w:r>
        <w:rPr>
          <w:rFonts w:hint="default" w:ascii="Times New Roman" w:hAnsi="Times New Roman" w:eastAsia="仿宋_GB2312" w:cs="Times New Roman"/>
          <w:sz w:val="32"/>
          <w:szCs w:val="32"/>
          <w:u w:val="none"/>
        </w:rPr>
        <w:t>无菌操作环境的净化级别满足静态A级；</w:t>
      </w:r>
    </w:p>
    <w:p w14:paraId="6EFD009A">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8.</w:t>
      </w:r>
      <w:r>
        <w:rPr>
          <w:rFonts w:hint="default" w:ascii="Times New Roman" w:hAnsi="Times New Roman" w:eastAsia="仿宋_GB2312" w:cs="Times New Roman"/>
          <w:sz w:val="32"/>
          <w:szCs w:val="32"/>
          <w:u w:val="none"/>
        </w:rPr>
        <w:t>环境风量不小于300m</w:t>
      </w:r>
      <w:r>
        <w:rPr>
          <w:rFonts w:hint="default" w:ascii="Times New Roman" w:hAnsi="Times New Roman" w:eastAsia="仿宋_GB2312" w:cs="Times New Roman"/>
          <w:sz w:val="32"/>
          <w:szCs w:val="32"/>
          <w:u w:val="none"/>
          <w:vertAlign w:val="superscript"/>
        </w:rPr>
        <w:t>3</w:t>
      </w:r>
      <w:r>
        <w:rPr>
          <w:rFonts w:hint="default" w:ascii="Times New Roman" w:hAnsi="Times New Roman" w:eastAsia="仿宋_GB2312" w:cs="Times New Roman"/>
          <w:sz w:val="32"/>
          <w:szCs w:val="32"/>
          <w:u w:val="none"/>
        </w:rPr>
        <w:t>/h；</w:t>
      </w:r>
    </w:p>
    <w:p w14:paraId="75633544">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9.</w:t>
      </w:r>
      <w:r>
        <w:rPr>
          <w:rFonts w:hint="default" w:ascii="Times New Roman" w:hAnsi="Times New Roman" w:eastAsia="仿宋_GB2312" w:cs="Times New Roman"/>
          <w:sz w:val="32"/>
          <w:szCs w:val="32"/>
          <w:u w:val="none"/>
        </w:rPr>
        <w:t>最终微球产品满足细菌内毒素&lt;0.25EU/mg。</w:t>
      </w:r>
    </w:p>
    <w:p w14:paraId="15655C6F">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lang w:val="en-US" w:eastAsia="zh-CN"/>
        </w:rPr>
        <w:t>四、</w:t>
      </w:r>
      <w:r>
        <w:rPr>
          <w:rFonts w:hint="default" w:ascii="Times New Roman" w:hAnsi="Times New Roman" w:eastAsia="楷体" w:cs="Times New Roman"/>
          <w:b/>
          <w:bCs/>
          <w:sz w:val="32"/>
          <w:szCs w:val="32"/>
          <w:u w:val="none"/>
        </w:rPr>
        <w:t>对揭榜方的技术需求</w:t>
      </w:r>
    </w:p>
    <w:p w14:paraId="31E83BB7">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揭榜方需完成高精密、高转速多级转-定子机械机构设计与制造工作，并向发榜方提供多级转-定子机构一套。</w:t>
      </w:r>
    </w:p>
    <w:p w14:paraId="00C7AFA5">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揭榜方需要设计并制造最高可达10000 rpm的转-定子系统，包括轴系布局、动平衡实验、润滑及冷却系统设计制造。并对多级转子系统进行多物理场仿真，并出具仿真验证报告。需能确保高转速运行下轴向、径向跳动及振动量处于安全范围内能满足G1.0级别的动平衡标准。</w:t>
      </w:r>
    </w:p>
    <w:p w14:paraId="547E7BE3">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揭榜方设计制造的多级转-定子系统接液部件加工精度应达到配合间隙≤5μm、表面粗糙度Ra≤0.4μm，转子与定子间隙均匀性误差不超过±2μm。</w:t>
      </w:r>
    </w:p>
    <w:p w14:paraId="0B29367A">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lang w:val="en-US" w:eastAsia="zh-CN"/>
        </w:rPr>
        <w:t>4.</w:t>
      </w:r>
      <w:r>
        <w:rPr>
          <w:rFonts w:hint="default" w:ascii="Times New Roman" w:hAnsi="Times New Roman" w:eastAsia="仿宋_GB2312" w:cs="Times New Roman"/>
          <w:sz w:val="32"/>
          <w:szCs w:val="32"/>
          <w:u w:val="none"/>
        </w:rPr>
        <w:t>揭榜方设计制造的多级转-定子机构满足速度无级可调，转速可调范围满足300-10000rpm，转速精度±10rpm。</w:t>
      </w:r>
    </w:p>
    <w:p w14:paraId="26A8689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0915B76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400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80</w:t>
      </w:r>
      <w:r>
        <w:rPr>
          <w:rFonts w:hint="default" w:ascii="Times New Roman" w:hAnsi="Times New Roman" w:eastAsia="仿宋_GB2312" w:cs="Times New Roman"/>
          <w:sz w:val="32"/>
          <w:szCs w:val="32"/>
          <w:u w:val="none"/>
        </w:rPr>
        <w:t>万元，出于满足实际研究需求考虑，最终预算允许商谈调整。</w:t>
      </w:r>
    </w:p>
    <w:p w14:paraId="7682779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w:t>
      </w:r>
      <w:r>
        <w:rPr>
          <w:rFonts w:hint="default" w:ascii="Times New Roman" w:hAnsi="Times New Roman" w:eastAsia="仿宋_GB2312" w:cs="Times New Roman"/>
          <w:sz w:val="32"/>
          <w:szCs w:val="32"/>
          <w:u w:val="none"/>
        </w:rPr>
        <w:t>2026</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w:t>
      </w:r>
      <w:r>
        <w:rPr>
          <w:rFonts w:hint="default" w:ascii="Times New Roman" w:hAnsi="Times New Roman" w:eastAsia="仿宋_GB2312" w:cs="Times New Roman"/>
          <w:sz w:val="32"/>
          <w:szCs w:val="32"/>
          <w:u w:val="none"/>
        </w:rPr>
        <w:t>2027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0527F342">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2F0E6039">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具有独立法人资格、较强研发能力和良好学术声誉的省内高校或科研院所。</w:t>
      </w:r>
    </w:p>
    <w:p w14:paraId="209872D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拥有多层次、稳定的科研人员队伍核心成员应具有高速多转子机械结构相关研究背景，与医疗器械行业或医院有一定的合作经验，在技术创新和（或）专利储备方有较强优势，能对发榜项目任务提出可行的解决方案，有能力完成发榜方提出的任务。</w:t>
      </w:r>
    </w:p>
    <w:p w14:paraId="465526A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3.备较强的技术研发能力和工程化应用水平，拥有相应的科研、试验及生产条件，能够独立或联合科研院所完成项目研发及成果转化工作。</w:t>
      </w:r>
    </w:p>
    <w:p w14:paraId="39243E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4.拥有稳定的研发团队和专业技术人员队伍，核心成员具有扎实的工程背景和项目实施经验。</w:t>
      </w:r>
    </w:p>
    <w:p w14:paraId="3B81427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5.能针对揭榜任务提出具有创新性、可操作性和可验证性的技术方案。</w:t>
      </w:r>
    </w:p>
    <w:p w14:paraId="6887151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FF"/>
          <w:sz w:val="32"/>
          <w:szCs w:val="32"/>
          <w:u w:val="none"/>
        </w:rPr>
      </w:pPr>
      <w:r>
        <w:rPr>
          <w:rFonts w:hint="default" w:ascii="Times New Roman" w:hAnsi="Times New Roman" w:eastAsia="仿宋_GB2312" w:cs="Times New Roman"/>
          <w:sz w:val="32"/>
          <w:szCs w:val="32"/>
          <w:u w:val="none"/>
        </w:rPr>
        <w:t>6.具有良好的科研道德和社会诚信，近三年内无不良信用记录。</w:t>
      </w:r>
    </w:p>
    <w:p w14:paraId="4968245F">
      <w:pPr>
        <w:keepNext w:val="0"/>
        <w:keepLines w:val="0"/>
        <w:pageBreakBefore w:val="0"/>
        <w:kinsoku/>
        <w:wordWrap/>
        <w:overflowPunct/>
        <w:topLinePunct w:val="0"/>
        <w:autoSpaceDE/>
        <w:autoSpaceDN/>
        <w:bidi w:val="0"/>
        <w:adjustRightInd/>
        <w:snapToGrid/>
        <w:spacing w:line="576" w:lineRule="exact"/>
        <w:ind w:firstLine="640" w:firstLineChars="200"/>
        <w:jc w:val="left"/>
        <w:textAlignment w:val="auto"/>
        <w:rPr>
          <w:rFonts w:hint="default" w:ascii="Times New Roman" w:hAnsi="Times New Roman" w:eastAsia="黑体" w:cs="Times New Roman"/>
          <w:sz w:val="32"/>
          <w:szCs w:val="32"/>
          <w:u w:val="none"/>
        </w:rPr>
      </w:pPr>
    </w:p>
    <w:p w14:paraId="2ED5AE63">
      <w:pPr>
        <w:keepNext w:val="0"/>
        <w:keepLines w:val="0"/>
        <w:pageBreakBefore w:val="0"/>
        <w:kinsoku/>
        <w:wordWrap/>
        <w:overflowPunct/>
        <w:topLinePunct w:val="0"/>
        <w:autoSpaceDE/>
        <w:autoSpaceDN/>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highlight w:val="none"/>
          <w:u w:val="none"/>
        </w:rPr>
      </w:pPr>
      <w:r>
        <w:rPr>
          <w:rFonts w:hint="default" w:ascii="Times New Roman" w:hAnsi="Times New Roman" w:eastAsia="黑体" w:cs="Times New Roman"/>
          <w:sz w:val="32"/>
          <w:szCs w:val="32"/>
          <w:highlight w:val="none"/>
          <w:u w:val="none"/>
        </w:rPr>
        <w:t>榜单</w:t>
      </w:r>
      <w:r>
        <w:rPr>
          <w:rFonts w:hint="eastAsia" w:ascii="Times New Roman" w:hAnsi="Times New Roman" w:eastAsia="黑体" w:cs="Times New Roman"/>
          <w:sz w:val="32"/>
          <w:szCs w:val="32"/>
          <w:highlight w:val="none"/>
          <w:u w:val="none"/>
          <w:lang w:val="en-US" w:eastAsia="zh-CN"/>
        </w:rPr>
        <w:t>七</w:t>
      </w:r>
      <w:r>
        <w:rPr>
          <w:rFonts w:hint="default" w:ascii="Times New Roman" w:hAnsi="Times New Roman" w:eastAsia="黑体" w:cs="Times New Roman"/>
          <w:sz w:val="32"/>
          <w:szCs w:val="32"/>
          <w:highlight w:val="none"/>
          <w:u w:val="none"/>
        </w:rPr>
        <w:t>：吉林省玉米产业数智融合平台</w:t>
      </w:r>
    </w:p>
    <w:p w14:paraId="33EC80B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highlight w:val="none"/>
          <w:u w:val="none"/>
        </w:rPr>
      </w:pPr>
      <w:r>
        <w:rPr>
          <w:rFonts w:hint="default" w:ascii="Times New Roman" w:hAnsi="Times New Roman" w:eastAsia="楷体" w:cs="Times New Roman"/>
          <w:b/>
          <w:bCs/>
          <w:sz w:val="32"/>
          <w:szCs w:val="32"/>
          <w:highlight w:val="none"/>
          <w:u w:val="none"/>
        </w:rPr>
        <w:t>一、需求单位</w:t>
      </w:r>
    </w:p>
    <w:p w14:paraId="1882BCB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单位名称:吉林省科讯通讯有限公司</w:t>
      </w:r>
    </w:p>
    <w:p w14:paraId="547E684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项目联系人：祝贺 13596602808</w:t>
      </w:r>
    </w:p>
    <w:p w14:paraId="7708DE11">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610216C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10AB2928">
      <w:pPr>
        <w:ind w:firstLine="643" w:firstLineChars="200"/>
        <w:rPr>
          <w:rFonts w:ascii="Times New Roman" w:hAnsi="Times New Roman" w:eastAsia="楷体"/>
          <w:b/>
          <w:bCs/>
          <w:sz w:val="32"/>
          <w:szCs w:val="32"/>
        </w:rPr>
      </w:pPr>
      <w:r>
        <w:rPr>
          <w:rFonts w:hint="default" w:ascii="Times New Roman" w:hAnsi="Times New Roman" w:eastAsia="楷体" w:cs="Times New Roman"/>
          <w:b/>
          <w:bCs/>
          <w:sz w:val="32"/>
          <w:szCs w:val="32"/>
          <w:highlight w:val="none"/>
          <w:u w:val="none"/>
        </w:rPr>
        <w:t>三、</w:t>
      </w:r>
      <w:r>
        <w:rPr>
          <w:rFonts w:hint="eastAsia" w:ascii="Times New Roman" w:hAnsi="Times New Roman" w:eastAsia="楷体"/>
          <w:b/>
          <w:bCs/>
          <w:sz w:val="32"/>
          <w:szCs w:val="32"/>
        </w:rPr>
        <w:t>研究</w:t>
      </w:r>
      <w:r>
        <w:rPr>
          <w:rFonts w:ascii="Times New Roman" w:hAnsi="Times New Roman" w:eastAsia="楷体"/>
          <w:b/>
          <w:bCs/>
          <w:sz w:val="32"/>
          <w:szCs w:val="32"/>
        </w:rPr>
        <w:t>内容</w:t>
      </w:r>
    </w:p>
    <w:p w14:paraId="3813339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yellow"/>
          <w:u w:val="none"/>
        </w:rPr>
      </w:pPr>
      <w:r>
        <w:rPr>
          <w:rFonts w:hint="eastAsia" w:ascii="仿宋" w:hAnsi="仿宋" w:eastAsia="仿宋" w:cs="仿宋"/>
          <w:sz w:val="32"/>
          <w:szCs w:val="32"/>
          <w:lang w:val="en-US" w:eastAsia="zh-CN"/>
        </w:rPr>
        <w:t>本项目研究聚焦吉林省玉米产业数字化转型需求，以四平玉米产业为核心，构建全链条数智融合体系。整合物联网、人工智能、卫星遥感等技术，搭建玉米数链融合云脑，同步建立产业资源库与数据信息库，破解“数据孤岛”困境。重点研发“玉芯”大模型，结合区域气候特征，构建产量预测、玉米价格预测、土壤成份分析、病虫害预测及玉米长势分析等系列模型:依托现有溯源系统，实现溯源查询、产地核实等“三统一”管理。同时，搭建产业大数据驾驶舱，实现多维度数据“一张图”。最终通过全产业链数智协同技术，推动种植、加工、流通数据联动，达成提质增效目标，助力吉林省玉米产业品牌升级与高质量发展。</w:t>
      </w:r>
    </w:p>
    <w:p w14:paraId="15FAB40C">
      <w:pPr>
        <w:keepNext w:val="0"/>
        <w:keepLines w:val="0"/>
        <w:pageBreakBefore w:val="0"/>
        <w:widowControl w:val="0"/>
        <w:kinsoku/>
        <w:wordWrap/>
        <w:overflowPunct/>
        <w:topLinePunct w:val="0"/>
        <w:autoSpaceDE/>
        <w:autoSpaceDN/>
        <w:bidi w:val="0"/>
        <w:adjustRightInd/>
        <w:snapToGrid/>
        <w:ind w:firstLine="643" w:firstLineChars="200"/>
        <w:textAlignment w:val="auto"/>
        <w:rPr>
          <w:rFonts w:ascii="Times New Roman" w:hAnsi="Times New Roman" w:eastAsia="楷体"/>
          <w:b/>
          <w:bCs/>
          <w:sz w:val="32"/>
          <w:szCs w:val="32"/>
        </w:rPr>
      </w:pPr>
      <w:r>
        <w:rPr>
          <w:rFonts w:hint="default" w:ascii="Times New Roman" w:hAnsi="Times New Roman" w:eastAsia="楷体" w:cs="Times New Roman"/>
          <w:b/>
          <w:bCs/>
          <w:sz w:val="32"/>
          <w:szCs w:val="32"/>
          <w:u w:val="none"/>
        </w:rPr>
        <w:t>四、</w:t>
      </w:r>
      <w:r>
        <w:rPr>
          <w:rFonts w:ascii="Times New Roman" w:hAnsi="Times New Roman" w:eastAsia="楷体"/>
          <w:b/>
          <w:bCs/>
          <w:sz w:val="32"/>
          <w:szCs w:val="32"/>
        </w:rPr>
        <w:t>对揭榜方的技术需求</w:t>
      </w:r>
    </w:p>
    <w:p w14:paraId="0DF4FF33">
      <w:pPr>
        <w:ind w:firstLine="643" w:firstLineChars="200"/>
        <w:rPr>
          <w:rFonts w:hint="eastAsia" w:ascii="仿宋" w:hAnsi="仿宋" w:eastAsia="仿宋" w:cs="仿宋"/>
          <w:bCs/>
          <w:sz w:val="32"/>
          <w:szCs w:val="32"/>
          <w:highlight w:val="none"/>
        </w:rPr>
      </w:pPr>
      <w:r>
        <w:rPr>
          <w:rFonts w:hint="eastAsia" w:ascii="仿宋" w:hAnsi="仿宋" w:eastAsia="仿宋" w:cs="仿宋"/>
          <w:b/>
          <w:sz w:val="32"/>
          <w:szCs w:val="32"/>
          <w:highlight w:val="none"/>
        </w:rPr>
        <w:t>1.玉米长势分析模块</w:t>
      </w:r>
      <w:r>
        <w:rPr>
          <w:rFonts w:hint="eastAsia" w:ascii="仿宋" w:hAnsi="仿宋" w:eastAsia="仿宋" w:cs="仿宋"/>
          <w:bCs/>
          <w:sz w:val="32"/>
          <w:szCs w:val="32"/>
          <w:highlight w:val="none"/>
        </w:rPr>
        <w:t>:需融合多源数据建模，基础数据含遥感影像、气象(温/光/水)、土壤养分等，核心数据涵盖株高、茎粗、叶面积指数等表型指标。优先采用深度学习、多模态融合等技术，支持生育期自动识别划分与长势动态评估，核心指标(表型提取准确率，长势等级判断准确率等)达行业主流水平，长势等级(如优、良、中、差)长势等级(如优、良、中、差)划分准确率≥95%，</w:t>
      </w:r>
      <w:r>
        <w:rPr>
          <w:rFonts w:hint="eastAsia" w:ascii="仿宋" w:hAnsi="仿宋" w:eastAsia="仿宋" w:cs="仿宋"/>
          <w:sz w:val="32"/>
          <w:szCs w:val="32"/>
          <w:highlight w:val="none"/>
        </w:rPr>
        <w:t>表型指标（株高、茎粗、叶面积指数）提取结果与田间实测值的一致性≥93%（样本量≥1000组，覆盖不同生育期）；长势等级（优、良、中、差）判断准确率≥95%；单次长势预测耗时≤15分钟，</w:t>
      </w:r>
      <w:r>
        <w:rPr>
          <w:rFonts w:hint="eastAsia" w:ascii="仿宋" w:hAnsi="仿宋" w:eastAsia="仿宋" w:cs="仿宋"/>
          <w:bCs/>
          <w:sz w:val="32"/>
          <w:szCs w:val="32"/>
          <w:highlight w:val="none"/>
        </w:rPr>
        <w:t>株高反演平均相对误差≤10%。需输出长势空间分布图、往年同期对比分析报告、以及具体的农事建议(如追肥、灌溉区域及用量等)。</w:t>
      </w:r>
    </w:p>
    <w:p w14:paraId="0AEF0F9D">
      <w:pPr>
        <w:ind w:firstLine="643" w:firstLineChars="200"/>
        <w:rPr>
          <w:rFonts w:hint="eastAsia" w:ascii="仿宋" w:hAnsi="仿宋" w:eastAsia="仿宋" w:cs="仿宋"/>
          <w:bCs/>
          <w:sz w:val="32"/>
          <w:szCs w:val="32"/>
          <w:highlight w:val="none"/>
        </w:rPr>
      </w:pPr>
      <w:r>
        <w:rPr>
          <w:rFonts w:hint="eastAsia" w:ascii="仿宋" w:hAnsi="仿宋" w:eastAsia="仿宋" w:cs="仿宋"/>
          <w:b/>
          <w:bCs/>
          <w:sz w:val="32"/>
          <w:szCs w:val="32"/>
          <w:highlight w:val="none"/>
        </w:rPr>
        <w:t>2.玉米病虫害识别和预测模块:</w:t>
      </w:r>
      <w:r>
        <w:rPr>
          <w:rFonts w:hint="eastAsia" w:ascii="仿宋" w:hAnsi="仿宋" w:eastAsia="仿宋" w:cs="仿宋"/>
          <w:bCs/>
          <w:sz w:val="32"/>
          <w:szCs w:val="32"/>
          <w:highlight w:val="none"/>
        </w:rPr>
        <w:t>融合遥感无人机的冠层尺度影像、卫星遥感影像、手持设备拍摄的叶片尺度影像及各类农业物联网感知数据中的多模态特征，</w:t>
      </w:r>
      <w:r>
        <w:rPr>
          <w:rFonts w:hint="eastAsia" w:ascii="仿宋" w:hAnsi="仿宋" w:eastAsia="仿宋" w:cs="仿宋"/>
          <w:sz w:val="32"/>
          <w:szCs w:val="32"/>
          <w:highlight w:val="none"/>
        </w:rPr>
        <w:t>基于深度学习提取≥120项微观特征，覆盖玉米螟、灰斑病等不少于6种的主要病虫害类型，核心病虫害识别准确率≥96%，次要病虫害识别准确率≥92%，误判率≤4%（测试样本需涵盖不同发病阶段、不同田间环境）；提前预警时效≥14天，施药窗口期预测误差≤1.5天，扩散路径解析准确率≥94%（需通过2个生长季的田间验证，确保稳定性）。</w:t>
      </w:r>
      <w:r>
        <w:rPr>
          <w:rFonts w:hint="eastAsia" w:ascii="仿宋" w:hAnsi="仿宋" w:eastAsia="仿宋" w:cs="仿宋"/>
          <w:bCs/>
          <w:sz w:val="32"/>
          <w:szCs w:val="32"/>
          <w:highlight w:val="none"/>
        </w:rPr>
        <w:t>需实现高识别精度、不短于14天的提前预警、施药窗口期精准预测及扩散路径解析，关键性能指标符合农业生产需求。玉米病虫害识别准确率达到≥96%，依据玉米病虫害识别和预测结果，结合玉米耕种周期、环境、态势等信息，生成辅助施药决策的处置方案，具体包括施药日程、施药配比等方面。</w:t>
      </w:r>
    </w:p>
    <w:p w14:paraId="1036A379">
      <w:pPr>
        <w:ind w:firstLine="643" w:firstLineChars="200"/>
        <w:rPr>
          <w:rFonts w:hint="eastAsia" w:ascii="仿宋" w:hAnsi="仿宋" w:eastAsia="仿宋" w:cs="仿宋"/>
          <w:bCs/>
          <w:sz w:val="32"/>
          <w:szCs w:val="32"/>
          <w:highlight w:val="none"/>
        </w:rPr>
      </w:pPr>
      <w:r>
        <w:rPr>
          <w:rFonts w:hint="eastAsia" w:ascii="仿宋" w:hAnsi="仿宋" w:eastAsia="仿宋" w:cs="仿宋"/>
          <w:b/>
          <w:bCs/>
          <w:sz w:val="32"/>
          <w:szCs w:val="32"/>
          <w:highlight w:val="none"/>
        </w:rPr>
        <w:t>3.粮食墒情与价格分析模块：</w:t>
      </w:r>
      <w:r>
        <w:rPr>
          <w:rFonts w:hint="eastAsia" w:ascii="仿宋" w:hAnsi="仿宋" w:eastAsia="仿宋" w:cs="仿宋"/>
          <w:sz w:val="32"/>
          <w:szCs w:val="32"/>
          <w:highlight w:val="none"/>
        </w:rPr>
        <w:t>基于土壤水动力学原理与物联网实时数据，构建墒情动态评估模型，可精准计算土壤含水量、判断墒情等级（适宜、偏旱、偏涝），并结合玉米需水规律输出灌溉建议；结合市场供需、政策调控、气候影响等因素，构建玉米价格分析模型，明确价格波动逻辑，可输出短期（1-3个月）、中长期（6-12个月）价格趋势及影响因素分析。土壤含水量监测误差≤±1.8%（通过土壤水分仪实测验证，样本量≥500组，覆盖不同土壤质地）；墒情等级判断准确率≥95%，异常墒情预警响应时间≤1小时；短期价格预测结果与实际市场价的误差≤3.5%，中长期价格趋势预测与实际市场价的平均绝对误差≤6%（跟踪期≥6个月，确保预测有效性）。</w:t>
      </w:r>
    </w:p>
    <w:p w14:paraId="73476EA4">
      <w:pPr>
        <w:ind w:firstLine="643" w:firstLineChars="200"/>
        <w:rPr>
          <w:rFonts w:ascii="Times New Roman" w:hAnsi="Times New Roman" w:eastAsia="楷体"/>
          <w:b/>
          <w:bCs/>
          <w:sz w:val="32"/>
          <w:szCs w:val="32"/>
        </w:rPr>
      </w:pPr>
      <w:r>
        <w:rPr>
          <w:rFonts w:hint="eastAsia" w:ascii="Times New Roman" w:hAnsi="Times New Roman" w:eastAsia="楷体"/>
          <w:b/>
          <w:bCs/>
          <w:sz w:val="32"/>
          <w:szCs w:val="32"/>
          <w:lang w:val="en-US" w:eastAsia="zh-CN"/>
        </w:rPr>
        <w:t>五</w:t>
      </w:r>
      <w:r>
        <w:rPr>
          <w:rFonts w:ascii="Times New Roman" w:hAnsi="Times New Roman" w:eastAsia="楷体"/>
          <w:b/>
          <w:bCs/>
          <w:sz w:val="32"/>
          <w:szCs w:val="32"/>
        </w:rPr>
        <w:t>、项目预算和项目执行期</w:t>
      </w:r>
    </w:p>
    <w:p w14:paraId="166C8A15">
      <w:pPr>
        <w:ind w:firstLine="640" w:firstLineChars="200"/>
        <w:rPr>
          <w:rFonts w:hint="eastAsia" w:ascii="仿宋" w:hAnsi="仿宋" w:eastAsia="仿宋" w:cs="仿宋"/>
          <w:sz w:val="32"/>
          <w:szCs w:val="32"/>
          <w:u w:val="none"/>
        </w:rPr>
      </w:pPr>
      <w:r>
        <w:rPr>
          <w:rFonts w:hint="eastAsia" w:ascii="仿宋" w:hAnsi="仿宋" w:eastAsia="仿宋" w:cs="仿宋"/>
          <w:sz w:val="32"/>
          <w:szCs w:val="32"/>
          <w:u w:val="none"/>
        </w:rPr>
        <w:t>项目研发总投入607万元，揭榜金额191万元，出于满足实际研究需求考虑，最终预算允许商谈调整。</w:t>
      </w:r>
    </w:p>
    <w:p w14:paraId="5CFA0EE2">
      <w:pPr>
        <w:spacing w:line="360" w:lineRule="auto"/>
        <w:ind w:firstLine="640" w:firstLineChars="200"/>
        <w:rPr>
          <w:rFonts w:hint="eastAsia" w:ascii="仿宋" w:hAnsi="仿宋" w:eastAsia="仿宋" w:cs="仿宋"/>
          <w:sz w:val="32"/>
          <w:szCs w:val="32"/>
          <w:u w:val="none"/>
        </w:rPr>
      </w:pPr>
      <w:r>
        <w:rPr>
          <w:rFonts w:hint="eastAsia" w:ascii="仿宋" w:hAnsi="仿宋" w:eastAsia="仿宋" w:cs="仿宋"/>
          <w:sz w:val="32"/>
          <w:szCs w:val="32"/>
          <w:u w:val="none"/>
        </w:rPr>
        <w:t>项目执行期 2 年，即2026年 1 月-2027年 12 月。</w:t>
      </w:r>
    </w:p>
    <w:p w14:paraId="0019EA58">
      <w:pPr>
        <w:ind w:firstLine="643" w:firstLineChars="200"/>
        <w:rPr>
          <w:rFonts w:ascii="Times New Roman" w:hAnsi="Times New Roman" w:eastAsia="楷体"/>
          <w:b/>
          <w:bCs/>
          <w:sz w:val="32"/>
          <w:szCs w:val="32"/>
        </w:rPr>
      </w:pPr>
      <w:r>
        <w:rPr>
          <w:rFonts w:hint="eastAsia" w:ascii="Times New Roman" w:hAnsi="Times New Roman" w:eastAsia="楷体"/>
          <w:b/>
          <w:bCs/>
          <w:sz w:val="32"/>
          <w:szCs w:val="32"/>
          <w:lang w:val="en-US" w:eastAsia="zh-CN"/>
        </w:rPr>
        <w:t>六</w:t>
      </w:r>
      <w:r>
        <w:rPr>
          <w:rFonts w:ascii="Times New Roman" w:hAnsi="Times New Roman" w:eastAsia="楷体"/>
          <w:b/>
          <w:bCs/>
          <w:sz w:val="32"/>
          <w:szCs w:val="32"/>
        </w:rPr>
        <w:t>、对揭榜方的要求</w:t>
      </w:r>
    </w:p>
    <w:p w14:paraId="386D0BC4">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1.揭榜方需为科研院所、高校、企业等，涵盖农业工程、计算机应用、人工智能、数字农业、智慧农业或作物科学等领域，与玉米产业数智化研究方向高度匹配。</w:t>
      </w:r>
    </w:p>
    <w:p w14:paraId="58D7653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2.具备与发榜需求相适应的科研基础条件和科研团队，在相关技术领域有较强的研究基础和比较优势，具有完善的科技管理、科技合作和保障机制，能为项目实施提供技术和科技团队运行保障</w:t>
      </w:r>
      <w:r>
        <w:rPr>
          <w:rFonts w:hint="eastAsia" w:ascii="仿宋" w:hAnsi="仿宋" w:eastAsia="仿宋" w:cs="仿宋"/>
          <w:sz w:val="32"/>
          <w:szCs w:val="32"/>
          <w:lang w:eastAsia="zh-CN"/>
        </w:rPr>
        <w:t>。</w:t>
      </w:r>
    </w:p>
    <w:p w14:paraId="6F1A24B6">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3.能够针对发榜项目需求，提出计划合理、目标清晰、路线可行的技术研发实施方案，提供的科技成果应为拥有自主知识产权且近三年内无知识产权纠纷的</w:t>
      </w:r>
      <w:r>
        <w:rPr>
          <w:rFonts w:hint="eastAsia" w:ascii="仿宋" w:hAnsi="仿宋" w:eastAsia="仿宋" w:cs="仿宋"/>
          <w:sz w:val="32"/>
          <w:szCs w:val="32"/>
          <w:lang w:eastAsia="zh-CN"/>
        </w:rPr>
        <w:t>。</w:t>
      </w:r>
    </w:p>
    <w:p w14:paraId="65ACA60D">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需组建跨学科研发团队，团队负责人需具备玉米精准种植、智慧农业或人工智能应用研究经验研究经验，能牵头解决项目核心技术难题；团队成员专业需覆盖作物栽培学、农业遥感、大数据算法、物联网技术等领域，其中需包含长期从事玉米田间研究（如种植管理、病虫害防治）的核心人员，确保技术研发贴合农业生产实际需求；团队需具备协作能力，可高效完成多源数据整合、模型研发、田间验证等全流程工作。</w:t>
      </w:r>
    </w:p>
    <w:p w14:paraId="69978903">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需熟练掌握农业遥感数据处理（如北斗卫星、高分卫星数据反演与应用）、深度学习算法（如用于作物表型提取、病虫害识别的模型构建）、农业大数据同化技术，能将科研算法转化为适配产业应用的模块；可兼容项目云基础设施（ECS、RDS、OSS）、智能物联网（AIoT）平台的技术规范，确保研发成果能与现有系统无缝对接。</w:t>
      </w:r>
    </w:p>
    <w:p w14:paraId="2CFBA0D8">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.需具备开展玉米数智化研究的实验条件，如：</w:t>
      </w:r>
    </w:p>
    <w:p w14:paraId="2573F7C6">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（1）农业遥感处理平台（可处理高分6号、哨兵2号等卫星数据，完成数据预处理与专题图制作）；</w:t>
      </w:r>
    </w:p>
    <w:p w14:paraId="66D27A0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（2）作物表型观测设备（如无人机光谱仪、田间株高测量仪、叶面积指数仪，可实现田间数据精准采集）；</w:t>
      </w:r>
    </w:p>
    <w:p w14:paraId="39E8DB4C">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（3）病虫害图像采集与分析设备（配备高清成像设备、图像标注工具，支持病虫害特征提取）；</w:t>
      </w:r>
    </w:p>
    <w:p w14:paraId="03CBE78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（4）大数据计算平台（具备满足AI模型训练的算力，支持多算法并行调试与优化）。</w:t>
      </w:r>
    </w:p>
    <w:p w14:paraId="1E31F7E7">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.财务状况</w:t>
      </w:r>
      <w:bookmarkStart w:id="11" w:name="_GoBack"/>
      <w:bookmarkEnd w:id="11"/>
      <w:r>
        <w:rPr>
          <w:rFonts w:hint="eastAsia" w:ascii="仿宋" w:hAnsi="仿宋" w:eastAsia="仿宋" w:cs="仿宋"/>
          <w:sz w:val="32"/>
          <w:szCs w:val="32"/>
        </w:rPr>
        <w:t>良好且管理规范，具备良好的科研道德和社会信用;</w:t>
      </w:r>
    </w:p>
    <w:p w14:paraId="0CB354F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p>
    <w:p w14:paraId="49662A69">
      <w:pPr>
        <w:keepNext w:val="0"/>
        <w:keepLines w:val="0"/>
        <w:pageBreakBefore w:val="0"/>
        <w:kinsoku/>
        <w:wordWrap/>
        <w:overflowPunct/>
        <w:topLinePunct w:val="0"/>
        <w:autoSpaceDE/>
        <w:autoSpaceDN/>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八</w:t>
      </w:r>
      <w:r>
        <w:rPr>
          <w:rFonts w:hint="default" w:ascii="Times New Roman" w:hAnsi="Times New Roman" w:eastAsia="黑体" w:cs="Times New Roman"/>
          <w:sz w:val="32"/>
          <w:szCs w:val="32"/>
          <w:u w:val="none"/>
        </w:rPr>
        <w:t xml:space="preserve">：化妆品新原料林蛙多肽高效制备技术及开发  </w:t>
      </w:r>
    </w:p>
    <w:p w14:paraId="25F4D33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29116E8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单位名称:通化康元生物科技有限公司  </w:t>
      </w:r>
    </w:p>
    <w:p w14:paraId="5F8A682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项目联系人：张  丹 13304457079</w:t>
      </w:r>
    </w:p>
    <w:p w14:paraId="278FBF6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            李瑞阳 15943525588 </w:t>
      </w:r>
    </w:p>
    <w:p w14:paraId="347DE067">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35FEF70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667CF1F3">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2B7A01B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w:t>
      </w:r>
      <w:bookmarkStart w:id="2" w:name="_Hlk215345286"/>
      <w:r>
        <w:rPr>
          <w:rFonts w:hint="default" w:ascii="Times New Roman" w:hAnsi="Times New Roman" w:eastAsia="仿宋_GB2312" w:cs="Times New Roman"/>
          <w:sz w:val="32"/>
          <w:szCs w:val="32"/>
          <w:u w:val="none"/>
        </w:rPr>
        <w:t>建立林蛙多肽的工厂化高效制备工艺。通过优化温度、pH、酶配比等酶解条件，实现定向可控提取；采用串联式凝胶过滤层析技术进行精准分离纯化，以获得目标分子量区间的多肽。最终形成稳定、可放大的标准化生产工艺 。</w:t>
      </w:r>
    </w:p>
    <w:bookmarkEnd w:id="2"/>
    <w:p w14:paraId="11038E0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系统开展林蛙多肽的结构解析及理化性质研究，包括颜色、气味、pH、成分组成、分子量及分布、结构信息等性质，同时进行加速与长期稳定性试验；起草《林蛙多肽原料质量标准》，明确其性状、分子量分布范围、多肽含量、干燥失重、重金属、微生物限度等项目的指标与检验方法。</w:t>
      </w:r>
    </w:p>
    <w:p w14:paraId="5436C0A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3.开展林蛙多肽的生物活性研究，明确林蛙多肽的抗炎、抗氧化及皮肤修复等作用，通过关键信号通路分析探索分子作用机制；</w:t>
      </w:r>
    </w:p>
    <w:p w14:paraId="4CF7BB2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依据《化妆品安全技术规范》及新原料备案要求，完成系列毒理学试验，包括皮肤和眼刺激性/腐蚀性试验、皮肤变态反应试验等，基于林蛙原料来源，重点关注可能的致病微生物、重金属残留、农药残留、激素等风险物质，形成完整的安全性评价资料；</w:t>
      </w:r>
    </w:p>
    <w:p w14:paraId="158ADC4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汇总并撰写《林蛙多肽研制报告》、《林蛙多肽成分分析报告》、《林蛙多肽功效评价报告》、《林蛙多肽安全性评价报告》；准备并填写《化妆品新原料注册与备案信息表》，包括原料基本信息、生产工艺、质量标准、安全评估资料、功效依据等。</w:t>
      </w:r>
    </w:p>
    <w:p w14:paraId="0734D251">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3C9CC3A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1.建立稳定的林蛙多肽规模化高效制备工艺，实现纯化后林蛙多肽纯度≥70%；</w:t>
      </w:r>
    </w:p>
    <w:p w14:paraId="5D82318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2.获得10 kDa以下林蛙多肽组分，解析多肽序列，并提供其在3个月内稳定储存的支持数据；</w:t>
      </w:r>
    </w:p>
    <w:p w14:paraId="3F46A43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3.阐明不同组分的抗炎、抗氧化及皮肤修护功效，形成系统研究报告。</w:t>
      </w:r>
    </w:p>
    <w:p w14:paraId="5008710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4.完成毒理学安全性评价和安全风险评估，结果显示阴性或无刺激性，并提供安全性评价报告1份。</w:t>
      </w:r>
    </w:p>
    <w:p w14:paraId="5287CF1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5.明确林蛙多肽作为化妆品原料的使用目的，协助完成化妆品新原料申请的材料申报工作。</w:t>
      </w:r>
    </w:p>
    <w:p w14:paraId="4A586665">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49C6C5C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300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60</w:t>
      </w:r>
      <w:r>
        <w:rPr>
          <w:rFonts w:hint="default" w:ascii="Times New Roman" w:hAnsi="Times New Roman" w:eastAsia="仿宋_GB2312" w:cs="Times New Roman"/>
          <w:sz w:val="32"/>
          <w:szCs w:val="32"/>
          <w:u w:val="none"/>
        </w:rPr>
        <w:t>万元，出于满足实际研究需求考虑，最终预算允许商谈调整。</w:t>
      </w:r>
    </w:p>
    <w:p w14:paraId="52B09FC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7EC163FF">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21C7C13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1.具有较强的研发能力和良好学术声誉的省内高校或科研院所，具备国家级或省级以上实验室，具有完善的多肽类活性物质筛选与功效评估的全流程技术平台，配备满足项目研发需求的各类大型实验仪器设备</w:t>
      </w:r>
      <w:r>
        <w:rPr>
          <w:rFonts w:hint="default" w:ascii="Times New Roman" w:hAnsi="Times New Roman" w:eastAsia="仿宋_GB2312" w:cs="Times New Roman"/>
          <w:sz w:val="32"/>
          <w:szCs w:val="32"/>
          <w:u w:val="none"/>
          <w:lang w:eastAsia="zh-CN"/>
        </w:rPr>
        <w:t>。</w:t>
      </w:r>
    </w:p>
    <w:p w14:paraId="29D662A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揭榜团队应在天然多肽制备、功效筛选、机制解析、产品研发等领域具有较强的研发能力，应拥有丰富的生物活性物质开发及转化项目经验，能对发榜项目任务提出可行的解决方案；具备林蛙多肽相关研发及产品转化经验的团队优先。</w:t>
      </w:r>
    </w:p>
    <w:p w14:paraId="33AEBAE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3.优先支持具有良好科研业绩基础的单位和团队，鼓励组建创新联合体共同开展揭榜攻关</w:t>
      </w:r>
      <w:r>
        <w:rPr>
          <w:rFonts w:hint="default" w:ascii="Times New Roman" w:hAnsi="Times New Roman" w:eastAsia="仿宋_GB2312" w:cs="Times New Roman"/>
          <w:sz w:val="32"/>
          <w:szCs w:val="32"/>
          <w:u w:val="none"/>
          <w:lang w:eastAsia="zh-CN"/>
        </w:rPr>
        <w:t>。</w:t>
      </w:r>
    </w:p>
    <w:p w14:paraId="64EDC05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4.财务状况良好且管理规范</w:t>
      </w:r>
      <w:r>
        <w:rPr>
          <w:rFonts w:hint="default" w:ascii="Times New Roman" w:hAnsi="Times New Roman" w:eastAsia="仿宋_GB2312" w:cs="Times New Roman"/>
          <w:sz w:val="32"/>
          <w:szCs w:val="32"/>
          <w:u w:val="none"/>
          <w:lang w:eastAsia="zh-CN"/>
        </w:rPr>
        <w:t>。</w:t>
      </w:r>
    </w:p>
    <w:p w14:paraId="14B829E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2CF1BB26">
      <w:pPr>
        <w:keepNext w:val="0"/>
        <w:keepLines w:val="0"/>
        <w:pageBreakBefore w:val="0"/>
        <w:kinsoku/>
        <w:wordWrap/>
        <w:overflowPunct/>
        <w:topLinePunct w:val="0"/>
        <w:autoSpaceDE/>
        <w:autoSpaceDN/>
        <w:bidi w:val="0"/>
        <w:adjustRightInd/>
        <w:snapToGrid/>
        <w:spacing w:line="576" w:lineRule="exact"/>
        <w:ind w:firstLine="640" w:firstLineChars="200"/>
        <w:jc w:val="left"/>
        <w:textAlignment w:val="auto"/>
        <w:rPr>
          <w:rFonts w:hint="default" w:ascii="Times New Roman" w:hAnsi="Times New Roman" w:eastAsia="黑体" w:cs="Times New Roman"/>
          <w:sz w:val="32"/>
          <w:szCs w:val="32"/>
          <w:u w:val="none"/>
        </w:rPr>
      </w:pPr>
    </w:p>
    <w:p w14:paraId="1A30EB6B">
      <w:pPr>
        <w:keepNext w:val="0"/>
        <w:keepLines w:val="0"/>
        <w:pageBreakBefore w:val="0"/>
        <w:kinsoku/>
        <w:wordWrap/>
        <w:overflowPunct/>
        <w:topLinePunct w:val="0"/>
        <w:autoSpaceDE/>
        <w:autoSpaceDN/>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九</w:t>
      </w:r>
      <w:r>
        <w:rPr>
          <w:rFonts w:hint="default" w:ascii="Times New Roman" w:hAnsi="Times New Roman" w:eastAsia="黑体" w:cs="Times New Roman"/>
          <w:sz w:val="32"/>
          <w:szCs w:val="32"/>
          <w:u w:val="none"/>
        </w:rPr>
        <w:t>：固体饮料“平棠一号”升级特医食品快筛降糖标准的关键技术攻关与产业化应用</w:t>
      </w:r>
    </w:p>
    <w:p w14:paraId="07DDC572">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0EE1583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单位名称:吉林省特医食品生物科技有限公司</w:t>
      </w:r>
    </w:p>
    <w:p w14:paraId="384DA1B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项目联系人：赵国安  13504331265</w:t>
      </w:r>
    </w:p>
    <w:p w14:paraId="17E4E9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            吴怡函  13331712297</w:t>
      </w:r>
    </w:p>
    <w:p w14:paraId="0BE05FF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51C4D94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59C8851F">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51E4E8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企业基于“平棠一号”现有配料基础，发榜寻求技术合作，旨在系统推进其向合规、高效、可产业化的糖尿病全营养特医食品转化。本次合作需依次完成三大核心任务：第一，配方标准化与合规性设计。即以现有配料为起点，通过科学优化，使产品宏量营养素比例及升糖指数等关键指标全面符合GB 29922-2013标准。第二，安全性与有效性评价。需对优化后的小试样品开展系统性验证，包括利用体外细胞模型进行快速筛选、通过动物实验验证功能，并最终通过研究者发起的临床研究获得人体有效性数据，同时完成全套安全性检测，构建申报所需的全链条科学证据。第三，中试放大与产业化实施。在证实配方安全有效后，需完成工艺放大与中试生产，建立稳定的质量控制体系，并协助企业准备特医食品生产许可的申报材料与技术审评支持。</w:t>
      </w:r>
    </w:p>
    <w:p w14:paraId="4A0D9612">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04549C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1.配方设计与合规性</w:t>
      </w:r>
    </w:p>
    <w:p w14:paraId="0760653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揭榜方需基于现有配料完成配方的标准化设计与合规性重构，确保最终产品完全符合GB</w:t>
      </w:r>
      <w:r>
        <w:rPr>
          <w:rFonts w:hint="default"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29922-2013要求。具体指标包括：升糖指数（GI）≤55、饱和脂肪酸供能比≤10%、碳水化合物供能比30%-60%且膳食纤维≥0.3g/100kJ、钠含量控制在7-42mg/100kJ范围内，并提交完整的定型配方与营养成分分析报告。</w:t>
      </w:r>
    </w:p>
    <w:p w14:paraId="3C7886E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2.安全有效性验证</w:t>
      </w:r>
    </w:p>
    <w:p w14:paraId="45AF98E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bookmarkStart w:id="3" w:name="OLE_LINK6"/>
      <w:r>
        <w:rPr>
          <w:rFonts w:hint="default" w:ascii="Times New Roman" w:hAnsi="Times New Roman" w:eastAsia="仿宋_GB2312" w:cs="Times New Roman"/>
          <w:sz w:val="32"/>
          <w:szCs w:val="32"/>
          <w:u w:val="none"/>
        </w:rPr>
        <w:t>揭榜方须完成全链条功效与安全性评价。考核指标：揭榜方须自主开发或优化一种基于荧光/化学发光信号的高内涵或高通量细胞模型，具备高预测性与高稳定性，实现单次检测样本量≥90个，检测周期≤4小时，并完成模型验证报告（包括重复性、灵敏度及与体内功效相关性数据）。基于细胞模型筛选结果，开展规范的动物实验，提供包含血糖、胰岛素、糖化血红蛋白等关键指标的功能评价数据，并探索产品可能的降糖作用机制，形成科学的动物实验总结报告。完成一项设计严谨的研究者发起临床研究，纳入符合统计学要求的糖尿病患者样本，验证产品辅助降糖效果及人体安全性，提交临床研究总结报告。</w:t>
      </w:r>
    </w:p>
    <w:bookmarkEnd w:id="3"/>
    <w:p w14:paraId="5BB20AD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3.中试转化与注册支持</w:t>
      </w:r>
    </w:p>
    <w:p w14:paraId="2BD11C3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揭榜方应完成从配方到稳定产品的工艺转化。考核指标：完成连续三批中试规模生产，建立覆盖原辅料、半成品与成品的质量标准文件，提供稳定性研究资料，并协助企业准备符合特医食品注册要求的申报资料。</w:t>
      </w:r>
    </w:p>
    <w:p w14:paraId="7FB4D90D">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4881A8A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项目研发总投入</w:t>
      </w:r>
      <w:r>
        <w:rPr>
          <w:rFonts w:hint="default" w:ascii="Times New Roman" w:hAnsi="Times New Roman" w:eastAsia="仿宋_GB2312" w:cs="Times New Roman"/>
          <w:color w:val="000000" w:themeColor="text1"/>
          <w:sz w:val="32"/>
          <w:szCs w:val="32"/>
          <w:u w:val="none"/>
          <w14:textFill>
            <w14:solidFill>
              <w14:schemeClr w14:val="tx1"/>
            </w14:solidFill>
          </w14:textFill>
        </w:rPr>
        <w:t>350</w:t>
      </w:r>
      <w:r>
        <w:rPr>
          <w:rFonts w:hint="default" w:ascii="Times New Roman" w:hAnsi="Times New Roman" w:eastAsia="仿宋_GB2312" w:cs="Times New Roman"/>
          <w:color w:val="000000" w:themeColor="text1"/>
          <w:sz w:val="32"/>
          <w:szCs w:val="32"/>
          <w:u w:val="none"/>
          <w14:textFill>
            <w14:solidFill>
              <w14:schemeClr w14:val="tx1"/>
            </w14:solidFill>
          </w14:textFill>
        </w:rPr>
        <w:t>万元，揭榜金额</w:t>
      </w:r>
      <w:r>
        <w:rPr>
          <w:rFonts w:hint="default" w:ascii="Times New Roman" w:hAnsi="Times New Roman" w:eastAsia="仿宋_GB2312" w:cs="Times New Roman"/>
          <w:color w:val="000000" w:themeColor="text1"/>
          <w:sz w:val="32"/>
          <w:szCs w:val="32"/>
          <w:u w:val="none"/>
          <w14:textFill>
            <w14:solidFill>
              <w14:schemeClr w14:val="tx1"/>
            </w14:solidFill>
          </w14:textFill>
        </w:rPr>
        <w:t>100</w:t>
      </w:r>
      <w:r>
        <w:rPr>
          <w:rFonts w:hint="default" w:ascii="Times New Roman" w:hAnsi="Times New Roman" w:eastAsia="仿宋_GB2312" w:cs="Times New Roman"/>
          <w:color w:val="000000" w:themeColor="text1"/>
          <w:sz w:val="32"/>
          <w:szCs w:val="32"/>
          <w:u w:val="none"/>
          <w14:textFill>
            <w14:solidFill>
              <w14:schemeClr w14:val="tx1"/>
            </w14:solidFill>
          </w14:textFill>
        </w:rPr>
        <w:t>万元，出于满足实际研究需求考虑，最终预算允许商谈调整。</w:t>
      </w:r>
    </w:p>
    <w:p w14:paraId="3F7A6B8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color w:val="000000" w:themeColor="text1"/>
          <w:sz w:val="32"/>
          <w:szCs w:val="32"/>
          <w:u w:val="none"/>
          <w14:textFill>
            <w14:solidFill>
              <w14:schemeClr w14:val="tx1"/>
            </w14:solidFill>
          </w14:textFill>
        </w:rPr>
        <w:t>项目行期</w:t>
      </w:r>
      <w:r>
        <w:rPr>
          <w:rFonts w:hint="default" w:ascii="Times New Roman" w:hAnsi="Times New Roman" w:eastAsia="仿宋_GB2312" w:cs="Times New Roman"/>
          <w:color w:val="000000" w:themeColor="text1"/>
          <w:sz w:val="32"/>
          <w:szCs w:val="32"/>
          <w:u w:val="none"/>
          <w14:textFill>
            <w14:solidFill>
              <w14:schemeClr w14:val="tx1"/>
            </w14:solidFill>
          </w14:textFill>
        </w:rPr>
        <w:t>2</w:t>
      </w:r>
      <w:r>
        <w:rPr>
          <w:rFonts w:hint="default" w:ascii="Times New Roman" w:hAnsi="Times New Roman" w:eastAsia="仿宋_GB2312" w:cs="Times New Roman"/>
          <w:color w:val="000000" w:themeColor="text1"/>
          <w:sz w:val="32"/>
          <w:szCs w:val="32"/>
          <w:u w:val="none"/>
          <w14:textFill>
            <w14:solidFill>
              <w14:schemeClr w14:val="tx1"/>
            </w14:solidFill>
          </w14:textFill>
        </w:rPr>
        <w:t>年，即2026年</w:t>
      </w:r>
      <w:r>
        <w:rPr>
          <w:rFonts w:hint="default" w:ascii="Times New Roman" w:hAnsi="Times New Roman" w:eastAsia="仿宋_GB2312" w:cs="Times New Roman"/>
          <w:color w:val="000000" w:themeColor="text1"/>
          <w:sz w:val="32"/>
          <w:szCs w:val="32"/>
          <w:u w:val="none"/>
          <w14:textFill>
            <w14:solidFill>
              <w14:schemeClr w14:val="tx1"/>
            </w14:solidFill>
          </w14:textFill>
        </w:rPr>
        <w:t>1</w:t>
      </w:r>
      <w:r>
        <w:rPr>
          <w:rFonts w:hint="default" w:ascii="Times New Roman" w:hAnsi="Times New Roman" w:eastAsia="仿宋_GB2312" w:cs="Times New Roman"/>
          <w:color w:val="000000" w:themeColor="text1"/>
          <w:sz w:val="32"/>
          <w:szCs w:val="32"/>
          <w:u w:val="none"/>
          <w14:textFill>
            <w14:solidFill>
              <w14:schemeClr w14:val="tx1"/>
            </w14:solidFill>
          </w14:textFill>
        </w:rPr>
        <w:t>月-202</w:t>
      </w:r>
      <w:r>
        <w:rPr>
          <w:rFonts w:hint="default" w:ascii="Times New Roman" w:hAnsi="Times New Roman" w:eastAsia="仿宋_GB2312" w:cs="Times New Roman"/>
          <w:color w:val="000000" w:themeColor="text1"/>
          <w:sz w:val="32"/>
          <w:szCs w:val="32"/>
          <w:u w:val="none"/>
          <w14:textFill>
            <w14:solidFill>
              <w14:schemeClr w14:val="tx1"/>
            </w14:solidFill>
          </w14:textFill>
        </w:rPr>
        <w:t>7</w:t>
      </w:r>
      <w:r>
        <w:rPr>
          <w:rFonts w:hint="default" w:ascii="Times New Roman" w:hAnsi="Times New Roman" w:eastAsia="仿宋_GB2312" w:cs="Times New Roman"/>
          <w:color w:val="000000" w:themeColor="text1"/>
          <w:sz w:val="32"/>
          <w:szCs w:val="32"/>
          <w:u w:val="none"/>
          <w14:textFill>
            <w14:solidFill>
              <w14:schemeClr w14:val="tx1"/>
            </w14:solidFill>
          </w14:textFill>
        </w:rPr>
        <w:t>年</w:t>
      </w:r>
      <w:r>
        <w:rPr>
          <w:rFonts w:hint="default" w:ascii="Times New Roman" w:hAnsi="Times New Roman" w:eastAsia="仿宋_GB2312" w:cs="Times New Roman"/>
          <w:color w:val="000000" w:themeColor="text1"/>
          <w:sz w:val="32"/>
          <w:szCs w:val="32"/>
          <w:u w:val="none"/>
          <w14:textFill>
            <w14:solidFill>
              <w14:schemeClr w14:val="tx1"/>
            </w14:solidFill>
          </w14:textFill>
        </w:rPr>
        <w:t>12</w:t>
      </w:r>
      <w:r>
        <w:rPr>
          <w:rFonts w:hint="default" w:ascii="Times New Roman" w:hAnsi="Times New Roman" w:eastAsia="仿宋_GB2312" w:cs="Times New Roman"/>
          <w:color w:val="000000" w:themeColor="text1"/>
          <w:sz w:val="32"/>
          <w:szCs w:val="32"/>
          <w:u w:val="none"/>
          <w14:textFill>
            <w14:solidFill>
              <w14:schemeClr w14:val="tx1"/>
            </w14:solidFill>
          </w14:textFill>
        </w:rPr>
        <w:t>月。</w:t>
      </w:r>
    </w:p>
    <w:p w14:paraId="438838CE">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3A42CFF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1.具备较强的研发实力、稳定的科研条件和专业技术人员队伍，能够保障发榜任务顺利完成。</w:t>
      </w:r>
    </w:p>
    <w:p w14:paraId="3294B76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2.能够针对项目任务提出切实可行的技术方案，并拥有相关领域的自主知识产权。</w:t>
      </w:r>
    </w:p>
    <w:p w14:paraId="4619405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3.优先支持具备良好科研业绩的单位或团队，鼓励组建创新联合体共同揭榜攻关。</w:t>
      </w:r>
    </w:p>
    <w:p w14:paraId="782555F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4.揭榜单位应为高水平高校、具有独立法人资格的科研院所或企业（生物科技、特医食品领域优先）。如为企业，需具备食品研发经验；如为科研机构，需具备特医食品相关研究基础。</w:t>
      </w:r>
    </w:p>
    <w:p w14:paraId="354D728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5.具备良好的科研道德与社会诚信，近三年内无不良信用记录。</w:t>
      </w:r>
    </w:p>
    <w:p w14:paraId="5BE29C0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6.应熟悉特医食品开发流程，具备开展配方安全性与有效性评价所需的研发设备与技术能力。</w:t>
      </w:r>
    </w:p>
    <w:p w14:paraId="2210E71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研发团队需包含营养学、医学、食品工程等专业背景人员。承诺将本项目资金专项用于实验耗材、检测分析、临床验证等研发活动，并确保在12个月内完成配方优化、小试及细胞与动物实验，24个月内完成临床实验与中试研究。</w:t>
      </w:r>
    </w:p>
    <w:p w14:paraId="7F135A7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8.具备良好的合作意识，能够积极配合开展产学研协同，及时共享研发数据，协助解决产业化过程中的技术问题，并严格遵守项目进度安排。</w:t>
      </w:r>
    </w:p>
    <w:p w14:paraId="60B20D9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p>
    <w:p w14:paraId="27AB694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w:t>
      </w:r>
      <w:r>
        <w:rPr>
          <w:rFonts w:hint="default" w:ascii="Times New Roman" w:hAnsi="Times New Roman" w:eastAsia="黑体" w:cs="Times New Roman"/>
          <w:sz w:val="32"/>
          <w:szCs w:val="32"/>
          <w:u w:val="none"/>
        </w:rPr>
        <w:t>：智能网联汽车线控转向系统自主研发及产业化</w:t>
      </w:r>
    </w:p>
    <w:p w14:paraId="73CDDEF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68EBDAA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单位名称:吉林世宝机械制造有限公司</w:t>
      </w:r>
    </w:p>
    <w:p w14:paraId="381366D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项目联系人：鹿桂鹏，18686354788</w:t>
      </w:r>
    </w:p>
    <w:p w14:paraId="33D80BA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5508935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7995E88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50A379A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项目面向智能网联汽车开展线控转向系统的自主研发与产业化，旨在突破国外技术垄断，实现智能底盘关键零部件的自主可控。项目围绕SBW全冗余软硬件架构、路感及执行控制算法、功能安全开发、故障诊断容错控制等技术难题展开攻关，目标开发具备软硬件全冗余架构、遵循AUTOSAR架构、基于MBD应用层开发、符合ISO 26262功能安全标准的线控转向系统平台，实现适应L3级以上自动驾驶汽车对线控转向系统高转向控制精度、低响应延迟、高安全可靠等关键性能的要求。揭榜方需</w:t>
      </w:r>
      <w:bookmarkStart w:id="4" w:name="OLE_LINK3"/>
      <w:r>
        <w:rPr>
          <w:rFonts w:hint="default" w:ascii="Times New Roman" w:hAnsi="Times New Roman" w:eastAsia="仿宋_GB2312" w:cs="Times New Roman"/>
          <w:sz w:val="32"/>
          <w:szCs w:val="32"/>
          <w:u w:val="none"/>
        </w:rPr>
        <w:t>具备SBW系统软硬件开发、测试与集成能力，实现从设计、仿真、测试到量产的全流程开发与白盒交付</w:t>
      </w:r>
      <w:bookmarkEnd w:id="4"/>
      <w:r>
        <w:rPr>
          <w:rFonts w:hint="default" w:ascii="Times New Roman" w:hAnsi="Times New Roman" w:eastAsia="仿宋_GB2312" w:cs="Times New Roman"/>
          <w:sz w:val="32"/>
          <w:szCs w:val="32"/>
          <w:u w:val="none"/>
        </w:rPr>
        <w:t>。具体的研究以下主要技术问题：</w:t>
      </w:r>
    </w:p>
    <w:p w14:paraId="733793B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1.高安全冗余转向系统架构设计</w:t>
      </w:r>
    </w:p>
    <w:p w14:paraId="3439C15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智能网联汽车对线控转向的安全性提出了更高要求。当前系统在传感器、控制器及电机等关键部件的冗余匹配方面缺乏系统化理论指导，软件架构尚未全面实现AUTOSAR标准的模块化分层设计，工具链尚需引入基于模型的自动代码生成技术，以支持系统低成本批量应用与规模化部署。</w:t>
      </w:r>
    </w:p>
    <w:p w14:paraId="7B31E9D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2.高保真路感模拟与高性能执行</w:t>
      </w:r>
    </w:p>
    <w:p w14:paraId="7FF0AE6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现有系统路感反馈精度低、适应性差，需突破传统参数预设模型的限制，开发能够实时感知车辆状态的自适应路感算法；实现可变传动比高灵敏和个性化转向操控与高精度、低延迟伺服控制，全面提升转向体验。</w:t>
      </w:r>
    </w:p>
    <w:p w14:paraId="71E01C2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3.高功能安全系统及故障容错机制</w:t>
      </w:r>
    </w:p>
    <w:p w14:paraId="0FFB7E9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需构建符合ISO 26262 ASIL-D的高功能安全体系。目前系统在控制单元、传感器及执行器等关键部件的故障诊断与隔离机制存在不足，亟需设计软硬件的多层次容错策略，以保障系统在故障条件下仍可维持转向功能。</w:t>
      </w:r>
    </w:p>
    <w:p w14:paraId="50BB42F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4.系统测试验证体系不完善</w:t>
      </w:r>
    </w:p>
    <w:p w14:paraId="5E199770">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线控转向系统及其关键零部件的功能、性能与可靠性评估，目前缺乏系统级与零部件级的完整验证。需建立涵盖HIL测试和实车验证的全面测试体系，支持故障注入、性能评测与长期可靠性验证，以突破产业化安全性验证瓶颈。</w:t>
      </w:r>
    </w:p>
    <w:p w14:paraId="0E4B70BF">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3C095FF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全解耦高冗余系统架构设计</w:t>
      </w:r>
    </w:p>
    <w:p w14:paraId="638A1CF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研究面向智能网联汽车的完全机械解耦和多冗余转向系统架构，包括方向盘限位、路感总成的低扭矩波动优化，以及转向执行器的方案论证。完成双绕组电机、传感器、控制器等部件的参数匹配，构建涵盖电源、通信和驱动的全冗余硬件架构。</w:t>
      </w:r>
    </w:p>
    <w:p w14:paraId="6843ACE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2.高性能线控转向控制技术</w:t>
      </w:r>
    </w:p>
    <w:p w14:paraId="18A0867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提出基于齿条力估计的高保真路感反馈策略和随速、随转角无级变比控制方法，采用前馈-反馈复合控制提高响应性能，并通过高速CAN总线进一步降低通信延迟。引入摩擦模型等补偿算法，转向角跟踪误差在0.5°内，提升系统控制精度。</w:t>
      </w:r>
    </w:p>
    <w:p w14:paraId="25E2D02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3.高功能安全与容错策略</w:t>
      </w:r>
    </w:p>
    <w:p w14:paraId="6B5F998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依据ISO 26262实现从需求至详细设计的ASIL-D等级全流程开发。开展控制器硬件失效率、诊断覆盖率等指标评估，设计分级降级容错机制，确保系统单点失效时仍可保持不低于50%的转向功能输出，有效提升系统可靠性。</w:t>
      </w:r>
    </w:p>
    <w:p w14:paraId="6EF2D7D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考核指标如下：</w:t>
      </w:r>
    </w:p>
    <w:p w14:paraId="149801E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转向执行器转角跟踪稳态误差≤0.5°；</w:t>
      </w:r>
    </w:p>
    <w:p w14:paraId="421FCEA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转向执行器转角控制分辨率0.1°；</w:t>
      </w:r>
    </w:p>
    <w:p w14:paraId="13E7077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转向执行器转角跟踪响应延迟时间≤50ms；</w:t>
      </w:r>
    </w:p>
    <w:p w14:paraId="3B240B6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转向执行器转角控制范围±420°；</w:t>
      </w:r>
    </w:p>
    <w:p w14:paraId="1E1299D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路感模拟器转向力矩反馈分辨率0.01Nm；</w:t>
      </w:r>
    </w:p>
    <w:p w14:paraId="17B7189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转向执行器最大转向输出力≥16kN；</w:t>
      </w:r>
    </w:p>
    <w:p w14:paraId="2EAEE2E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转向主冗系统切换时间≤20ms。</w:t>
      </w:r>
    </w:p>
    <w:p w14:paraId="3D202F20">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1C5606C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1700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340</w:t>
      </w:r>
      <w:r>
        <w:rPr>
          <w:rFonts w:hint="default" w:ascii="Times New Roman" w:hAnsi="Times New Roman" w:eastAsia="仿宋_GB2312" w:cs="Times New Roman"/>
          <w:sz w:val="32"/>
          <w:szCs w:val="32"/>
          <w:u w:val="none"/>
        </w:rPr>
        <w:t>万元。</w:t>
      </w:r>
    </w:p>
    <w:p w14:paraId="7B95A0A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w:t>
      </w:r>
      <w:r>
        <w:rPr>
          <w:rFonts w:hint="default" w:ascii="Times New Roman" w:hAnsi="Times New Roman" w:eastAsia="仿宋_GB2312" w:cs="Times New Roman"/>
          <w:sz w:val="32"/>
          <w:szCs w:val="32"/>
          <w:u w:val="none"/>
        </w:rPr>
        <w:t>2027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3BA7E239">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1DDE144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揭榜方应为国内外有研究开发能力的高校、科研机构、科技型企业或新型研发机构等法人单位，有较为健全的科研管理制度和财务管理制度，具有完善的科技管理、科技合作和保障机制，能为项目实施提供技术和科技团队保障。</w:t>
      </w:r>
    </w:p>
    <w:p w14:paraId="1C039CA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揭榜单位需拥有高水平的研发平台，拥有进行核心技术攻关所需的专用开发工具、设备及专业实验条件，支撑从基础研究、在环仿真到工程应用的全链条创新开发能力。科研团队在线控转向系统方面应具备完成榜单项目所需的科研条件和研发能力，包括相应的技术储备、研发团队、工具链和试验设施等。</w:t>
      </w:r>
    </w:p>
    <w:p w14:paraId="1788BDD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3.揭榜方能对张榜项目的技术需求，提出计划合理、目标清晰、路线可行的技术攻关揭榜方案，项目相关核心技术应有自主知识产权。</w:t>
      </w:r>
    </w:p>
    <w:p w14:paraId="1B4FA60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4.技术</w:t>
      </w:r>
      <w:r>
        <w:rPr>
          <w:rFonts w:hint="eastAsia" w:ascii="Times New Roman" w:hAnsi="Times New Roman" w:eastAsia="仿宋_GB2312" w:cs="Times New Roman"/>
          <w:sz w:val="32"/>
          <w:szCs w:val="32"/>
          <w:u w:val="none"/>
          <w:lang w:val="en-US" w:eastAsia="zh-CN"/>
        </w:rPr>
        <w:t>揭榜负责</w:t>
      </w:r>
      <w:r>
        <w:rPr>
          <w:rFonts w:hint="default" w:ascii="Times New Roman" w:hAnsi="Times New Roman" w:eastAsia="仿宋_GB2312" w:cs="Times New Roman"/>
          <w:sz w:val="32"/>
          <w:szCs w:val="32"/>
          <w:u w:val="none"/>
        </w:rPr>
        <w:t>人在相关领域具有较强的学术及科研水平，具有良好的理论技术和工程实践积累，拥有丰富的转向系统相关科技成果转化经验；负责制定并牵头落实项目实施方案、组织开展项目研究，具有较强的科研项目组织协调和管理能力，能够承担实质性研究工作并担负科研组织指导职责。</w:t>
      </w:r>
    </w:p>
    <w:p w14:paraId="5E209A8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5.揭榜方以及团队成员应具有良好的科研诚信和社会信用， 无在惩戒执行期内的科研严重失信行为记录和相关社会领域信用“黑名单”记录。</w:t>
      </w:r>
    </w:p>
    <w:p w14:paraId="4C960E5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733C1E2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十一</w:t>
      </w:r>
      <w:r>
        <w:rPr>
          <w:rFonts w:hint="default" w:ascii="Times New Roman" w:hAnsi="Times New Roman" w:eastAsia="黑体" w:cs="Times New Roman"/>
          <w:sz w:val="32"/>
          <w:szCs w:val="32"/>
          <w:u w:val="none"/>
        </w:rPr>
        <w:t>：装备开发智能辅助设计一体化工业软件平台</w:t>
      </w:r>
    </w:p>
    <w:p w14:paraId="0076BA0C">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014AE52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单位名称:一汽模具制造有限公司</w:t>
      </w:r>
    </w:p>
    <w:p w14:paraId="0A9F021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项目联系人：郭宇 15144186606</w:t>
      </w:r>
    </w:p>
    <w:p w14:paraId="0106DDF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5E53F7B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6AC74BD8">
      <w:pPr>
        <w:keepNext w:val="0"/>
        <w:keepLines w:val="0"/>
        <w:pageBreakBefore w:val="0"/>
        <w:widowControl w:val="0"/>
        <w:kinsoku/>
        <w:wordWrap/>
        <w:overflowPunct/>
        <w:topLinePunct w:val="0"/>
        <w:bidi w:val="0"/>
        <w:adjustRightInd/>
        <w:snapToGrid/>
        <w:spacing w:line="576" w:lineRule="exact"/>
        <w:ind w:left="643"/>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2232C69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针对目前汽车产业焊装设计环节依赖人工经验、设计周期长、变更成本高等核心痛点，围绕“知识结构化、决策智能化、设计生成化”三大核心，构建面向汽车焊装领域的多模态知识图谱与工业AI平台。</w:t>
      </w:r>
    </w:p>
    <w:p w14:paraId="71D0527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构建汽车焊装领域知识图谱，基于深度学习技术进行实体识别及关系抽取。研究三维工装模型的结构特征与工艺文本描述之间的语义关联技术。研究支持实时工艺数据感知的知识图谱动态更新机制，解决传统知识图谱静态存储难以及时响应生产环境变化的问题。</w:t>
      </w:r>
    </w:p>
    <w:p w14:paraId="3660B6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开发智能问答与决策支持系统，将用户问题转化为对知识图谱的结构化查询。开发多轮对话管理与上下文理解技术，搭建多模态交互与个性化决策工作台，实现决策信息的个性化呈现，解决汽车焊装领域专业术语繁多、表述复杂的问题。</w:t>
      </w:r>
    </w:p>
    <w:p w14:paraId="62B4CC8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基于生成式AI的焊接工装辅助设计：研发基于大语言模型的自然语言处理技术，解读产品设计要求文档、技术规格书中的关键信息。基于知识图谱和产品模型，研究焊装工艺方案与夹具设计参数之间的关联映射规则，AI自动驱动并生成对应的夹具设计方案等工作。</w:t>
      </w:r>
    </w:p>
    <w:p w14:paraId="7130475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4.一体化工业AI平台开发与集成：对AI组件功能进行标准化封装，形成统一的API服务目录，并搭建图形化界面。开发智能调度引擎智能体，将复杂业务需求自动分解，并依次调用相应AI服务完成任务自动化编排。</w:t>
      </w:r>
    </w:p>
    <w:p w14:paraId="72879FE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0F6B3BA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技术需求：</w:t>
      </w:r>
    </w:p>
    <w:p w14:paraId="3FDBF09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1.将“知识管理（图谱）-智能决策（需求解析）-创新设计（生成式AI）”几种AI范式系统性地集成于汽车焊装单一场景，打造覆盖产品设计AI整体解决方案及平台，而非零散的技术点应用。</w:t>
      </w:r>
    </w:p>
    <w:p w14:paraId="09F5DA1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2.实现“知识图谱+RAG”的可解释问答框架，采用技术手段令生成的答案不仅准确，且逻辑清晰、有据可查，有效提升工业应用的信任度。</w:t>
      </w:r>
    </w:p>
    <w:p w14:paraId="7D6BDAF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3.在工装设计领域，将生成式AI从“艺术创作”引向“工程创造”，研发面向物理约束的生成模型，实现从“计算机辅助设计（CAD）”到“人工智能辅助创造（AIAC）”的范式转变，为传统制造业的研发模式带来革命性变化。</w:t>
      </w:r>
    </w:p>
    <w:p w14:paraId="1D61940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考核指标：</w:t>
      </w:r>
    </w:p>
    <w:tbl>
      <w:tblPr>
        <w:tblStyle w:val="3"/>
        <w:tblW w:w="0" w:type="auto"/>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2005"/>
        <w:gridCol w:w="5626"/>
        <w:gridCol w:w="1406"/>
      </w:tblGrid>
      <w:tr w14:paraId="2670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blHeader/>
        </w:trPr>
        <w:tc>
          <w:tcPr>
            <w:tcW w:w="0" w:type="auto"/>
            <w:tcBorders>
              <w:tl2br w:val="nil"/>
              <w:tr2bl w:val="nil"/>
            </w:tcBorders>
            <w:shd w:val="clear" w:color="auto" w:fill="auto"/>
            <w:tcMar>
              <w:top w:w="120" w:type="dxa"/>
              <w:left w:w="192" w:type="dxa"/>
              <w:bottom w:w="120" w:type="dxa"/>
              <w:right w:w="192" w:type="dxa"/>
            </w:tcMar>
            <w:vAlign w:val="center"/>
          </w:tcPr>
          <w:p w14:paraId="2044C5B7">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关键指标</w:t>
            </w:r>
          </w:p>
        </w:tc>
        <w:tc>
          <w:tcPr>
            <w:tcW w:w="0" w:type="auto"/>
            <w:tcBorders>
              <w:tl2br w:val="nil"/>
              <w:tr2bl w:val="nil"/>
            </w:tcBorders>
            <w:shd w:val="clear" w:color="auto" w:fill="auto"/>
            <w:tcMar>
              <w:top w:w="120" w:type="dxa"/>
              <w:left w:w="192" w:type="dxa"/>
              <w:bottom w:w="120" w:type="dxa"/>
              <w:right w:w="192" w:type="dxa"/>
            </w:tcMar>
            <w:vAlign w:val="center"/>
          </w:tcPr>
          <w:p w14:paraId="7BB6413C">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指标定义 / 计算公式</w:t>
            </w:r>
          </w:p>
        </w:tc>
        <w:tc>
          <w:tcPr>
            <w:tcW w:w="0" w:type="auto"/>
            <w:tcBorders>
              <w:tl2br w:val="nil"/>
              <w:tr2bl w:val="nil"/>
            </w:tcBorders>
            <w:shd w:val="clear" w:color="auto" w:fill="auto"/>
            <w:tcMar>
              <w:top w:w="120" w:type="dxa"/>
              <w:left w:w="192" w:type="dxa"/>
              <w:bottom w:w="120" w:type="dxa"/>
              <w:right w:w="192" w:type="dxa"/>
            </w:tcMar>
            <w:vAlign w:val="center"/>
          </w:tcPr>
          <w:p w14:paraId="7F8CEA77">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目标值</w:t>
            </w:r>
          </w:p>
        </w:tc>
      </w:tr>
      <w:tr w14:paraId="7C6E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0" w:type="auto"/>
            <w:tcBorders>
              <w:tl2br w:val="nil"/>
              <w:tr2bl w:val="nil"/>
            </w:tcBorders>
            <w:shd w:val="clear" w:color="auto" w:fill="auto"/>
            <w:tcMar>
              <w:top w:w="120" w:type="dxa"/>
              <w:left w:w="192" w:type="dxa"/>
              <w:bottom w:w="120" w:type="dxa"/>
              <w:right w:w="192" w:type="dxa"/>
            </w:tcMar>
            <w:vAlign w:val="center"/>
          </w:tcPr>
          <w:p w14:paraId="6DA65C71">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知识库构建准确率</w:t>
            </w:r>
          </w:p>
        </w:tc>
        <w:tc>
          <w:tcPr>
            <w:tcW w:w="0" w:type="auto"/>
            <w:tcBorders>
              <w:tl2br w:val="nil"/>
              <w:tr2bl w:val="nil"/>
            </w:tcBorders>
            <w:shd w:val="clear" w:color="auto" w:fill="auto"/>
            <w:tcMar>
              <w:top w:w="120" w:type="dxa"/>
              <w:left w:w="192" w:type="dxa"/>
              <w:bottom w:w="120" w:type="dxa"/>
              <w:right w:w="192" w:type="dxa"/>
            </w:tcMar>
            <w:vAlign w:val="center"/>
          </w:tcPr>
          <w:p w14:paraId="400C5857">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（经人工审核确认正确的知识条目数量/抽样检查的知识条目总数量）× 100%</w:t>
            </w:r>
          </w:p>
        </w:tc>
        <w:tc>
          <w:tcPr>
            <w:tcW w:w="0" w:type="auto"/>
            <w:tcBorders>
              <w:tl2br w:val="nil"/>
              <w:tr2bl w:val="nil"/>
            </w:tcBorders>
            <w:shd w:val="clear" w:color="auto" w:fill="auto"/>
            <w:tcMar>
              <w:top w:w="120" w:type="dxa"/>
              <w:left w:w="192" w:type="dxa"/>
              <w:bottom w:w="120" w:type="dxa"/>
              <w:right w:w="192" w:type="dxa"/>
            </w:tcMar>
            <w:vAlign w:val="center"/>
          </w:tcPr>
          <w:p w14:paraId="7F083016">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 90%</w:t>
            </w:r>
          </w:p>
        </w:tc>
      </w:tr>
      <w:tr w14:paraId="4E7B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0" w:type="auto"/>
            <w:tcBorders>
              <w:tl2br w:val="nil"/>
              <w:tr2bl w:val="nil"/>
            </w:tcBorders>
            <w:shd w:val="clear" w:color="auto" w:fill="auto"/>
            <w:tcMar>
              <w:top w:w="120" w:type="dxa"/>
              <w:left w:w="192" w:type="dxa"/>
              <w:bottom w:w="120" w:type="dxa"/>
              <w:right w:w="192" w:type="dxa"/>
            </w:tcMar>
            <w:vAlign w:val="center"/>
          </w:tcPr>
          <w:p w14:paraId="765E26AD">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设计需求解析准确率</w:t>
            </w:r>
          </w:p>
        </w:tc>
        <w:tc>
          <w:tcPr>
            <w:tcW w:w="0" w:type="auto"/>
            <w:tcBorders>
              <w:tl2br w:val="nil"/>
              <w:tr2bl w:val="nil"/>
            </w:tcBorders>
            <w:shd w:val="clear" w:color="auto" w:fill="auto"/>
            <w:tcMar>
              <w:top w:w="120" w:type="dxa"/>
              <w:left w:w="192" w:type="dxa"/>
              <w:bottom w:w="120" w:type="dxa"/>
              <w:right w:w="192" w:type="dxa"/>
            </w:tcMar>
            <w:vAlign w:val="center"/>
          </w:tcPr>
          <w:p w14:paraId="0A967FF4">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（被工程师采纳的AI解析要点数量/AI生成的全部解析要点数量） × 100%</w:t>
            </w:r>
          </w:p>
        </w:tc>
        <w:tc>
          <w:tcPr>
            <w:tcW w:w="0" w:type="auto"/>
            <w:tcBorders>
              <w:tl2br w:val="nil"/>
              <w:tr2bl w:val="nil"/>
            </w:tcBorders>
            <w:shd w:val="clear" w:color="auto" w:fill="auto"/>
            <w:tcMar>
              <w:top w:w="120" w:type="dxa"/>
              <w:left w:w="192" w:type="dxa"/>
              <w:bottom w:w="120" w:type="dxa"/>
              <w:right w:w="192" w:type="dxa"/>
            </w:tcMar>
            <w:vAlign w:val="center"/>
          </w:tcPr>
          <w:p w14:paraId="2E7A9A7A">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 90%</w:t>
            </w:r>
          </w:p>
        </w:tc>
      </w:tr>
      <w:tr w14:paraId="7734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0" w:type="auto"/>
            <w:tcBorders>
              <w:tl2br w:val="nil"/>
              <w:tr2bl w:val="nil"/>
            </w:tcBorders>
            <w:shd w:val="clear" w:color="auto" w:fill="auto"/>
            <w:tcMar>
              <w:top w:w="120" w:type="dxa"/>
              <w:left w:w="192" w:type="dxa"/>
              <w:bottom w:w="120" w:type="dxa"/>
              <w:right w:w="192" w:type="dxa"/>
            </w:tcMar>
            <w:vAlign w:val="center"/>
          </w:tcPr>
          <w:p w14:paraId="540DE7E0">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首次设计通过率</w:t>
            </w:r>
          </w:p>
        </w:tc>
        <w:tc>
          <w:tcPr>
            <w:tcW w:w="0" w:type="auto"/>
            <w:tcBorders>
              <w:tl2br w:val="nil"/>
              <w:tr2bl w:val="nil"/>
            </w:tcBorders>
            <w:shd w:val="clear" w:color="auto" w:fill="auto"/>
            <w:tcMar>
              <w:top w:w="120" w:type="dxa"/>
              <w:left w:w="192" w:type="dxa"/>
              <w:bottom w:w="120" w:type="dxa"/>
              <w:right w:w="192" w:type="dxa"/>
            </w:tcMar>
            <w:vAlign w:val="center"/>
          </w:tcPr>
          <w:p w14:paraId="0DB6FA3B">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（首次通过验证的设计数/总成功设计数）× 100%</w:t>
            </w:r>
          </w:p>
        </w:tc>
        <w:tc>
          <w:tcPr>
            <w:tcW w:w="0" w:type="auto"/>
            <w:tcBorders>
              <w:tl2br w:val="nil"/>
              <w:tr2bl w:val="nil"/>
            </w:tcBorders>
            <w:shd w:val="clear" w:color="auto" w:fill="auto"/>
            <w:tcMar>
              <w:top w:w="120" w:type="dxa"/>
              <w:left w:w="192" w:type="dxa"/>
              <w:bottom w:w="120" w:type="dxa"/>
              <w:right w:w="192" w:type="dxa"/>
            </w:tcMar>
            <w:vAlign w:val="center"/>
          </w:tcPr>
          <w:p w14:paraId="04B21C35">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 75%</w:t>
            </w:r>
          </w:p>
        </w:tc>
      </w:tr>
      <w:tr w14:paraId="2535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0" w:type="auto"/>
            <w:tcBorders>
              <w:tl2br w:val="nil"/>
              <w:tr2bl w:val="nil"/>
            </w:tcBorders>
            <w:shd w:val="clear" w:color="auto" w:fill="auto"/>
            <w:tcMar>
              <w:top w:w="120" w:type="dxa"/>
              <w:left w:w="192" w:type="dxa"/>
              <w:bottom w:w="120" w:type="dxa"/>
              <w:right w:w="192" w:type="dxa"/>
            </w:tcMar>
            <w:vAlign w:val="center"/>
          </w:tcPr>
          <w:p w14:paraId="1B7F387F">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人机协同设计生成效率</w:t>
            </w:r>
          </w:p>
        </w:tc>
        <w:tc>
          <w:tcPr>
            <w:tcW w:w="0" w:type="auto"/>
            <w:tcBorders>
              <w:tl2br w:val="nil"/>
              <w:tr2bl w:val="nil"/>
            </w:tcBorders>
            <w:shd w:val="clear" w:color="auto" w:fill="auto"/>
            <w:tcMar>
              <w:top w:w="120" w:type="dxa"/>
              <w:left w:w="192" w:type="dxa"/>
              <w:bottom w:w="120" w:type="dxa"/>
              <w:right w:w="192" w:type="dxa"/>
            </w:tcMar>
            <w:vAlign w:val="center"/>
          </w:tcPr>
          <w:p w14:paraId="651CF20E">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从启动设计任务到产出最终可用设计方案所耗费的总人工工时。</w:t>
            </w:r>
          </w:p>
        </w:tc>
        <w:tc>
          <w:tcPr>
            <w:tcW w:w="0" w:type="auto"/>
            <w:tcBorders>
              <w:tl2br w:val="nil"/>
              <w:tr2bl w:val="nil"/>
            </w:tcBorders>
            <w:shd w:val="clear" w:color="auto" w:fill="auto"/>
            <w:tcMar>
              <w:top w:w="120" w:type="dxa"/>
              <w:left w:w="192" w:type="dxa"/>
              <w:bottom w:w="120" w:type="dxa"/>
              <w:right w:w="192" w:type="dxa"/>
            </w:tcMar>
            <w:vAlign w:val="center"/>
          </w:tcPr>
          <w:p w14:paraId="21639B05">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楷体" w:cs="Times New Roman"/>
                <w:bCs/>
                <w:sz w:val="32"/>
                <w:szCs w:val="32"/>
                <w:u w:val="none"/>
              </w:rPr>
            </w:pPr>
            <w:r>
              <w:rPr>
                <w:rFonts w:hint="default" w:ascii="Times New Roman" w:hAnsi="Times New Roman" w:eastAsia="楷体" w:cs="Times New Roman"/>
                <w:bCs/>
                <w:sz w:val="32"/>
                <w:szCs w:val="32"/>
                <w:u w:val="none"/>
              </w:rPr>
              <w:t>&lt; 4小时/组</w:t>
            </w:r>
          </w:p>
        </w:tc>
      </w:tr>
    </w:tbl>
    <w:p w14:paraId="1CCCCDE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4FA19E0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700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150</w:t>
      </w:r>
      <w:r>
        <w:rPr>
          <w:rFonts w:hint="default" w:ascii="Times New Roman" w:hAnsi="Times New Roman" w:eastAsia="仿宋_GB2312" w:cs="Times New Roman"/>
          <w:sz w:val="32"/>
          <w:szCs w:val="32"/>
          <w:u w:val="none"/>
        </w:rPr>
        <w:t>万元，出于满足实际研究需求考虑，最终预算允许商谈调整。</w:t>
      </w:r>
    </w:p>
    <w:p w14:paraId="0C611DE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5F1E4D20">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4310CB9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1.具有较强的研发实力、科研条件和稳定的人员队伍等，有能力完成发榜方提出的任务；</w:t>
      </w:r>
    </w:p>
    <w:p w14:paraId="1055F4F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2.能对发榜项目任务提出可行的解决方案，掌握自主知识产权；</w:t>
      </w:r>
    </w:p>
    <w:p w14:paraId="64CE0FE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3.优先支持具有良好科研业绩基础的单位和团队，鼓励组建创新联合体共同开展揭榜攻关；</w:t>
      </w:r>
    </w:p>
    <w:p w14:paraId="787EF7A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05040AF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674B9E9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6.须在AI和工业设计领域有深厚积累。</w:t>
      </w:r>
    </w:p>
    <w:p w14:paraId="72861BB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2D7A9BF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十二</w:t>
      </w:r>
      <w:r>
        <w:rPr>
          <w:rFonts w:hint="default" w:ascii="Times New Roman" w:hAnsi="Times New Roman" w:eastAsia="黑体" w:cs="Times New Roman"/>
          <w:sz w:val="32"/>
          <w:szCs w:val="32"/>
          <w:u w:val="none"/>
        </w:rPr>
        <w:t>：新一代具身智能导盲机器狗关键技术及产品</w:t>
      </w:r>
    </w:p>
    <w:p w14:paraId="73CD01F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0ECC8C7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单位名称:长春市万易科技有限公司</w:t>
      </w:r>
    </w:p>
    <w:p w14:paraId="6A4135C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项目联系人：曲晓威  13604417577</w:t>
      </w:r>
    </w:p>
    <w:p w14:paraId="791EF9B4">
      <w:pPr>
        <w:keepNext w:val="0"/>
        <w:keepLines w:val="0"/>
        <w:pageBreakBefore w:val="0"/>
        <w:widowControl w:val="0"/>
        <w:kinsoku/>
        <w:wordWrap/>
        <w:overflowPunct/>
        <w:topLinePunct w:val="0"/>
        <w:bidi w:val="0"/>
        <w:adjustRightInd/>
        <w:snapToGrid/>
        <w:spacing w:line="576" w:lineRule="exact"/>
        <w:ind w:firstLine="2560" w:firstLineChars="8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王艳燕  13596058329</w:t>
      </w:r>
    </w:p>
    <w:p w14:paraId="041BB059">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3132B3C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00380E53">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0B862A7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在第一代大易导盲机器狗产品研制成果的基础上，新一代机器狗研发主要聚焦“硬件自主可控研发”与“软件推理决策深化”双主线。</w:t>
      </w:r>
    </w:p>
    <w:p w14:paraId="602DA38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硬件方面，打造自主知识产权的高性能机器狗。在自主完成机器狗硬件架构（机械结构、关节部件、电路设计、外观形态等）基础上，重点研究三个内容：一是加强轻量化结构和全天候外观防护性能，包括轻量化高强度机身、一体化防护结构、环境适应性等；二是提升多模态传感器优化配置（含激光雷达、视觉、红外、超声波等）方面，包括提高传感器综合效能、优化各类传感器协同配置等；三是提高机器狗运动控制系统的稳定性、灵活性和复杂环境适应性。</w:t>
      </w:r>
    </w:p>
    <w:p w14:paraId="291ABAF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软件方面，以“动态环境下的类人化决策”为核心目标，构建“感知-认知-决策-控制”全流程闭环体系，打造机器狗智能决策系统。在持续优化本地化部署大模型、自然语言交互、视觉识别技术在复杂场景下（如光照强度变化、移动目标等）精准识别、自主导航等已有功能的基础上，重点研究：一是实时多模态虚拟空间构建，包括实时3D高斯泼溅、实时3D空间语义生成等；二是大模型语义理解与物理规则融合的具身推理引擎；三是基于场景理解的混合式（层次化）动态任务决策引擎；四是动态故障诊断与隐私保护机制，包括传感器失灵、关节温度过高，出行轨迹等敏感信息加密等。</w:t>
      </w:r>
    </w:p>
    <w:p w14:paraId="5792A88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037505B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在新一代机器狗软硬件研究内容中，部分关键技术需揭榜方协助完成，具体发布的技术需求有三项：</w:t>
      </w:r>
    </w:p>
    <w:p w14:paraId="3DEA0A4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在轻量化结构和全天候外观方面，需要重点完成三项内容：一是通过梯度复合结构研制，优化强度与重量配比，实现外壳结构性能升级；二是通过防护涂层研制，重点解决机器狗外壳在雨雪环境下的疏水性能；三是通过嵌入式感知自维护模块开发，借助微振动技术实现机器狗外壳除冰功能。主要技术指标如下：</w:t>
      </w:r>
    </w:p>
    <w:p w14:paraId="137B959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（1）复合材料抗拉强度≥300MPa（依据 GB/T 1447-2005 测试标准）</w:t>
      </w:r>
    </w:p>
    <w:p w14:paraId="2DD5509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（2）梯度复合结构的强度/重量比≥145MPa·cm³/g</w:t>
      </w:r>
    </w:p>
    <w:p w14:paraId="07D1571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（3）超疏水涂层接触角≥154°，滚动角＜3°</w:t>
      </w:r>
    </w:p>
    <w:p w14:paraId="2A22543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（4）嵌入式微振动模块振动频率为20-100Hz，振动幅度＜100微米</w:t>
      </w:r>
    </w:p>
    <w:p w14:paraId="5DBF821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（5）单个微振动除冰功耗＜5W</w:t>
      </w:r>
    </w:p>
    <w:p w14:paraId="436023F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（6）-10℃到0℃，表面积雪厚度≥5mm 时，5分钟内除冰率≥90%</w:t>
      </w:r>
    </w:p>
    <w:p w14:paraId="202E3EC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语义理解与物理规则融合的具身推理引擎，整合大模型、机器人动力学、强化学习等技术，重点完成五项内容：一是实现自然语言指令到运动控制的跨模态转换；二是构建语义-物理信息联合嵌入模型；三是完成大模型生成任务抽象；四是完成基于物理引擎的动作可行性验证；五是优化电机控制参数。主要技术指标如下：</w:t>
      </w:r>
    </w:p>
    <w:p w14:paraId="3A0C08F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（1）自然语言理解准确率≥90%（室内外环境噪音≤60dB下）</w:t>
      </w:r>
    </w:p>
    <w:p w14:paraId="30014C3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（2）自然语言指令输入完成到机器人启动的端到端响应延迟≤1s</w:t>
      </w:r>
    </w:p>
    <w:p w14:paraId="1607956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（3）指令最终执行成功率≥95%（室内外白天）</w:t>
      </w:r>
    </w:p>
    <w:p w14:paraId="1422735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基于场景理解的混合式任务决策引擎，依托语义路径、分层强化学习等技术，需要重点完成两项内容：一是导盲机器狗三级决策熔断架构（策略层、任务层、控制层）；二是研发自适应决策优化算法。主要技术指标如下：</w:t>
      </w:r>
    </w:p>
    <w:p w14:paraId="7F2DC2F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（1）三级决策熔断架构，碰撞风险触发控制层硬件中断，从数据采集到生效时间≤50ms</w:t>
      </w:r>
    </w:p>
    <w:p w14:paraId="3292217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（2）多传感器融合架构，模态信息种类≥3种</w:t>
      </w:r>
    </w:p>
    <w:p w14:paraId="0CB3152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3E9375C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1000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200</w:t>
      </w:r>
      <w:r>
        <w:rPr>
          <w:rFonts w:hint="default" w:ascii="Times New Roman" w:hAnsi="Times New Roman" w:eastAsia="仿宋_GB2312" w:cs="Times New Roman"/>
          <w:sz w:val="32"/>
          <w:szCs w:val="32"/>
          <w:u w:val="none"/>
        </w:rPr>
        <w:t>万元，出于满足实际研究需求考虑，最终预算允许商谈调整。</w:t>
      </w:r>
    </w:p>
    <w:p w14:paraId="7CD1440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665FE88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1E415D3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1.具有较强的研发实力、科研条件和稳定的人员队伍等，有能力完成发榜方提出的任务；</w:t>
      </w:r>
    </w:p>
    <w:p w14:paraId="65430E5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2.能对发榜项目任务提出可行的解决方案，掌握自主知识产权；</w:t>
      </w:r>
    </w:p>
    <w:p w14:paraId="2CD189F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3.优先支持具有良好科研业绩基础的单位和团队，鼓励组建创新联合体共同开展揭榜攻关；</w:t>
      </w:r>
    </w:p>
    <w:p w14:paraId="743A449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636B8A9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7891C3E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4E3AE96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十三</w:t>
      </w:r>
      <w:r>
        <w:rPr>
          <w:rFonts w:hint="default" w:ascii="Times New Roman" w:hAnsi="Times New Roman" w:eastAsia="黑体" w:cs="Times New Roman"/>
          <w:sz w:val="32"/>
          <w:szCs w:val="32"/>
          <w:u w:val="none"/>
        </w:rPr>
        <w:t>：</w:t>
      </w:r>
      <w:bookmarkStart w:id="5" w:name="OLE_LINK4"/>
      <w:r>
        <w:rPr>
          <w:rFonts w:hint="default" w:ascii="Times New Roman" w:hAnsi="Times New Roman" w:eastAsia="黑体" w:cs="Times New Roman"/>
          <w:sz w:val="32"/>
          <w:szCs w:val="32"/>
          <w:u w:val="none"/>
        </w:rPr>
        <w:t>车规级芯片多应力耦合仿真测试关键技术研究</w:t>
      </w:r>
      <w:bookmarkEnd w:id="5"/>
    </w:p>
    <w:p w14:paraId="012EE8A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一、需求单位</w:t>
      </w:r>
    </w:p>
    <w:p w14:paraId="0D16425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单位名称:长春慧程科技有限公司</w:t>
      </w:r>
    </w:p>
    <w:p w14:paraId="20D7538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项目联系人：刘冰 18643111195</w:t>
      </w:r>
    </w:p>
    <w:p w14:paraId="24A8278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二、榜单类型</w:t>
      </w:r>
    </w:p>
    <w:p w14:paraId="2ABB8E4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4493CF63">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三、研究内容</w:t>
      </w:r>
    </w:p>
    <w:p w14:paraId="1D256DE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1.多维环境模拟与多应力动态映射模型构建</w:t>
      </w:r>
    </w:p>
    <w:p w14:paraId="094D2B0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在环境应力耦合的芯片功能与性能稳定性验证层面，构建多维环境模拟系统，研发可同时加载温度、振动、湿热、电源扰动的多应力复合加载系统，建立环境参数与芯片工作状态的动态映射模型。通过多物理场耦合仿真，建立芯片在复杂应力下性能评价体系及关键指标测试矩阵，重点评估温度冲击下芯片功能稳定性、振动条件下信号完整性及电源异常扰动时的芯片容错能力。上述环境模型的建立为定量表征环境应力与芯片性能间关系提供了基础数据支撑。</w:t>
      </w:r>
    </w:p>
    <w:p w14:paraId="5F087D0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2.车规芯片多应力耦合环境试验平台开发</w:t>
      </w:r>
    </w:p>
    <w:p w14:paraId="47A09D2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研制由高精度环境模拟器、复合振动加载装置、动态负载模拟系统及智能控制平台构成的多应力环境仿真测试平台。高精度环境模拟平台配备宽域快温变控制模块，温度范围-40℃-150℃，最高升温速率≥10℃/min，以满足车规芯片低温冷启动、高温满载运行及热循环寿命试验需求；复合振动加载装置（频率范围5Hz-2000Hz），可在温度应力叠加下施加振动应力。电磁兼容测试子系统具备传导干扰和辐射抗扰度双模式测试能力，可施加150kHz-5.9GHz频段电磁应力。动态负载模拟系统可模拟电机驱动、ADAS传感器等典型用例负载场景，智能控制平台内置故障注入模块以模拟电源波动、短路、过压等异常工况。</w:t>
      </w:r>
    </w:p>
    <w:p w14:paraId="13C8FDC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3.多应力测试平台集成及验证应用</w:t>
      </w:r>
    </w:p>
    <w:p w14:paraId="326E63E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完成各功能子系统集成调试，建立统一的测试控制与数据采集分析平台。基于研制的多应力耦合测试平台，对典型车规级芯片开展多应力环境下功能与性能测试，验证环境应力耦合模型的准确性和测试平台的有效性。通过校验测试数据，优化测试系统参数配置和模型算法，为后续开展更复杂的系统级验证奠定基础。</w:t>
      </w:r>
    </w:p>
    <w:p w14:paraId="4EC3AE60">
      <w:pPr>
        <w:keepNext w:val="0"/>
        <w:keepLines w:val="0"/>
        <w:pageBreakBefore w:val="0"/>
        <w:widowControl w:val="0"/>
        <w:kinsoku/>
        <w:wordWrap/>
        <w:overflowPunct/>
        <w:topLinePunct w:val="0"/>
        <w:bidi w:val="0"/>
        <w:adjustRightInd/>
        <w:snapToGrid/>
        <w:spacing w:line="576" w:lineRule="exact"/>
        <w:textAlignment w:val="auto"/>
        <w:rPr>
          <w:rFonts w:hint="default" w:ascii="Times New Roman" w:hAnsi="Times New Roman" w:eastAsia="仿宋" w:cs="Times New Roman"/>
          <w:b/>
          <w:bCs/>
          <w:sz w:val="32"/>
          <w:szCs w:val="32"/>
          <w:u w:val="none"/>
        </w:rPr>
      </w:pPr>
      <w:r>
        <w:rPr>
          <w:rFonts w:hint="default" w:ascii="Times New Roman" w:hAnsi="Times New Roman" w:eastAsia="仿宋" w:cs="Times New Roman"/>
          <w:b/>
          <w:bCs/>
          <w:sz w:val="32"/>
          <w:szCs w:val="32"/>
          <w:u w:val="none"/>
        </w:rPr>
        <w:t xml:space="preserve"> </w:t>
      </w:r>
      <w:r>
        <w:rPr>
          <w:rFonts w:hint="default" w:ascii="Times New Roman" w:hAnsi="Times New Roman" w:eastAsia="楷体_GB2312" w:cs="Times New Roman"/>
          <w:b/>
          <w:bCs/>
          <w:sz w:val="32"/>
          <w:szCs w:val="32"/>
          <w:u w:val="none"/>
        </w:rPr>
        <w:t xml:space="preserve">  </w:t>
      </w:r>
      <w:r>
        <w:rPr>
          <w:rFonts w:hint="default" w:ascii="Times New Roman" w:hAnsi="Times New Roman" w:eastAsia="楷体_GB2312" w:cs="Times New Roman"/>
          <w:bCs/>
          <w:sz w:val="32"/>
          <w:szCs w:val="32"/>
          <w:u w:val="none"/>
        </w:rPr>
        <w:t xml:space="preserve"> </w:t>
      </w:r>
      <w:r>
        <w:rPr>
          <w:rFonts w:hint="default" w:ascii="Times New Roman" w:hAnsi="Times New Roman" w:eastAsia="楷体_GB2312" w:cs="Times New Roman"/>
          <w:b/>
          <w:bCs/>
          <w:sz w:val="32"/>
          <w:szCs w:val="32"/>
          <w:u w:val="none"/>
        </w:rPr>
        <w:t>四、对揭榜方的技术需求</w:t>
      </w:r>
    </w:p>
    <w:p w14:paraId="164AA25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新技术：研制车规级芯片多应力耦合仿真测试平台原型1套；温度范围-40℃-150℃，温度波动度≤±1℃，最高升温速率达10℃/min，最高降温速率达5℃/min；湿度范围覆盖20-98RH，湿度偏差≤±5%；振动频率5Hz-2000Hz；EMC电磁应力频率范围150kHz-5.9GHz；</w:t>
      </w:r>
    </w:p>
    <w:p w14:paraId="2CE98E5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2.新装备：形成车规级芯片多应力耦合测试平台1个（实验室设备）；</w:t>
      </w:r>
    </w:p>
    <w:p w14:paraId="5A0CC17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3.成果应用：完成1款车规级芯片的多应力环境适配测试验证，测试内容覆盖1项汽车行业标准要求；</w:t>
      </w:r>
    </w:p>
    <w:p w14:paraId="5E7B4E1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4.知识产权：申请发明专利2项。</w:t>
      </w:r>
    </w:p>
    <w:p w14:paraId="41F7EC0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五、项目预算和项目执行期</w:t>
      </w:r>
    </w:p>
    <w:p w14:paraId="189EDCF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500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150</w:t>
      </w:r>
      <w:r>
        <w:rPr>
          <w:rFonts w:hint="default" w:ascii="Times New Roman" w:hAnsi="Times New Roman" w:eastAsia="仿宋_GB2312" w:cs="Times New Roman"/>
          <w:sz w:val="32"/>
          <w:szCs w:val="32"/>
          <w:u w:val="none"/>
        </w:rPr>
        <w:t>万元，出于满足实际研究需求考虑，最终预算允许商谈调整。</w:t>
      </w:r>
    </w:p>
    <w:p w14:paraId="64472BC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0E92401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六、对揭榜方的要求</w:t>
      </w:r>
    </w:p>
    <w:p w14:paraId="04F2E22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1.具有较强的研发实力、科研条件和稳定的人员队伍等，有能力完成发榜方提出的任务；</w:t>
      </w:r>
    </w:p>
    <w:p w14:paraId="4C94A77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2.能对发榜项目任务提出可行的解决方案，掌握自主知识产权；</w:t>
      </w:r>
    </w:p>
    <w:p w14:paraId="2FCECC8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3.优先支持具有良好科研业绩基础的单位和团队，鼓励组建创新联合体共同开展揭榜攻关；</w:t>
      </w:r>
    </w:p>
    <w:p w14:paraId="3BF032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23ADF92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343FC62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1B0C59C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十四</w:t>
      </w:r>
      <w:r>
        <w:rPr>
          <w:rFonts w:hint="default" w:ascii="Times New Roman" w:hAnsi="Times New Roman" w:eastAsia="黑体" w:cs="Times New Roman"/>
          <w:sz w:val="32"/>
          <w:szCs w:val="32"/>
          <w:u w:val="none"/>
        </w:rPr>
        <w:t>：面向工厂自动化的服务协同智能平台关键技术研发</w:t>
      </w:r>
    </w:p>
    <w:p w14:paraId="2C8CC99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7A16593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单位名称:吉林省吉邦自动化有限公司</w:t>
      </w:r>
    </w:p>
    <w:p w14:paraId="0A007BF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项目联系人：张风升 17790013348</w:t>
      </w:r>
    </w:p>
    <w:p w14:paraId="69E7E377">
      <w:pPr>
        <w:keepNext w:val="0"/>
        <w:keepLines w:val="0"/>
        <w:pageBreakBefore w:val="0"/>
        <w:widowControl w:val="0"/>
        <w:kinsoku/>
        <w:wordWrap/>
        <w:overflowPunct/>
        <w:topLinePunct w:val="0"/>
        <w:bidi w:val="0"/>
        <w:adjustRightInd/>
        <w:snapToGrid/>
        <w:spacing w:line="576" w:lineRule="exact"/>
        <w:ind w:firstLine="2560" w:firstLineChars="8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赵庆明 18946512655 </w:t>
      </w:r>
    </w:p>
    <w:p w14:paraId="43210258">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3BD12F2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19033DF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2FD8A83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传统线性供应方式导致工厂自动化资源匹配深陷高摩擦成本、高机会损失、高风险传导的困境，本项目研发面向汽车制造业生态智能匹配系统，涵盖“软件算法核心研发+硬件配套落地+产业化验证”全链条工作，涉及软件与算法研发任务，硬件采购、系统集成、试点应用等落地性工作，整体实现企业技术需求、解决方案服务商能力及设备供应商三类资源一体化实时贯通，打破制造企业-服务商-供应商间的数据壁垒，形成闭环智能决策方案，完成全链条快速响应和高效匹配，从而提高制造效率，降低生产成本。</w:t>
      </w:r>
    </w:p>
    <w:p w14:paraId="0BB2954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（1）面向精准匹配的非标需求参数化重构</w:t>
      </w:r>
    </w:p>
    <w:p w14:paraId="4406B6F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对于制造企业自动化升级需求模糊、描述非标导致的方案设计周期长、匹配效率低下的问题，建立一套从自然语言、图纸到标准化技术参数的需求智能解析与转换流程，实现“模糊需求”到“精准参数”的映射。</w:t>
      </w:r>
    </w:p>
    <w:p w14:paraId="6E1606D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（2）多约束系统决策与技术方案生成</w:t>
      </w:r>
    </w:p>
    <w:p w14:paraId="6DF7FAF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解决方案商在方案设计中面临的技术适配性、成本、货期等多目标难以同时最优的决策困境，构建一个基于历史案例与供应链数据相融合的实时协同决策系统，自动生成多个综合可行性方案，并可有条件寻优与模拟验证。</w:t>
      </w:r>
    </w:p>
    <w:p w14:paraId="3A47D09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（3）全链路的资源协同与风险预警机制构建</w:t>
      </w:r>
    </w:p>
    <w:p w14:paraId="19B6B21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已确定方案因元器件库存、供应商产能、物流交期等动态变化而导致的交付延期、成本超支甚至执行中断风险，建立一个覆盖全链路的资源协同与风险预警机制，实时监测履约障碍并主动提供替代方案，切实降低项目风险。</w:t>
      </w:r>
    </w:p>
    <w:p w14:paraId="420EDDF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（4）硬件系统集成与实施</w:t>
      </w:r>
      <w:r>
        <w:rPr>
          <w:rFonts w:hint="default" w:ascii="Times New Roman" w:hAnsi="Times New Roman" w:eastAsia="仿宋_GB2312" w:cs="Times New Roman"/>
          <w:sz w:val="32"/>
          <w:szCs w:val="32"/>
          <w:u w:val="none"/>
        </w:rPr>
        <w:br w:type="textWrapping"/>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完成汽车制造场景的物理设备部署与系统集成，包括采购并安装主流自动化设备，覆盖主流汽车制造场景。包括设备选型与采购、工厂现场安装调试、系统联调测试、数据采集终端部署及安全防护设施配置。</w:t>
      </w:r>
    </w:p>
    <w:p w14:paraId="48241AC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（5）系统测试验证与运维优化</w:t>
      </w:r>
      <w:r>
        <w:rPr>
          <w:rFonts w:hint="default" w:ascii="Times New Roman" w:hAnsi="Times New Roman" w:eastAsia="仿宋_GB2312" w:cs="Times New Roman"/>
          <w:sz w:val="32"/>
          <w:szCs w:val="32"/>
          <w:u w:val="none"/>
        </w:rPr>
        <w:br w:type="textWrapping"/>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在真实应用环境中进行全链路测试验证，包括功能测试、压力测试及可靠性测试，验证平台对汽车制造场景的适应性。同时，建立运维体系，负责系统部署后的日常监控、故障修复、数据备份及持续优化，通过收集运行数据迭代改进平台性能，并确保系统稳定运行并满足实际生产需求。</w:t>
      </w:r>
    </w:p>
    <w:p w14:paraId="2EA4D89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2EA6C2B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主要成果：开发面向工厂自动化的服务协同智能平台系统一套。</w:t>
      </w:r>
    </w:p>
    <w:p w14:paraId="08CE59A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技术参数指标：</w:t>
      </w:r>
    </w:p>
    <w:p w14:paraId="10C72EC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（1）需求解析准确率≥90%</w:t>
      </w:r>
    </w:p>
    <w:p w14:paraId="2F04C1C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（2）覆盖汽车制造业主流自动化场景≥10个，包括但不限于自动上料、机器人搬运、零部件检测、混合拆垛、自动拧紧、自动涂胶；</w:t>
      </w:r>
    </w:p>
    <w:p w14:paraId="2A195AD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（3）覆盖汽车制造业主流自动化设备≥20类，包括但不限于机械臂、PLC、AGV、气动设备、传感器、2D/3D视觉、末端执行器；</w:t>
      </w:r>
    </w:p>
    <w:p w14:paraId="26CB191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（4）方案生成平均耗时≤60秒；</w:t>
      </w:r>
    </w:p>
    <w:p w14:paraId="7815D79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（5）单次有效方案生成数量≥3个；</w:t>
      </w:r>
    </w:p>
    <w:p w14:paraId="04755C6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（6）需求-方案匹配准确率≥80%；</w:t>
      </w:r>
    </w:p>
    <w:p w14:paraId="302AF53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（7）支持主流工业以太网协议≥8种；</w:t>
      </w:r>
    </w:p>
    <w:p w14:paraId="6FD6E0C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形成相关知识产权4项，其中发明专利不少于2项。</w:t>
      </w:r>
    </w:p>
    <w:p w14:paraId="4DD0439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143975A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1700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520</w:t>
      </w:r>
      <w:r>
        <w:rPr>
          <w:rFonts w:hint="default" w:ascii="Times New Roman" w:hAnsi="Times New Roman" w:eastAsia="仿宋_GB2312" w:cs="Times New Roman"/>
          <w:sz w:val="32"/>
          <w:szCs w:val="32"/>
          <w:u w:val="none"/>
        </w:rPr>
        <w:t>万元，出于满足实际研究需求考虑，最终预算允许商谈调整。</w:t>
      </w:r>
    </w:p>
    <w:p w14:paraId="5264018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年，即2026年1月-2027年12月。</w:t>
      </w:r>
    </w:p>
    <w:p w14:paraId="06646A5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0414CD9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1.揭榜方依托单位应为高等院校或科研院所，具有健全的科研、教学和财务管理机制，有能力完成发榜方提出的任务；</w:t>
      </w:r>
    </w:p>
    <w:p w14:paraId="6D14CF2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2.揭榜方具备覆盖汽车制造的学科体系，涵盖机械、控制、统计学、计算机、电气工程等，且技术水平较高；</w:t>
      </w:r>
    </w:p>
    <w:p w14:paraId="2F26FAF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3.项目团队具备汽车产业技术研发能力和实际项目经验，具有完成企业数字化转型的专门人才或资质，鼓励组建创新联合体共同开展揭榜攻关。</w:t>
      </w:r>
    </w:p>
    <w:p w14:paraId="5D3C492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08A2140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5.具有良好科研道德和社会诚信，近三年内无不良信用记录；</w:t>
      </w:r>
    </w:p>
    <w:p w14:paraId="1C4F8CF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6.对发榜项目任务提出可行的解决方案，掌握自主知识产权</w:t>
      </w:r>
      <w:r>
        <w:rPr>
          <w:rFonts w:hint="default" w:ascii="Times New Roman" w:hAnsi="Times New Roman" w:eastAsia="仿宋_GB2312" w:cs="Times New Roman"/>
          <w:sz w:val="32"/>
          <w:szCs w:val="32"/>
          <w:u w:val="none"/>
          <w:lang w:eastAsia="zh-CN"/>
        </w:rPr>
        <w:t>。</w:t>
      </w:r>
    </w:p>
    <w:p w14:paraId="1CE7526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48336EF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十五</w:t>
      </w:r>
      <w:r>
        <w:rPr>
          <w:rFonts w:hint="default" w:ascii="Times New Roman" w:hAnsi="Times New Roman" w:eastAsia="黑体" w:cs="Times New Roman"/>
          <w:sz w:val="32"/>
          <w:szCs w:val="32"/>
          <w:u w:val="none"/>
        </w:rPr>
        <w:t>：汽车门盖总成折边机智能伺服液压控制系统</w:t>
      </w:r>
    </w:p>
    <w:p w14:paraId="6084188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4AC25AB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单位名称:长春杰维技术有限公司 </w:t>
      </w:r>
    </w:p>
    <w:p w14:paraId="5243DB4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项目联系人：矫晶15504419709  于淼13039201725</w:t>
      </w:r>
    </w:p>
    <w:p w14:paraId="395BF02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403EFA3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3989EC5C">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69863B4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总体描述：开发适用于高节拍生产线需求的汽车门盖总成折边设备，门盖总成包边工序作为焊装工序的核心环节，其工艺水平直接决定整车安全性能与外观品质，是影响门盖总成密封性、结构强度的关键节点。门盖总成折边设备专为汽车门盖生产线量身打造，通过自动化精准控制实现内外板的最终合拼，有效解决了传统人工包边效率低、误差大、一致性差的行业痛点，满足了车企对产品标准化、高品质的严苛要求。其成功开发与应用，不仅为汽车制造业高质量发展提供关键设备支撑，同时降低制造成本，是推动行业工艺升级的重要创新成果。</w:t>
      </w:r>
    </w:p>
    <w:p w14:paraId="604ECD09">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lang w:val="en-US" w:eastAsia="zh-CN"/>
        </w:rPr>
        <w:t>1.</w:t>
      </w:r>
      <w:r>
        <w:rPr>
          <w:rFonts w:hint="default" w:ascii="Times New Roman" w:hAnsi="Times New Roman" w:eastAsia="楷体" w:cs="Times New Roman"/>
          <w:b/>
          <w:bCs/>
          <w:sz w:val="32"/>
          <w:szCs w:val="32"/>
          <w:u w:val="none"/>
        </w:rPr>
        <w:t>主要技术问题：</w:t>
      </w:r>
    </w:p>
    <w:p w14:paraId="4EF9B42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（1）建立不同造型的门盖产品最终成型的工艺方法库。</w:t>
      </w:r>
    </w:p>
    <w:p w14:paraId="467C5EF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（2）建立能达到产品质量要求的外板开边角度及开边高度的知识体系。</w:t>
      </w:r>
    </w:p>
    <w:p w14:paraId="01606B5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（3）刀块、模具、压料板的结构设计标准及材质材料热处理问题。</w:t>
      </w:r>
    </w:p>
    <w:p w14:paraId="639FA69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（4）紧凑型智能控制的液压伺服升降系统。</w:t>
      </w:r>
    </w:p>
    <w:p w14:paraId="7D8175A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（5）设备整体的重复精度达到±0.05mm。</w:t>
      </w:r>
    </w:p>
    <w:p w14:paraId="21E85F5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（6）包边机自身完成包边时间小于等于27S。</w:t>
      </w:r>
    </w:p>
    <w:p w14:paraId="23C8D04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lang w:val="en-US" w:eastAsia="zh-CN"/>
        </w:rPr>
        <w:t>2.</w:t>
      </w:r>
      <w:r>
        <w:rPr>
          <w:rFonts w:hint="default" w:ascii="Times New Roman" w:hAnsi="Times New Roman" w:eastAsia="楷体" w:cs="Times New Roman"/>
          <w:b/>
          <w:bCs/>
          <w:sz w:val="32"/>
          <w:szCs w:val="32"/>
          <w:u w:val="none"/>
        </w:rPr>
        <w:t>主要技术指标：</w:t>
      </w:r>
    </w:p>
    <w:p w14:paraId="1F27D10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（1）智能化：集成力-位移曲线实时监控与质量判定，实现压合过程100%数据追溯。</w:t>
      </w:r>
    </w:p>
    <w:p w14:paraId="06298A6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（2）一体化：采用模块化设计，集成伺服电机、控制器与精密减速机，结构紧凑，维护便捷；一体化控制柜缩减到货后调试时间。</w:t>
      </w:r>
    </w:p>
    <w:p w14:paraId="0470623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（3）节能环保：采用高能效伺服驱动技术，相比传统液压压机，节能高达30%-60%，噪音更低，可达到70-75dB(A)。</w:t>
      </w:r>
    </w:p>
    <w:p w14:paraId="3887F67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（4）伺服液压系统单缸最大折边压力：39吨</w:t>
      </w:r>
    </w:p>
    <w:p w14:paraId="52F7551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（5）单机生产节拍：27秒(不涵盖机器人上下料过程)</w:t>
      </w:r>
    </w:p>
    <w:p w14:paraId="33E5BC6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（6）质量：</w:t>
      </w:r>
    </w:p>
    <w:p w14:paraId="7FD1860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 </w:t>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位置重复精度：±0.05 mm。</w:t>
      </w:r>
    </w:p>
    <w:p w14:paraId="4FCFFF0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 </w:t>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压力控制精度：±1% F.S.</w:t>
      </w:r>
    </w:p>
    <w:p w14:paraId="6E157FB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 </w:t>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ab/>
      </w:r>
      <w:r>
        <w:rPr>
          <w:rFonts w:hint="default" w:ascii="Times New Roman" w:hAnsi="Times New Roman" w:eastAsia="仿宋_GB2312" w:cs="Times New Roman"/>
          <w:sz w:val="32"/>
          <w:szCs w:val="32"/>
          <w:u w:val="none"/>
        </w:rPr>
        <w:t>具备完整的压合曲线窗口监控功能，杜绝不良品流出。</w:t>
      </w:r>
    </w:p>
    <w:p w14:paraId="746051C8">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lang w:val="en-US" w:eastAsia="zh-CN"/>
        </w:rPr>
        <w:t>3.</w:t>
      </w:r>
      <w:r>
        <w:rPr>
          <w:rFonts w:hint="default" w:ascii="Times New Roman" w:hAnsi="Times New Roman" w:eastAsia="楷体" w:cs="Times New Roman"/>
          <w:b/>
          <w:bCs/>
          <w:sz w:val="32"/>
          <w:szCs w:val="32"/>
          <w:u w:val="none"/>
        </w:rPr>
        <w:t>主要研究成果</w:t>
      </w:r>
    </w:p>
    <w:p w14:paraId="7F3A6222">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（1）标准伺服液压控制系统，适配不同产品系列。</w:t>
      </w:r>
    </w:p>
    <w:p w14:paraId="5C6370D6">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（2）包边工艺方法库。</w:t>
      </w:r>
    </w:p>
    <w:p w14:paraId="463B8AAF">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（3）建立外板产品开边高度及开边角度的知识体系。</w:t>
      </w:r>
    </w:p>
    <w:p w14:paraId="35FA80A8">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（4）建立包边设备设计、加工、装配标准。</w:t>
      </w:r>
    </w:p>
    <w:p w14:paraId="3513797E">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（5）折边样机一套。</w:t>
      </w:r>
    </w:p>
    <w:p w14:paraId="45F10D4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2506E7F8">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开发适用于汽车门盖总成折边机的紧凑型伺服液压控制系统（powerdrive），集成力-位移曲线实时监控与质量判定，建立油温冷却循环联动模型，实现热平衡智能管理，采用模块化设计，将伺服电机、控制器与压力温度信号反馈集成到一起，结构紧凑满足折边机产品结构的空间需求，应用一体化控制柜缩减到货后调试时间并可以在折边机全系列产品中进行互换。</w:t>
      </w:r>
    </w:p>
    <w:p w14:paraId="2DF68C02">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整个伺服液压控制系统能兼容到不同的门盖折边设备中，采用一体化设计，可以在折边机全系列产品中进行互换。智能联动控制要求多参数实时监控与智能联动控制系统设计监控调整折边质量。要具备可扩展性，预留双倍举升力的扩展位置，在系统中留出空间、安装孔及接头。密封可靠性及疲劳寿命理论设计保障在5年内免更换。循环水冷却及油温启动互锁，油温超过55℃停机。</w:t>
      </w:r>
    </w:p>
    <w:p w14:paraId="7588A4A2">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研发后的系统到我司进行产品整体性能测试。</w:t>
      </w:r>
    </w:p>
    <w:p w14:paraId="4FF8530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sz w:val="32"/>
          <w:szCs w:val="32"/>
          <w:u w:val="none"/>
        </w:rPr>
      </w:pPr>
      <w:r>
        <w:rPr>
          <w:rFonts w:hint="default" w:ascii="Times New Roman" w:hAnsi="Times New Roman" w:eastAsia="楷体" w:cs="Times New Roman"/>
          <w:sz w:val="32"/>
          <w:szCs w:val="32"/>
          <w:u w:val="none"/>
        </w:rPr>
        <w:t>考核指标：</w:t>
      </w:r>
    </w:p>
    <w:p w14:paraId="7B6EE550">
      <w:pPr>
        <w:keepNext w:val="0"/>
        <w:keepLines w:val="0"/>
        <w:pageBreakBefore w:val="0"/>
        <w:widowControl w:val="0"/>
        <w:numPr>
          <w:ilvl w:val="0"/>
          <w:numId w:val="1"/>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单缸举升力392.5KN，可在350bar条件下运行。</w:t>
      </w:r>
    </w:p>
    <w:p w14:paraId="2FBCBFB6">
      <w:pPr>
        <w:keepNext w:val="0"/>
        <w:keepLines w:val="0"/>
        <w:pageBreakBefore w:val="0"/>
        <w:widowControl w:val="0"/>
        <w:numPr>
          <w:ilvl w:val="0"/>
          <w:numId w:val="1"/>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上升速度60mm/s，下降速度70mm/s。</w:t>
      </w:r>
    </w:p>
    <w:p w14:paraId="57DE928F">
      <w:pPr>
        <w:keepNext w:val="0"/>
        <w:keepLines w:val="0"/>
        <w:pageBreakBefore w:val="0"/>
        <w:widowControl w:val="0"/>
        <w:numPr>
          <w:ilvl w:val="0"/>
          <w:numId w:val="1"/>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液压升降系统升降总里程可达1881km。</w:t>
      </w:r>
    </w:p>
    <w:p w14:paraId="00A24B22">
      <w:pPr>
        <w:keepNext w:val="0"/>
        <w:keepLines w:val="0"/>
        <w:pageBreakBefore w:val="0"/>
        <w:widowControl w:val="0"/>
        <w:numPr>
          <w:ilvl w:val="0"/>
          <w:numId w:val="1"/>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多动作阶段（下降、加压、保持、回程）的平滑稳定切换，重复位置精度控制在±0.05mm.</w:t>
      </w:r>
    </w:p>
    <w:p w14:paraId="6B6D5336">
      <w:pPr>
        <w:keepNext w:val="0"/>
        <w:keepLines w:val="0"/>
        <w:pageBreakBefore w:val="0"/>
        <w:widowControl w:val="0"/>
        <w:numPr>
          <w:ilvl w:val="0"/>
          <w:numId w:val="1"/>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压力控制偏差±1%FS，并可做到一键回原位。</w:t>
      </w:r>
    </w:p>
    <w:p w14:paraId="5A6D747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（6）噪音≤75分贝，全密封防震管路。</w:t>
      </w:r>
    </w:p>
    <w:p w14:paraId="7B0F10D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（7）HMI集成压力、行程、产量、油温、报警等参数设置与显示。</w:t>
      </w:r>
    </w:p>
    <w:p w14:paraId="492E66A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（8）结构紧凑满足折边机产品结构的空间需求，整体尺寸控制在1500mm*315mm*480mm。</w:t>
      </w:r>
    </w:p>
    <w:p w14:paraId="5FD432E0">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37F3AEA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380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76</w:t>
      </w:r>
      <w:r>
        <w:rPr>
          <w:rFonts w:hint="default" w:ascii="Times New Roman" w:hAnsi="Times New Roman" w:eastAsia="仿宋_GB2312" w:cs="Times New Roman"/>
          <w:sz w:val="32"/>
          <w:szCs w:val="32"/>
          <w:u w:val="none"/>
        </w:rPr>
        <w:t>万元，出于满足实际研究需求考虑，最终预算允许商谈调整。</w:t>
      </w:r>
    </w:p>
    <w:p w14:paraId="707A587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eastAsia" w:ascii="Times New Roman" w:hAnsi="Times New Roman" w:eastAsia="仿宋_GB2312" w:cs="Times New Roman"/>
          <w:sz w:val="32"/>
          <w:szCs w:val="32"/>
          <w:u w:val="none"/>
          <w:lang w:val="en-US" w:eastAsia="zh-CN"/>
        </w:rPr>
        <w:t>7</w:t>
      </w:r>
      <w:r>
        <w:rPr>
          <w:rFonts w:hint="default" w:ascii="Times New Roman" w:hAnsi="Times New Roman" w:eastAsia="仿宋_GB2312" w:cs="Times New Roman"/>
          <w:sz w:val="32"/>
          <w:szCs w:val="32"/>
          <w:u w:val="none"/>
        </w:rPr>
        <w:t>年</w:t>
      </w:r>
      <w:r>
        <w:rPr>
          <w:rFonts w:hint="eastAsia" w:ascii="Times New Roman" w:hAnsi="Times New Roman" w:eastAsia="仿宋_GB2312" w:cs="Times New Roman"/>
          <w:sz w:val="32"/>
          <w:szCs w:val="32"/>
          <w:u w:val="none"/>
          <w:lang w:val="en-US" w:eastAsia="zh-CN"/>
        </w:rPr>
        <w:t>12</w:t>
      </w:r>
      <w:r>
        <w:rPr>
          <w:rFonts w:hint="default" w:ascii="Times New Roman" w:hAnsi="Times New Roman" w:eastAsia="仿宋_GB2312" w:cs="Times New Roman"/>
          <w:sz w:val="32"/>
          <w:szCs w:val="32"/>
          <w:u w:val="none"/>
        </w:rPr>
        <w:t>月。</w:t>
      </w:r>
    </w:p>
    <w:p w14:paraId="5E23D73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 xml:space="preserve">六、对揭榜方的要求 </w:t>
      </w:r>
    </w:p>
    <w:p w14:paraId="6AB48162">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1.具有较强的研发实力、科研条件和稳定的人员队伍等，有能力完成发榜方提出的任务；</w:t>
      </w:r>
    </w:p>
    <w:p w14:paraId="4DDEADFE">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2.能对发榜项目任务提出可行的解决方案，掌握自主知识产权；</w:t>
      </w:r>
    </w:p>
    <w:p w14:paraId="032BD095">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3.优先支持具有良好科研业绩基础的单位和团队，鼓励组建创新联合体共同开展揭榜攻关；</w:t>
      </w:r>
    </w:p>
    <w:p w14:paraId="53529776">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w:t>
      </w:r>
    </w:p>
    <w:p w14:paraId="02C4CC2E">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5.具有良好的科研道德和社会诚信，近三年内无不良信用记录。</w:t>
      </w:r>
    </w:p>
    <w:p w14:paraId="701F0BE9">
      <w:pPr>
        <w:keepNext w:val="0"/>
        <w:keepLines w:val="0"/>
        <w:pageBreakBefore w:val="0"/>
        <w:widowControl w:val="0"/>
        <w:kinsoku/>
        <w:wordWrap/>
        <w:overflowPunct/>
        <w:topLinePunct w:val="0"/>
        <w:bidi w:val="0"/>
        <w:adjustRightInd/>
        <w:snapToGrid/>
        <w:spacing w:line="576" w:lineRule="exact"/>
        <w:ind w:firstLine="640"/>
        <w:textAlignment w:val="auto"/>
        <w:rPr>
          <w:rFonts w:hint="default" w:ascii="Times New Roman" w:hAnsi="Times New Roman" w:eastAsia="仿宋_GB2312" w:cs="Times New Roman"/>
          <w:color w:val="0000FF"/>
          <w:sz w:val="32"/>
          <w:szCs w:val="32"/>
          <w:highlight w:val="yellow"/>
          <w:u w:val="none"/>
        </w:rPr>
      </w:pPr>
      <w:r>
        <w:rPr>
          <w:rFonts w:hint="default" w:ascii="Times New Roman" w:hAnsi="Times New Roman" w:eastAsia="仿宋_GB2312" w:cs="Times New Roman"/>
          <w:sz w:val="32"/>
          <w:szCs w:val="32"/>
          <w:u w:val="none"/>
        </w:rPr>
        <w:t>6.熟悉汽车焊装领域，揭榜方为高校院所的，其团队负责人需要具备曾经在汽车整车或零部件企业的工作经验。</w:t>
      </w:r>
    </w:p>
    <w:p w14:paraId="69C538E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7.</w:t>
      </w:r>
      <w:r>
        <w:rPr>
          <w:rFonts w:hint="default" w:ascii="Times New Roman" w:hAnsi="Times New Roman" w:eastAsia="仿宋_GB2312" w:cs="Times New Roman"/>
          <w:sz w:val="32"/>
          <w:szCs w:val="32"/>
          <w:u w:val="none"/>
        </w:rPr>
        <w:t>揭榜团队在汽车领域具备一定的工程技术研发能力。</w:t>
      </w:r>
    </w:p>
    <w:p w14:paraId="4E7A74E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8.</w:t>
      </w:r>
      <w:r>
        <w:rPr>
          <w:rFonts w:hint="default" w:ascii="Times New Roman" w:hAnsi="Times New Roman" w:eastAsia="仿宋_GB2312" w:cs="Times New Roman"/>
          <w:sz w:val="32"/>
          <w:szCs w:val="32"/>
          <w:u w:val="none"/>
        </w:rPr>
        <w:t>具备跨领域经验，团队需涵盖液压控制、传感器技术、算法开发、软件编程、界面设计等专业人才，具备同类项目一体化研发经验。</w:t>
      </w:r>
    </w:p>
    <w:p w14:paraId="79CB9DF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sz w:val="32"/>
          <w:szCs w:val="32"/>
          <w:u w:val="none"/>
        </w:rPr>
      </w:pPr>
      <w:r>
        <w:rPr>
          <w:rFonts w:hint="default" w:ascii="Times New Roman" w:hAnsi="Times New Roman" w:eastAsia="仿宋_GB2312" w:cs="Times New Roman"/>
          <w:sz w:val="32"/>
          <w:szCs w:val="32"/>
          <w:u w:val="none"/>
          <w:lang w:val="en-US" w:eastAsia="zh-CN"/>
        </w:rPr>
        <w:t>9.</w:t>
      </w:r>
      <w:r>
        <w:rPr>
          <w:rFonts w:hint="default" w:ascii="Times New Roman" w:hAnsi="Times New Roman" w:eastAsia="仿宋_GB2312" w:cs="Times New Roman"/>
          <w:sz w:val="32"/>
          <w:szCs w:val="32"/>
          <w:u w:val="none"/>
        </w:rPr>
        <w:t>具备系统架构设计能力，能设计分层、模块化的系统架构，保障各模块接口兼容，具备良好的可扩展性与可维护性。</w:t>
      </w:r>
    </w:p>
    <w:p w14:paraId="6DA36CA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0FD272C8">
      <w:pPr>
        <w:keepNext w:val="0"/>
        <w:keepLines w:val="0"/>
        <w:pageBreakBefore w:val="0"/>
        <w:widowControl w:val="0"/>
        <w:kinsoku/>
        <w:wordWrap/>
        <w:overflowPunct/>
        <w:topLinePunct w:val="0"/>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榜单十</w:t>
      </w:r>
      <w:r>
        <w:rPr>
          <w:rFonts w:hint="eastAsia" w:ascii="Times New Roman" w:hAnsi="Times New Roman" w:eastAsia="黑体" w:cs="Times New Roman"/>
          <w:sz w:val="32"/>
          <w:szCs w:val="32"/>
          <w:u w:val="none"/>
          <w:lang w:val="en-US" w:eastAsia="zh-CN"/>
        </w:rPr>
        <w:t>六</w:t>
      </w:r>
      <w:r>
        <w:rPr>
          <w:rFonts w:hint="default" w:ascii="Times New Roman" w:hAnsi="Times New Roman" w:eastAsia="黑体" w:cs="Times New Roman"/>
          <w:sz w:val="32"/>
          <w:szCs w:val="32"/>
          <w:u w:val="none"/>
        </w:rPr>
        <w:t>：基于云边协同的具身智能体自主巡检系统关键技术研究</w:t>
      </w:r>
    </w:p>
    <w:p w14:paraId="0849504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2AFEE4F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单位名称：华能吉林发电有限公司</w:t>
      </w:r>
    </w:p>
    <w:p w14:paraId="2C0C359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项目联系人：邢李方15844668393；岳爽 18243017333</w:t>
      </w:r>
    </w:p>
    <w:p w14:paraId="4386B66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6988A1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30E1EE0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4D2A50A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针对变电站、升压站等电力高危场景普遍存在人工巡检难度大、风险高、记录难等困难，借助本地化部署的国产化大语言模型，研究深度融合具身智能应用与边缘－云端协同计算架构的自主巡检关键技术，研发具备“灵活智能巡检－室内室外协同－准确快速操作－深度推理判别”能力的人形机器人与四足机器人联合巡检系统，实现电力高危场景“无人值班、少人值守”的运维管理新模式。研究内容由发榜方（华能吉林发电有限公司）与揭榜方共同承担，具体分工如下：</w:t>
      </w:r>
    </w:p>
    <w:p w14:paraId="28E38E0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发榜方（华能吉林发电有限公司）主要负责：</w:t>
      </w:r>
    </w:p>
    <w:p w14:paraId="4852C63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场景与需求定义：提供典型变电站、升压站等实际应用场景，明确具体巡检对象、巡检路线、作业规范及安全要求。</w:t>
      </w:r>
    </w:p>
    <w:p w14:paraId="25794B6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数据与环境支持：提供真实巡检环境用于系统测试与验证，协调现场数据（包括设备图像、视频、历史巡检记录、设备状态数据等，需进行脱敏处理）的合规获取与接入支持。</w:t>
      </w:r>
    </w:p>
    <w:p w14:paraId="2B67DE7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业务验证与集成：负责将研发成果与现有电力运维管理系统进行集成测试，组织系统在现场的试点应用与效果评估，反馈优化建议。</w:t>
      </w:r>
    </w:p>
    <w:p w14:paraId="2E951D2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揭榜方主要负责：</w:t>
      </w:r>
    </w:p>
    <w:p w14:paraId="2750D27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针对以下六项关键技术开展技术研发与攻关：</w:t>
      </w:r>
    </w:p>
    <w:p w14:paraId="24E0A50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（1）框架设计：基于云端-边缘协同赋能的智能分布式计算范式构建与优化研究；</w:t>
      </w:r>
    </w:p>
    <w:p w14:paraId="0BD1671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（2）自主导航：基于变电站、升压站等电力高危场景三维地图构建的具身智能体自主避障及路径优化方法研究；</w:t>
      </w:r>
    </w:p>
    <w:p w14:paraId="2AAB7E8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（3）智能识别：基于边缘计算模块与轻量化模型的变电站、升压站等电力高危场景关键目标检测与识别技术研究；</w:t>
      </w:r>
    </w:p>
    <w:p w14:paraId="318E204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（4）推理评估：基于国产大语言模型的设备状态推理分析与巡检任务规划技术研究；</w:t>
      </w:r>
    </w:p>
    <w:p w14:paraId="5F41F7E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（5）协同控制：基于深度推理的人形具身智能体与四足具身智能体协同巡检方法研究；</w:t>
      </w:r>
    </w:p>
    <w:p w14:paraId="28E7F24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color w:val="FF0000"/>
          <w:sz w:val="32"/>
          <w:szCs w:val="32"/>
          <w:highlight w:val="yellow"/>
          <w:u w:val="none"/>
        </w:rPr>
      </w:pPr>
      <w:r>
        <w:rPr>
          <w:rFonts w:hint="default" w:ascii="Times New Roman" w:hAnsi="Times New Roman" w:eastAsia="仿宋_GB2312" w:cs="Times New Roman"/>
          <w:sz w:val="32"/>
          <w:szCs w:val="32"/>
          <w:u w:val="none"/>
        </w:rPr>
        <w:t>（6）精确操作：基于视、触觉高精度感知导引的具身智能体的精确作业控制方法研究。</w:t>
      </w:r>
    </w:p>
    <w:p w14:paraId="7ECC677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双方协同任务：</w:t>
      </w:r>
    </w:p>
    <w:p w14:paraId="19F8F44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方案联合设计：共同参与系统整体架构设计、技术路线选定及关键算法优化。</w:t>
      </w:r>
    </w:p>
    <w:p w14:paraId="1068606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测试与迭代：在真实及模拟环境中共同进行系统功能、性能及可靠性测试，根据测试结果协同优化系统。</w:t>
      </w:r>
    </w:p>
    <w:p w14:paraId="4EEA3F4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标准与规范制定：共同总结项目经验，参与制定相关技术规范或标准。</w:t>
      </w:r>
    </w:p>
    <w:p w14:paraId="4BCFF84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系统实现与交付：</w:t>
      </w:r>
    </w:p>
    <w:p w14:paraId="1E1A98B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依据考核指标，完成边云协同的具身智能自主巡检值班系统的研发、集成与部署。</w:t>
      </w:r>
    </w:p>
    <w:p w14:paraId="588C7C1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四、对揭榜方的技术需求</w:t>
      </w:r>
    </w:p>
    <w:p w14:paraId="2018242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揭榜方需负责核心技术的研发与系统交付，确保所提交的系统满足以下性能、功能及可靠性要求。具体技术需求与可量化考核指标如下：</w:t>
      </w:r>
    </w:p>
    <w:p w14:paraId="0B7CB62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（1）提供支撑国产大语言模型运行的高性能算力服务平台：满足至少671B参数量的模型及相关软件的部署及运行，提供的算力资源需符合信创要求。</w:t>
      </w:r>
    </w:p>
    <w:p w14:paraId="3FC5E6A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（2）交付边云协同的具身智能自主巡检值班系统1套，系统包含本地化部署大语言模型、人形机器人、四足机器人、传感器以及巡检软件平台，系统连续工作时间不少于200小时；</w:t>
      </w:r>
    </w:p>
    <w:p w14:paraId="406494A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（2）巡检机器人可自主规划巡检路线，动态避障成功率≥95%；</w:t>
      </w:r>
    </w:p>
    <w:p w14:paraId="19F8380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（3）巡检机器人能在-40℃～50℃、湿度0～100%RH等恶劣环境，以及狭窄空间（通道宽度不小于0.8m）中稳定运行；</w:t>
      </w:r>
    </w:p>
    <w:p w14:paraId="6E86D7D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（4）巡检机器人融合边缘AI智能识别功能，实现设备检测指标越限、开关状态及仪表智能识别准确率达到90%以上；</w:t>
      </w:r>
    </w:p>
    <w:p w14:paraId="47B3B9B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（5）变压器等电力设备的多模态异常识别准确率≥98%，响应时间≤100ms；</w:t>
      </w:r>
    </w:p>
    <w:p w14:paraId="5F2F136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（6）系统云边协同通信响应延迟≤100ms。</w:t>
      </w:r>
    </w:p>
    <w:p w14:paraId="28BDF25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4A2DB13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800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550</w:t>
      </w:r>
      <w:r>
        <w:rPr>
          <w:rFonts w:hint="default" w:ascii="Times New Roman" w:hAnsi="Times New Roman" w:eastAsia="仿宋_GB2312" w:cs="Times New Roman"/>
          <w:sz w:val="32"/>
          <w:szCs w:val="32"/>
          <w:u w:val="none"/>
        </w:rPr>
        <w:t>万元，出于满足实际研究需求考虑，最终预算允许商谈调整。</w:t>
      </w:r>
    </w:p>
    <w:p w14:paraId="735A856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231D28C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7900131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highlight w:val="yellow"/>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为保障项目顺利实施，揭榜方除需满足榜单基本要求外，还应具备以下综合实力与条件：</w:t>
      </w:r>
    </w:p>
    <w:p w14:paraId="4701A6D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1.揭榜方具有较强的研发实力、科研条件和稳定的人员队伍等，核心成员原则上要求为博士学历或正高级职称10人以上，在揭榜项目领域具有较强的技术储备和良好的科研业绩，有能力完成榜单任务；</w:t>
      </w:r>
    </w:p>
    <w:p w14:paraId="008BBAE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2.揭榜方具有较强的能源电力领域科技创新能力，具有支撑具身智能实验研究的硬件设施与软件平台，拥有人工智能和机器人领域的省级以上科研平台，具备CMMI 5、ITSS 3等系统开发与运维服务资质及自主可控的信创服务能力；</w:t>
      </w:r>
    </w:p>
    <w:p w14:paraId="3F37EDF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3.揭榜方能对发榜项目任务提出可行的解决方案，掌握自主知识产权；</w:t>
      </w:r>
    </w:p>
    <w:p w14:paraId="2AD7344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4.优先支持具有良好科研业绩基础的单位和团队，鼓励组建创新联合体共同开展揭榜攻关，联合揭榜单位建议不超过3个，且需明确牵头单位；</w:t>
      </w:r>
    </w:p>
    <w:p w14:paraId="1B14B07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5.财务状况良好且管理规范；</w:t>
      </w:r>
    </w:p>
    <w:p w14:paraId="27A501D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6.具有良好的科研道德和社会诚信，近三年内无不良信用记录。</w:t>
      </w:r>
    </w:p>
    <w:p w14:paraId="55E7618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4E3FFA0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榜单十</w:t>
      </w:r>
      <w:r>
        <w:rPr>
          <w:rFonts w:hint="eastAsia" w:ascii="Times New Roman" w:hAnsi="Times New Roman" w:eastAsia="黑体" w:cs="Times New Roman"/>
          <w:sz w:val="32"/>
          <w:szCs w:val="32"/>
          <w:u w:val="none"/>
          <w:lang w:val="en-US" w:eastAsia="zh-CN"/>
        </w:rPr>
        <w:t>七</w:t>
      </w:r>
      <w:r>
        <w:rPr>
          <w:rFonts w:hint="default" w:ascii="Times New Roman" w:hAnsi="Times New Roman" w:eastAsia="黑体" w:cs="Times New Roman"/>
          <w:sz w:val="32"/>
          <w:szCs w:val="32"/>
          <w:u w:val="none"/>
        </w:rPr>
        <w:t>：功能型隐形眼镜关键核心技术研发</w:t>
      </w:r>
    </w:p>
    <w:p w14:paraId="7209406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64F7C1C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单位名称:吉林瑞尔康光学科技有限公司</w:t>
      </w:r>
    </w:p>
    <w:p w14:paraId="695E522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项目联系人：王瑾</w:t>
      </w:r>
    </w:p>
    <w:p w14:paraId="327C16B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联系电话：15144231899</w:t>
      </w:r>
    </w:p>
    <w:p w14:paraId="30498ED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0AAD1F3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5E8C272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7F2BE9E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b/>
          <w:bCs/>
          <w:sz w:val="32"/>
          <w:szCs w:val="32"/>
          <w:u w:val="none"/>
        </w:rPr>
        <w:t>1.“功能型隐形眼镜-人眼”耦合分析模型研究</w:t>
      </w:r>
    </w:p>
    <w:p w14:paraId="0B286FF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建立植入隐形眼镜后的人眼模型，分析隐形眼镜在人眼中的像差特性，评估隐形眼镜在宽视场等条件下对成像质量的影响。针对人眼模型以最小化系统波前像差为优化目标建立评价函数，建立求解最优隐形眼镜表面轮廓的计算模型。基于模型，提出可以提高功能型隐形眼镜调制传递函数、点列图RMS等光学指标的“功能型隐形眼镜-人眼”耦合分析模型。</w:t>
      </w:r>
    </w:p>
    <w:p w14:paraId="00FA820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sz w:val="32"/>
          <w:szCs w:val="32"/>
          <w:u w:val="none"/>
        </w:rPr>
      </w:pPr>
      <w:r>
        <w:rPr>
          <w:rFonts w:hint="default" w:ascii="Times New Roman" w:hAnsi="Times New Roman" w:eastAsia="仿宋_GB2312" w:cs="Times New Roman"/>
          <w:b/>
          <w:sz w:val="32"/>
          <w:szCs w:val="32"/>
          <w:u w:val="none"/>
        </w:rPr>
        <w:t>2.功能型隐形眼镜光学成像机理与设计技术研究</w:t>
      </w:r>
    </w:p>
    <w:p w14:paraId="66382366">
      <w:pPr>
        <w:keepNext w:val="0"/>
        <w:keepLines w:val="0"/>
        <w:pageBreakBefore w:val="0"/>
        <w:widowControl w:val="0"/>
        <w:kinsoku/>
        <w:wordWrap/>
        <w:overflowPunct/>
        <w:topLinePunct w:val="0"/>
        <w:bidi w:val="0"/>
        <w:adjustRightInd/>
        <w:snapToGrid/>
        <w:spacing w:line="576" w:lineRule="exact"/>
        <w:ind w:firstLine="645"/>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sz w:val="32"/>
          <w:szCs w:val="32"/>
          <w:u w:val="none"/>
        </w:rPr>
        <w:t>基于“功能型隐形眼镜-人眼”耦合分析模型</w:t>
      </w:r>
      <w:r>
        <w:rPr>
          <w:rFonts w:hint="default" w:ascii="Times New Roman" w:hAnsi="Times New Roman" w:eastAsia="仿宋_GB2312" w:cs="Times New Roman"/>
          <w:bCs/>
          <w:sz w:val="32"/>
          <w:szCs w:val="32"/>
          <w:u w:val="none"/>
        </w:rPr>
        <w:t>，研究近视防控型、散光型、超薄型三种功能型隐形眼镜的设计技术方案。对于近视防控离焦型隐形眼镜，研究人眼近视防控机理，建立离焦量与防控光学效果之间的关系，分析离焦量、离焦区域面积与视场角度等参数对成像质量与防控效果的影响，得到平衡视觉效果与防控效果的近视防控功能型隐形眼镜设计方案；对于散光型隐形眼镜，研究镜片偏位与旋转对波前像差引入的动态变化，分析由旋转错位导致的残余散光以及由偏心产生的彗差，获得稳定化散光设计；对于超薄型隐形眼镜，构建镜片在眼睑压力下产生的微形变对成像质量的影响分析，通过优化镜片的参数，实现超薄隐形眼镜的高成像质量成像。</w:t>
      </w:r>
    </w:p>
    <w:p w14:paraId="6E60BFCF">
      <w:pPr>
        <w:keepNext w:val="0"/>
        <w:keepLines w:val="0"/>
        <w:pageBreakBefore w:val="0"/>
        <w:widowControl w:val="0"/>
        <w:kinsoku/>
        <w:wordWrap/>
        <w:overflowPunct/>
        <w:topLinePunct w:val="0"/>
        <w:bidi w:val="0"/>
        <w:adjustRightInd/>
        <w:snapToGrid/>
        <w:spacing w:line="576" w:lineRule="exact"/>
        <w:ind w:firstLine="645"/>
        <w:textAlignment w:val="auto"/>
        <w:rPr>
          <w:rFonts w:hint="default" w:ascii="Times New Roman" w:hAnsi="Times New Roman" w:eastAsia="仿宋_GB2312" w:cs="Times New Roman"/>
          <w:b/>
          <w:sz w:val="32"/>
          <w:szCs w:val="32"/>
          <w:u w:val="none"/>
        </w:rPr>
      </w:pPr>
      <w:r>
        <w:rPr>
          <w:rFonts w:hint="default" w:ascii="Times New Roman" w:hAnsi="Times New Roman" w:eastAsia="仿宋_GB2312" w:cs="Times New Roman"/>
          <w:b/>
          <w:sz w:val="32"/>
          <w:szCs w:val="32"/>
          <w:u w:val="none"/>
        </w:rPr>
        <w:t>3.功能型隐形眼镜超精密制造工艺优化</w:t>
      </w:r>
    </w:p>
    <w:p w14:paraId="5D0E6C8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对功能型隐形眼镜的单点金刚石车削过程进行建模分析。建立加工路径规划、刀具几何参数及动态进给速率与最终模具表面形貌误差及粗糙度之间的映射关系。将机械加工误差与光学性能建立反馈模型，分析加工残差与最终镜片波前像差（如球差、彗差等）之间的关系，从而量化制造公差对调制传递函数的实际影响；</w:t>
      </w:r>
      <w:r>
        <w:rPr>
          <w:rFonts w:hint="default" w:ascii="Times New Roman" w:hAnsi="Times New Roman" w:eastAsia="仿宋_GB2312" w:cs="Times New Roman"/>
          <w:sz w:val="32"/>
          <w:szCs w:val="32"/>
          <w:u w:val="none"/>
        </w:rPr>
        <w:t>分析功能型隐形眼镜非光学区的优化制造工艺，规划非光学区高阶非球面曲线区域和边缘反转弧区域的加工路径，实现功能型隐形眼镜非光学区高精度制造</w:t>
      </w:r>
      <w:r>
        <w:rPr>
          <w:rFonts w:hint="default" w:ascii="Times New Roman" w:hAnsi="Times New Roman" w:eastAsia="仿宋_GB2312" w:cs="Times New Roman"/>
          <w:bCs/>
          <w:sz w:val="32"/>
          <w:szCs w:val="32"/>
          <w:u w:val="none"/>
        </w:rPr>
        <w:t>；针对隐形眼镜从模具研发—注塑成型—光合固化全过程建立一体化超精密制造体系，得到高精度的功能型隐形眼镜，确保隐形眼镜设计效果到成型后成像效果一致；对加工全流程进行误差分析，实现功能型隐形眼镜产业化过程中的高良率与工艺高稳定性。</w:t>
      </w:r>
    </w:p>
    <w:p w14:paraId="242B871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eastAsia" w:ascii="楷体" w:hAnsi="楷体" w:eastAsia="楷体" w:cs="楷体"/>
          <w:b/>
          <w:bCs/>
          <w:sz w:val="32"/>
          <w:szCs w:val="32"/>
          <w:u w:val="none"/>
        </w:rPr>
      </w:pPr>
      <w:r>
        <w:rPr>
          <w:rFonts w:hint="eastAsia" w:ascii="楷体" w:hAnsi="楷体" w:eastAsia="楷体" w:cs="楷体"/>
          <w:b/>
          <w:bCs/>
          <w:sz w:val="32"/>
          <w:szCs w:val="32"/>
          <w:u w:val="none"/>
        </w:rPr>
        <w:t>四、对揭榜方的技术需求</w:t>
      </w:r>
    </w:p>
    <w:p w14:paraId="22B8134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项目所研究的功能型隐形眼镜包括近视防控离焦型、散光型、超薄型。具体技术需求指标分为设计指标、制造指标与度数测量指标三部分：</w:t>
      </w:r>
    </w:p>
    <w:p w14:paraId="3DC3367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1.功能型隐形眼镜的设计指标：</w:t>
      </w:r>
    </w:p>
    <w:p w14:paraId="139E9A5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（1）功能型隐形眼镜成像质量指标：</w:t>
      </w:r>
    </w:p>
    <w:p w14:paraId="4AF55FD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①近视防控离焦型隐形眼镜校正区调制传递函数（MTF）在50lp/mm处不小于0.4。</w:t>
      </w:r>
    </w:p>
    <w:p w14:paraId="118C100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②散光型隐形眼镜两个散光轴位处的调制传递函数在50lp/mm处不小于0.35。</w:t>
      </w:r>
    </w:p>
    <w:p w14:paraId="3012C4C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③超薄型隐形眼镜调制传递函数在50lp/mm处不小于0.4。</w:t>
      </w:r>
    </w:p>
    <w:p w14:paraId="092570F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（2）功能型隐形眼镜成像效果指标：</w:t>
      </w:r>
    </w:p>
    <w:p w14:paraId="6C8CB16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①近视防控离焦型隐形眼镜从光学理论上分析可以降低视网膜上成像对比度30%以上。</w:t>
      </w:r>
    </w:p>
    <w:p w14:paraId="164EFE4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②散光型隐形眼镜轴位发生±5°的旋转偏移时，在两个轴位处从光学理论上成像效果降低不超过40%。</w:t>
      </w:r>
    </w:p>
    <w:p w14:paraId="1BDD199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③超薄型隐形眼镜在降低企业现有产品30%厚度的同时，从光学理论上成像质量较减薄前设计降低不超过10%。</w:t>
      </w:r>
    </w:p>
    <w:p w14:paraId="0D31C34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（3）功能型隐形眼镜非光学区设计指标</w:t>
      </w:r>
    </w:p>
    <w:p w14:paraId="289951C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近视防控离焦型、散光型以及超薄型隐形眼镜非光学区实现平滑过渡，得到非光学区一体化方程设计，成品实际测量后面型与设计方程之间面型误差不超过20%。</w:t>
      </w:r>
    </w:p>
    <w:p w14:paraId="72A7600B">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2.功能型隐形眼镜制造指标：</w:t>
      </w:r>
    </w:p>
    <w:p w14:paraId="38AB72A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功能型隐形眼镜制造精度指标：</w:t>
      </w:r>
    </w:p>
    <w:p w14:paraId="00B03F9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①近视防控离焦型隐形眼镜在0-400度的设计中，PV小于0.3μm；在400度-700度的设计中，PV小于0.4μm；在700度-1000度的设计中，PV小于0.5μm。</w:t>
      </w:r>
    </w:p>
    <w:p w14:paraId="0BE33AC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②散光型隐形眼镜在0-400度的设计中，PV小于1.2μm；在400度-700度的设计中，PV小于1.5μm；在700度-1000度的设计中，PV小于1.8μm。</w:t>
      </w:r>
    </w:p>
    <w:p w14:paraId="541E2AA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③超薄型隐形眼镜在0-400度的设计中，PV小于0.3μm；在400度-700度的设计中，PV小于0.4μm；在700度-1000度的设计中，PV小于0.5μm。</w:t>
      </w:r>
    </w:p>
    <w:p w14:paraId="29C81F6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53CEA528">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b/>
          <w:bCs/>
          <w:sz w:val="32"/>
          <w:szCs w:val="32"/>
          <w:u w:val="none"/>
        </w:rPr>
        <w:t>3.功能型隐形眼镜度数检测指标：</w:t>
      </w:r>
    </w:p>
    <w:p w14:paraId="119D95F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①近视防控离焦型隐形眼镜在0-400度的设计中，校正区和离焦区度数误差在±0.20D之内；在400度-700度的设计中，校正区和离焦区度数误差在±0.25D之内；在700度-1000度的设计中，校正区和离焦区度数误差在±0.5D之内。</w:t>
      </w:r>
    </w:p>
    <w:p w14:paraId="7723AD1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②散光型隐形眼镜在0-400度的设计中，在两个散光轴位处度数误差均在±0.25D之内；在400度-700度的设计中，在两个散光轴位处度数误差均在±0.4D之内；在700度-1000度的设计中，在两个散光轴位处度数误差均在±0.5D之内。</w:t>
      </w:r>
    </w:p>
    <w:p w14:paraId="080285F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③超薄型隐形眼镜在0-400度的设计中，度数误差在±0.15D之内；在400度-700度的设计中，度数误差在±0.25D之内；在700度-1000度的设计中，度数误差在±0.5D之内。</w:t>
      </w:r>
    </w:p>
    <w:p w14:paraId="6667366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59FA68F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1200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240</w:t>
      </w:r>
      <w:r>
        <w:rPr>
          <w:rFonts w:hint="default" w:ascii="Times New Roman" w:hAnsi="Times New Roman" w:eastAsia="仿宋_GB2312" w:cs="Times New Roman"/>
          <w:sz w:val="32"/>
          <w:szCs w:val="32"/>
          <w:u w:val="none"/>
        </w:rPr>
        <w:t>万元，出于满足实际研究需求考虑，最终预算允许商谈调整。</w:t>
      </w:r>
    </w:p>
    <w:p w14:paraId="40EC191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w:t>
      </w:r>
      <w:r>
        <w:rPr>
          <w:rFonts w:hint="default" w:ascii="Times New Roman" w:hAnsi="Times New Roman" w:eastAsia="仿宋_GB2312" w:cs="Times New Roman"/>
          <w:sz w:val="32"/>
          <w:szCs w:val="32"/>
          <w:u w:val="none"/>
        </w:rPr>
        <w:t>2026</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w:t>
      </w:r>
      <w:r>
        <w:rPr>
          <w:rFonts w:hint="default" w:ascii="Times New Roman" w:hAnsi="Times New Roman" w:eastAsia="仿宋_GB2312" w:cs="Times New Roman"/>
          <w:sz w:val="32"/>
          <w:szCs w:val="32"/>
          <w:u w:val="none"/>
        </w:rPr>
        <w:t>2028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1F43B09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 w:cs="Times New Roman"/>
          <w:sz w:val="32"/>
          <w:szCs w:val="32"/>
          <w:u w:val="none"/>
        </w:rPr>
      </w:pPr>
      <w:r>
        <w:rPr>
          <w:rFonts w:hint="default" w:ascii="Times New Roman" w:hAnsi="Times New Roman" w:eastAsia="楷体" w:cs="Times New Roman"/>
          <w:b/>
          <w:bCs/>
          <w:sz w:val="32"/>
          <w:szCs w:val="32"/>
          <w:u w:val="none"/>
        </w:rPr>
        <w:t>六、对揭榜方的要求</w:t>
      </w:r>
    </w:p>
    <w:p w14:paraId="4B85936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1.具有较强的研发实力、科研条件和稳定的人员队伍，现承担相关视光学科研项目，有能力完成发榜方提出的任务；</w:t>
      </w:r>
    </w:p>
    <w:p w14:paraId="5989631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2.能对发榜项目任务提出可行的解决方案，掌握自主知识产权；</w:t>
      </w:r>
    </w:p>
    <w:p w14:paraId="5A34C99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3.具有良好科研业绩基础的省属高校团队，优先选择组建创新联合体共同开展揭榜攻关；</w:t>
      </w:r>
    </w:p>
    <w:p w14:paraId="47F02CD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4.财务状况良好且管理规范；</w:t>
      </w:r>
    </w:p>
    <w:p w14:paraId="158C8C9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5.具有良好的科研道德和社会诚信，近三年内无不良信用记录。</w:t>
      </w:r>
    </w:p>
    <w:p w14:paraId="79BB37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u w:val="none"/>
          <w14:textFill>
            <w14:solidFill>
              <w14:schemeClr w14:val="tx1"/>
            </w14:solidFill>
          </w14:textFill>
        </w:rPr>
      </w:pPr>
      <w:r>
        <w:rPr>
          <w:rFonts w:hint="default" w:ascii="Times New Roman" w:hAnsi="Times New Roman" w:eastAsia="仿宋_GB2312" w:cs="Times New Roman"/>
          <w:color w:val="000000" w:themeColor="text1"/>
          <w:sz w:val="32"/>
          <w:szCs w:val="32"/>
          <w:u w:val="none"/>
          <w14:textFill>
            <w14:solidFill>
              <w14:schemeClr w14:val="tx1"/>
            </w14:solidFill>
          </w14:textFill>
        </w:rPr>
        <w:t>6.具有用于功能型隐形眼镜金属模具加工的单点金刚石车床、用于功能型隐形眼镜塑料模具制造的光学注塑机以及用于功能型隐形眼镜塑料模具检测的干涉轮廓仪等眼视光学设备，具备从事视光学产品的设计、制造、检测和开发能力。</w:t>
      </w:r>
    </w:p>
    <w:p w14:paraId="3382CDE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color w:val="000000" w:themeColor="text1"/>
          <w:sz w:val="32"/>
          <w:szCs w:val="32"/>
          <w:u w:val="none"/>
          <w14:textFill>
            <w14:solidFill>
              <w14:schemeClr w14:val="tx1"/>
            </w14:solidFill>
          </w14:textFill>
        </w:rPr>
      </w:pPr>
    </w:p>
    <w:p w14:paraId="46E9AFC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color w:val="000000" w:themeColor="text1"/>
          <w:sz w:val="32"/>
          <w:szCs w:val="32"/>
          <w:u w:val="none"/>
          <w14:textFill>
            <w14:solidFill>
              <w14:schemeClr w14:val="tx1"/>
            </w14:solidFill>
          </w14:textFill>
        </w:rPr>
      </w:pPr>
      <w:r>
        <w:rPr>
          <w:rFonts w:hint="default" w:ascii="Times New Roman" w:hAnsi="Times New Roman" w:eastAsia="黑体" w:cs="Times New Roman"/>
          <w:sz w:val="32"/>
          <w:szCs w:val="32"/>
          <w:u w:val="none"/>
        </w:rPr>
        <w:t>榜单十</w:t>
      </w:r>
      <w:r>
        <w:rPr>
          <w:rFonts w:hint="eastAsia" w:ascii="Times New Roman" w:hAnsi="Times New Roman" w:eastAsia="黑体" w:cs="Times New Roman"/>
          <w:sz w:val="32"/>
          <w:szCs w:val="32"/>
          <w:u w:val="none"/>
          <w:lang w:val="en-US" w:eastAsia="zh-CN"/>
        </w:rPr>
        <w:t>八</w:t>
      </w:r>
      <w:r>
        <w:rPr>
          <w:rFonts w:hint="default" w:ascii="Times New Roman" w:hAnsi="Times New Roman" w:eastAsia="黑体" w:cs="Times New Roman"/>
          <w:sz w:val="32"/>
          <w:szCs w:val="32"/>
          <w:u w:val="none"/>
        </w:rPr>
        <w:t>：合金冶炼厂智能控制平台开发项目</w:t>
      </w:r>
    </w:p>
    <w:p w14:paraId="6C5F127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13F02AB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单位名称:通化建新科技有限公司</w:t>
      </w:r>
    </w:p>
    <w:p w14:paraId="6FB207E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项目联系人：高志兵 电话：18604352661/13894591218</w:t>
      </w:r>
    </w:p>
    <w:p w14:paraId="3623466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472CBB4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0FC1FC0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10683DE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本项目开发核心如下：</w:t>
      </w:r>
    </w:p>
    <w:p w14:paraId="7F94F4E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1.开发一种合金冶炼厂智能控制平台。</w:t>
      </w:r>
    </w:p>
    <w:p w14:paraId="0675EE3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2.智能感知系统（含热工仪表、激光成分分析仪和特种传感器等）。</w:t>
      </w:r>
    </w:p>
    <w:p w14:paraId="57B0EA9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3.执行与控制系统（智能执行机构、机器人、VGA加料车和智能化控制系统等）。</w:t>
      </w:r>
    </w:p>
    <w:p w14:paraId="4733942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4.边缘计算层（协议转换、数据预处理），边缘服务器等。</w:t>
      </w:r>
    </w:p>
    <w:p w14:paraId="1EFC85A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此次发榜是开发一种合金冶炼厂智能控制平台，通过AI强大的数据分析，让AI取代工艺技术人员和管理人员发出指令，指挥设备运行、协助工厂运营，从而提高工厂运行效率、增强数据处理能力、避免设备误操作。平台开发成功后具有如下功能：</w:t>
      </w:r>
    </w:p>
    <w:p w14:paraId="5FC76EB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1.智能配料系统开发，取代工艺师，实现智能配料、上料，无人值守；</w:t>
      </w:r>
    </w:p>
    <w:p w14:paraId="004F27A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2.矿热炉全自动控制系统开发，实现电极智能控制、智能布料，自动生成各种能源报表；</w:t>
      </w:r>
    </w:p>
    <w:p w14:paraId="52868C3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3.通过AI分析工艺技术参数，优化生产决策。</w:t>
      </w:r>
    </w:p>
    <w:p w14:paraId="7086D43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 xml:space="preserve">四、对揭榜方的技术需求 </w:t>
      </w:r>
    </w:p>
    <w:p w14:paraId="34BE66F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智能感知与数据处理技术：需能搭建分布式传感器网络，集成温度、压力、流量、含碳量等多参数传感器，保障采样频率不低于10Hz，温度等关键参数采集精度达±0.5℃；且要适配Modbus、MQTT等工业物联网协议，实现数据加密传输，同时兼容西门子、ABB等主流品牌设备的自动识别与配置。数据预处理与存储技术：需掌握边缘计算技术，能在数据源端完成数据预处理，将传输延迟控制在100ms以内；满足海量生产数据的长期存储与快速查询需求。</w:t>
      </w:r>
    </w:p>
    <w:p w14:paraId="16F81F5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核心控制与智能决策技术：需具备强化学习、物理信息神经网络等算法应用能力，构建自适应控制模型。生产全流程优化能力：需能开发适配铁合金冶炼工艺的智能控制模块，实现对电弧炉等设备的自动化调控，如动态调整炉内功率、电流电压等参数；还需利用深度学习技术识别生产数据中的复杂模式，实时优化生产参数，提升产品合格率与生产效率。</w:t>
      </w:r>
    </w:p>
    <w:p w14:paraId="210C57B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系统架构与兼容性技术：需掌握联邦学习框架与弹性资源调度算法，边缘端负责本地模型训练，云端聚合梯度信息保护数据隐私，同时适配5G+工业互联网的低时延场景。</w:t>
      </w:r>
    </w:p>
    <w:p w14:paraId="613E690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人机交互与可视化技术：需开发多模态交互界面，融合 AR/VR 技术实现温度场等生产场景的三维可视化，支持手势、语音交互且操作响应时间≤200ms；</w:t>
      </w:r>
    </w:p>
    <w:p w14:paraId="0EED3AB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考核指标：</w:t>
      </w:r>
    </w:p>
    <w:p w14:paraId="6DDA877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1）智能控制指令解析准确率≥95%；</w:t>
      </w:r>
    </w:p>
    <w:p w14:paraId="6BDF1C0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2）支持主流工业设备通信协议不少于3种（OPC UA、Modbus TCP、Profinet等）；</w:t>
      </w:r>
    </w:p>
    <w:p w14:paraId="1837025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3）实时数据处理能力≥5000点；</w:t>
      </w:r>
    </w:p>
    <w:p w14:paraId="78DBA23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4）报表生成自动化率100%；</w:t>
      </w:r>
    </w:p>
    <w:p w14:paraId="5B8D4F6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5）工艺知识图谱查询准确率≥95%。</w:t>
      </w:r>
    </w:p>
    <w:p w14:paraId="519B90EC">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17036E6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项目研发总投入920万元，揭榜金额185万元，出于满足实际研究需求考虑，最终预算允许商谈调整。</w:t>
      </w:r>
    </w:p>
    <w:p w14:paraId="1EEA0B8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项目执行期2年，即2026年1月-2027年12月。</w:t>
      </w:r>
    </w:p>
    <w:p w14:paraId="0AFF2FD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highlight w:val="none"/>
          <w:u w:val="none"/>
        </w:rPr>
      </w:pPr>
      <w:r>
        <w:rPr>
          <w:rFonts w:hint="default" w:ascii="Times New Roman" w:hAnsi="Times New Roman" w:eastAsia="楷体" w:cs="Times New Roman"/>
          <w:b/>
          <w:bCs/>
          <w:sz w:val="32"/>
          <w:szCs w:val="32"/>
          <w:highlight w:val="none"/>
          <w:u w:val="none"/>
        </w:rPr>
        <w:t>六、对揭榜方的要求</w:t>
      </w:r>
    </w:p>
    <w:p w14:paraId="7A63E35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团队资源：拥有一支专业的技术团队，各成员具备丰富的专业知识和实践经验，能够协同工作，完成项目的各个阶段任务。如果揭榜方是企业，需要具备合法的经营资质和相关行业资质，财务状况良好且管理规范；</w:t>
      </w:r>
    </w:p>
    <w:p w14:paraId="5C7144F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工业AI项目经验：有过将AI技术应用于工业领域的项目经验，如在工业自动化、智能制造、过程控制等方面，熟悉工业场景下的业务流程和需求特点，了解工业环境中的特殊要求和限制，如可靠性、稳定性、实时性等。</w:t>
      </w:r>
    </w:p>
    <w:p w14:paraId="04B24CA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（3）系统集成经验：具备将不同系统或技术进行集成的实际经验，例如将人工智能系统与工业控制系统、企业信息系统等进行融合，确保各个系统之间能够协同工作，实现整体的优化和提升。</w:t>
      </w:r>
    </w:p>
    <w:p w14:paraId="1B5DB47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（4）硬件资源：拥有满足DeepSeek AI模型运行和与WinCC集成所需的硬件设备，如具备强大计算能力的服务器、高性能GPU等，以保证系统的高效运行。同时，要具备一定的网络设备和安全设备，确保数据传输的稳定和安全。</w:t>
      </w:r>
    </w:p>
    <w:p w14:paraId="328722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（5）数据安全能力：能够建立完善的数据安全防护体系，确保在DeepSeek AI与WinCC集成过程中，工业控制系统的数据不被泄露、篡改或破坏，要采用加密技术、访问控制技术等保障数据的安全性和完整性。</w:t>
      </w:r>
    </w:p>
    <w:p w14:paraId="6CD85C2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（6）保密意识与措施：对工业控制系统中的敏感信息和商业机密有严格的保密意识和保密措施，与相关人员签订保密协议，遵守相关法律法规和企业的保密规定，防止数据和技术的泄露。</w:t>
      </w:r>
    </w:p>
    <w:p w14:paraId="1D41B0B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p>
    <w:p w14:paraId="72712A2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榜单十</w:t>
      </w:r>
      <w:r>
        <w:rPr>
          <w:rFonts w:hint="eastAsia" w:ascii="Times New Roman" w:hAnsi="Times New Roman" w:eastAsia="黑体" w:cs="Times New Roman"/>
          <w:sz w:val="32"/>
          <w:szCs w:val="32"/>
          <w:u w:val="none"/>
          <w:lang w:val="en-US" w:eastAsia="zh-CN"/>
        </w:rPr>
        <w:t>九</w:t>
      </w:r>
      <w:r>
        <w:rPr>
          <w:rFonts w:hint="default" w:ascii="Times New Roman" w:hAnsi="Times New Roman" w:eastAsia="黑体" w:cs="Times New Roman"/>
          <w:sz w:val="32"/>
          <w:szCs w:val="32"/>
          <w:u w:val="none"/>
        </w:rPr>
        <w:t>：车规级芯片多模态策略匹配测试装备研发</w:t>
      </w:r>
    </w:p>
    <w:p w14:paraId="5936469B">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7B11C6A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单位名称:吉林省恒创智能装备有限公司</w:t>
      </w:r>
    </w:p>
    <w:p w14:paraId="2D6FC0E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项目联系人：王翀 13321500606/黄霄龙 15204317007</w:t>
      </w:r>
    </w:p>
    <w:p w14:paraId="373DB49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5DC8E3A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企业技术需求榜单</w:t>
      </w:r>
    </w:p>
    <w:p w14:paraId="6189ED03">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三、研究内容</w:t>
      </w:r>
    </w:p>
    <w:p w14:paraId="7A527B4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项目拟解决车规级芯片上车应用过程缺乏综合性验证装备的问题，突破车规级芯片多模态策略匹配试验方法技术空白，大幅提升车规级芯片上车应用验证效率。通过集成硬件、软件及算法等多方面技术，实现芯片与系统的全面验证,具体研发工作包括：</w:t>
      </w:r>
    </w:p>
    <w:p w14:paraId="77E04A2D">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1.</w:t>
      </w:r>
      <w:r>
        <w:rPr>
          <w:rFonts w:hint="default" w:ascii="Times New Roman" w:hAnsi="Times New Roman" w:eastAsia="仿宋_GB2312" w:cs="Times New Roman"/>
          <w:sz w:val="32"/>
          <w:szCs w:val="32"/>
          <w:u w:val="none"/>
          <w:lang w:bidi="ar"/>
        </w:rPr>
        <w:t>硬件研发。设计测试台架硬件模块架构，适配车规环境试验仓，开发多通道数据采集系统并兼容国产芯片主流通信接口，开发硬件故障注入单元以支持芯片及系统故障模拟与注入，综合搭建复杂工作场景模拟、多通信协议协同验证、安全策略验证的测试硬件环境；</w:t>
      </w:r>
    </w:p>
    <w:p w14:paraId="7EB897F8">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2.</w:t>
      </w:r>
      <w:r>
        <w:rPr>
          <w:rFonts w:hint="default" w:ascii="Times New Roman" w:hAnsi="Times New Roman" w:eastAsia="仿宋_GB2312" w:cs="Times New Roman"/>
          <w:sz w:val="32"/>
          <w:szCs w:val="32"/>
          <w:u w:val="none"/>
          <w:lang w:bidi="ar"/>
        </w:rPr>
        <w:t>软件开发。开发车规级芯片策略匹配测试软件，实现“芯片-ECU”协同仿真、多模态场景测试与极端工况性能匹配验证。在协议逻辑静态分析检测方面，支持协议一致性检测与形式化验证。构建测试用例库，覆盖MCAL、BSW、FUSA、HW等多项功能安全测试能力；</w:t>
      </w:r>
    </w:p>
    <w:p w14:paraId="5734C34B">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3.</w:t>
      </w:r>
      <w:r>
        <w:rPr>
          <w:rFonts w:hint="default" w:ascii="Times New Roman" w:hAnsi="Times New Roman" w:eastAsia="仿宋_GB2312" w:cs="Times New Roman"/>
          <w:sz w:val="32"/>
          <w:szCs w:val="32"/>
          <w:u w:val="none"/>
          <w:lang w:bidi="ar"/>
        </w:rPr>
        <w:t>算法研发。设计部署轻量化对象检测算法，支持算法模型测试、资源利用率测试等多维评价测试模型。开发多模态策略适配性验证算法，支持芯片与系统联合仿真，突破复杂工作场景模拟与多策略协同功能验证的技术难点。兼容ResNet、EfficientNet等高精度神经网络模型测试，确保系统对多种算法模型的适配能力。</w:t>
      </w:r>
    </w:p>
    <w:p w14:paraId="1145AE48">
      <w:pPr>
        <w:keepNext w:val="0"/>
        <w:keepLines w:val="0"/>
        <w:pageBreakBefore w:val="0"/>
        <w:widowControl w:val="0"/>
        <w:kinsoku/>
        <w:wordWrap/>
        <w:overflowPunct/>
        <w:topLinePunct w:val="0"/>
        <w:bidi w:val="0"/>
        <w:adjustRightInd/>
        <w:snapToGrid/>
        <w:spacing w:line="576" w:lineRule="exact"/>
        <w:ind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rPr>
        <w:t>考核指标主要为研发1套车规级芯片多模态策略匹配测试台架，该设备主要面向通信类、计算类、安全类三类芯片。设备功能满足车规芯片复杂场景功能协同性测试需求，支持功能、性能、安全等多模态场景与功能动态映射模型和“芯片-ECU”协同仿真模型，部署轻量化对象检测算法及多种适配测试方法，功能安全验证最高满足ASIL D要求，兼容国产芯片通信接口：</w:t>
      </w:r>
    </w:p>
    <w:p w14:paraId="69E7587E">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通信类芯片：支持车内CAN、LIN、以太、SerDes等主流协议芯片，支持静态分析检测模型，通过静态配置实现协议一致性检测。支持形式化验证与模型检测方法，支持协议逻辑正确性验证，通信速率覆盖10Kbps~12.8Gbps，时序精度≤10ns；</w:t>
      </w:r>
    </w:p>
    <w:p w14:paraId="4D54246A">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计算类芯片：兼容ResNet、EfficientNet等高精度测试需求的神经网络模型测试；</w:t>
      </w:r>
    </w:p>
    <w:p w14:paraId="359A62F8">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安全类芯片：支持芯片及系统故障模拟及注入、失效监测、安全机制有效性分析，故障注入覆盖率≥85%；</w:t>
      </w:r>
    </w:p>
    <w:p w14:paraId="12A2E7C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 xml:space="preserve">四、对揭榜方的技术需求 </w:t>
      </w:r>
    </w:p>
    <w:p w14:paraId="72D92F6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rPr>
        <w:t>揭榜方在本项目中负责开发适配装备的测试与分析系统。研究内容主要为开发车规级芯片策略匹配测试软件和模拟系统，实现“芯片-ECU”协同仿真、多模态场景测试与极端工况性能匹配验证。在协议逻辑静态分析检测方面，支持协议一致性检测与形式化验证。构建测试用例库，覆盖MCAL、BSW、FUSA、HW等多项功能安全测试能力。考核指标如下：</w:t>
      </w:r>
    </w:p>
    <w:p w14:paraId="18312501">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1.</w:t>
      </w:r>
      <w:r>
        <w:rPr>
          <w:rFonts w:hint="default" w:ascii="Times New Roman" w:hAnsi="Times New Roman" w:eastAsia="仿宋_GB2312" w:cs="Times New Roman"/>
          <w:sz w:val="32"/>
          <w:szCs w:val="32"/>
          <w:u w:val="none"/>
          <w:lang w:bidi="ar"/>
        </w:rPr>
        <w:t>支持功能、性能、安全等多模态场景与功能动态映射模型和“芯片-ECU”在系统协同仿真；支持包括资源利用率测试、算法模型测试、系统软硬件故障注入、多功能协同度测试（包括进程协同、资源分配、时钟逻辑测试等）等至少5类系统适配测试方法；</w:t>
      </w:r>
    </w:p>
    <w:p w14:paraId="3B7B96D6">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2.</w:t>
      </w:r>
      <w:r>
        <w:rPr>
          <w:rFonts w:hint="default" w:ascii="Times New Roman" w:hAnsi="Times New Roman" w:eastAsia="仿宋_GB2312" w:cs="Times New Roman"/>
          <w:sz w:val="32"/>
          <w:szCs w:val="32"/>
          <w:u w:val="none"/>
          <w:lang w:bidi="ar"/>
        </w:rPr>
        <w:t>支持静态分析检测模型，通过静态配置实现协议一致性检测。支持形式化验证与模型检测方法，支持协议逻辑正确性验证；</w:t>
      </w:r>
    </w:p>
    <w:p w14:paraId="3279F133">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3.</w:t>
      </w:r>
      <w:r>
        <w:rPr>
          <w:rFonts w:hint="default" w:ascii="Times New Roman" w:hAnsi="Times New Roman" w:eastAsia="仿宋_GB2312" w:cs="Times New Roman"/>
          <w:sz w:val="32"/>
          <w:szCs w:val="32"/>
          <w:u w:val="none"/>
          <w:lang w:bidi="ar"/>
        </w:rPr>
        <w:t>兼容ResNet、EfficientNet等高精度测试需求的神经网络模型测试；</w:t>
      </w:r>
    </w:p>
    <w:p w14:paraId="5770DC06">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bidi="ar"/>
        </w:rPr>
        <w:t>4.</w:t>
      </w:r>
      <w:r>
        <w:rPr>
          <w:rFonts w:hint="default" w:ascii="Times New Roman" w:hAnsi="Times New Roman" w:eastAsia="仿宋_GB2312" w:cs="Times New Roman"/>
          <w:sz w:val="32"/>
          <w:szCs w:val="32"/>
          <w:u w:val="none"/>
          <w:lang w:bidi="ar"/>
        </w:rPr>
        <w:t>支持芯片及系统故障模拟及注入、失效监测、安全机制有效性分析，故障注入覆盖率≥85%。</w:t>
      </w:r>
    </w:p>
    <w:p w14:paraId="3D5BEF31">
      <w:pPr>
        <w:pStyle w:val="5"/>
        <w:keepNext w:val="0"/>
        <w:keepLines w:val="0"/>
        <w:pageBreakBefore w:val="0"/>
        <w:widowControl w:val="0"/>
        <w:numPr>
          <w:ilvl w:val="0"/>
          <w:numId w:val="0"/>
        </w:numPr>
        <w:kinsoku/>
        <w:wordWrap/>
        <w:overflowPunct/>
        <w:topLinePunct w:val="0"/>
        <w:bidi w:val="0"/>
        <w:adjustRightInd/>
        <w:snapToGrid/>
        <w:spacing w:line="576" w:lineRule="exact"/>
        <w:ind w:leftChars="0" w:firstLine="640" w:firstLineChars="200"/>
        <w:jc w:val="left"/>
        <w:textAlignment w:val="auto"/>
        <w:rPr>
          <w:rFonts w:hint="default" w:ascii="Times New Roman" w:hAnsi="Times New Roman" w:eastAsia="仿宋_GB2312" w:cs="Times New Roman"/>
          <w:sz w:val="32"/>
          <w:szCs w:val="32"/>
          <w:u w:val="none"/>
          <w:lang w:bidi="ar"/>
        </w:rPr>
      </w:pPr>
      <w:r>
        <w:rPr>
          <w:rFonts w:hint="default" w:ascii="Times New Roman" w:hAnsi="Times New Roman" w:eastAsia="仿宋_GB2312" w:cs="Times New Roman"/>
          <w:sz w:val="32"/>
          <w:szCs w:val="32"/>
          <w:u w:val="none"/>
          <w:lang w:val="en-US" w:eastAsia="zh-CN"/>
        </w:rPr>
        <w:t>5.</w:t>
      </w:r>
      <w:r>
        <w:rPr>
          <w:rFonts w:hint="default" w:ascii="Times New Roman" w:hAnsi="Times New Roman" w:eastAsia="仿宋_GB2312" w:cs="Times New Roman"/>
          <w:sz w:val="32"/>
          <w:szCs w:val="32"/>
          <w:u w:val="none"/>
        </w:rPr>
        <w:t>形成相关知识产权4项，其中申请发明专利不少于2件。</w:t>
      </w:r>
    </w:p>
    <w:p w14:paraId="48B350C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五、项目预算和项目执行期</w:t>
      </w:r>
    </w:p>
    <w:p w14:paraId="0D98D47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项目研发总投入</w:t>
      </w:r>
      <w:r>
        <w:rPr>
          <w:rFonts w:hint="default" w:ascii="Times New Roman" w:hAnsi="Times New Roman" w:eastAsia="仿宋_GB2312" w:cs="Times New Roman"/>
          <w:sz w:val="32"/>
          <w:szCs w:val="32"/>
          <w:u w:val="none"/>
        </w:rPr>
        <w:t>1700</w:t>
      </w:r>
      <w:r>
        <w:rPr>
          <w:rFonts w:hint="default" w:ascii="Times New Roman" w:hAnsi="Times New Roman" w:eastAsia="仿宋_GB2312" w:cs="Times New Roman"/>
          <w:sz w:val="32"/>
          <w:szCs w:val="32"/>
          <w:u w:val="none"/>
        </w:rPr>
        <w:t>万元，揭榜金额</w:t>
      </w:r>
      <w:r>
        <w:rPr>
          <w:rFonts w:hint="default" w:ascii="Times New Roman" w:hAnsi="Times New Roman" w:eastAsia="仿宋_GB2312" w:cs="Times New Roman"/>
          <w:sz w:val="32"/>
          <w:szCs w:val="32"/>
          <w:u w:val="none"/>
        </w:rPr>
        <w:t>542</w:t>
      </w:r>
      <w:r>
        <w:rPr>
          <w:rFonts w:hint="default" w:ascii="Times New Roman" w:hAnsi="Times New Roman" w:eastAsia="仿宋_GB2312" w:cs="Times New Roman"/>
          <w:sz w:val="32"/>
          <w:szCs w:val="32"/>
          <w:u w:val="none"/>
        </w:rPr>
        <w:t>万元，出于满足实际研究需求考虑，最终预算允许商谈调整。</w:t>
      </w:r>
    </w:p>
    <w:p w14:paraId="50A26EA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2BAB32A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六、对揭榜方的要求</w:t>
      </w:r>
    </w:p>
    <w:p w14:paraId="6BBE7C4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本项目揭榜方需满足以下资质条件：</w:t>
      </w:r>
    </w:p>
    <w:p w14:paraId="2037E2FF">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揭榜方为科研机构或高校，具备完善的科研、教学及财务管理制度，能为项目推进提供规范的机制保障；</w:t>
      </w:r>
    </w:p>
    <w:p w14:paraId="27748311">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拥有较强的科研实力与配套研发条件，可确保项目各项任务指标顺利完成；</w:t>
      </w:r>
    </w:p>
    <w:p w14:paraId="5CA8F1ED">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揭榜方单位及项目团队成员均无不良社会信用记录与科研失信记录，需恪守科研诚信底线；</w:t>
      </w:r>
    </w:p>
    <w:p w14:paraId="0D4235A4">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4.</w:t>
      </w:r>
      <w:r>
        <w:rPr>
          <w:rFonts w:hint="default" w:ascii="Times New Roman" w:hAnsi="Times New Roman" w:eastAsia="仿宋_GB2312" w:cs="Times New Roman"/>
          <w:sz w:val="32"/>
          <w:szCs w:val="32"/>
          <w:u w:val="none"/>
        </w:rPr>
        <w:t>项目团队需具备核心技术能力，既要能开发符合 GB/T 34590标准的车规级芯片多模态智能检测技术，也要拥有新能源汽车线控转向、电池测试等关键系统的开发经验；</w:t>
      </w:r>
    </w:p>
    <w:p w14:paraId="4807622D">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5.</w:t>
      </w:r>
      <w:r>
        <w:rPr>
          <w:rFonts w:hint="default" w:ascii="Times New Roman" w:hAnsi="Times New Roman" w:eastAsia="仿宋_GB2312" w:cs="Times New Roman"/>
          <w:sz w:val="32"/>
          <w:szCs w:val="32"/>
          <w:u w:val="none"/>
        </w:rPr>
        <w:t>项目团队有能力主导或参与过至少1项汽车行业标准的验证与制定；</w:t>
      </w:r>
    </w:p>
    <w:p w14:paraId="1E073BC6">
      <w:pPr>
        <w:pStyle w:val="5"/>
        <w:keepNext w:val="0"/>
        <w:keepLines w:val="0"/>
        <w:pageBreakBefore w:val="0"/>
        <w:widowControl w:val="0"/>
        <w:numPr>
          <w:ilvl w:val="0"/>
          <w:numId w:val="0"/>
        </w:numPr>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6.</w:t>
      </w:r>
      <w:r>
        <w:rPr>
          <w:rFonts w:hint="default" w:ascii="Times New Roman" w:hAnsi="Times New Roman" w:eastAsia="仿宋_GB2312" w:cs="Times New Roman"/>
          <w:sz w:val="32"/>
          <w:szCs w:val="32"/>
          <w:u w:val="none"/>
        </w:rPr>
        <w:t>需具备资源整合能力，能联合芯片厂商及整车企业，提供 ADAS、动力系统等典型车载系统的测试场景数据，为项目研发提供实际应用支撑；</w:t>
      </w:r>
    </w:p>
    <w:p w14:paraId="42F50CD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46B9195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二十</w:t>
      </w:r>
      <w:r>
        <w:rPr>
          <w:rFonts w:hint="default" w:ascii="Times New Roman" w:hAnsi="Times New Roman" w:eastAsia="黑体" w:cs="Times New Roman"/>
          <w:sz w:val="32"/>
          <w:szCs w:val="32"/>
          <w:u w:val="none"/>
        </w:rPr>
        <w:t>：人参特有化合物氨基酸糖苷类成分的创制与应用</w:t>
      </w:r>
    </w:p>
    <w:p w14:paraId="1EA5681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2604A82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单位名称</w:t>
      </w:r>
      <w:r>
        <w:rPr>
          <w:rFonts w:hint="default" w:ascii="Times New Roman" w:hAnsi="Times New Roman" w:eastAsia="仿宋_GB2312" w:cs="Times New Roman"/>
          <w:bCs/>
          <w:sz w:val="32"/>
          <w:szCs w:val="32"/>
          <w:u w:val="none"/>
          <w:lang w:eastAsia="zh-CN"/>
        </w:rPr>
        <w:t>：</w:t>
      </w:r>
      <w:r>
        <w:rPr>
          <w:rFonts w:hint="default" w:ascii="Times New Roman" w:hAnsi="Times New Roman" w:eastAsia="仿宋_GB2312" w:cs="Times New Roman"/>
          <w:bCs/>
          <w:sz w:val="32"/>
          <w:szCs w:val="32"/>
          <w:u w:val="none"/>
        </w:rPr>
        <w:t>吉林农业大学</w:t>
      </w:r>
    </w:p>
    <w:p w14:paraId="40D6598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项目联系人：李伟、任珅、胡锐意</w:t>
      </w:r>
    </w:p>
    <w:p w14:paraId="1B88F77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联系电话：13504467727；17767784779；17843095391</w:t>
      </w:r>
    </w:p>
    <w:p w14:paraId="5240D0A4">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04D2CBE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高校院所成果转化榜单</w:t>
      </w:r>
    </w:p>
    <w:p w14:paraId="53C262E9">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三、榜单内容及主要技术指标</w:t>
      </w:r>
    </w:p>
    <w:p w14:paraId="481CA2E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技术内容：</w:t>
      </w:r>
    </w:p>
    <w:p w14:paraId="12F906E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Cs/>
          <w:sz w:val="32"/>
          <w:szCs w:val="32"/>
          <w:u w:val="none"/>
        </w:rPr>
      </w:pPr>
      <w:r>
        <w:rPr>
          <w:rFonts w:hint="default" w:ascii="Times New Roman" w:hAnsi="Times New Roman" w:eastAsia="仿宋_GB2312" w:cs="Times New Roman"/>
          <w:bCs/>
          <w:sz w:val="32"/>
          <w:szCs w:val="32"/>
          <w:u w:val="none"/>
        </w:rPr>
        <w:t>全球慢病防控与健康消费升级驱动天然功能成分市场发展，团队已从人参中首次发现8种高活性氨基酸双糖苷成分，其中AFG和GABAFG纯度&gt;95%、合成成本约5000元/公斤，且具备显著降血糖活性与良好安全性。当前该类成分面临公斤级规模化制备、系统药效学评价缺失、全产业链质量控制标准空白等瓶颈。本项目需突破规模化制备工艺，构建多维度药效与安全性评价体系，建立全产业链质量标准，开发符合企业标准的抗糖尿病相关健康食品，完成产品配方研发、中试生产及合规性申报，实现健康食品市场化转化，推动该类成分在抗糖尿病等功能产品中的深度应用，提升吉林省人参产业附加值与技术话语权。</w:t>
      </w:r>
    </w:p>
    <w:p w14:paraId="37F7802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技术指标：</w:t>
      </w:r>
    </w:p>
    <w:p w14:paraId="019F79C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1.建立基于绿色化学合成的高效双路径制备工艺，实现氨基酸糖苷类成分公斤级规模化生产，纯度≥95%，成本降低30%以上，完成相关的质量评价建立。</w:t>
      </w:r>
    </w:p>
    <w:p w14:paraId="3D81885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2.构建针对糖脂代谢、免疫力增强等系统性药效学与安全性评价体系，阐明多靶点协同机制，获取大健康/功能保健食品申报所需关键数据，为产品合规性提供核心支撑。</w:t>
      </w:r>
    </w:p>
    <w:p w14:paraId="0E76340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3.以AFG和GABAFG为核心指标的全产业链质量控制体系，制定从原料到成品的企业标准；开发2-3种AFG和GABAFG相关大健康食品/功能保健食品，完成产品配方优化、中试生产及合规性申报，实现健康食品市场化转化，填补该类功能成分健康食品应用空白。</w:t>
      </w:r>
    </w:p>
    <w:p w14:paraId="0C4BE8D2">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四、对揭榜企业的技术及支持条件的需求</w:t>
      </w:r>
    </w:p>
    <w:p w14:paraId="7376575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1.与企业合作，共同完成2-3款人参氨基酸糖苷类大健康/功能保健食品的研发，包括产品配方研发、中试生产验证、产品安全性评估。</w:t>
      </w:r>
    </w:p>
    <w:p w14:paraId="328DA79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2.企业可完成大健康/功能保健食品的合规申报流程，包括资料准备、实验验证和合规性申报。</w:t>
      </w:r>
    </w:p>
    <w:p w14:paraId="07CEEBC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3.能配合建立以AFG和GABAFG为核心的全产业链质量控制体系，构建质量标准体系，具备原料至成品的检测与标准落地能力。</w:t>
      </w:r>
    </w:p>
    <w:p w14:paraId="777B4B7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w:t>
      </w:r>
    </w:p>
    <w:p w14:paraId="76EFE01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预期揭榜总投入</w:t>
      </w:r>
      <w:r>
        <w:rPr>
          <w:rFonts w:hint="default" w:ascii="Times New Roman" w:hAnsi="Times New Roman" w:eastAsia="仿宋_GB2312" w:cs="Times New Roman"/>
          <w:sz w:val="32"/>
          <w:szCs w:val="32"/>
          <w:u w:val="none"/>
        </w:rPr>
        <w:t>800</w:t>
      </w:r>
      <w:r>
        <w:rPr>
          <w:rFonts w:hint="default" w:ascii="Times New Roman" w:hAnsi="Times New Roman" w:eastAsia="仿宋_GB2312" w:cs="Times New Roman"/>
          <w:sz w:val="32"/>
          <w:szCs w:val="32"/>
          <w:u w:val="none"/>
        </w:rPr>
        <w:t>万元（企业）</w:t>
      </w:r>
      <w:r>
        <w:rPr>
          <w:rFonts w:hint="default" w:ascii="Times New Roman" w:hAnsi="Times New Roman" w:eastAsia="仿宋_GB2312" w:cs="Times New Roman"/>
          <w:sz w:val="32"/>
          <w:szCs w:val="32"/>
          <w:u w:val="none"/>
          <w:lang w:eastAsia="zh-CN"/>
        </w:rPr>
        <w:t>。</w:t>
      </w:r>
    </w:p>
    <w:p w14:paraId="1B41FEF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b/>
          <w:bCs/>
          <w:sz w:val="32"/>
          <w:szCs w:val="32"/>
          <w:u w:val="none"/>
        </w:rPr>
      </w:pPr>
      <w:r>
        <w:rPr>
          <w:rFonts w:hint="default" w:ascii="Times New Roman" w:hAnsi="Times New Roman" w:eastAsia="仿宋_GB2312" w:cs="Times New Roman"/>
          <w:sz w:val="32"/>
          <w:szCs w:val="32"/>
          <w:u w:val="none"/>
        </w:rPr>
        <w:t>预期需要企业拨付给研发团队资金</w:t>
      </w:r>
      <w:r>
        <w:rPr>
          <w:rFonts w:hint="default" w:ascii="Times New Roman" w:hAnsi="Times New Roman" w:eastAsia="仿宋_GB2312" w:cs="Times New Roman"/>
          <w:sz w:val="32"/>
          <w:szCs w:val="32"/>
          <w:u w:val="none"/>
        </w:rPr>
        <w:t>200</w:t>
      </w:r>
      <w:r>
        <w:rPr>
          <w:rFonts w:hint="default" w:ascii="Times New Roman" w:hAnsi="Times New Roman" w:eastAsia="仿宋_GB2312" w:cs="Times New Roman"/>
          <w:sz w:val="32"/>
          <w:szCs w:val="32"/>
          <w:u w:val="none"/>
        </w:rPr>
        <w:t>万元，可视具体情况调整。</w:t>
      </w:r>
    </w:p>
    <w:p w14:paraId="4E3D619B">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六、项目执行期</w:t>
      </w:r>
    </w:p>
    <w:p w14:paraId="74C69C3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288BF228">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 w:cs="Times New Roman"/>
          <w:strike/>
          <w:dstrike w:val="0"/>
          <w:sz w:val="32"/>
          <w:szCs w:val="32"/>
          <w:highlight w:val="yellow"/>
          <w:u w:val="none"/>
        </w:rPr>
      </w:pPr>
      <w:r>
        <w:rPr>
          <w:rFonts w:hint="default" w:ascii="Times New Roman" w:hAnsi="Times New Roman" w:eastAsia="楷体" w:cs="Times New Roman"/>
          <w:b/>
          <w:bCs/>
          <w:sz w:val="32"/>
          <w:szCs w:val="32"/>
          <w:u w:val="none"/>
        </w:rPr>
        <w:t>七、对揭榜企业的要求</w:t>
      </w:r>
    </w:p>
    <w:p w14:paraId="17AA1A7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1</w:t>
      </w:r>
      <w:r>
        <w:rPr>
          <w:rFonts w:hint="default" w:ascii="Times New Roman" w:hAnsi="Times New Roman" w:eastAsia="仿宋_GB2312" w:cs="Times New Roman"/>
          <w:sz w:val="32"/>
          <w:szCs w:val="32"/>
          <w:u w:val="none"/>
        </w:rPr>
        <w:t>.</w:t>
      </w:r>
      <w:r>
        <w:rPr>
          <w:rFonts w:hint="eastAsia" w:ascii="Times New Roman" w:hAnsi="Times New Roman" w:eastAsia="仿宋_GB2312" w:cs="Times New Roman"/>
          <w:sz w:val="32"/>
          <w:szCs w:val="32"/>
          <w:u w:val="none"/>
          <w:lang w:val="en-US" w:eastAsia="zh-CN"/>
        </w:rPr>
        <w:t>企业</w:t>
      </w:r>
      <w:r>
        <w:rPr>
          <w:rFonts w:hint="default" w:ascii="Times New Roman" w:hAnsi="Times New Roman" w:eastAsia="仿宋_GB2312" w:cs="Times New Roman"/>
          <w:sz w:val="32"/>
          <w:szCs w:val="32"/>
          <w:u w:val="none"/>
        </w:rPr>
        <w:t>注册成立满3年，具备独立法人资格，经营状况稳健，近三年无不良信用记录，在健康食品领域拥有一定市场份额。</w:t>
      </w:r>
    </w:p>
    <w:p w14:paraId="1E8CE6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2</w:t>
      </w:r>
      <w:r>
        <w:rPr>
          <w:rFonts w:hint="default" w:ascii="Times New Roman" w:hAnsi="Times New Roman" w:eastAsia="仿宋_GB2312" w:cs="Times New Roman"/>
          <w:sz w:val="32"/>
          <w:szCs w:val="32"/>
          <w:u w:val="none"/>
        </w:rPr>
        <w:t>.具有较强的研发实力、科研条件和稳定的人员队伍等，有能力完成发榜方提出的任务；</w:t>
      </w:r>
    </w:p>
    <w:p w14:paraId="570473F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.能对发榜项目任务提出可行的解决方案，掌握自主知识产权。</w:t>
      </w:r>
    </w:p>
    <w:p w14:paraId="47112AD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4</w:t>
      </w:r>
      <w:r>
        <w:rPr>
          <w:rFonts w:hint="default" w:ascii="Times New Roman" w:hAnsi="Times New Roman" w:eastAsia="仿宋_GB2312" w:cs="Times New Roman"/>
          <w:sz w:val="32"/>
          <w:szCs w:val="32"/>
          <w:u w:val="none"/>
        </w:rPr>
        <w:t>.优先支持具有良好科研业绩基础的单位和团队，鼓励组建创新联合体共同开展揭榜攻关。</w:t>
      </w:r>
    </w:p>
    <w:p w14:paraId="7BBE9C6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5</w:t>
      </w:r>
      <w:r>
        <w:rPr>
          <w:rFonts w:hint="default" w:ascii="Times New Roman" w:hAnsi="Times New Roman" w:eastAsia="仿宋_GB2312" w:cs="Times New Roman"/>
          <w:sz w:val="32"/>
          <w:szCs w:val="32"/>
          <w:u w:val="none"/>
        </w:rPr>
        <w:t>.财务状况良好且管理规范；</w:t>
      </w:r>
    </w:p>
    <w:p w14:paraId="4801A39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6</w:t>
      </w:r>
      <w:r>
        <w:rPr>
          <w:rFonts w:hint="default" w:ascii="Times New Roman" w:hAnsi="Times New Roman" w:eastAsia="仿宋_GB2312" w:cs="Times New Roman"/>
          <w:sz w:val="32"/>
          <w:szCs w:val="32"/>
          <w:u w:val="none"/>
        </w:rPr>
        <w:t>.具有良好的科研道德和社会诚信，近三年内无不良信用记录。</w:t>
      </w:r>
    </w:p>
    <w:p w14:paraId="14DB133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lang w:val="en-US" w:eastAsia="zh-CN"/>
        </w:rPr>
        <w:t>7</w:t>
      </w:r>
      <w:r>
        <w:rPr>
          <w:rFonts w:hint="default" w:ascii="Times New Roman" w:hAnsi="Times New Roman" w:eastAsia="仿宋_GB2312" w:cs="Times New Roman"/>
          <w:sz w:val="32"/>
          <w:szCs w:val="32"/>
          <w:u w:val="none"/>
        </w:rPr>
        <w:t>.承诺项目成果优先在吉林省内产业化转化，核心技术优先支持吉林省内相关企业应用。</w:t>
      </w:r>
    </w:p>
    <w:p w14:paraId="19E39C5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41EF4694">
      <w:pPr>
        <w:keepNext w:val="0"/>
        <w:keepLines w:val="0"/>
        <w:pageBreakBefore w:val="0"/>
        <w:widowControl w:val="0"/>
        <w:kinsoku/>
        <w:wordWrap/>
        <w:overflowPunct/>
        <w:topLinePunct w:val="0"/>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二十一</w:t>
      </w:r>
      <w:r>
        <w:rPr>
          <w:rFonts w:hint="default" w:ascii="Times New Roman" w:hAnsi="Times New Roman" w:eastAsia="黑体" w:cs="Times New Roman"/>
          <w:sz w:val="32"/>
          <w:szCs w:val="32"/>
          <w:u w:val="none"/>
        </w:rPr>
        <w:t>：高隔音PVB玻璃夹层中间膜研制及产业化</w:t>
      </w:r>
    </w:p>
    <w:p w14:paraId="4E43EAE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29B4429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单位名称:长春工业大学</w:t>
      </w:r>
    </w:p>
    <w:p w14:paraId="48D5E54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项目联系人：王世伟</w:t>
      </w:r>
    </w:p>
    <w:p w14:paraId="636BA90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联系电话：13196046380</w:t>
      </w:r>
    </w:p>
    <w:p w14:paraId="72154FA8">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640E342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高校院所成果转化榜单</w:t>
      </w:r>
    </w:p>
    <w:p w14:paraId="2A553D8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三、榜单内容及主要技术指标</w:t>
      </w:r>
    </w:p>
    <w:p w14:paraId="5632D66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技术内容：</w:t>
      </w:r>
    </w:p>
    <w:p w14:paraId="4B9FAE7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开展高阻尼隔音PVB玻璃夹层中间膜的开发和产业化。在需求方前期成果基础上，建设隔音PVB玻璃夹层中间膜的测试评价平台，形成稳定的生产工艺流程，实现PVB夹层玻璃中间膜在高中低全频段高隔音的技术效果；解决PVB胶膜的隔音特性、光学特性和力学特性之间相互制约的行业难题，达到高性能、高隔音PVB玻璃夹层中间膜全国产化生产的技术水平。</w:t>
      </w:r>
    </w:p>
    <w:p w14:paraId="0692061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楷体_GB2312" w:cs="Times New Roman"/>
          <w:sz w:val="32"/>
          <w:szCs w:val="32"/>
          <w:u w:val="none"/>
        </w:rPr>
      </w:pPr>
      <w:r>
        <w:rPr>
          <w:rFonts w:hint="default" w:ascii="Times New Roman" w:hAnsi="Times New Roman" w:eastAsia="楷体_GB2312" w:cs="Times New Roman"/>
          <w:sz w:val="32"/>
          <w:szCs w:val="32"/>
          <w:u w:val="none"/>
        </w:rPr>
        <w:t>技术指标：</w:t>
      </w:r>
    </w:p>
    <w:p w14:paraId="1DB013FF">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PVB薄膜拉伸强度≥20MPa;</w:t>
      </w:r>
    </w:p>
    <w:p w14:paraId="11D5E8BC">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PVB薄膜断裂伸长率≥210%；</w:t>
      </w:r>
    </w:p>
    <w:p w14:paraId="1D5FD912">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PVB夹层玻璃可见光透过率≥85%；</w:t>
      </w:r>
    </w:p>
    <w:p w14:paraId="1D1FD32D">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PVB夹层玻璃雾度≤0.5%；</w:t>
      </w:r>
    </w:p>
    <w:p w14:paraId="18FF15BF">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PVB薄膜与玻璃的粘结强度≥1.5MPa(90</w:t>
      </w:r>
      <w:r>
        <w:rPr>
          <w:rFonts w:hint="default" w:ascii="Times New Roman" w:hAnsi="Times New Roman" w:eastAsia="仿宋_GB2312" w:cs="Times New Roman"/>
          <w:sz w:val="32"/>
          <w:szCs w:val="32"/>
          <w:u w:val="none"/>
          <w:vertAlign w:val="superscript"/>
        </w:rPr>
        <w:t>o</w:t>
      </w:r>
      <w:r>
        <w:rPr>
          <w:rFonts w:hint="default" w:ascii="Times New Roman" w:hAnsi="Times New Roman" w:eastAsia="仿宋_GB2312" w:cs="Times New Roman"/>
          <w:sz w:val="32"/>
          <w:szCs w:val="32"/>
          <w:u w:val="none"/>
        </w:rPr>
        <w:t>剥离)；</w:t>
      </w:r>
    </w:p>
    <w:p w14:paraId="3E140482">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与现有相同厚度的普通PVB玻璃夹层中间膜相比，隔音PVB胶片在低频(500-2000Hz)下隔音性能提高不小于4dB,在中高频（2000-6000Hz）下隔音性能提高不小于5dB；</w:t>
      </w:r>
    </w:p>
    <w:p w14:paraId="2E7D280F">
      <w:pPr>
        <w:pStyle w:val="5"/>
        <w:keepNext w:val="0"/>
        <w:keepLines w:val="0"/>
        <w:pageBreakBefore w:val="0"/>
        <w:widowControl w:val="0"/>
        <w:numPr>
          <w:ilvl w:val="0"/>
          <w:numId w:val="2"/>
        </w:numPr>
        <w:kinsoku/>
        <w:wordWrap/>
        <w:overflowPunct/>
        <w:topLinePunct w:val="0"/>
        <w:bidi w:val="0"/>
        <w:adjustRightInd/>
        <w:snapToGrid/>
        <w:spacing w:line="576" w:lineRule="exact"/>
        <w:ind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黄度指数≤2.0（紫外老化1000h，夹层玻璃不开胶，不变黄）。</w:t>
      </w:r>
    </w:p>
    <w:p w14:paraId="295B618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highlight w:val="none"/>
          <w:u w:val="none"/>
        </w:rPr>
      </w:pPr>
      <w:r>
        <w:rPr>
          <w:rFonts w:hint="default" w:ascii="Times New Roman" w:hAnsi="Times New Roman" w:eastAsia="楷体" w:cs="Times New Roman"/>
          <w:b/>
          <w:bCs/>
          <w:sz w:val="32"/>
          <w:szCs w:val="32"/>
          <w:highlight w:val="none"/>
          <w:u w:val="none"/>
        </w:rPr>
        <w:t>四、对揭榜企业的技术及支持条件的需求</w:t>
      </w:r>
    </w:p>
    <w:p w14:paraId="4A8C76E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1.企业可提供隔音PVB玻璃夹层中间膜生产线1条，用于完成项目技术的中试验证，并可连续批量化生产；</w:t>
      </w:r>
    </w:p>
    <w:p w14:paraId="438737D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2.企业为项目开展可提供不少于1000万的资金投入；</w:t>
      </w:r>
    </w:p>
    <w:p w14:paraId="615633E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3.企业为项目开展提供有相关工程经验的工程师2名，完成中试线的搭建与调试；</w:t>
      </w:r>
    </w:p>
    <w:p w14:paraId="27556F5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4.企业与需求方联合搭建PVB玻璃夹层中间膜及夹胶玻璃隔音测试平台，可以测试500-6000Hz全频段PVB隔音膜及其夹层玻璃的隔音性能，为项目提供可靠的数据反馈；</w:t>
      </w:r>
    </w:p>
    <w:p w14:paraId="124E9C8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eastAsia" w:ascii="Times New Roman" w:hAnsi="Times New Roman" w:eastAsia="仿宋_GB2312" w:cs="Times New Roman"/>
          <w:sz w:val="32"/>
          <w:szCs w:val="32"/>
          <w:highlight w:val="none"/>
          <w:u w:val="none"/>
          <w:lang w:eastAsia="zh-CN"/>
        </w:rPr>
      </w:pPr>
      <w:r>
        <w:rPr>
          <w:rFonts w:hint="default" w:ascii="Times New Roman" w:hAnsi="Times New Roman" w:eastAsia="仿宋_GB2312" w:cs="Times New Roman"/>
          <w:sz w:val="32"/>
          <w:szCs w:val="32"/>
          <w:highlight w:val="none"/>
          <w:u w:val="none"/>
        </w:rPr>
        <w:t>5.企业联合需求方申请相关发明专利5项</w:t>
      </w:r>
      <w:r>
        <w:rPr>
          <w:rFonts w:hint="eastAsia" w:ascii="Times New Roman" w:hAnsi="Times New Roman" w:eastAsia="仿宋_GB2312" w:cs="Times New Roman"/>
          <w:sz w:val="32"/>
          <w:szCs w:val="32"/>
          <w:highlight w:val="none"/>
          <w:u w:val="none"/>
          <w:lang w:eastAsia="zh-CN"/>
        </w:rPr>
        <w:t>。</w:t>
      </w:r>
    </w:p>
    <w:p w14:paraId="6A5FA1B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w:t>
      </w:r>
    </w:p>
    <w:p w14:paraId="491B5AB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lang w:eastAsia="zh-CN"/>
        </w:rPr>
      </w:pPr>
      <w:r>
        <w:rPr>
          <w:rFonts w:hint="default" w:ascii="Times New Roman" w:hAnsi="Times New Roman" w:eastAsia="仿宋_GB2312" w:cs="Times New Roman"/>
          <w:sz w:val="32"/>
          <w:szCs w:val="32"/>
          <w:u w:val="none"/>
        </w:rPr>
        <w:t>预期揭榜总投入</w:t>
      </w:r>
      <w:r>
        <w:rPr>
          <w:rFonts w:hint="default" w:ascii="Times New Roman" w:hAnsi="Times New Roman" w:eastAsia="仿宋_GB2312" w:cs="Times New Roman"/>
          <w:sz w:val="32"/>
          <w:szCs w:val="32"/>
          <w:u w:val="none"/>
        </w:rPr>
        <w:t>1000</w:t>
      </w:r>
      <w:r>
        <w:rPr>
          <w:rFonts w:hint="default" w:ascii="Times New Roman" w:hAnsi="Times New Roman" w:eastAsia="仿宋_GB2312" w:cs="Times New Roman"/>
          <w:sz w:val="32"/>
          <w:szCs w:val="32"/>
          <w:u w:val="none"/>
        </w:rPr>
        <w:t>万元</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企业</w:t>
      </w:r>
      <w:r>
        <w:rPr>
          <w:rFonts w:hint="default" w:ascii="Times New Roman" w:hAnsi="Times New Roman" w:eastAsia="仿宋_GB2312" w:cs="Times New Roman"/>
          <w:sz w:val="32"/>
          <w:szCs w:val="32"/>
          <w:u w:val="none"/>
          <w:lang w:eastAsia="zh-CN"/>
        </w:rPr>
        <w:t>）。</w:t>
      </w:r>
    </w:p>
    <w:p w14:paraId="309C99F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lang w:eastAsia="zh-CN"/>
        </w:rPr>
      </w:pPr>
      <w:r>
        <w:rPr>
          <w:rFonts w:hint="default" w:ascii="Times New Roman" w:hAnsi="Times New Roman" w:eastAsia="仿宋_GB2312" w:cs="Times New Roman"/>
          <w:sz w:val="32"/>
          <w:szCs w:val="32"/>
          <w:u w:val="none"/>
        </w:rPr>
        <w:t>预期需要企业拨付给研发团队资金</w:t>
      </w:r>
      <w:r>
        <w:rPr>
          <w:rFonts w:hint="default" w:ascii="Times New Roman" w:hAnsi="Times New Roman" w:eastAsia="仿宋_GB2312" w:cs="Times New Roman"/>
          <w:sz w:val="32"/>
          <w:szCs w:val="32"/>
          <w:u w:val="none"/>
        </w:rPr>
        <w:t>200</w:t>
      </w:r>
      <w:r>
        <w:rPr>
          <w:rFonts w:hint="default" w:ascii="Times New Roman" w:hAnsi="Times New Roman" w:eastAsia="仿宋_GB2312" w:cs="Times New Roman"/>
          <w:sz w:val="32"/>
          <w:szCs w:val="32"/>
          <w:u w:val="none"/>
        </w:rPr>
        <w:t>万元</w:t>
      </w:r>
      <w:r>
        <w:rPr>
          <w:rFonts w:hint="default" w:ascii="Times New Roman" w:hAnsi="Times New Roman" w:eastAsia="仿宋_GB2312" w:cs="Times New Roman"/>
          <w:sz w:val="32"/>
          <w:szCs w:val="32"/>
          <w:u w:val="none"/>
          <w:lang w:eastAsia="zh-CN"/>
        </w:rPr>
        <w:t>。</w:t>
      </w:r>
    </w:p>
    <w:p w14:paraId="2731368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六、项目执行期</w:t>
      </w:r>
    </w:p>
    <w:p w14:paraId="2006F1C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年，即2026年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520EBE8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七、对揭榜企业的要求</w:t>
      </w:r>
    </w:p>
    <w:p w14:paraId="6A8B27A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1.省内具有独立法人资格的企业；</w:t>
      </w:r>
    </w:p>
    <w:p w14:paraId="6896FF2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2.具有保障项目转化和产业化的能力和配套条件；</w:t>
      </w:r>
    </w:p>
    <w:p w14:paraId="3403254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3.具有较强的研发实力、科研条件和稳定的人员队伍等，有能力完成发榜方提出的任务；</w:t>
      </w:r>
    </w:p>
    <w:p w14:paraId="4AB0993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4.能对发榜项目任务提出可行的解决方案，掌握自主知识产权；</w:t>
      </w:r>
    </w:p>
    <w:p w14:paraId="41BEC9B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5.优先支持具有良好科研业绩基础的单位和团队，鼓励组建创新联合体共同开展揭榜攻关；</w:t>
      </w:r>
    </w:p>
    <w:p w14:paraId="753E54F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6.财务状况良好且管理规范；</w:t>
      </w:r>
    </w:p>
    <w:p w14:paraId="5AD02E1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color w:val="0000FF"/>
          <w:sz w:val="32"/>
          <w:szCs w:val="32"/>
          <w:u w:val="none"/>
        </w:rPr>
      </w:pPr>
      <w:r>
        <w:rPr>
          <w:rFonts w:hint="default" w:ascii="Times New Roman" w:hAnsi="Times New Roman" w:eastAsia="仿宋_GB2312" w:cs="Times New Roman"/>
          <w:sz w:val="32"/>
          <w:szCs w:val="32"/>
          <w:u w:val="none"/>
        </w:rPr>
        <w:t>7.具有良好的科研道德和社会诚信，近三年内无不良信用记录</w:t>
      </w:r>
      <w:r>
        <w:rPr>
          <w:rFonts w:hint="default" w:ascii="Times New Roman" w:hAnsi="Times New Roman" w:eastAsia="仿宋_GB2312" w:cs="Times New Roman"/>
          <w:color w:val="0000FF"/>
          <w:sz w:val="32"/>
          <w:szCs w:val="32"/>
          <w:u w:val="none"/>
        </w:rPr>
        <w:t>。</w:t>
      </w:r>
    </w:p>
    <w:p w14:paraId="245B3B8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p>
    <w:p w14:paraId="404B230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二十二</w:t>
      </w:r>
      <w:r>
        <w:rPr>
          <w:rFonts w:hint="default" w:ascii="Times New Roman" w:hAnsi="Times New Roman" w:eastAsia="黑体" w:cs="Times New Roman"/>
          <w:sz w:val="32"/>
          <w:szCs w:val="32"/>
          <w:u w:val="none"/>
        </w:rPr>
        <w:t>：一种高耐蚀、高强韧性黑色锌铝多功能复合涂层材料研发及产业化</w:t>
      </w:r>
    </w:p>
    <w:p w14:paraId="4814175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542A283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单位名称:长春工业大学</w:t>
      </w:r>
    </w:p>
    <w:p w14:paraId="3E48306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项目联系人：李雪松，孙博</w:t>
      </w:r>
    </w:p>
    <w:p w14:paraId="5D9FACD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联系电话：15526639150，15143482602</w:t>
      </w:r>
    </w:p>
    <w:p w14:paraId="5D10CAE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446ACC0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高校院所成果转化榜单</w:t>
      </w:r>
    </w:p>
    <w:p w14:paraId="41EABE7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三、榜单内容及主要技术指标</w:t>
      </w:r>
    </w:p>
    <w:p w14:paraId="1064CDDB">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技术内容：</w:t>
      </w:r>
    </w:p>
    <w:p w14:paraId="58C84DC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开发的多功能复合黑色锌铝涂层材料具有高耐腐蚀性、导热性和加工性能方面。应用家电用金属结构件材基本满足1000小时中性盐雾试验无红锈、导热系数不低于180W/(m·K)、屈服强度达到450MPa以上的性能基准。使材料耐腐蚀寿命提升至传统镀锌板的2.3倍，同时薄板厚度可减薄0.15mm实现单台冰箱减重2.8kg，带动整机能耗降低约5%。在技术创新方面，开发的多功能复合黑色面涂层材料具有高耐蚀、薄规格、高强度及多功能复合涂层方向发展。通过改进热镀工艺、优化合金配比、引入智能控制与在线监测系统，不断提升产品的一致性与稳定性。同时环保要求趋严促使水性涂料配套技术、低锌雾排放工艺和废酸再生系统在镀层加工环节加速普及，绿色制造能力成为核心竞争力之一。研发的自主知识产权的锌铝涂料及实际产品的应用。该水性涂料在追求传统油性外观的同时，水性锌铝涂料耐高温、耐腐蚀和抗摩擦性能好，耐腐蚀达到1000小时以上。与铝基金属基底结合力强，稳定性好，使用寿命长</w:t>
      </w:r>
      <w:r>
        <w:rPr>
          <w:rFonts w:hint="default" w:ascii="Times New Roman" w:hAnsi="Times New Roman" w:eastAsia="仿宋_GB2312" w:cs="Times New Roman"/>
          <w:sz w:val="32"/>
          <w:szCs w:val="32"/>
          <w:u w:val="none"/>
        </w:rPr>
        <w:t>，VOCs</w:t>
      </w:r>
      <w:r>
        <w:rPr>
          <w:rFonts w:hint="default" w:ascii="Times New Roman" w:hAnsi="Times New Roman" w:eastAsia="仿宋_GB2312" w:cs="Times New Roman"/>
          <w:sz w:val="32"/>
          <w:szCs w:val="32"/>
          <w:u w:val="none"/>
        </w:rPr>
        <w:t>含量低。</w:t>
      </w:r>
    </w:p>
    <w:p w14:paraId="06C1B03D">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技术指标：</w:t>
      </w:r>
    </w:p>
    <w:p w14:paraId="33A71A6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1.环保化：无铬化、低VOCs排放，开发的产品VOCs含量已降至32g/L，较传统溶剂型涂层降低75%。</w:t>
      </w:r>
    </w:p>
    <w:p w14:paraId="40A1926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高性能化、轻薄化：高温高湿实验后用10N胶带划格测试结合力，达到0级无脱落。膜层标准盐雾试验测试达到1000h以上。冷凝水实验240h以上。添加纳米第二相颗粒。涂层耐蚀性再提升30%。涂层厚度从传统80-100μm缩减至20-25μm，同时保持同等防护性能</w:t>
      </w:r>
    </w:p>
    <w:p w14:paraId="7B79957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3.多功能化：研发的黑色锌铝涂层还具有电磁屏蔽、自清洁、抗菌、隔热等。</w:t>
      </w:r>
    </w:p>
    <w:p w14:paraId="2F39EBC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4.耐摩擦磨损性能：漆垫片反复5次，铝垫片反复2次摩擦系数在0.08-0.16。</w:t>
      </w:r>
    </w:p>
    <w:p w14:paraId="7AEADE7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5.投资建设一条中试生产线，满足中试产品的制备及小批量产品的生产应用测试。</w:t>
      </w:r>
    </w:p>
    <w:p w14:paraId="2D2AD56C">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_GB2312" w:cs="Times New Roman"/>
          <w:sz w:val="32"/>
          <w:szCs w:val="32"/>
          <w:u w:val="none"/>
        </w:rPr>
      </w:pPr>
      <w:r>
        <w:rPr>
          <w:rFonts w:hint="default" w:ascii="Times New Roman" w:hAnsi="Times New Roman" w:eastAsia="楷体_GB2312" w:cs="Times New Roman"/>
          <w:b/>
          <w:bCs/>
          <w:sz w:val="32"/>
          <w:szCs w:val="32"/>
          <w:u w:val="none"/>
        </w:rPr>
        <w:t>四、对揭榜企业的技术及支持条件的需求</w:t>
      </w:r>
    </w:p>
    <w:p w14:paraId="0198939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1.需要企业提供初具规模的研发中心，满足项目从实验室研发到中试样品制备及性能测试，直至最后产品装机的使用要求。</w:t>
      </w:r>
    </w:p>
    <w:p w14:paraId="5F26C8C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2.需要企业在项目过程中提供足够用的技术支持，项目实施工程中建立完善的中试实验条件。需要企业提供满足中试产品的制备及性能等实时的检测条件。</w:t>
      </w:r>
    </w:p>
    <w:p w14:paraId="62417A8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3.需要企业提供用于涂料批量生产的大型研磨机、高速分散搅拌机、合成反应釜</w:t>
      </w:r>
      <w:r>
        <w:rPr>
          <w:rFonts w:hint="eastAsia" w:ascii="Times New Roman" w:hAnsi="Times New Roman" w:eastAsia="仿宋_GB2312" w:cs="Times New Roman"/>
          <w:sz w:val="32"/>
          <w:szCs w:val="32"/>
          <w:highlight w:val="none"/>
          <w:u w:val="none"/>
          <w:lang w:val="en-US" w:eastAsia="zh-CN"/>
        </w:rPr>
        <w:t>等</w:t>
      </w:r>
      <w:r>
        <w:rPr>
          <w:rFonts w:hint="eastAsia"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u w:val="none"/>
        </w:rPr>
        <w:t>满足后期转化产品的生产。</w:t>
      </w:r>
    </w:p>
    <w:p w14:paraId="3038CCC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w:t>
      </w:r>
    </w:p>
    <w:p w14:paraId="51B27982">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预期揭榜总投入</w:t>
      </w:r>
      <w:r>
        <w:rPr>
          <w:rFonts w:hint="default" w:ascii="Times New Roman" w:hAnsi="Times New Roman" w:eastAsia="仿宋_GB2312" w:cs="Times New Roman"/>
          <w:sz w:val="32"/>
          <w:szCs w:val="32"/>
          <w:u w:val="none"/>
        </w:rPr>
        <w:t>1000</w:t>
      </w:r>
      <w:r>
        <w:rPr>
          <w:rFonts w:hint="default" w:ascii="Times New Roman" w:hAnsi="Times New Roman" w:eastAsia="仿宋_GB2312" w:cs="Times New Roman"/>
          <w:sz w:val="32"/>
          <w:szCs w:val="32"/>
          <w:u w:val="none"/>
        </w:rPr>
        <w:t>万元（企业），</w:t>
      </w:r>
    </w:p>
    <w:p w14:paraId="285C8C3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预期需要企业拨付给研发团队资金</w:t>
      </w:r>
      <w:r>
        <w:rPr>
          <w:rFonts w:hint="default" w:ascii="Times New Roman" w:hAnsi="Times New Roman" w:eastAsia="仿宋_GB2312" w:cs="Times New Roman"/>
          <w:sz w:val="32"/>
          <w:szCs w:val="32"/>
          <w:u w:val="none"/>
        </w:rPr>
        <w:t>300</w:t>
      </w:r>
      <w:r>
        <w:rPr>
          <w:rFonts w:hint="default" w:ascii="Times New Roman" w:hAnsi="Times New Roman" w:eastAsia="仿宋_GB2312" w:cs="Times New Roman"/>
          <w:sz w:val="32"/>
          <w:szCs w:val="32"/>
          <w:u w:val="none"/>
        </w:rPr>
        <w:t>万元</w:t>
      </w:r>
    </w:p>
    <w:p w14:paraId="661CE076">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六、项目执行期</w:t>
      </w:r>
    </w:p>
    <w:p w14:paraId="3AD8AC9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2</w:t>
      </w:r>
      <w:r>
        <w:rPr>
          <w:rFonts w:hint="default" w:ascii="Times New Roman" w:hAnsi="Times New Roman" w:eastAsia="仿宋_GB2312" w:cs="Times New Roman"/>
          <w:sz w:val="32"/>
          <w:szCs w:val="32"/>
          <w:u w:val="none"/>
        </w:rPr>
        <w:t>年，即</w:t>
      </w:r>
      <w:r>
        <w:rPr>
          <w:rFonts w:hint="default" w:ascii="Times New Roman" w:hAnsi="Times New Roman" w:eastAsia="仿宋_GB2312" w:cs="Times New Roman"/>
          <w:sz w:val="32"/>
          <w:szCs w:val="32"/>
          <w:u w:val="none"/>
        </w:rPr>
        <w:t>2026</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w:t>
      </w:r>
      <w:r>
        <w:rPr>
          <w:rFonts w:hint="default" w:ascii="Times New Roman" w:hAnsi="Times New Roman" w:eastAsia="仿宋_GB2312" w:cs="Times New Roman"/>
          <w:sz w:val="32"/>
          <w:szCs w:val="32"/>
          <w:u w:val="none"/>
        </w:rPr>
        <w:t>2027</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17BF94C1">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仿宋" w:cs="Times New Roman"/>
          <w:sz w:val="32"/>
          <w:szCs w:val="32"/>
          <w:u w:val="none"/>
        </w:rPr>
      </w:pPr>
      <w:r>
        <w:rPr>
          <w:rFonts w:hint="default" w:ascii="Times New Roman" w:hAnsi="Times New Roman" w:eastAsia="楷体" w:cs="Times New Roman"/>
          <w:b/>
          <w:bCs/>
          <w:sz w:val="32"/>
          <w:szCs w:val="32"/>
          <w:u w:val="none"/>
        </w:rPr>
        <w:t>七、对揭榜企业的要求</w:t>
      </w:r>
    </w:p>
    <w:p w14:paraId="7CD6513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1.拥有产业化研发、成果转化和应用推广的人才队伍。规模成熟的中试及实际产品的制备及实际应用性能测试的研发团队。</w:t>
      </w:r>
    </w:p>
    <w:p w14:paraId="0F2C3CF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2.企业上年度研发经费占主营收入比例一般要达到1%以上或研发经费总额达到1000万元以上或具备国家高新技术企业资质。</w:t>
      </w:r>
    </w:p>
    <w:p w14:paraId="413C192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3.企业拥有汽车相关产品技术研发背景、产业应用案例。</w:t>
      </w:r>
    </w:p>
    <w:p w14:paraId="26E6C3E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4.企业已拥有本项目成果产业化所需的部分条件如测试或试制装备等。</w:t>
      </w:r>
    </w:p>
    <w:p w14:paraId="37B7D1C3">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5.企业为本项目成果产业化投入不低于1000万元。</w:t>
      </w:r>
    </w:p>
    <w:p w14:paraId="55B9266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6.优先支持具有良好科研业绩基础的单位和团队，鼓励组建创新联合体共同开展揭榜攻关。</w:t>
      </w:r>
    </w:p>
    <w:p w14:paraId="640EB70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7.财务状况良好且管理规范；</w:t>
      </w:r>
    </w:p>
    <w:p w14:paraId="018551D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8.具有良好的科研道德和社会诚信，近三年内无不良信用记录。</w:t>
      </w:r>
    </w:p>
    <w:p w14:paraId="03653AD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2486A7C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二十三</w:t>
      </w:r>
      <w:r>
        <w:rPr>
          <w:rFonts w:hint="default" w:ascii="Times New Roman" w:hAnsi="Times New Roman" w:eastAsia="黑体" w:cs="Times New Roman"/>
          <w:sz w:val="32"/>
          <w:szCs w:val="32"/>
          <w:u w:val="none"/>
        </w:rPr>
        <w:t>：基于</w:t>
      </w:r>
      <w:bookmarkStart w:id="6" w:name="OLE_LINK9"/>
      <w:r>
        <w:rPr>
          <w:rFonts w:hint="default" w:ascii="Times New Roman" w:hAnsi="Times New Roman" w:eastAsia="黑体" w:cs="Times New Roman"/>
          <w:sz w:val="32"/>
          <w:szCs w:val="32"/>
          <w:u w:val="none"/>
        </w:rPr>
        <w:t>尾矿渣的高分子材料功能添加剂</w:t>
      </w:r>
      <w:bookmarkEnd w:id="6"/>
      <w:r>
        <w:rPr>
          <w:rFonts w:hint="default" w:ascii="Times New Roman" w:hAnsi="Times New Roman" w:eastAsia="黑体" w:cs="Times New Roman"/>
          <w:sz w:val="32"/>
          <w:szCs w:val="32"/>
          <w:u w:val="none"/>
        </w:rPr>
        <w:t>研制及产业化</w:t>
      </w:r>
    </w:p>
    <w:p w14:paraId="49DA871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26AB3E5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单位名称:吉林化工大学</w:t>
      </w:r>
    </w:p>
    <w:p w14:paraId="15D1B84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项目联系人：张钰  13843226229</w:t>
      </w:r>
    </w:p>
    <w:p w14:paraId="68333FD9">
      <w:pPr>
        <w:keepNext w:val="0"/>
        <w:keepLines w:val="0"/>
        <w:pageBreakBefore w:val="0"/>
        <w:widowControl w:val="0"/>
        <w:kinsoku/>
        <w:wordWrap/>
        <w:overflowPunct/>
        <w:topLinePunct w:val="0"/>
        <w:bidi w:val="0"/>
        <w:adjustRightInd/>
        <w:snapToGrid/>
        <w:spacing w:line="576" w:lineRule="exact"/>
        <w:ind w:firstLine="2560" w:firstLineChars="8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刘群  15948639156</w:t>
      </w:r>
    </w:p>
    <w:p w14:paraId="36F378BA">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772604E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高校院所成果转化榜单</w:t>
      </w:r>
    </w:p>
    <w:p w14:paraId="3BD2A37E">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三、榜单内容及主要技术指标</w:t>
      </w:r>
    </w:p>
    <w:p w14:paraId="6A8B156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技术内容：</w:t>
      </w:r>
    </w:p>
    <w:p w14:paraId="7788FD8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以国家循环经济发展及大宗固废综合利用为导向，围绕吉林省含硅尾矿的资源化和高值化利用，科研团队开展了钼尾矿、硅藻土等的梯次提取及超细粉、补强剂、吸附剂及阻燃剂等的研发，并对其作为高分子材料功能添加剂的应用性能进行了研究，形成基于尾矿渣的高分子材料补强、除味及阻燃等功能添加剂制备技术。包括：</w:t>
      </w:r>
    </w:p>
    <w:p w14:paraId="698E3ED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w:t>
      </w:r>
      <w:bookmarkStart w:id="7" w:name="_Hlk213682159"/>
      <w:r>
        <w:rPr>
          <w:rFonts w:hint="default" w:ascii="Times New Roman" w:hAnsi="Times New Roman" w:eastAsia="仿宋_GB2312" w:cs="Times New Roman"/>
          <w:sz w:val="32"/>
          <w:szCs w:val="32"/>
          <w:u w:val="none"/>
        </w:rPr>
        <w:t>尾矿超细粉</w:t>
      </w:r>
      <w:bookmarkEnd w:id="7"/>
      <w:r>
        <w:rPr>
          <w:rFonts w:hint="default" w:ascii="Times New Roman" w:hAnsi="Times New Roman" w:eastAsia="仿宋_GB2312" w:cs="Times New Roman"/>
          <w:sz w:val="32"/>
          <w:szCs w:val="32"/>
          <w:u w:val="none"/>
        </w:rPr>
        <w:t>磨、表面改性技术及橡胶轻钙替代料开发：改善了尾矿渣在高分子材料中的分散性和相容性，获得800目、1250目到2000目超细粉，比表面积＞2.0 m</w:t>
      </w:r>
      <w:r>
        <w:rPr>
          <w:rFonts w:hint="default" w:ascii="Times New Roman" w:hAnsi="Times New Roman" w:eastAsia="仿宋_GB2312" w:cs="Times New Roman"/>
          <w:sz w:val="32"/>
          <w:szCs w:val="32"/>
          <w:u w:val="none"/>
          <w:vertAlign w:val="superscript"/>
        </w:rPr>
        <w:t>2</w:t>
      </w:r>
      <w:r>
        <w:rPr>
          <w:rFonts w:hint="default" w:ascii="Times New Roman" w:hAnsi="Times New Roman" w:eastAsia="仿宋_GB2312" w:cs="Times New Roman"/>
          <w:sz w:val="32"/>
          <w:szCs w:val="32"/>
          <w:u w:val="none"/>
        </w:rPr>
        <w:t>/g。</w:t>
      </w:r>
    </w:p>
    <w:p w14:paraId="6836A13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（2）尾矿衍生橡胶补强及除味专用料制备技术：以尾矿超细粉为原料开展了白炭黑制备研究，比表面积190-700m</w:t>
      </w:r>
      <w:r>
        <w:rPr>
          <w:rFonts w:hint="default" w:ascii="Times New Roman" w:hAnsi="Times New Roman" w:eastAsia="仿宋_GB2312" w:cs="Times New Roman"/>
          <w:sz w:val="32"/>
          <w:szCs w:val="32"/>
          <w:u w:val="none"/>
          <w:vertAlign w:val="superscript"/>
        </w:rPr>
        <w:t>2</w:t>
      </w:r>
      <w:r>
        <w:rPr>
          <w:rFonts w:hint="default" w:ascii="Times New Roman" w:hAnsi="Times New Roman" w:eastAsia="仿宋_GB2312" w:cs="Times New Roman"/>
          <w:sz w:val="32"/>
          <w:szCs w:val="32"/>
          <w:u w:val="none"/>
        </w:rPr>
        <w:t>/g，pH5.0-8.0，SiO</w:t>
      </w:r>
      <w:r>
        <w:rPr>
          <w:rFonts w:hint="default" w:ascii="Times New Roman" w:hAnsi="Times New Roman" w:eastAsia="仿宋_GB2312" w:cs="Times New Roman"/>
          <w:sz w:val="32"/>
          <w:szCs w:val="32"/>
          <w:u w:val="none"/>
          <w:vertAlign w:val="subscript"/>
        </w:rPr>
        <w:t>2</w:t>
      </w:r>
      <w:r>
        <w:rPr>
          <w:rFonts w:hint="default" w:ascii="Times New Roman" w:hAnsi="Times New Roman" w:eastAsia="仿宋_GB2312" w:cs="Times New Roman"/>
          <w:sz w:val="32"/>
          <w:szCs w:val="32"/>
          <w:u w:val="none"/>
        </w:rPr>
        <w:t>含量（干基）≥90%。进一步通过表面改性和复合技术，构建物理化学双重除味功效。</w:t>
      </w:r>
    </w:p>
    <w:p w14:paraId="4152AF6C">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_GB2312" w:cs="Times New Roman"/>
          <w:sz w:val="32"/>
          <w:szCs w:val="32"/>
          <w:u w:val="none"/>
        </w:rPr>
        <w:t>（3）尾矿衍生阻燃-补强专用料制备技术：针对环保型高分子制品阻燃剂的市场需求，开发了有机P-N阻燃剂，磷含量≥10%，氮含量≥7%，热分解温度≥270℃，纯度≥98.5%。发挥元素协同阻燃效应，形成</w:t>
      </w:r>
      <w:bookmarkStart w:id="8" w:name="OLE_LINK10"/>
      <w:r>
        <w:rPr>
          <w:rFonts w:hint="default" w:ascii="Times New Roman" w:hAnsi="Times New Roman" w:eastAsia="仿宋_GB2312" w:cs="Times New Roman"/>
          <w:sz w:val="32"/>
          <w:szCs w:val="32"/>
          <w:u w:val="none"/>
        </w:rPr>
        <w:t>尾矿衍生阻燃-补强专用料。</w:t>
      </w:r>
    </w:p>
    <w:bookmarkEnd w:id="8"/>
    <w:p w14:paraId="5D568A22">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技术指标：</w:t>
      </w:r>
    </w:p>
    <w:p w14:paraId="6035B05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通过现有成果的转化、延申和工程化，与企业合作开展中试开发，建设基于尾矿渣的高分子材料功能添加剂中试装置，开展中试实验，实现批量制备，形成中试成套技术。</w:t>
      </w:r>
    </w:p>
    <w:p w14:paraId="17B40760">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1.</w:t>
      </w:r>
      <w:bookmarkStart w:id="9" w:name="OLE_LINK11"/>
      <w:r>
        <w:rPr>
          <w:rFonts w:hint="default" w:ascii="Times New Roman" w:hAnsi="Times New Roman" w:eastAsia="仿宋" w:cs="Times New Roman"/>
          <w:sz w:val="32"/>
          <w:szCs w:val="32"/>
          <w:u w:val="none"/>
        </w:rPr>
        <w:t>尾矿</w:t>
      </w:r>
      <w:bookmarkEnd w:id="9"/>
      <w:r>
        <w:rPr>
          <w:rFonts w:hint="default" w:ascii="Times New Roman" w:hAnsi="Times New Roman" w:eastAsia="仿宋" w:cs="Times New Roman"/>
          <w:sz w:val="32"/>
          <w:szCs w:val="32"/>
          <w:u w:val="none"/>
        </w:rPr>
        <w:t>改性超细粉中试产品的比表面积＞2.0m</w:t>
      </w:r>
      <w:r>
        <w:rPr>
          <w:rFonts w:hint="default" w:ascii="Times New Roman" w:hAnsi="Times New Roman" w:eastAsia="仿宋" w:cs="Times New Roman"/>
          <w:sz w:val="32"/>
          <w:szCs w:val="32"/>
          <w:u w:val="none"/>
          <w:vertAlign w:val="superscript"/>
        </w:rPr>
        <w:t>2</w:t>
      </w:r>
      <w:r>
        <w:rPr>
          <w:rFonts w:hint="default" w:ascii="Times New Roman" w:hAnsi="Times New Roman" w:eastAsia="仿宋" w:cs="Times New Roman"/>
          <w:sz w:val="32"/>
          <w:szCs w:val="32"/>
          <w:u w:val="none"/>
        </w:rPr>
        <w:t>/g，</w:t>
      </w:r>
      <w:bookmarkStart w:id="10" w:name="_Hlk213682203"/>
      <w:r>
        <w:rPr>
          <w:rFonts w:hint="default" w:ascii="Times New Roman" w:hAnsi="Times New Roman" w:eastAsia="仿宋" w:cs="Times New Roman"/>
          <w:sz w:val="32"/>
          <w:szCs w:val="32"/>
          <w:u w:val="none"/>
        </w:rPr>
        <w:t>以15-35份加入橡胶硫磺硫化体系中，邵尔硬度69-70，拉伸强度14.2-15.4MPa，压缩永久变形率59-62%，</w:t>
      </w:r>
      <w:bookmarkEnd w:id="10"/>
      <w:r>
        <w:rPr>
          <w:rFonts w:hint="default" w:ascii="Times New Roman" w:hAnsi="Times New Roman" w:eastAsia="仿宋" w:cs="Times New Roman"/>
          <w:sz w:val="32"/>
          <w:szCs w:val="32"/>
          <w:u w:val="none"/>
        </w:rPr>
        <w:t>可用作橡胶轻钙替代料。</w:t>
      </w:r>
    </w:p>
    <w:p w14:paraId="7F4FB0B9">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2.尾矿衍生橡胶补强及除味专用料中试产品，应用于硫化胶，经150℃/60min硫化，硬度70.7、拉伸强度7.29MPa，压缩永久变形率84%，对橡胶具有物理化学双重除味效果。</w:t>
      </w:r>
    </w:p>
    <w:p w14:paraId="1151E61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 w:cs="Times New Roman"/>
          <w:sz w:val="32"/>
          <w:szCs w:val="32"/>
          <w:u w:val="none"/>
        </w:rPr>
      </w:pPr>
      <w:r>
        <w:rPr>
          <w:rFonts w:hint="default" w:ascii="Times New Roman" w:hAnsi="Times New Roman" w:eastAsia="仿宋" w:cs="Times New Roman"/>
          <w:sz w:val="32"/>
          <w:szCs w:val="32"/>
          <w:u w:val="none"/>
        </w:rPr>
        <w:t>3.尾矿衍生阻燃-补强专用料中试产品，在添加份数10-60%时，极限氧指数＞27%，阻燃级别UL94V-2-UL94V-0。</w:t>
      </w:r>
    </w:p>
    <w:p w14:paraId="6E8D4239">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四、对揭榜企业的技术及支持条件的需求</w:t>
      </w:r>
    </w:p>
    <w:p w14:paraId="6961A10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1.企业拥有尾矿渣的批量运输、存储、烘干、粉碎、分级等预处理能力，为本项目功能添加剂的批量制备提供稳定原料。</w:t>
      </w:r>
    </w:p>
    <w:p w14:paraId="71689B34">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2.企业为开展功能添加剂批量生产提供场地、设备及配套设施，提供人员保障，配合开展中试工艺验证。</w:t>
      </w:r>
    </w:p>
    <w:p w14:paraId="167CF56F">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highlight w:val="green"/>
          <w:u w:val="none"/>
        </w:rPr>
      </w:pPr>
      <w:r>
        <w:rPr>
          <w:rFonts w:hint="default" w:ascii="Times New Roman" w:hAnsi="Times New Roman" w:eastAsia="仿宋_GB2312" w:cs="Times New Roman"/>
          <w:sz w:val="32"/>
          <w:szCs w:val="32"/>
          <w:u w:val="none"/>
        </w:rPr>
        <w:t>3.企业提供功能添加剂在高分子材料中的混炼、硫化等加工，并对产品的应用性能进行测试和验证。</w:t>
      </w:r>
    </w:p>
    <w:p w14:paraId="3BFBB4F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4.企业为本项目成果产业化投入不低于1500万元。</w:t>
      </w:r>
    </w:p>
    <w:p w14:paraId="62E2DC1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w:t>
      </w:r>
    </w:p>
    <w:p w14:paraId="244D256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预期揭榜总投入</w:t>
      </w:r>
      <w:r>
        <w:rPr>
          <w:rFonts w:hint="default" w:ascii="Times New Roman" w:hAnsi="Times New Roman" w:eastAsia="仿宋_GB2312" w:cs="Times New Roman"/>
          <w:sz w:val="32"/>
          <w:szCs w:val="32"/>
          <w:u w:val="none"/>
        </w:rPr>
        <w:t>1500</w:t>
      </w:r>
      <w:r>
        <w:rPr>
          <w:rFonts w:hint="default" w:ascii="Times New Roman" w:hAnsi="Times New Roman" w:eastAsia="仿宋_GB2312" w:cs="Times New Roman"/>
          <w:sz w:val="32"/>
          <w:szCs w:val="32"/>
          <w:u w:val="none"/>
        </w:rPr>
        <w:t>万元（企业），</w:t>
      </w:r>
    </w:p>
    <w:p w14:paraId="4EA01DB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预期需要企业拨付给研发团队资金</w:t>
      </w:r>
      <w:r>
        <w:rPr>
          <w:rFonts w:hint="default" w:ascii="Times New Roman" w:hAnsi="Times New Roman" w:eastAsia="仿宋_GB2312" w:cs="Times New Roman"/>
          <w:sz w:val="32"/>
          <w:szCs w:val="32"/>
          <w:u w:val="none"/>
        </w:rPr>
        <w:t>450</w:t>
      </w:r>
      <w:r>
        <w:rPr>
          <w:rFonts w:hint="default" w:ascii="Times New Roman" w:hAnsi="Times New Roman" w:eastAsia="仿宋_GB2312" w:cs="Times New Roman"/>
          <w:sz w:val="32"/>
          <w:szCs w:val="32"/>
          <w:u w:val="none"/>
        </w:rPr>
        <w:t>万元。</w:t>
      </w:r>
    </w:p>
    <w:p w14:paraId="5989394B">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六、项目执行期</w:t>
      </w:r>
    </w:p>
    <w:p w14:paraId="4624608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年，即202</w:t>
      </w:r>
      <w:r>
        <w:rPr>
          <w:rFonts w:hint="default" w:ascii="Times New Roman" w:hAnsi="Times New Roman" w:eastAsia="仿宋_GB2312" w:cs="Times New Roman"/>
          <w:sz w:val="32"/>
          <w:szCs w:val="32"/>
          <w:u w:val="none"/>
        </w:rPr>
        <w:t>6</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794296C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七、对揭榜企业的要求</w:t>
      </w:r>
    </w:p>
    <w:p w14:paraId="499CB61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1.省内具有独立法人资格的企业。</w:t>
      </w:r>
    </w:p>
    <w:p w14:paraId="21EF565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2.具有保障项目转化和产业化的能力和配套条件。</w:t>
      </w:r>
    </w:p>
    <w:p w14:paraId="723AD86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3.具有较强的研发实力、科研条件和稳定的人员队伍等，有能力完成发榜方提出的任务。</w:t>
      </w:r>
    </w:p>
    <w:p w14:paraId="7A20B18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4.优先支持具有良好科研业绩基础的单位和团队，鼓励组建创新联合体共同开展揭榜攻关。</w:t>
      </w:r>
    </w:p>
    <w:p w14:paraId="423E5C05">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5.财务状况良好且管理规范。</w:t>
      </w:r>
    </w:p>
    <w:p w14:paraId="776E8BC7">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6.具有良好的科研道德和社会诚信，近三年内无不良信用记录。</w:t>
      </w:r>
    </w:p>
    <w:p w14:paraId="6627FB8D">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p>
    <w:p w14:paraId="010FDF69">
      <w:pPr>
        <w:keepNext w:val="0"/>
        <w:keepLines w:val="0"/>
        <w:pageBreakBefore w:val="0"/>
        <w:widowControl w:val="0"/>
        <w:kinsoku/>
        <w:wordWrap/>
        <w:overflowPunct/>
        <w:topLinePunct w:val="0"/>
        <w:bidi w:val="0"/>
        <w:adjustRightInd/>
        <w:snapToGrid/>
        <w:spacing w:line="576" w:lineRule="exact"/>
        <w:ind w:firstLine="640" w:firstLineChars="200"/>
        <w:jc w:val="left"/>
        <w:textAlignment w:val="auto"/>
        <w:rPr>
          <w:rFonts w:hint="default" w:ascii="Times New Roman" w:hAnsi="Times New Roman" w:eastAsia="楷体" w:cs="Times New Roman"/>
          <w:b/>
          <w:bCs/>
          <w:sz w:val="32"/>
          <w:szCs w:val="32"/>
          <w:u w:val="none"/>
        </w:rPr>
      </w:pPr>
      <w:r>
        <w:rPr>
          <w:rFonts w:hint="default" w:ascii="Times New Roman" w:hAnsi="Times New Roman" w:eastAsia="黑体" w:cs="Times New Roman"/>
          <w:sz w:val="32"/>
          <w:szCs w:val="32"/>
          <w:u w:val="none"/>
        </w:rPr>
        <w:t>榜单</w:t>
      </w:r>
      <w:r>
        <w:rPr>
          <w:rFonts w:hint="eastAsia" w:ascii="Times New Roman" w:hAnsi="Times New Roman" w:eastAsia="黑体" w:cs="Times New Roman"/>
          <w:sz w:val="32"/>
          <w:szCs w:val="32"/>
          <w:u w:val="none"/>
          <w:lang w:val="en-US" w:eastAsia="zh-CN"/>
        </w:rPr>
        <w:t>二十四</w:t>
      </w:r>
      <w:r>
        <w:rPr>
          <w:rFonts w:hint="default" w:ascii="Times New Roman" w:hAnsi="Times New Roman" w:eastAsia="黑体" w:cs="Times New Roman"/>
          <w:sz w:val="32"/>
          <w:szCs w:val="32"/>
          <w:u w:val="none"/>
        </w:rPr>
        <w:t>：低排放高性能汽车刹车盘关键制造技术</w:t>
      </w:r>
    </w:p>
    <w:p w14:paraId="78A3089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一、需求单位</w:t>
      </w:r>
    </w:p>
    <w:p w14:paraId="580ADB9B">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单位名称：长春工业大学</w:t>
      </w:r>
    </w:p>
    <w:p w14:paraId="220DB46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项目联系人：韩英</w:t>
      </w:r>
    </w:p>
    <w:p w14:paraId="5049486E">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联系电话：13341576601</w:t>
      </w:r>
    </w:p>
    <w:p w14:paraId="240E12D9">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二、榜单类型</w:t>
      </w:r>
    </w:p>
    <w:p w14:paraId="0AE0454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高校院所成果转化榜单</w:t>
      </w:r>
    </w:p>
    <w:p w14:paraId="40E09C27">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三、榜单内容及主要技术指标</w:t>
      </w:r>
    </w:p>
    <w:p w14:paraId="1CFDEED4">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技术内容：</w:t>
      </w:r>
    </w:p>
    <w:p w14:paraId="0BDE0913">
      <w:pPr>
        <w:pStyle w:val="5"/>
        <w:keepNext w:val="0"/>
        <w:keepLines w:val="0"/>
        <w:pageBreakBefore w:val="0"/>
        <w:widowControl w:val="0"/>
        <w:numPr>
          <w:ilvl w:val="0"/>
          <w:numId w:val="3"/>
        </w:numPr>
        <w:tabs>
          <w:tab w:val="left" w:pos="1077"/>
        </w:tabs>
        <w:kinsoku/>
        <w:wordWrap/>
        <w:overflowPunct/>
        <w:topLinePunct w:val="0"/>
        <w:autoSpaceDE w:val="0"/>
        <w:autoSpaceDN w:val="0"/>
        <w:bidi w:val="0"/>
        <w:adjustRightInd/>
        <w:snapToGrid/>
        <w:spacing w:line="576" w:lineRule="exact"/>
        <w:ind w:left="113" w:right="278" w:firstLine="641"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开展低排放高性能汽车刹车盘关键制造技术攻关，突破高速激光熔覆工艺窗口优化、熔覆层-基体界面调控等核心技术，开发满足欧七排放标准的新型刹车盘产品。</w:t>
      </w:r>
    </w:p>
    <w:p w14:paraId="2F3E306C">
      <w:pPr>
        <w:pStyle w:val="5"/>
        <w:keepNext w:val="0"/>
        <w:keepLines w:val="0"/>
        <w:pageBreakBefore w:val="0"/>
        <w:widowControl w:val="0"/>
        <w:numPr>
          <w:ilvl w:val="0"/>
          <w:numId w:val="3"/>
        </w:numPr>
        <w:tabs>
          <w:tab w:val="left" w:pos="1077"/>
        </w:tabs>
        <w:kinsoku/>
        <w:wordWrap/>
        <w:overflowPunct/>
        <w:topLinePunct w:val="0"/>
        <w:autoSpaceDE w:val="0"/>
        <w:autoSpaceDN w:val="0"/>
        <w:bidi w:val="0"/>
        <w:adjustRightInd/>
        <w:snapToGrid/>
        <w:spacing w:line="576" w:lineRule="exact"/>
        <w:ind w:left="113" w:right="278" w:firstLine="641"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研制专用耐磨耐蚀合金熔覆材料，建立低热输入、高结合强度的高速激光熔覆工艺数据库，实现熔覆层质量可控、耐磨损性能提升。</w:t>
      </w:r>
    </w:p>
    <w:p w14:paraId="5ACAD959">
      <w:pPr>
        <w:pStyle w:val="5"/>
        <w:keepNext w:val="0"/>
        <w:keepLines w:val="0"/>
        <w:pageBreakBefore w:val="0"/>
        <w:widowControl w:val="0"/>
        <w:numPr>
          <w:ilvl w:val="0"/>
          <w:numId w:val="3"/>
        </w:numPr>
        <w:tabs>
          <w:tab w:val="left" w:pos="1077"/>
        </w:tabs>
        <w:kinsoku/>
        <w:wordWrap/>
        <w:overflowPunct/>
        <w:topLinePunct w:val="0"/>
        <w:autoSpaceDE w:val="0"/>
        <w:autoSpaceDN w:val="0"/>
        <w:bidi w:val="0"/>
        <w:adjustRightInd/>
        <w:snapToGrid/>
        <w:spacing w:line="576" w:lineRule="exact"/>
        <w:ind w:left="113" w:right="278" w:firstLine="641" w:firstLineChars="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建成高速激光熔覆刹车盘示范生产线，促进产品技术研发及推广落地，实现产品在汽车制动系统中的规模化应用。</w:t>
      </w:r>
    </w:p>
    <w:p w14:paraId="4B9689DB">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技术指标：</w:t>
      </w:r>
    </w:p>
    <w:p w14:paraId="15D49AB9">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1.开发2种适用于高速激光熔覆的专用耐磨耐蚀合金材料体系，硬质合金颗粒质量百分数占比≥15%；</w:t>
      </w:r>
    </w:p>
    <w:p w14:paraId="7AD08A0B">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2.突破高速激光熔覆工艺技术，熔覆层厚度≥300μm，熔覆层硬度≥500HV，与铸铁基体结合强度≥70MPa；</w:t>
      </w:r>
    </w:p>
    <w:p w14:paraId="06827BAC">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3.攻克熔覆层-基体界面强化与缺陷控制技术，完成熔覆层质量评价，刹车盘制动磨损率≤7mg/km；</w:t>
      </w:r>
    </w:p>
    <w:p w14:paraId="418034DF">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4.为建设年产10万片级熔覆刹车盘示范生产线提供成套技术和合格产品。</w:t>
      </w:r>
    </w:p>
    <w:p w14:paraId="58E5CFB0">
      <w:pPr>
        <w:keepNext w:val="0"/>
        <w:keepLines w:val="0"/>
        <w:pageBreakBefore w:val="0"/>
        <w:widowControl w:val="0"/>
        <w:kinsoku/>
        <w:wordWrap/>
        <w:overflowPunct/>
        <w:topLinePunct w:val="0"/>
        <w:bidi w:val="0"/>
        <w:adjustRightInd/>
        <w:snapToGrid/>
        <w:spacing w:line="576" w:lineRule="exact"/>
        <w:ind w:left="643"/>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四、对揭榜企业的技术及支持条件的需求</w:t>
      </w:r>
    </w:p>
    <w:p w14:paraId="5DF069EB">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1.负责承接发榜方的前期研发成果，共同完成从实验室技术到中试规模的工艺放大、参数优化与稳定性测试等工作；</w:t>
      </w:r>
    </w:p>
    <w:p w14:paraId="6F5EAB8A">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2.具备本项目顺利开展所需的场地、能源及环保条件，拥有本项目所需的激光熔覆、精密机加工、性能检测等关键设备，组建涵盖工艺、设备、质量、管理的专职化团队推进项目；</w:t>
      </w:r>
    </w:p>
    <w:p w14:paraId="3C7F872E">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8"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有能力建设中试放大试验及示范生产线，开展刹车盘产品的高速激光熔覆工艺参数优化和后处理技术，以及全流程质量控制研究，实现涂层冶金结合与高均匀性，完成气孔和裂纹缺陷、力学性能、耐腐蚀性能等评价，构建质量保障标准；</w:t>
      </w:r>
    </w:p>
    <w:p w14:paraId="6BBA8388">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4.企业研发团队需与发榜方建立“共同攻关”机制，定期沟通，及时向发榜方反馈技术问题，确保技术方案紧密贴合产业化和质量成本控制要求，推动技术的持续迭代与成熟。</w:t>
      </w:r>
    </w:p>
    <w:p w14:paraId="524DA325">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五、项目预算</w:t>
      </w:r>
    </w:p>
    <w:p w14:paraId="79F2EB1A">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预期揭榜总投入</w:t>
      </w:r>
      <w:r>
        <w:rPr>
          <w:rFonts w:hint="default" w:ascii="Times New Roman" w:hAnsi="Times New Roman" w:eastAsia="仿宋_GB2312" w:cs="Times New Roman"/>
          <w:sz w:val="32"/>
          <w:szCs w:val="32"/>
          <w:u w:val="none"/>
        </w:rPr>
        <w:t>1000</w:t>
      </w:r>
      <w:r>
        <w:rPr>
          <w:rFonts w:hint="default" w:ascii="Times New Roman" w:hAnsi="Times New Roman" w:eastAsia="仿宋_GB2312" w:cs="Times New Roman"/>
          <w:sz w:val="32"/>
          <w:szCs w:val="32"/>
          <w:u w:val="none"/>
        </w:rPr>
        <w:t>万元（企业），</w:t>
      </w:r>
    </w:p>
    <w:p w14:paraId="0389ED11">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b/>
          <w:bCs/>
          <w:sz w:val="32"/>
          <w:szCs w:val="32"/>
          <w:u w:val="none"/>
        </w:rPr>
      </w:pPr>
      <w:r>
        <w:rPr>
          <w:rFonts w:hint="default" w:ascii="Times New Roman" w:hAnsi="Times New Roman" w:eastAsia="仿宋_GB2312" w:cs="Times New Roman"/>
          <w:sz w:val="32"/>
          <w:szCs w:val="32"/>
          <w:u w:val="none"/>
        </w:rPr>
        <w:t>预期需要企业拨付给研发团队资金</w:t>
      </w:r>
      <w:r>
        <w:rPr>
          <w:rFonts w:hint="default" w:ascii="Times New Roman" w:hAnsi="Times New Roman" w:eastAsia="仿宋_GB2312" w:cs="Times New Roman"/>
          <w:sz w:val="32"/>
          <w:szCs w:val="32"/>
          <w:u w:val="none"/>
        </w:rPr>
        <w:t>300</w:t>
      </w:r>
      <w:r>
        <w:rPr>
          <w:rFonts w:hint="default" w:ascii="Times New Roman" w:hAnsi="Times New Roman" w:eastAsia="仿宋_GB2312" w:cs="Times New Roman"/>
          <w:sz w:val="32"/>
          <w:szCs w:val="32"/>
          <w:u w:val="none"/>
        </w:rPr>
        <w:t>万元。</w:t>
      </w:r>
    </w:p>
    <w:p w14:paraId="1BDB2860">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六、项目执行期</w:t>
      </w:r>
    </w:p>
    <w:p w14:paraId="220BF0E6">
      <w:pPr>
        <w:keepNext w:val="0"/>
        <w:keepLines w:val="0"/>
        <w:pageBreakBefore w:val="0"/>
        <w:widowControl w:val="0"/>
        <w:kinsoku/>
        <w:wordWrap/>
        <w:overflowPunct/>
        <w:topLinePunct w:val="0"/>
        <w:bidi w:val="0"/>
        <w:adjustRightInd/>
        <w:snapToGrid/>
        <w:spacing w:line="576"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项目执行期</w:t>
      </w:r>
      <w:r>
        <w:rPr>
          <w:rFonts w:hint="default" w:ascii="Times New Roman" w:hAnsi="Times New Roman" w:eastAsia="仿宋_GB2312" w:cs="Times New Roman"/>
          <w:sz w:val="32"/>
          <w:szCs w:val="32"/>
          <w:u w:val="none"/>
        </w:rPr>
        <w:t>3</w:t>
      </w:r>
      <w:r>
        <w:rPr>
          <w:rFonts w:hint="default" w:ascii="Times New Roman" w:hAnsi="Times New Roman" w:eastAsia="仿宋_GB2312" w:cs="Times New Roman"/>
          <w:sz w:val="32"/>
          <w:szCs w:val="32"/>
          <w:u w:val="none"/>
        </w:rPr>
        <w:t>年，即202</w:t>
      </w:r>
      <w:r>
        <w:rPr>
          <w:rFonts w:hint="default" w:ascii="Times New Roman" w:hAnsi="Times New Roman" w:eastAsia="仿宋_GB2312" w:cs="Times New Roman"/>
          <w:sz w:val="32"/>
          <w:szCs w:val="32"/>
          <w:u w:val="none"/>
        </w:rPr>
        <w:t>6</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w:t>
      </w:r>
      <w:r>
        <w:rPr>
          <w:rFonts w:hint="default" w:ascii="Times New Roman" w:hAnsi="Times New Roman" w:eastAsia="仿宋_GB2312" w:cs="Times New Roman"/>
          <w:sz w:val="32"/>
          <w:szCs w:val="32"/>
          <w:u w:val="none"/>
        </w:rPr>
        <w:t>月-202</w:t>
      </w:r>
      <w:r>
        <w:rPr>
          <w:rFonts w:hint="default" w:ascii="Times New Roman" w:hAnsi="Times New Roman" w:eastAsia="仿宋_GB2312" w:cs="Times New Roman"/>
          <w:sz w:val="32"/>
          <w:szCs w:val="32"/>
          <w:u w:val="none"/>
        </w:rPr>
        <w:t>8</w:t>
      </w:r>
      <w:r>
        <w:rPr>
          <w:rFonts w:hint="default" w:ascii="Times New Roman" w:hAnsi="Times New Roman" w:eastAsia="仿宋_GB2312" w:cs="Times New Roman"/>
          <w:sz w:val="32"/>
          <w:szCs w:val="32"/>
          <w:u w:val="none"/>
        </w:rPr>
        <w:t>年</w:t>
      </w:r>
      <w:r>
        <w:rPr>
          <w:rFonts w:hint="default" w:ascii="Times New Roman" w:hAnsi="Times New Roman" w:eastAsia="仿宋_GB2312" w:cs="Times New Roman"/>
          <w:sz w:val="32"/>
          <w:szCs w:val="32"/>
          <w:u w:val="none"/>
        </w:rPr>
        <w:t>12</w:t>
      </w:r>
      <w:r>
        <w:rPr>
          <w:rFonts w:hint="default" w:ascii="Times New Roman" w:hAnsi="Times New Roman" w:eastAsia="仿宋_GB2312" w:cs="Times New Roman"/>
          <w:sz w:val="32"/>
          <w:szCs w:val="32"/>
          <w:u w:val="none"/>
        </w:rPr>
        <w:t>月。</w:t>
      </w:r>
    </w:p>
    <w:p w14:paraId="5C92D47F">
      <w:pPr>
        <w:keepNext w:val="0"/>
        <w:keepLines w:val="0"/>
        <w:pageBreakBefore w:val="0"/>
        <w:widowControl w:val="0"/>
        <w:kinsoku/>
        <w:wordWrap/>
        <w:overflowPunct/>
        <w:topLinePunct w:val="0"/>
        <w:bidi w:val="0"/>
        <w:adjustRightInd/>
        <w:snapToGrid/>
        <w:spacing w:line="576" w:lineRule="exact"/>
        <w:ind w:firstLine="643" w:firstLineChars="200"/>
        <w:textAlignment w:val="auto"/>
        <w:rPr>
          <w:rFonts w:hint="default" w:ascii="Times New Roman" w:hAnsi="Times New Roman" w:eastAsia="楷体" w:cs="Times New Roman"/>
          <w:b/>
          <w:bCs/>
          <w:sz w:val="32"/>
          <w:szCs w:val="32"/>
          <w:u w:val="none"/>
        </w:rPr>
      </w:pPr>
      <w:r>
        <w:rPr>
          <w:rFonts w:hint="default" w:ascii="Times New Roman" w:hAnsi="Times New Roman" w:eastAsia="楷体" w:cs="Times New Roman"/>
          <w:b/>
          <w:bCs/>
          <w:sz w:val="32"/>
          <w:szCs w:val="32"/>
          <w:u w:val="none"/>
        </w:rPr>
        <w:t>七、对揭榜企业的要求</w:t>
      </w:r>
    </w:p>
    <w:p w14:paraId="40BBBDCB">
      <w:pPr>
        <w:keepNext w:val="0"/>
        <w:keepLines w:val="0"/>
        <w:pageBreakBefore w:val="0"/>
        <w:widowControl w:val="0"/>
        <w:tabs>
          <w:tab w:val="left" w:pos="1084"/>
        </w:tabs>
        <w:kinsoku/>
        <w:wordWrap/>
        <w:overflowPunct/>
        <w:topLinePunct w:val="0"/>
        <w:autoSpaceDE w:val="0"/>
        <w:autoSpaceDN w:val="0"/>
        <w:bidi w:val="0"/>
        <w:adjustRightInd/>
        <w:snapToGrid/>
        <w:spacing w:line="576" w:lineRule="exact"/>
        <w:ind w:right="119"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省内具有独立法人资格的企业，深耕于汽车零部件、新材料或先进制造领域，具有扎实的产业技术基础，拥有本项目产业化研发、成果转化和应用推广所需人才队伍和部分硬件条件，按发榜相要求提交揭榜申报书；</w:t>
      </w:r>
    </w:p>
    <w:p w14:paraId="187614EE">
      <w:pPr>
        <w:keepNext w:val="0"/>
        <w:keepLines w:val="0"/>
        <w:pageBreakBefore w:val="0"/>
        <w:widowControl w:val="0"/>
        <w:tabs>
          <w:tab w:val="left" w:pos="1084"/>
        </w:tabs>
        <w:kinsoku/>
        <w:wordWrap/>
        <w:overflowPunct/>
        <w:topLinePunct w:val="0"/>
        <w:autoSpaceDE w:val="0"/>
        <w:autoSpaceDN w:val="0"/>
        <w:bidi w:val="0"/>
        <w:adjustRightInd/>
        <w:snapToGrid/>
        <w:spacing w:line="576" w:lineRule="exact"/>
        <w:ind w:right="119"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2.项目负责人应为揭榜企业固定工作人员，能够组织有效和稳定的研发团队，有能力完成本项目提出的成果转化任务；</w:t>
      </w:r>
    </w:p>
    <w:p w14:paraId="009224E0">
      <w:pPr>
        <w:keepNext w:val="0"/>
        <w:keepLines w:val="0"/>
        <w:pageBreakBefore w:val="0"/>
        <w:widowControl w:val="0"/>
        <w:tabs>
          <w:tab w:val="left" w:pos="1084"/>
        </w:tabs>
        <w:kinsoku/>
        <w:wordWrap/>
        <w:overflowPunct/>
        <w:topLinePunct w:val="0"/>
        <w:autoSpaceDE w:val="0"/>
        <w:autoSpaceDN w:val="0"/>
        <w:bidi w:val="0"/>
        <w:adjustRightInd/>
        <w:snapToGrid/>
        <w:spacing w:line="576" w:lineRule="exact"/>
        <w:ind w:right="119"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3.项目揭榜金额不低于300万元。出于满足实际研究需求考虑，最终预算允许商谈调整；</w:t>
      </w:r>
    </w:p>
    <w:p w14:paraId="487C99F1">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2"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4.财务状况良好且管理规范，依法纳税，依法缴纳社保；</w:t>
      </w:r>
    </w:p>
    <w:p w14:paraId="3E54664A">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119"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5.具有完善的科研项目管理制度，能够按照项目要求落实开展相关任务；</w:t>
      </w:r>
    </w:p>
    <w:p w14:paraId="32D89010">
      <w:pPr>
        <w:keepNext w:val="0"/>
        <w:keepLines w:val="0"/>
        <w:pageBreakBefore w:val="0"/>
        <w:widowControl w:val="0"/>
        <w:tabs>
          <w:tab w:val="left" w:pos="1077"/>
        </w:tabs>
        <w:kinsoku/>
        <w:wordWrap/>
        <w:overflowPunct/>
        <w:topLinePunct w:val="0"/>
        <w:autoSpaceDE w:val="0"/>
        <w:autoSpaceDN w:val="0"/>
        <w:bidi w:val="0"/>
        <w:adjustRightInd/>
        <w:snapToGrid/>
        <w:spacing w:line="576" w:lineRule="exact"/>
        <w:ind w:right="272" w:firstLine="640" w:firstLineChars="200"/>
        <w:textAlignment w:val="auto"/>
        <w:rPr>
          <w:rFonts w:hint="default" w:ascii="Times New Roman" w:hAnsi="Times New Roman" w:eastAsia="黑体" w:cs="Times New Roman"/>
          <w:sz w:val="32"/>
          <w:szCs w:val="32"/>
          <w:u w:val="none"/>
        </w:rPr>
      </w:pPr>
      <w:r>
        <w:rPr>
          <w:rFonts w:hint="default" w:ascii="Times New Roman" w:hAnsi="Times New Roman" w:eastAsia="仿宋_GB2312" w:cs="Times New Roman"/>
          <w:sz w:val="32"/>
          <w:szCs w:val="32"/>
          <w:u w:val="none"/>
        </w:rPr>
        <w:t>6.具备良好的社会信用，近三年内无不良公共信用记录、无违反科研诚信或重大违法违规行为。</w:t>
      </w:r>
    </w:p>
    <w:p w14:paraId="2767CFB7">
      <w:pPr>
        <w:rPr>
          <w:u w:val="none"/>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273613-3BBA-499E-AD2B-FA11848477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98B5015-6F52-4807-961C-CE45400D6A30}"/>
  </w:font>
  <w:font w:name="方正公文小标宋">
    <w:panose1 w:val="02000500000000000000"/>
    <w:charset w:val="86"/>
    <w:family w:val="auto"/>
    <w:pitch w:val="default"/>
    <w:sig w:usb0="A00002BF" w:usb1="38CF7CFA" w:usb2="00000016" w:usb3="00000000" w:csb0="00040001" w:csb1="00000000"/>
    <w:embedRegular r:id="rId3" w:fontKey="{8A13C2C5-461B-4B67-90DD-BA60E1DE86A5}"/>
  </w:font>
  <w:font w:name="方正小标宋简体">
    <w:panose1 w:val="02000000000000000000"/>
    <w:charset w:val="86"/>
    <w:family w:val="script"/>
    <w:pitch w:val="default"/>
    <w:sig w:usb0="00000001" w:usb1="08000000" w:usb2="00000000" w:usb3="00000000" w:csb0="00040000" w:csb1="00000000"/>
    <w:embedRegular r:id="rId4" w:fontKey="{A620AF0F-3F2C-41B1-83E3-1A5881ABE632}"/>
  </w:font>
  <w:font w:name="楷体">
    <w:panose1 w:val="02010609060101010101"/>
    <w:charset w:val="86"/>
    <w:family w:val="modern"/>
    <w:pitch w:val="default"/>
    <w:sig w:usb0="800002BF" w:usb1="38CF7CFA" w:usb2="00000016" w:usb3="00000000" w:csb0="00040001" w:csb1="00000000"/>
    <w:embedRegular r:id="rId5" w:fontKey="{A437160A-1C67-40D5-9888-69633B27FB67}"/>
  </w:font>
  <w:font w:name="仿宋_GB2312">
    <w:panose1 w:val="02010609030101010101"/>
    <w:charset w:val="86"/>
    <w:family w:val="modern"/>
    <w:pitch w:val="default"/>
    <w:sig w:usb0="00000001" w:usb1="080E0000" w:usb2="00000000" w:usb3="00000000" w:csb0="00040000" w:csb1="00000000"/>
    <w:embedRegular r:id="rId6" w:fontKey="{48E0B52F-2391-4C9A-9B54-4C81E10AFAC9}"/>
  </w:font>
  <w:font w:name="仿宋">
    <w:panose1 w:val="02010609060101010101"/>
    <w:charset w:val="86"/>
    <w:family w:val="modern"/>
    <w:pitch w:val="default"/>
    <w:sig w:usb0="800002BF" w:usb1="38CF7CFA" w:usb2="00000016" w:usb3="00000000" w:csb0="00040001" w:csb1="00000000"/>
    <w:embedRegular r:id="rId7" w:fontKey="{19D2BC0A-6CEB-40B4-86B0-70417FD1A00F}"/>
  </w:font>
  <w:font w:name="楷体_GB2312">
    <w:panose1 w:val="02010609030101010101"/>
    <w:charset w:val="86"/>
    <w:family w:val="auto"/>
    <w:pitch w:val="default"/>
    <w:sig w:usb0="00000001" w:usb1="080E0000" w:usb2="00000000" w:usb3="00000000" w:csb0="00040000" w:csb1="00000000"/>
    <w:embedRegular r:id="rId8" w:fontKey="{88998106-A199-46B3-9896-49B70298A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A99B3">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B613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BCB613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53122"/>
    <w:multiLevelType w:val="singleLevel"/>
    <w:tmpl w:val="FB653122"/>
    <w:lvl w:ilvl="0" w:tentative="0">
      <w:start w:val="1"/>
      <w:numFmt w:val="decimal"/>
      <w:suff w:val="nothing"/>
      <w:lvlText w:val="（%1）"/>
      <w:lvlJc w:val="left"/>
    </w:lvl>
  </w:abstractNum>
  <w:abstractNum w:abstractNumId="1">
    <w:nsid w:val="273B3CA4"/>
    <w:multiLevelType w:val="multilevel"/>
    <w:tmpl w:val="273B3CA4"/>
    <w:lvl w:ilvl="0" w:tentative="0">
      <w:start w:val="1"/>
      <w:numFmt w:val="decimal"/>
      <w:lvlText w:val="%1."/>
      <w:lvlJc w:val="left"/>
      <w:pPr>
        <w:ind w:left="1172" w:hanging="322"/>
      </w:pPr>
      <w:rPr>
        <w:rFonts w:hint="default" w:ascii="Times New Roman" w:hAnsi="Times New Roman" w:eastAsia="仿宋" w:cs="Times New Roman"/>
        <w:b w:val="0"/>
        <w:bCs w:val="0"/>
        <w:i w:val="0"/>
        <w:iCs w:val="0"/>
        <w:spacing w:val="1"/>
        <w:w w:val="99"/>
        <w:sz w:val="32"/>
        <w:szCs w:val="32"/>
        <w:lang w:val="en-US" w:eastAsia="zh-CN" w:bidi="ar-SA"/>
      </w:rPr>
    </w:lvl>
    <w:lvl w:ilvl="1" w:tentative="0">
      <w:start w:val="0"/>
      <w:numFmt w:val="bullet"/>
      <w:lvlText w:val="•"/>
      <w:lvlJc w:val="left"/>
      <w:pPr>
        <w:ind w:left="1042" w:hanging="322"/>
      </w:pPr>
      <w:rPr>
        <w:rFonts w:hint="default"/>
        <w:lang w:val="en-US" w:eastAsia="zh-CN" w:bidi="ar-SA"/>
      </w:rPr>
    </w:lvl>
    <w:lvl w:ilvl="2" w:tentative="0">
      <w:start w:val="0"/>
      <w:numFmt w:val="bullet"/>
      <w:lvlText w:val="•"/>
      <w:lvlJc w:val="left"/>
      <w:pPr>
        <w:ind w:left="1965" w:hanging="322"/>
      </w:pPr>
      <w:rPr>
        <w:rFonts w:hint="default"/>
        <w:lang w:val="en-US" w:eastAsia="zh-CN" w:bidi="ar-SA"/>
      </w:rPr>
    </w:lvl>
    <w:lvl w:ilvl="3" w:tentative="0">
      <w:start w:val="0"/>
      <w:numFmt w:val="bullet"/>
      <w:lvlText w:val="•"/>
      <w:lvlJc w:val="left"/>
      <w:pPr>
        <w:ind w:left="2887" w:hanging="322"/>
      </w:pPr>
      <w:rPr>
        <w:rFonts w:hint="default"/>
        <w:lang w:val="en-US" w:eastAsia="zh-CN" w:bidi="ar-SA"/>
      </w:rPr>
    </w:lvl>
    <w:lvl w:ilvl="4" w:tentative="0">
      <w:start w:val="0"/>
      <w:numFmt w:val="bullet"/>
      <w:lvlText w:val="•"/>
      <w:lvlJc w:val="left"/>
      <w:pPr>
        <w:ind w:left="3810" w:hanging="322"/>
      </w:pPr>
      <w:rPr>
        <w:rFonts w:hint="default"/>
        <w:lang w:val="en-US" w:eastAsia="zh-CN" w:bidi="ar-SA"/>
      </w:rPr>
    </w:lvl>
    <w:lvl w:ilvl="5" w:tentative="0">
      <w:start w:val="0"/>
      <w:numFmt w:val="bullet"/>
      <w:lvlText w:val="•"/>
      <w:lvlJc w:val="left"/>
      <w:pPr>
        <w:ind w:left="4733" w:hanging="322"/>
      </w:pPr>
      <w:rPr>
        <w:rFonts w:hint="default"/>
        <w:lang w:val="en-US" w:eastAsia="zh-CN" w:bidi="ar-SA"/>
      </w:rPr>
    </w:lvl>
    <w:lvl w:ilvl="6" w:tentative="0">
      <w:start w:val="0"/>
      <w:numFmt w:val="bullet"/>
      <w:lvlText w:val="•"/>
      <w:lvlJc w:val="left"/>
      <w:pPr>
        <w:ind w:left="5655" w:hanging="322"/>
      </w:pPr>
      <w:rPr>
        <w:rFonts w:hint="default"/>
        <w:lang w:val="en-US" w:eastAsia="zh-CN" w:bidi="ar-SA"/>
      </w:rPr>
    </w:lvl>
    <w:lvl w:ilvl="7" w:tentative="0">
      <w:start w:val="0"/>
      <w:numFmt w:val="bullet"/>
      <w:lvlText w:val="•"/>
      <w:lvlJc w:val="left"/>
      <w:pPr>
        <w:ind w:left="6578" w:hanging="322"/>
      </w:pPr>
      <w:rPr>
        <w:rFonts w:hint="default"/>
        <w:lang w:val="en-US" w:eastAsia="zh-CN" w:bidi="ar-SA"/>
      </w:rPr>
    </w:lvl>
    <w:lvl w:ilvl="8" w:tentative="0">
      <w:start w:val="0"/>
      <w:numFmt w:val="bullet"/>
      <w:lvlText w:val="•"/>
      <w:lvlJc w:val="left"/>
      <w:pPr>
        <w:ind w:left="7501" w:hanging="322"/>
      </w:pPr>
      <w:rPr>
        <w:rFonts w:hint="default"/>
        <w:lang w:val="en-US" w:eastAsia="zh-CN" w:bidi="ar-SA"/>
      </w:rPr>
    </w:lvl>
  </w:abstractNum>
  <w:abstractNum w:abstractNumId="2">
    <w:nsid w:val="53930432"/>
    <w:multiLevelType w:val="multilevel"/>
    <w:tmpl w:val="53930432"/>
    <w:lvl w:ilvl="0" w:tentative="0">
      <w:start w:val="1"/>
      <w:numFmt w:val="decimal"/>
      <w:lvlText w:val="%1."/>
      <w:lvlJc w:val="left"/>
      <w:pPr>
        <w:ind w:left="1003" w:hanging="36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000000"/>
    <w:rsid w:val="050A5551"/>
    <w:rsid w:val="1D4454F4"/>
    <w:rsid w:val="71B80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5">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18129</Words>
  <Characters>19153</Characters>
  <Lines>0</Lines>
  <Paragraphs>0</Paragraphs>
  <TotalTime>5</TotalTime>
  <ScaleCrop>false</ScaleCrop>
  <LinksUpToDate>false</LinksUpToDate>
  <CharactersWithSpaces>19236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2025-12-30T02:38:00Z</dcterms:created>
  <dc:creator>admin</dc:creator>
  <cp:lastModifiedBy>刘小溪</cp:lastModifiedBy>
  <dcterms:modified xsi:type="dcterms:W3CDTF">2025-12-30T08:22:49Z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868D72E60F234CF08A57EFCBE476C9D4_13</vt:lpwstr>
  </property>
  <property fmtid="{D5CDD505-2E9C-101B-9397-08002B2CF9AE}" pid="4" name="KSOTemplateDocerSaveRecord">
    <vt:lpwstr>eyJoZGlkIjoiZGE2Mjg2YTZkZTMyMTYwY2M1OTQ5YzJlN2MyYmRjOGEiLCJ1c2VySWQiOiIxMTk5NjM4NTk5In0=</vt:lpwstr>
  </property>
</Properties>
</file>