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25D0" w14:textId="77777777" w:rsidR="00E507C8" w:rsidRPr="00E507C8" w:rsidRDefault="00E507C8" w:rsidP="00E507C8">
      <w:pPr>
        <w:autoSpaceDE w:val="0"/>
        <w:autoSpaceDN w:val="0"/>
        <w:adjustRightInd w:val="0"/>
        <w:jc w:val="center"/>
        <w:rPr>
          <w:rFonts w:ascii="新宋体" w:eastAsia="新宋体" w:hAnsi="新宋体" w:cs="MicrosoftYaHei"/>
          <w:color w:val="000000"/>
          <w:kern w:val="0"/>
          <w:sz w:val="44"/>
          <w:szCs w:val="44"/>
        </w:rPr>
      </w:pPr>
      <w:r w:rsidRPr="00E507C8">
        <w:rPr>
          <w:rFonts w:ascii="新宋体" w:eastAsia="新宋体" w:hAnsi="新宋体" w:cs="MicrosoftYaHei" w:hint="eastAsia"/>
          <w:color w:val="000000"/>
          <w:kern w:val="0"/>
          <w:sz w:val="44"/>
          <w:szCs w:val="44"/>
        </w:rPr>
        <w:t>关于印发《吉林市参加工伤保险单位老工伤人员纳入统筹管理费用趸缴办法》的通知</w:t>
      </w:r>
    </w:p>
    <w:p w14:paraId="36178DEE" w14:textId="77777777" w:rsidR="00E507C8" w:rsidRPr="00E507C8" w:rsidRDefault="00E507C8" w:rsidP="00E507C8">
      <w:pPr>
        <w:autoSpaceDE w:val="0"/>
        <w:autoSpaceDN w:val="0"/>
        <w:adjustRightInd w:val="0"/>
        <w:jc w:val="center"/>
        <w:rPr>
          <w:rFonts w:ascii="楷体" w:eastAsia="楷体" w:hAnsi="楷体" w:cs="MicrosoftYaHei"/>
          <w:color w:val="000000"/>
          <w:kern w:val="0"/>
          <w:sz w:val="28"/>
          <w:szCs w:val="28"/>
        </w:rPr>
      </w:pPr>
      <w:proofErr w:type="gramStart"/>
      <w:r w:rsidRPr="00E507C8">
        <w:rPr>
          <w:rFonts w:ascii="楷体" w:eastAsia="楷体" w:hAnsi="楷体" w:cs="MicrosoftYaHei" w:hint="eastAsia"/>
          <w:color w:val="000000"/>
          <w:kern w:val="0"/>
          <w:sz w:val="28"/>
          <w:szCs w:val="28"/>
        </w:rPr>
        <w:t>吉市人</w:t>
      </w:r>
      <w:proofErr w:type="gramEnd"/>
      <w:r w:rsidRPr="00E507C8">
        <w:rPr>
          <w:rFonts w:ascii="楷体" w:eastAsia="楷体" w:hAnsi="楷体" w:cs="MicrosoftYaHei" w:hint="eastAsia"/>
          <w:color w:val="000000"/>
          <w:kern w:val="0"/>
          <w:sz w:val="28"/>
          <w:szCs w:val="28"/>
        </w:rPr>
        <w:t>社联发〔</w:t>
      </w:r>
      <w:r w:rsidRPr="00E507C8">
        <w:rPr>
          <w:rFonts w:ascii="楷体" w:eastAsia="楷体" w:hAnsi="楷体" w:cs="MicrosoftYaHei"/>
          <w:color w:val="000000"/>
          <w:kern w:val="0"/>
          <w:sz w:val="28"/>
          <w:szCs w:val="28"/>
        </w:rPr>
        <w:t>2013</w:t>
      </w:r>
      <w:r w:rsidRPr="00E507C8">
        <w:rPr>
          <w:rFonts w:ascii="楷体" w:eastAsia="楷体" w:hAnsi="楷体" w:cs="MicrosoftYaHei" w:hint="eastAsia"/>
          <w:color w:val="000000"/>
          <w:kern w:val="0"/>
          <w:sz w:val="28"/>
          <w:szCs w:val="28"/>
        </w:rPr>
        <w:t>〕</w:t>
      </w:r>
      <w:r w:rsidRPr="00E507C8">
        <w:rPr>
          <w:rFonts w:ascii="楷体" w:eastAsia="楷体" w:hAnsi="楷体" w:cs="MicrosoftYaHei"/>
          <w:color w:val="000000"/>
          <w:kern w:val="0"/>
          <w:sz w:val="28"/>
          <w:szCs w:val="28"/>
        </w:rPr>
        <w:t>24</w:t>
      </w:r>
      <w:r w:rsidRPr="00E507C8">
        <w:rPr>
          <w:rFonts w:ascii="楷体" w:eastAsia="楷体" w:hAnsi="楷体" w:cs="MicrosoftYaHei" w:hint="eastAsia"/>
          <w:color w:val="000000"/>
          <w:kern w:val="0"/>
          <w:sz w:val="28"/>
          <w:szCs w:val="28"/>
        </w:rPr>
        <w:t>号</w:t>
      </w:r>
    </w:p>
    <w:p w14:paraId="40ACB67B" w14:textId="77777777" w:rsidR="00E507C8" w:rsidRPr="00E507C8" w:rsidRDefault="00E507C8" w:rsidP="00E507C8">
      <w:pPr>
        <w:autoSpaceDE w:val="0"/>
        <w:autoSpaceDN w:val="0"/>
        <w:adjustRightInd w:val="0"/>
        <w:spacing w:line="640" w:lineRule="exact"/>
        <w:rPr>
          <w:rFonts w:ascii="仿宋_GB2312" w:eastAsia="仿宋_GB2312" w:cs="仿宋_GB2312"/>
          <w:color w:val="000000"/>
          <w:kern w:val="0"/>
          <w:sz w:val="32"/>
          <w:szCs w:val="32"/>
        </w:rPr>
      </w:pPr>
      <w:r w:rsidRPr="00E507C8">
        <w:rPr>
          <w:rFonts w:ascii="仿宋_GB2312" w:eastAsia="仿宋_GB2312" w:cs="仿宋_GB2312" w:hint="eastAsia"/>
          <w:color w:val="000000"/>
          <w:kern w:val="0"/>
          <w:sz w:val="32"/>
          <w:szCs w:val="32"/>
        </w:rPr>
        <w:t>各县（市）人力资源和社会保障局、财政局、国资委、监察局：</w:t>
      </w:r>
    </w:p>
    <w:p w14:paraId="03C793A8" w14:textId="51AF55FC"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color w:val="000000"/>
          <w:kern w:val="0"/>
          <w:sz w:val="32"/>
          <w:szCs w:val="32"/>
        </w:rPr>
      </w:pPr>
      <w:r w:rsidRPr="00E507C8">
        <w:rPr>
          <w:rFonts w:ascii="仿宋_GB2312" w:eastAsia="仿宋_GB2312" w:cs="仿宋_GB2312" w:hint="eastAsia"/>
          <w:color w:val="000000"/>
          <w:kern w:val="0"/>
          <w:sz w:val="32"/>
          <w:szCs w:val="32"/>
        </w:rPr>
        <w:t>为进一步落实《吉林市人民政府办公厅关于印发吉林市老工伤人员纳入工伤保险统筹管理工作方案的通知》（吉市政办发</w:t>
      </w:r>
      <w:r w:rsidRPr="00E507C8">
        <w:rPr>
          <w:rFonts w:ascii="TimesNewRomanPSMT" w:eastAsia="TimesNewRomanPSMT" w:cs="TimesNewRomanPSMT"/>
          <w:color w:val="000000"/>
          <w:kern w:val="0"/>
          <w:sz w:val="32"/>
          <w:szCs w:val="32"/>
        </w:rPr>
        <w:t>[2012]11</w:t>
      </w:r>
      <w:r w:rsidRPr="00E507C8">
        <w:rPr>
          <w:rFonts w:ascii="仿宋_GB2312" w:eastAsia="仿宋_GB2312" w:cs="仿宋_GB2312" w:hint="eastAsia"/>
          <w:color w:val="000000"/>
          <w:kern w:val="0"/>
          <w:sz w:val="32"/>
          <w:szCs w:val="32"/>
        </w:rPr>
        <w:t>号）精神，提升工伤保险基金抗风险能力，经市政府同意，现将《吉林市参加工伤保险单位老工伤人员纳入统筹管理费用趸缴办法》印发给你们，请遵照执行。</w:t>
      </w:r>
    </w:p>
    <w:p w14:paraId="088CEBA6" w14:textId="77777777" w:rsidR="00E507C8" w:rsidRDefault="00E507C8" w:rsidP="00E507C8">
      <w:pPr>
        <w:autoSpaceDE w:val="0"/>
        <w:autoSpaceDN w:val="0"/>
        <w:adjustRightInd w:val="0"/>
        <w:spacing w:line="640" w:lineRule="exact"/>
        <w:ind w:firstLineChars="200" w:firstLine="640"/>
        <w:rPr>
          <w:rFonts w:ascii="仿宋_GB2312" w:eastAsia="仿宋_GB2312" w:cs="仿宋_GB2312"/>
          <w:color w:val="323232"/>
          <w:kern w:val="0"/>
          <w:sz w:val="32"/>
          <w:szCs w:val="32"/>
        </w:rPr>
      </w:pPr>
    </w:p>
    <w:p w14:paraId="1F42A5CA" w14:textId="77777777" w:rsidR="00E507C8" w:rsidRDefault="00E507C8" w:rsidP="00E507C8">
      <w:pPr>
        <w:autoSpaceDE w:val="0"/>
        <w:autoSpaceDN w:val="0"/>
        <w:adjustRightInd w:val="0"/>
        <w:spacing w:line="640" w:lineRule="exact"/>
        <w:ind w:firstLineChars="200" w:firstLine="640"/>
        <w:rPr>
          <w:rFonts w:ascii="仿宋_GB2312" w:eastAsia="仿宋_GB2312" w:cs="仿宋_GB2312"/>
          <w:color w:val="323232"/>
          <w:kern w:val="0"/>
          <w:sz w:val="32"/>
          <w:szCs w:val="32"/>
        </w:rPr>
      </w:pPr>
    </w:p>
    <w:p w14:paraId="0F624FCB" w14:textId="77777777" w:rsidR="00E507C8" w:rsidRDefault="00E507C8" w:rsidP="00E507C8">
      <w:pPr>
        <w:autoSpaceDE w:val="0"/>
        <w:autoSpaceDN w:val="0"/>
        <w:adjustRightInd w:val="0"/>
        <w:spacing w:line="640" w:lineRule="exact"/>
        <w:ind w:firstLineChars="200" w:firstLine="640"/>
        <w:rPr>
          <w:rFonts w:ascii="仿宋_GB2312" w:eastAsia="仿宋_GB2312" w:cs="仿宋_GB2312"/>
          <w:color w:val="323232"/>
          <w:kern w:val="0"/>
          <w:sz w:val="32"/>
          <w:szCs w:val="32"/>
        </w:rPr>
      </w:pPr>
    </w:p>
    <w:p w14:paraId="7D439F31" w14:textId="77777777" w:rsidR="00E507C8" w:rsidRDefault="00E507C8" w:rsidP="00E507C8">
      <w:pPr>
        <w:autoSpaceDE w:val="0"/>
        <w:autoSpaceDN w:val="0"/>
        <w:adjustRightInd w:val="0"/>
        <w:spacing w:line="640" w:lineRule="exact"/>
        <w:ind w:firstLineChars="200" w:firstLine="640"/>
        <w:rPr>
          <w:rFonts w:ascii="仿宋_GB2312" w:eastAsia="仿宋_GB2312" w:cs="仿宋_GB2312" w:hint="eastAsia"/>
          <w:color w:val="323232"/>
          <w:kern w:val="0"/>
          <w:sz w:val="32"/>
          <w:szCs w:val="32"/>
        </w:rPr>
      </w:pPr>
    </w:p>
    <w:p w14:paraId="378FEE22" w14:textId="77777777" w:rsidR="00E507C8" w:rsidRDefault="00E507C8" w:rsidP="00E507C8">
      <w:pPr>
        <w:autoSpaceDE w:val="0"/>
        <w:autoSpaceDN w:val="0"/>
        <w:adjustRightInd w:val="0"/>
        <w:spacing w:line="640" w:lineRule="exact"/>
        <w:ind w:firstLineChars="200" w:firstLine="640"/>
        <w:rPr>
          <w:rFonts w:ascii="仿宋_GB2312" w:eastAsia="仿宋_GB2312" w:cs="仿宋_GB2312"/>
          <w:color w:val="323232"/>
          <w:kern w:val="0"/>
          <w:sz w:val="32"/>
          <w:szCs w:val="32"/>
        </w:rPr>
      </w:pPr>
    </w:p>
    <w:p w14:paraId="1A7846FC" w14:textId="5ADEFCAA" w:rsidR="00E507C8" w:rsidRPr="00E507C8" w:rsidRDefault="00E507C8" w:rsidP="00E507C8">
      <w:pPr>
        <w:autoSpaceDE w:val="0"/>
        <w:autoSpaceDN w:val="0"/>
        <w:adjustRightInd w:val="0"/>
        <w:spacing w:line="640" w:lineRule="exact"/>
        <w:ind w:firstLineChars="400" w:firstLine="1280"/>
        <w:rPr>
          <w:rFonts w:ascii="仿宋_GB2312" w:eastAsia="仿宋_GB2312" w:cs="仿宋_GB2312"/>
          <w:color w:val="323232"/>
          <w:kern w:val="0"/>
          <w:sz w:val="32"/>
          <w:szCs w:val="32"/>
        </w:rPr>
      </w:pPr>
      <w:r w:rsidRPr="00E507C8">
        <w:rPr>
          <w:rFonts w:ascii="仿宋_GB2312" w:eastAsia="仿宋_GB2312" w:cs="仿宋_GB2312" w:hint="eastAsia"/>
          <w:color w:val="323232"/>
          <w:kern w:val="0"/>
          <w:sz w:val="32"/>
          <w:szCs w:val="32"/>
        </w:rPr>
        <w:t>吉林市</w:t>
      </w:r>
      <w:proofErr w:type="gramStart"/>
      <w:r w:rsidRPr="00E507C8">
        <w:rPr>
          <w:rFonts w:ascii="仿宋_GB2312" w:eastAsia="仿宋_GB2312" w:cs="仿宋_GB2312" w:hint="eastAsia"/>
          <w:color w:val="323232"/>
          <w:kern w:val="0"/>
          <w:sz w:val="32"/>
          <w:szCs w:val="32"/>
        </w:rPr>
        <w:t xml:space="preserve">人社局　　　　　　　</w:t>
      </w:r>
      <w:proofErr w:type="gramEnd"/>
      <w:r w:rsidRPr="00E507C8">
        <w:rPr>
          <w:rFonts w:ascii="仿宋_GB2312" w:eastAsia="仿宋_GB2312" w:cs="仿宋_GB2312" w:hint="eastAsia"/>
          <w:color w:val="323232"/>
          <w:kern w:val="0"/>
          <w:sz w:val="32"/>
          <w:szCs w:val="32"/>
        </w:rPr>
        <w:t>吉林市财政局</w:t>
      </w:r>
    </w:p>
    <w:p w14:paraId="1347F8CF" w14:textId="77777777" w:rsidR="00E507C8" w:rsidRPr="00E507C8" w:rsidRDefault="00E507C8" w:rsidP="00E507C8">
      <w:pPr>
        <w:autoSpaceDE w:val="0"/>
        <w:autoSpaceDN w:val="0"/>
        <w:adjustRightInd w:val="0"/>
        <w:spacing w:line="640" w:lineRule="exact"/>
        <w:ind w:firstLineChars="400" w:firstLine="1280"/>
        <w:rPr>
          <w:rFonts w:ascii="仿宋_GB2312" w:eastAsia="仿宋_GB2312" w:cs="仿宋_GB2312"/>
          <w:color w:val="323232"/>
          <w:kern w:val="0"/>
          <w:sz w:val="32"/>
          <w:szCs w:val="32"/>
        </w:rPr>
      </w:pPr>
      <w:r w:rsidRPr="00E507C8">
        <w:rPr>
          <w:rFonts w:ascii="仿宋_GB2312" w:eastAsia="仿宋_GB2312" w:cs="仿宋_GB2312" w:hint="eastAsia"/>
          <w:color w:val="323232"/>
          <w:kern w:val="0"/>
          <w:sz w:val="32"/>
          <w:szCs w:val="32"/>
        </w:rPr>
        <w:t>吉林市国资委</w:t>
      </w:r>
      <w:proofErr w:type="gramStart"/>
      <w:r w:rsidRPr="00E507C8">
        <w:rPr>
          <w:rFonts w:ascii="仿宋_GB2312" w:eastAsia="仿宋_GB2312" w:cs="仿宋_GB2312" w:hint="eastAsia"/>
          <w:color w:val="323232"/>
          <w:kern w:val="0"/>
          <w:sz w:val="32"/>
          <w:szCs w:val="32"/>
        </w:rPr>
        <w:t xml:space="preserve">　　　　　　　</w:t>
      </w:r>
      <w:proofErr w:type="gramEnd"/>
      <w:r w:rsidRPr="00E507C8">
        <w:rPr>
          <w:rFonts w:ascii="仿宋_GB2312" w:eastAsia="仿宋_GB2312" w:cs="仿宋_GB2312" w:hint="eastAsia"/>
          <w:color w:val="323232"/>
          <w:kern w:val="0"/>
          <w:sz w:val="32"/>
          <w:szCs w:val="32"/>
        </w:rPr>
        <w:t>吉林市监察局</w:t>
      </w:r>
    </w:p>
    <w:p w14:paraId="4B20C6B6" w14:textId="77777777" w:rsidR="00E507C8" w:rsidRPr="00E507C8" w:rsidRDefault="00E507C8" w:rsidP="00E507C8">
      <w:pPr>
        <w:autoSpaceDE w:val="0"/>
        <w:autoSpaceDN w:val="0"/>
        <w:adjustRightInd w:val="0"/>
        <w:spacing w:line="640" w:lineRule="exact"/>
        <w:ind w:firstLineChars="1200" w:firstLine="3840"/>
        <w:rPr>
          <w:rFonts w:ascii="仿宋_GB2312" w:eastAsia="仿宋_GB2312" w:cs="仿宋_GB2312"/>
          <w:color w:val="323232"/>
          <w:kern w:val="0"/>
          <w:sz w:val="32"/>
          <w:szCs w:val="32"/>
        </w:rPr>
      </w:pPr>
      <w:r w:rsidRPr="00E507C8">
        <w:rPr>
          <w:rFonts w:ascii="仿宋_GB2312" w:eastAsia="仿宋_GB2312" w:cs="仿宋_GB2312" w:hint="eastAsia"/>
          <w:color w:val="323232"/>
          <w:kern w:val="0"/>
          <w:sz w:val="32"/>
          <w:szCs w:val="32"/>
        </w:rPr>
        <w:t xml:space="preserve">　</w:t>
      </w:r>
      <w:r w:rsidRPr="00E507C8">
        <w:rPr>
          <w:rFonts w:ascii="TimesNewRomanPSMT" w:eastAsia="TimesNewRomanPSMT" w:cs="TimesNewRomanPSMT"/>
          <w:color w:val="323232"/>
          <w:kern w:val="0"/>
          <w:sz w:val="32"/>
          <w:szCs w:val="32"/>
        </w:rPr>
        <w:t>2013</w:t>
      </w:r>
      <w:r w:rsidRPr="00E507C8">
        <w:rPr>
          <w:rFonts w:ascii="仿宋_GB2312" w:eastAsia="仿宋_GB2312" w:cs="仿宋_GB2312" w:hint="eastAsia"/>
          <w:color w:val="323232"/>
          <w:kern w:val="0"/>
          <w:sz w:val="32"/>
          <w:szCs w:val="32"/>
        </w:rPr>
        <w:t>年</w:t>
      </w:r>
      <w:r w:rsidRPr="00E507C8">
        <w:rPr>
          <w:rFonts w:ascii="TimesNewRomanPSMT" w:eastAsia="TimesNewRomanPSMT" w:cs="TimesNewRomanPSMT"/>
          <w:color w:val="323232"/>
          <w:kern w:val="0"/>
          <w:sz w:val="32"/>
          <w:szCs w:val="32"/>
        </w:rPr>
        <w:t>5</w:t>
      </w:r>
      <w:r w:rsidRPr="00E507C8">
        <w:rPr>
          <w:rFonts w:ascii="仿宋_GB2312" w:eastAsia="仿宋_GB2312" w:cs="仿宋_GB2312" w:hint="eastAsia"/>
          <w:color w:val="323232"/>
          <w:kern w:val="0"/>
          <w:sz w:val="32"/>
          <w:szCs w:val="32"/>
        </w:rPr>
        <w:t>月</w:t>
      </w:r>
      <w:r w:rsidRPr="00E507C8">
        <w:rPr>
          <w:rFonts w:ascii="TimesNewRomanPSMT" w:eastAsia="TimesNewRomanPSMT" w:cs="TimesNewRomanPSMT"/>
          <w:color w:val="323232"/>
          <w:kern w:val="0"/>
          <w:sz w:val="32"/>
          <w:szCs w:val="32"/>
        </w:rPr>
        <w:t>15</w:t>
      </w:r>
      <w:r w:rsidRPr="00E507C8">
        <w:rPr>
          <w:rFonts w:ascii="仿宋_GB2312" w:eastAsia="仿宋_GB2312" w:cs="仿宋_GB2312" w:hint="eastAsia"/>
          <w:color w:val="323232"/>
          <w:kern w:val="0"/>
          <w:sz w:val="32"/>
          <w:szCs w:val="32"/>
        </w:rPr>
        <w:t>日</w:t>
      </w:r>
    </w:p>
    <w:p w14:paraId="71D0B1A0" w14:textId="77777777" w:rsidR="00E507C8" w:rsidRDefault="00E507C8" w:rsidP="00E507C8">
      <w:pPr>
        <w:autoSpaceDE w:val="0"/>
        <w:autoSpaceDN w:val="0"/>
        <w:adjustRightInd w:val="0"/>
        <w:jc w:val="center"/>
        <w:rPr>
          <w:rFonts w:ascii="新宋体" w:eastAsia="新宋体" w:hAnsi="新宋体" w:cs="MicrosoftYaHei"/>
          <w:color w:val="000000"/>
          <w:kern w:val="0"/>
          <w:sz w:val="44"/>
          <w:szCs w:val="44"/>
        </w:rPr>
      </w:pPr>
    </w:p>
    <w:p w14:paraId="6FBC9AD5" w14:textId="77777777" w:rsidR="00E507C8" w:rsidRDefault="00E507C8" w:rsidP="00E507C8">
      <w:pPr>
        <w:autoSpaceDE w:val="0"/>
        <w:autoSpaceDN w:val="0"/>
        <w:adjustRightInd w:val="0"/>
        <w:jc w:val="center"/>
        <w:rPr>
          <w:rFonts w:ascii="新宋体" w:eastAsia="新宋体" w:hAnsi="新宋体" w:cs="MicrosoftYaHei"/>
          <w:color w:val="000000"/>
          <w:kern w:val="0"/>
          <w:sz w:val="44"/>
          <w:szCs w:val="44"/>
        </w:rPr>
      </w:pPr>
    </w:p>
    <w:p w14:paraId="045CAC09" w14:textId="77777777" w:rsidR="00E507C8" w:rsidRDefault="00E507C8" w:rsidP="00E507C8">
      <w:pPr>
        <w:autoSpaceDE w:val="0"/>
        <w:autoSpaceDN w:val="0"/>
        <w:adjustRightInd w:val="0"/>
        <w:jc w:val="center"/>
        <w:rPr>
          <w:rFonts w:ascii="新宋体" w:eastAsia="新宋体" w:hAnsi="新宋体" w:cs="MicrosoftYaHei"/>
          <w:color w:val="000000"/>
          <w:kern w:val="0"/>
          <w:sz w:val="44"/>
          <w:szCs w:val="44"/>
        </w:rPr>
      </w:pPr>
    </w:p>
    <w:p w14:paraId="54261A3F" w14:textId="318CDF3B" w:rsidR="00E507C8" w:rsidRPr="00E507C8" w:rsidRDefault="00E507C8" w:rsidP="00E507C8">
      <w:pPr>
        <w:autoSpaceDE w:val="0"/>
        <w:autoSpaceDN w:val="0"/>
        <w:adjustRightInd w:val="0"/>
        <w:jc w:val="center"/>
        <w:rPr>
          <w:rFonts w:ascii="新宋体" w:eastAsia="新宋体" w:hAnsi="新宋体" w:cs="MicrosoftYaHei"/>
          <w:color w:val="000000"/>
          <w:kern w:val="0"/>
          <w:sz w:val="44"/>
          <w:szCs w:val="44"/>
        </w:rPr>
      </w:pPr>
      <w:r w:rsidRPr="00E507C8">
        <w:rPr>
          <w:rFonts w:ascii="新宋体" w:eastAsia="新宋体" w:hAnsi="新宋体" w:cs="MicrosoftYaHei" w:hint="eastAsia"/>
          <w:color w:val="000000"/>
          <w:kern w:val="0"/>
          <w:sz w:val="44"/>
          <w:szCs w:val="44"/>
        </w:rPr>
        <w:lastRenderedPageBreak/>
        <w:t>吉林市参加工伤保险单位老工伤人员纳入统筹管理费用趸缴办法</w:t>
      </w:r>
    </w:p>
    <w:p w14:paraId="58DB6111" w14:textId="77777777" w:rsidR="00E507C8" w:rsidRDefault="00E507C8" w:rsidP="00E507C8">
      <w:pPr>
        <w:autoSpaceDE w:val="0"/>
        <w:autoSpaceDN w:val="0"/>
        <w:adjustRightInd w:val="0"/>
        <w:spacing w:line="640" w:lineRule="exact"/>
        <w:ind w:firstLineChars="200" w:firstLine="640"/>
        <w:rPr>
          <w:rFonts w:ascii="黑体" w:eastAsia="黑体" w:cs="黑体"/>
          <w:color w:val="000000"/>
          <w:kern w:val="0"/>
          <w:sz w:val="32"/>
          <w:szCs w:val="32"/>
        </w:rPr>
      </w:pPr>
    </w:p>
    <w:p w14:paraId="5CA462DC" w14:textId="2FC94EA8"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color w:val="000000"/>
          <w:kern w:val="0"/>
          <w:sz w:val="32"/>
          <w:szCs w:val="32"/>
        </w:rPr>
      </w:pPr>
      <w:r w:rsidRPr="00E507C8">
        <w:rPr>
          <w:rFonts w:ascii="黑体" w:eastAsia="黑体" w:cs="黑体" w:hint="eastAsia"/>
          <w:color w:val="000000"/>
          <w:kern w:val="0"/>
          <w:sz w:val="32"/>
          <w:szCs w:val="32"/>
        </w:rPr>
        <w:t>第一条</w:t>
      </w:r>
      <w:r w:rsidRPr="00E507C8">
        <w:rPr>
          <w:rFonts w:ascii="黑体" w:eastAsia="黑体" w:cs="黑体"/>
          <w:color w:val="000000"/>
          <w:kern w:val="0"/>
          <w:sz w:val="32"/>
          <w:szCs w:val="32"/>
        </w:rPr>
        <w:t xml:space="preserve"> </w:t>
      </w:r>
      <w:proofErr w:type="gramStart"/>
      <w:r w:rsidRPr="00E507C8">
        <w:rPr>
          <w:rFonts w:ascii="仿宋_GB2312" w:eastAsia="仿宋_GB2312" w:cs="仿宋_GB2312" w:hint="eastAsia"/>
          <w:color w:val="000000"/>
          <w:kern w:val="0"/>
          <w:sz w:val="32"/>
          <w:szCs w:val="32"/>
        </w:rPr>
        <w:t>根据人社部</w:t>
      </w:r>
      <w:proofErr w:type="gramEnd"/>
      <w:r w:rsidRPr="00E507C8">
        <w:rPr>
          <w:rFonts w:ascii="仿宋_GB2312" w:eastAsia="仿宋_GB2312" w:cs="仿宋_GB2312" w:hint="eastAsia"/>
          <w:color w:val="000000"/>
          <w:kern w:val="0"/>
          <w:sz w:val="32"/>
          <w:szCs w:val="32"/>
        </w:rPr>
        <w:t>等四部委《关于做好国有企业老工伤人员等纳入工伤保险统筹管理有关工作的通知》（</w:t>
      </w:r>
      <w:proofErr w:type="gramStart"/>
      <w:r w:rsidRPr="00E507C8">
        <w:rPr>
          <w:rFonts w:ascii="仿宋_GB2312" w:eastAsia="仿宋_GB2312" w:cs="仿宋_GB2312" w:hint="eastAsia"/>
          <w:color w:val="000000"/>
          <w:kern w:val="0"/>
          <w:sz w:val="32"/>
          <w:szCs w:val="32"/>
        </w:rPr>
        <w:t>人社部</w:t>
      </w:r>
      <w:proofErr w:type="gramEnd"/>
      <w:r w:rsidRPr="00E507C8">
        <w:rPr>
          <w:rFonts w:ascii="仿宋_GB2312" w:eastAsia="仿宋_GB2312" w:cs="仿宋_GB2312" w:hint="eastAsia"/>
          <w:color w:val="000000"/>
          <w:kern w:val="0"/>
          <w:sz w:val="32"/>
          <w:szCs w:val="32"/>
        </w:rPr>
        <w:t>发【</w:t>
      </w:r>
      <w:r w:rsidRPr="00E507C8">
        <w:rPr>
          <w:rFonts w:ascii="TimesNewRomanPSMT" w:eastAsia="TimesNewRomanPSMT" w:cs="TimesNewRomanPSMT"/>
          <w:color w:val="000000"/>
          <w:kern w:val="0"/>
          <w:sz w:val="32"/>
          <w:szCs w:val="32"/>
        </w:rPr>
        <w:t>2011</w:t>
      </w:r>
      <w:r w:rsidRPr="00E507C8">
        <w:rPr>
          <w:rFonts w:ascii="仿宋_GB2312" w:eastAsia="仿宋_GB2312" w:cs="仿宋_GB2312" w:hint="eastAsia"/>
          <w:color w:val="000000"/>
          <w:kern w:val="0"/>
          <w:sz w:val="32"/>
          <w:szCs w:val="32"/>
        </w:rPr>
        <w:t>】</w:t>
      </w:r>
      <w:r w:rsidRPr="00E507C8">
        <w:rPr>
          <w:rFonts w:ascii="TimesNewRomanPSMT" w:eastAsia="TimesNewRomanPSMT" w:cs="TimesNewRomanPSMT"/>
          <w:color w:val="000000"/>
          <w:kern w:val="0"/>
          <w:sz w:val="32"/>
          <w:szCs w:val="32"/>
        </w:rPr>
        <w:t>10</w:t>
      </w:r>
      <w:r w:rsidRPr="00E507C8">
        <w:rPr>
          <w:rFonts w:ascii="仿宋_GB2312" w:eastAsia="仿宋_GB2312" w:cs="仿宋_GB2312" w:hint="eastAsia"/>
          <w:color w:val="000000"/>
          <w:kern w:val="0"/>
          <w:sz w:val="32"/>
          <w:szCs w:val="32"/>
        </w:rPr>
        <w:t>号）和省、市相关文件要求，结合我市实际情况，制定本办法。</w:t>
      </w:r>
    </w:p>
    <w:p w14:paraId="29716E9C"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color w:val="000000"/>
          <w:kern w:val="0"/>
          <w:sz w:val="32"/>
          <w:szCs w:val="32"/>
        </w:rPr>
      </w:pPr>
      <w:r w:rsidRPr="00E507C8">
        <w:rPr>
          <w:rFonts w:ascii="黑体" w:eastAsia="黑体" w:cs="黑体" w:hint="eastAsia"/>
          <w:color w:val="000000"/>
          <w:kern w:val="0"/>
          <w:sz w:val="32"/>
          <w:szCs w:val="32"/>
        </w:rPr>
        <w:t>第二条</w:t>
      </w:r>
      <w:r w:rsidRPr="00E507C8">
        <w:rPr>
          <w:rFonts w:ascii="黑体" w:eastAsia="黑体" w:cs="黑体"/>
          <w:color w:val="000000"/>
          <w:kern w:val="0"/>
          <w:sz w:val="32"/>
          <w:szCs w:val="32"/>
        </w:rPr>
        <w:t xml:space="preserve"> </w:t>
      </w:r>
      <w:r w:rsidRPr="00E507C8">
        <w:rPr>
          <w:rFonts w:ascii="仿宋_GB2312" w:eastAsia="仿宋_GB2312" w:cs="仿宋_GB2312" w:hint="eastAsia"/>
          <w:color w:val="000000"/>
          <w:kern w:val="0"/>
          <w:sz w:val="32"/>
          <w:szCs w:val="32"/>
        </w:rPr>
        <w:t>老工伤人员纳入统筹管理所需费用坚持以支定收、政府补贴、企业趸缴的原则。</w:t>
      </w:r>
    </w:p>
    <w:p w14:paraId="7FAD2498"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color w:val="000000"/>
          <w:kern w:val="0"/>
          <w:sz w:val="32"/>
          <w:szCs w:val="32"/>
        </w:rPr>
      </w:pPr>
      <w:r w:rsidRPr="00E507C8">
        <w:rPr>
          <w:rFonts w:ascii="黑体" w:eastAsia="黑体" w:cs="黑体" w:hint="eastAsia"/>
          <w:color w:val="000000"/>
          <w:kern w:val="0"/>
          <w:sz w:val="32"/>
          <w:szCs w:val="32"/>
        </w:rPr>
        <w:t>第三条</w:t>
      </w:r>
      <w:r w:rsidRPr="00E507C8">
        <w:rPr>
          <w:rFonts w:ascii="黑体" w:eastAsia="黑体" w:cs="黑体"/>
          <w:color w:val="000000"/>
          <w:kern w:val="0"/>
          <w:sz w:val="32"/>
          <w:szCs w:val="32"/>
        </w:rPr>
        <w:t xml:space="preserve"> </w:t>
      </w:r>
      <w:r w:rsidRPr="00E507C8">
        <w:rPr>
          <w:rFonts w:ascii="仿宋_GB2312" w:eastAsia="仿宋_GB2312" w:cs="仿宋_GB2312" w:hint="eastAsia"/>
          <w:color w:val="000000"/>
          <w:kern w:val="0"/>
          <w:sz w:val="32"/>
          <w:szCs w:val="32"/>
        </w:rPr>
        <w:t>纳入范围</w:t>
      </w:r>
    </w:p>
    <w:p w14:paraId="3061D7D3"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color w:val="000000"/>
          <w:kern w:val="0"/>
          <w:sz w:val="32"/>
          <w:szCs w:val="32"/>
        </w:rPr>
      </w:pPr>
      <w:r w:rsidRPr="00E507C8">
        <w:rPr>
          <w:rFonts w:ascii="仿宋_GB2312" w:eastAsia="仿宋_GB2312" w:cs="仿宋_GB2312" w:hint="eastAsia"/>
          <w:color w:val="000000"/>
          <w:kern w:val="0"/>
          <w:sz w:val="32"/>
          <w:szCs w:val="32"/>
        </w:rPr>
        <w:t>（一）已参保国有、集体企业，在参保时同步纳入统筹管理的工伤人员和工亡职工供养亲属；</w:t>
      </w:r>
    </w:p>
    <w:p w14:paraId="34A19631"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color w:val="000000"/>
          <w:kern w:val="0"/>
          <w:sz w:val="32"/>
          <w:szCs w:val="32"/>
        </w:rPr>
      </w:pPr>
      <w:r w:rsidRPr="00E507C8">
        <w:rPr>
          <w:rFonts w:ascii="仿宋_GB2312" w:eastAsia="仿宋_GB2312" w:cs="仿宋_GB2312" w:hint="eastAsia"/>
          <w:color w:val="000000"/>
          <w:kern w:val="0"/>
          <w:sz w:val="32"/>
          <w:szCs w:val="32"/>
        </w:rPr>
        <w:t>（二）已参保国有、集体企业，仍由企业支付工伤待遇的工伤人员和工亡职工供养亲属；</w:t>
      </w:r>
    </w:p>
    <w:p w14:paraId="360B95CA"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color w:val="000000"/>
          <w:kern w:val="0"/>
          <w:sz w:val="32"/>
          <w:szCs w:val="32"/>
        </w:rPr>
      </w:pPr>
      <w:r w:rsidRPr="00E507C8">
        <w:rPr>
          <w:rFonts w:ascii="仿宋_GB2312" w:eastAsia="仿宋_GB2312" w:cs="仿宋_GB2312" w:hint="eastAsia"/>
          <w:color w:val="000000"/>
          <w:kern w:val="0"/>
          <w:sz w:val="32"/>
          <w:szCs w:val="32"/>
        </w:rPr>
        <w:t>（三）未参保国有、集体企业，参保时由企业支付工伤待遇的工伤人员和工亡职工供养亲属；</w:t>
      </w:r>
    </w:p>
    <w:p w14:paraId="757E44DD"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color w:val="000000"/>
          <w:kern w:val="0"/>
          <w:sz w:val="32"/>
          <w:szCs w:val="32"/>
        </w:rPr>
      </w:pPr>
      <w:r w:rsidRPr="00E507C8">
        <w:rPr>
          <w:rFonts w:ascii="仿宋_GB2312" w:eastAsia="仿宋_GB2312" w:cs="仿宋_GB2312" w:hint="eastAsia"/>
          <w:color w:val="000000"/>
          <w:kern w:val="0"/>
          <w:sz w:val="32"/>
          <w:szCs w:val="32"/>
        </w:rPr>
        <w:t>（四）原国有、集体关闭破产、改制企业保留工伤保险关系的</w:t>
      </w:r>
      <w:r w:rsidRPr="00E507C8">
        <w:rPr>
          <w:rFonts w:ascii="TimesNewRomanPSMT" w:eastAsia="TimesNewRomanPSMT" w:cs="TimesNewRomanPSMT"/>
          <w:color w:val="000000"/>
          <w:kern w:val="0"/>
          <w:sz w:val="32"/>
          <w:szCs w:val="32"/>
        </w:rPr>
        <w:t>1-6</w:t>
      </w:r>
      <w:r w:rsidRPr="00E507C8">
        <w:rPr>
          <w:rFonts w:ascii="仿宋_GB2312" w:eastAsia="仿宋_GB2312" w:cs="仿宋_GB2312" w:hint="eastAsia"/>
          <w:color w:val="000000"/>
          <w:kern w:val="0"/>
          <w:sz w:val="32"/>
          <w:szCs w:val="32"/>
        </w:rPr>
        <w:t>级老工伤人员和工亡职工供养亲属。</w:t>
      </w:r>
    </w:p>
    <w:p w14:paraId="07F3B3DA" w14:textId="7F9EE8FA"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color w:val="000000"/>
          <w:kern w:val="0"/>
          <w:sz w:val="32"/>
          <w:szCs w:val="32"/>
        </w:rPr>
      </w:pPr>
      <w:r w:rsidRPr="00E507C8">
        <w:rPr>
          <w:rFonts w:ascii="仿宋_GB2312" w:eastAsia="仿宋_GB2312" w:cs="仿宋_GB2312" w:hint="eastAsia"/>
          <w:color w:val="000000"/>
          <w:kern w:val="0"/>
          <w:sz w:val="32"/>
          <w:szCs w:val="32"/>
        </w:rPr>
        <w:t>原已按规定，通过一次性支付补偿金等办法终结工伤保险待遇关系的各类企业工伤人员，不再作为老工伤人员纳入工伤保险统筹管理。</w:t>
      </w:r>
    </w:p>
    <w:p w14:paraId="2B477149"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color w:val="000000"/>
          <w:kern w:val="0"/>
          <w:sz w:val="32"/>
          <w:szCs w:val="32"/>
        </w:rPr>
      </w:pPr>
      <w:r w:rsidRPr="00E507C8">
        <w:rPr>
          <w:rFonts w:ascii="黑体" w:eastAsia="黑体" w:cs="黑体" w:hint="eastAsia"/>
          <w:color w:val="000000"/>
          <w:kern w:val="0"/>
          <w:sz w:val="32"/>
          <w:szCs w:val="32"/>
        </w:rPr>
        <w:lastRenderedPageBreak/>
        <w:t>第四条</w:t>
      </w:r>
      <w:r w:rsidRPr="00E507C8">
        <w:rPr>
          <w:rFonts w:ascii="黑体" w:eastAsia="黑体" w:cs="黑体"/>
          <w:color w:val="000000"/>
          <w:kern w:val="0"/>
          <w:sz w:val="32"/>
          <w:szCs w:val="32"/>
        </w:rPr>
        <w:t xml:space="preserve"> </w:t>
      </w:r>
      <w:r w:rsidRPr="00E507C8">
        <w:rPr>
          <w:rFonts w:ascii="仿宋_GB2312" w:eastAsia="仿宋_GB2312" w:cs="仿宋_GB2312" w:hint="eastAsia"/>
          <w:color w:val="000000"/>
          <w:kern w:val="0"/>
          <w:sz w:val="32"/>
          <w:szCs w:val="32"/>
        </w:rPr>
        <w:t>趸缴年限</w:t>
      </w:r>
    </w:p>
    <w:p w14:paraId="02E979FA" w14:textId="0E5CC3AC"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color w:val="000000"/>
          <w:kern w:val="0"/>
          <w:sz w:val="32"/>
          <w:szCs w:val="32"/>
        </w:rPr>
      </w:pPr>
      <w:r w:rsidRPr="00E507C8">
        <w:rPr>
          <w:rFonts w:ascii="仿宋_GB2312" w:eastAsia="仿宋_GB2312" w:cs="仿宋_GB2312" w:hint="eastAsia"/>
          <w:color w:val="000000"/>
          <w:kern w:val="0"/>
          <w:sz w:val="32"/>
          <w:szCs w:val="32"/>
        </w:rPr>
        <w:t>（一）已参保企业。对</w:t>
      </w:r>
      <w:r w:rsidRPr="00E507C8">
        <w:rPr>
          <w:rFonts w:ascii="TimesNewRomanPSMT" w:eastAsia="TimesNewRomanPSMT" w:cs="TimesNewRomanPSMT"/>
          <w:color w:val="000000"/>
          <w:kern w:val="0"/>
          <w:sz w:val="32"/>
          <w:szCs w:val="32"/>
        </w:rPr>
        <w:t>2010</w:t>
      </w:r>
      <w:r w:rsidRPr="00E507C8">
        <w:rPr>
          <w:rFonts w:ascii="仿宋_GB2312" w:eastAsia="仿宋_GB2312" w:cs="仿宋_GB2312" w:hint="eastAsia"/>
          <w:color w:val="000000"/>
          <w:kern w:val="0"/>
          <w:sz w:val="32"/>
          <w:szCs w:val="32"/>
        </w:rPr>
        <w:t>年度支出大于缴费的超支单位，</w:t>
      </w:r>
      <w:proofErr w:type="gramStart"/>
      <w:r w:rsidRPr="00E507C8">
        <w:rPr>
          <w:rFonts w:ascii="仿宋_GB2312" w:eastAsia="仿宋_GB2312" w:cs="仿宋_GB2312" w:hint="eastAsia"/>
          <w:color w:val="000000"/>
          <w:kern w:val="0"/>
          <w:sz w:val="32"/>
          <w:szCs w:val="32"/>
        </w:rPr>
        <w:t>按趸缴</w:t>
      </w:r>
      <w:proofErr w:type="gramEnd"/>
      <w:r w:rsidRPr="00E507C8">
        <w:rPr>
          <w:rFonts w:ascii="TimesNewRomanPSMT" w:eastAsia="TimesNewRomanPSMT" w:cs="TimesNewRomanPSMT"/>
          <w:color w:val="000000"/>
          <w:kern w:val="0"/>
          <w:sz w:val="32"/>
          <w:szCs w:val="32"/>
        </w:rPr>
        <w:t>10</w:t>
      </w:r>
      <w:r w:rsidRPr="00E507C8">
        <w:rPr>
          <w:rFonts w:ascii="仿宋_GB2312" w:eastAsia="仿宋_GB2312" w:cs="仿宋_GB2312" w:hint="eastAsia"/>
          <w:color w:val="000000"/>
          <w:kern w:val="0"/>
          <w:sz w:val="32"/>
          <w:szCs w:val="32"/>
        </w:rPr>
        <w:t>年费用计算；对支出小于缴费的</w:t>
      </w:r>
      <w:proofErr w:type="gramStart"/>
      <w:r w:rsidRPr="00E507C8">
        <w:rPr>
          <w:rFonts w:ascii="仿宋_GB2312" w:eastAsia="仿宋_GB2312" w:cs="仿宋_GB2312" w:hint="eastAsia"/>
          <w:color w:val="000000"/>
          <w:kern w:val="0"/>
          <w:sz w:val="32"/>
          <w:szCs w:val="32"/>
        </w:rPr>
        <w:t>单位按趸缴</w:t>
      </w:r>
      <w:proofErr w:type="gramEnd"/>
      <w:r w:rsidRPr="00E507C8">
        <w:rPr>
          <w:rFonts w:ascii="TimesNewRomanPSMT" w:eastAsia="TimesNewRomanPSMT" w:cs="TimesNewRomanPSMT"/>
          <w:color w:val="000000"/>
          <w:kern w:val="0"/>
          <w:sz w:val="32"/>
          <w:szCs w:val="32"/>
        </w:rPr>
        <w:t>5</w:t>
      </w:r>
      <w:r w:rsidRPr="00E507C8">
        <w:rPr>
          <w:rFonts w:ascii="仿宋_GB2312" w:eastAsia="仿宋_GB2312" w:cs="仿宋_GB2312" w:hint="eastAsia"/>
          <w:color w:val="000000"/>
          <w:kern w:val="0"/>
          <w:sz w:val="32"/>
          <w:szCs w:val="32"/>
        </w:rPr>
        <w:t>年费用计算。</w:t>
      </w:r>
    </w:p>
    <w:p w14:paraId="4102C666" w14:textId="07ED7D2F"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kern w:val="0"/>
          <w:sz w:val="32"/>
          <w:szCs w:val="32"/>
        </w:rPr>
      </w:pPr>
      <w:r w:rsidRPr="00E507C8">
        <w:rPr>
          <w:rFonts w:ascii="仿宋_GB2312" w:eastAsia="仿宋_GB2312" w:cs="仿宋_GB2312" w:hint="eastAsia"/>
          <w:color w:val="000000"/>
          <w:kern w:val="0"/>
          <w:sz w:val="32"/>
          <w:szCs w:val="32"/>
        </w:rPr>
        <w:t>（二）未参保企业。在企业参保时同步将老工伤人员纳入的，一次性趸缴</w:t>
      </w:r>
      <w:r w:rsidRPr="00E507C8">
        <w:rPr>
          <w:rFonts w:ascii="TimesNewRomanPSMT" w:eastAsia="TimesNewRomanPSMT" w:cs="TimesNewRomanPSMT"/>
          <w:color w:val="000000"/>
          <w:kern w:val="0"/>
          <w:sz w:val="32"/>
          <w:szCs w:val="32"/>
        </w:rPr>
        <w:t>5</w:t>
      </w:r>
      <w:r w:rsidRPr="00E507C8">
        <w:rPr>
          <w:rFonts w:ascii="仿宋_GB2312" w:eastAsia="仿宋_GB2312" w:cs="仿宋_GB2312" w:hint="eastAsia"/>
          <w:color w:val="000000"/>
          <w:kern w:val="0"/>
          <w:sz w:val="32"/>
          <w:szCs w:val="32"/>
        </w:rPr>
        <w:t>年长期待遇费用并补缴</w:t>
      </w:r>
      <w:r w:rsidRPr="00E507C8">
        <w:rPr>
          <w:rFonts w:ascii="TimesNewRomanPSMT" w:eastAsia="TimesNewRomanPSMT" w:cs="TimesNewRomanPSMT"/>
          <w:color w:val="000000"/>
          <w:kern w:val="0"/>
          <w:sz w:val="32"/>
          <w:szCs w:val="32"/>
        </w:rPr>
        <w:t>5</w:t>
      </w:r>
      <w:r w:rsidRPr="00E507C8">
        <w:rPr>
          <w:rFonts w:ascii="仿宋_GB2312" w:eastAsia="仿宋_GB2312" w:cs="仿宋_GB2312" w:hint="eastAsia"/>
          <w:color w:val="000000"/>
          <w:kern w:val="0"/>
          <w:sz w:val="32"/>
          <w:szCs w:val="32"/>
        </w:rPr>
        <w:t>年参保费用。</w:t>
      </w:r>
      <w:r w:rsidRPr="00E507C8">
        <w:rPr>
          <w:rFonts w:ascii="黑体" w:eastAsia="黑体" w:cs="黑体" w:hint="eastAsia"/>
          <w:kern w:val="0"/>
          <w:sz w:val="32"/>
          <w:szCs w:val="32"/>
        </w:rPr>
        <w:t>第五条</w:t>
      </w:r>
      <w:r w:rsidRPr="00E507C8">
        <w:rPr>
          <w:rFonts w:ascii="黑体" w:eastAsia="黑体" w:cs="黑体"/>
          <w:kern w:val="0"/>
          <w:sz w:val="32"/>
          <w:szCs w:val="32"/>
        </w:rPr>
        <w:t xml:space="preserve"> </w:t>
      </w:r>
      <w:r w:rsidRPr="00E507C8">
        <w:rPr>
          <w:rFonts w:ascii="仿宋_GB2312" w:eastAsia="仿宋_GB2312" w:cs="仿宋_GB2312" w:hint="eastAsia"/>
          <w:kern w:val="0"/>
          <w:sz w:val="32"/>
          <w:szCs w:val="32"/>
        </w:rPr>
        <w:t>趸缴的项目共</w:t>
      </w:r>
      <w:r w:rsidRPr="00E507C8">
        <w:rPr>
          <w:rFonts w:ascii="TimesNewRomanPSMT" w:eastAsia="TimesNewRomanPSMT" w:cs="TimesNewRomanPSMT"/>
          <w:kern w:val="0"/>
          <w:sz w:val="32"/>
          <w:szCs w:val="32"/>
        </w:rPr>
        <w:t>9</w:t>
      </w:r>
      <w:r w:rsidRPr="00E507C8">
        <w:rPr>
          <w:rFonts w:ascii="仿宋_GB2312" w:eastAsia="仿宋_GB2312" w:cs="仿宋_GB2312" w:hint="eastAsia"/>
          <w:kern w:val="0"/>
          <w:sz w:val="32"/>
          <w:szCs w:val="32"/>
        </w:rPr>
        <w:t>项。其中，固定项目包括：工伤医疗费、住院伙食补助费及转异地治疗的交通食宿费、伤残津贴、生活护理费；非固定项目包括：供养亲属抚恤金、丧葬补助金、配置辅助器具费、伤残补助金（</w:t>
      </w:r>
      <w:r w:rsidRPr="00E507C8">
        <w:rPr>
          <w:rFonts w:ascii="TimesNewRomanPSMT" w:eastAsia="TimesNewRomanPSMT" w:cs="TimesNewRomanPSMT"/>
          <w:kern w:val="0"/>
          <w:sz w:val="32"/>
          <w:szCs w:val="32"/>
        </w:rPr>
        <w:t>1996</w:t>
      </w:r>
      <w:r w:rsidRPr="00E507C8">
        <w:rPr>
          <w:rFonts w:ascii="仿宋_GB2312" w:eastAsia="仿宋_GB2312" w:cs="仿宋_GB2312" w:hint="eastAsia"/>
          <w:kern w:val="0"/>
          <w:sz w:val="32"/>
          <w:szCs w:val="32"/>
        </w:rPr>
        <w:t>年</w:t>
      </w:r>
      <w:r w:rsidRPr="00E507C8">
        <w:rPr>
          <w:rFonts w:ascii="TimesNewRomanPSMT" w:eastAsia="TimesNewRomanPSMT" w:cs="TimesNewRomanPSMT"/>
          <w:kern w:val="0"/>
          <w:sz w:val="32"/>
          <w:szCs w:val="32"/>
        </w:rPr>
        <w:t>9</w:t>
      </w:r>
      <w:r w:rsidRPr="00E507C8">
        <w:rPr>
          <w:rFonts w:ascii="仿宋_GB2312" w:eastAsia="仿宋_GB2312" w:cs="仿宋_GB2312" w:hint="eastAsia"/>
          <w:kern w:val="0"/>
          <w:sz w:val="32"/>
          <w:szCs w:val="32"/>
        </w:rPr>
        <w:t>月</w:t>
      </w:r>
      <w:r w:rsidRPr="00E507C8">
        <w:rPr>
          <w:rFonts w:ascii="TimesNewRomanPSMT" w:eastAsia="TimesNewRomanPSMT" w:cs="TimesNewRomanPSMT"/>
          <w:kern w:val="0"/>
          <w:sz w:val="32"/>
          <w:szCs w:val="32"/>
        </w:rPr>
        <w:t>30</w:t>
      </w:r>
      <w:r w:rsidRPr="00E507C8">
        <w:rPr>
          <w:rFonts w:ascii="仿宋_GB2312" w:eastAsia="仿宋_GB2312" w:cs="仿宋_GB2312" w:hint="eastAsia"/>
          <w:kern w:val="0"/>
          <w:sz w:val="32"/>
          <w:szCs w:val="32"/>
        </w:rPr>
        <w:t>日前发生工伤人员）。</w:t>
      </w:r>
    </w:p>
    <w:p w14:paraId="22820D73"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kern w:val="0"/>
          <w:sz w:val="32"/>
          <w:szCs w:val="32"/>
        </w:rPr>
      </w:pPr>
      <w:r w:rsidRPr="00E507C8">
        <w:rPr>
          <w:rFonts w:ascii="黑体" w:eastAsia="黑体" w:cs="黑体" w:hint="eastAsia"/>
          <w:kern w:val="0"/>
          <w:sz w:val="32"/>
          <w:szCs w:val="32"/>
        </w:rPr>
        <w:t>第六条</w:t>
      </w:r>
      <w:r w:rsidRPr="00E507C8">
        <w:rPr>
          <w:rFonts w:ascii="黑体" w:eastAsia="黑体" w:cs="黑体"/>
          <w:kern w:val="0"/>
          <w:sz w:val="32"/>
          <w:szCs w:val="32"/>
        </w:rPr>
        <w:t xml:space="preserve"> </w:t>
      </w:r>
      <w:r w:rsidRPr="00E507C8">
        <w:rPr>
          <w:rFonts w:ascii="仿宋_GB2312" w:eastAsia="仿宋_GB2312" w:cs="仿宋_GB2312" w:hint="eastAsia"/>
          <w:kern w:val="0"/>
          <w:sz w:val="32"/>
          <w:szCs w:val="32"/>
        </w:rPr>
        <w:t>缴费标准</w:t>
      </w:r>
    </w:p>
    <w:p w14:paraId="37A0DAB4" w14:textId="3CE825C1"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kern w:val="0"/>
          <w:sz w:val="32"/>
          <w:szCs w:val="32"/>
        </w:rPr>
      </w:pPr>
      <w:r w:rsidRPr="00E507C8">
        <w:rPr>
          <w:rFonts w:ascii="仿宋_GB2312" w:eastAsia="仿宋_GB2312" w:cs="仿宋_GB2312" w:hint="eastAsia"/>
          <w:kern w:val="0"/>
          <w:sz w:val="32"/>
          <w:szCs w:val="32"/>
        </w:rPr>
        <w:t>（一）固定项目缴费标准：一级至四级伤残人员年人均缴费</w:t>
      </w:r>
      <w:r w:rsidRPr="00E507C8">
        <w:rPr>
          <w:rFonts w:ascii="TimesNewRomanPSMT" w:eastAsia="TimesNewRomanPSMT" w:cs="TimesNewRomanPSMT"/>
          <w:kern w:val="0"/>
          <w:sz w:val="32"/>
          <w:szCs w:val="32"/>
        </w:rPr>
        <w:t>37000</w:t>
      </w:r>
      <w:r w:rsidRPr="00E507C8">
        <w:rPr>
          <w:rFonts w:ascii="仿宋_GB2312" w:eastAsia="仿宋_GB2312" w:cs="仿宋_GB2312" w:hint="eastAsia"/>
          <w:kern w:val="0"/>
          <w:sz w:val="32"/>
          <w:szCs w:val="32"/>
        </w:rPr>
        <w:t>元；五级至六级伤残人员年人均缴费</w:t>
      </w:r>
      <w:r w:rsidRPr="00E507C8">
        <w:rPr>
          <w:rFonts w:ascii="TimesNewRomanPSMT" w:eastAsia="TimesNewRomanPSMT" w:cs="TimesNewRomanPSMT"/>
          <w:kern w:val="0"/>
          <w:sz w:val="32"/>
          <w:szCs w:val="32"/>
        </w:rPr>
        <w:t>12000</w:t>
      </w:r>
      <w:r w:rsidRPr="00E507C8">
        <w:rPr>
          <w:rFonts w:ascii="仿宋_GB2312" w:eastAsia="仿宋_GB2312" w:cs="仿宋_GB2312" w:hint="eastAsia"/>
          <w:kern w:val="0"/>
          <w:sz w:val="32"/>
          <w:szCs w:val="32"/>
        </w:rPr>
        <w:t>元；七至十级伤残人员、无等级伤残人员年人均缴费</w:t>
      </w:r>
      <w:r w:rsidRPr="00E507C8">
        <w:rPr>
          <w:rFonts w:ascii="TimesNewRomanPSMT" w:eastAsia="TimesNewRomanPSMT" w:cs="TimesNewRomanPSMT"/>
          <w:kern w:val="0"/>
          <w:sz w:val="32"/>
          <w:szCs w:val="32"/>
        </w:rPr>
        <w:t>9000</w:t>
      </w:r>
      <w:r w:rsidRPr="00E507C8">
        <w:rPr>
          <w:rFonts w:ascii="仿宋_GB2312" w:eastAsia="仿宋_GB2312" w:cs="仿宋_GB2312" w:hint="eastAsia"/>
          <w:kern w:val="0"/>
          <w:sz w:val="32"/>
          <w:szCs w:val="32"/>
        </w:rPr>
        <w:t>元。</w:t>
      </w:r>
    </w:p>
    <w:p w14:paraId="30F30ED2"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kern w:val="0"/>
          <w:sz w:val="32"/>
          <w:szCs w:val="32"/>
        </w:rPr>
      </w:pPr>
      <w:r w:rsidRPr="00E507C8">
        <w:rPr>
          <w:rFonts w:ascii="仿宋_GB2312" w:eastAsia="仿宋_GB2312" w:cs="仿宋_GB2312" w:hint="eastAsia"/>
          <w:kern w:val="0"/>
          <w:sz w:val="32"/>
          <w:szCs w:val="32"/>
        </w:rPr>
        <w:t>（二）非固定项目缴费待企业</w:t>
      </w:r>
      <w:proofErr w:type="gramStart"/>
      <w:r w:rsidRPr="00E507C8">
        <w:rPr>
          <w:rFonts w:ascii="仿宋_GB2312" w:eastAsia="仿宋_GB2312" w:cs="仿宋_GB2312" w:hint="eastAsia"/>
          <w:kern w:val="0"/>
          <w:sz w:val="32"/>
          <w:szCs w:val="32"/>
        </w:rPr>
        <w:t>趸缴老工伤</w:t>
      </w:r>
      <w:proofErr w:type="gramEnd"/>
      <w:r w:rsidRPr="00E507C8">
        <w:rPr>
          <w:rFonts w:ascii="仿宋_GB2312" w:eastAsia="仿宋_GB2312" w:cs="仿宋_GB2312" w:hint="eastAsia"/>
          <w:kern w:val="0"/>
          <w:sz w:val="32"/>
          <w:szCs w:val="32"/>
        </w:rPr>
        <w:t>保险费时，按老工伤人员实际情况另行计算。</w:t>
      </w:r>
    </w:p>
    <w:p w14:paraId="778C698C"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kern w:val="0"/>
          <w:sz w:val="32"/>
          <w:szCs w:val="32"/>
        </w:rPr>
      </w:pPr>
      <w:r w:rsidRPr="00E507C8">
        <w:rPr>
          <w:rFonts w:ascii="仿宋_GB2312" w:eastAsia="仿宋_GB2312" w:cs="仿宋_GB2312" w:hint="eastAsia"/>
          <w:kern w:val="0"/>
          <w:sz w:val="32"/>
          <w:szCs w:val="32"/>
        </w:rPr>
        <w:t>（三）固定项目缴费金额加上非固定项目缴费金额等于企业</w:t>
      </w:r>
      <w:proofErr w:type="gramStart"/>
      <w:r w:rsidRPr="00E507C8">
        <w:rPr>
          <w:rFonts w:ascii="仿宋_GB2312" w:eastAsia="仿宋_GB2312" w:cs="仿宋_GB2312" w:hint="eastAsia"/>
          <w:kern w:val="0"/>
          <w:sz w:val="32"/>
          <w:szCs w:val="32"/>
        </w:rPr>
        <w:t>应趸缴老</w:t>
      </w:r>
      <w:proofErr w:type="gramEnd"/>
      <w:r w:rsidRPr="00E507C8">
        <w:rPr>
          <w:rFonts w:ascii="仿宋_GB2312" w:eastAsia="仿宋_GB2312" w:cs="仿宋_GB2312" w:hint="eastAsia"/>
          <w:kern w:val="0"/>
          <w:sz w:val="32"/>
          <w:szCs w:val="32"/>
        </w:rPr>
        <w:t>工伤保险费。</w:t>
      </w:r>
    </w:p>
    <w:p w14:paraId="60BA2934"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kern w:val="0"/>
          <w:sz w:val="32"/>
          <w:szCs w:val="32"/>
        </w:rPr>
      </w:pPr>
      <w:r w:rsidRPr="00E507C8">
        <w:rPr>
          <w:rFonts w:ascii="黑体" w:eastAsia="黑体" w:cs="黑体" w:hint="eastAsia"/>
          <w:kern w:val="0"/>
          <w:sz w:val="32"/>
          <w:szCs w:val="32"/>
        </w:rPr>
        <w:t>第七条</w:t>
      </w:r>
      <w:r w:rsidRPr="00E507C8">
        <w:rPr>
          <w:rFonts w:ascii="黑体" w:eastAsia="黑体" w:cs="黑体"/>
          <w:kern w:val="0"/>
          <w:sz w:val="32"/>
          <w:szCs w:val="32"/>
        </w:rPr>
        <w:t xml:space="preserve"> </w:t>
      </w:r>
      <w:r w:rsidRPr="00E507C8">
        <w:rPr>
          <w:rFonts w:ascii="仿宋_GB2312" w:eastAsia="仿宋_GB2312" w:cs="仿宋_GB2312" w:hint="eastAsia"/>
          <w:kern w:val="0"/>
          <w:sz w:val="32"/>
          <w:szCs w:val="32"/>
        </w:rPr>
        <w:t>终止或者解除劳动关系的一次性医疗补助金因含有不确定因素，暂不在本办法计算范围内。</w:t>
      </w:r>
    </w:p>
    <w:p w14:paraId="60CB87C8"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kern w:val="0"/>
          <w:sz w:val="32"/>
          <w:szCs w:val="32"/>
        </w:rPr>
      </w:pPr>
      <w:r w:rsidRPr="00E507C8">
        <w:rPr>
          <w:rFonts w:ascii="黑体" w:eastAsia="黑体" w:cs="黑体" w:hint="eastAsia"/>
          <w:kern w:val="0"/>
          <w:sz w:val="32"/>
          <w:szCs w:val="32"/>
        </w:rPr>
        <w:lastRenderedPageBreak/>
        <w:t>第八条</w:t>
      </w:r>
      <w:r w:rsidRPr="00E507C8">
        <w:rPr>
          <w:rFonts w:ascii="黑体" w:eastAsia="黑体" w:cs="黑体"/>
          <w:kern w:val="0"/>
          <w:sz w:val="32"/>
          <w:szCs w:val="32"/>
        </w:rPr>
        <w:t xml:space="preserve"> </w:t>
      </w:r>
      <w:r w:rsidRPr="00E507C8">
        <w:rPr>
          <w:rFonts w:ascii="仿宋_GB2312" w:eastAsia="仿宋_GB2312" w:cs="仿宋_GB2312" w:hint="eastAsia"/>
          <w:kern w:val="0"/>
          <w:sz w:val="32"/>
          <w:szCs w:val="32"/>
        </w:rPr>
        <w:t>工伤康复费、年增长率，暂不在本办法计算范围内。</w:t>
      </w:r>
    </w:p>
    <w:p w14:paraId="50B0FE8A" w14:textId="30FD2100"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kern w:val="0"/>
          <w:sz w:val="32"/>
          <w:szCs w:val="32"/>
        </w:rPr>
      </w:pPr>
      <w:r w:rsidRPr="00E507C8">
        <w:rPr>
          <w:rFonts w:ascii="黑体" w:eastAsia="黑体" w:cs="黑体" w:hint="eastAsia"/>
          <w:kern w:val="0"/>
          <w:sz w:val="32"/>
          <w:szCs w:val="32"/>
        </w:rPr>
        <w:t>第九条</w:t>
      </w:r>
      <w:r w:rsidRPr="00E507C8">
        <w:rPr>
          <w:rFonts w:ascii="黑体" w:eastAsia="黑体" w:cs="黑体"/>
          <w:kern w:val="0"/>
          <w:sz w:val="32"/>
          <w:szCs w:val="32"/>
        </w:rPr>
        <w:t xml:space="preserve"> </w:t>
      </w:r>
      <w:r w:rsidRPr="00E507C8">
        <w:rPr>
          <w:rFonts w:ascii="仿宋_GB2312" w:eastAsia="仿宋_GB2312" w:cs="仿宋_GB2312" w:hint="eastAsia"/>
          <w:kern w:val="0"/>
          <w:sz w:val="32"/>
          <w:szCs w:val="32"/>
        </w:rPr>
        <w:t>参保单位应按规定及时、足额</w:t>
      </w:r>
      <w:proofErr w:type="gramStart"/>
      <w:r w:rsidRPr="00E507C8">
        <w:rPr>
          <w:rFonts w:ascii="仿宋_GB2312" w:eastAsia="仿宋_GB2312" w:cs="仿宋_GB2312" w:hint="eastAsia"/>
          <w:kern w:val="0"/>
          <w:sz w:val="32"/>
          <w:szCs w:val="32"/>
        </w:rPr>
        <w:t>趸缴老工伤</w:t>
      </w:r>
      <w:proofErr w:type="gramEnd"/>
      <w:r w:rsidRPr="00E507C8">
        <w:rPr>
          <w:rFonts w:ascii="仿宋_GB2312" w:eastAsia="仿宋_GB2312" w:cs="仿宋_GB2312" w:hint="eastAsia"/>
          <w:kern w:val="0"/>
          <w:sz w:val="32"/>
          <w:szCs w:val="32"/>
        </w:rPr>
        <w:t>人员长期待遇费用。如确有困难的，在缴纳</w:t>
      </w:r>
      <w:r w:rsidRPr="00E507C8">
        <w:rPr>
          <w:rFonts w:ascii="TimesNewRomanPSMT" w:eastAsia="TimesNewRomanPSMT" w:cs="TimesNewRomanPSMT"/>
          <w:kern w:val="0"/>
          <w:sz w:val="32"/>
          <w:szCs w:val="32"/>
        </w:rPr>
        <w:t>20%</w:t>
      </w:r>
      <w:r w:rsidRPr="00E507C8">
        <w:rPr>
          <w:rFonts w:ascii="仿宋_GB2312" w:eastAsia="仿宋_GB2312" w:cs="仿宋_GB2312" w:hint="eastAsia"/>
          <w:kern w:val="0"/>
          <w:sz w:val="32"/>
          <w:szCs w:val="32"/>
        </w:rPr>
        <w:t>费用后，剩余部分可以同工伤保险经办机构签订缓缴协议。协议期最长不得超过</w:t>
      </w:r>
      <w:r w:rsidRPr="00E507C8">
        <w:rPr>
          <w:rFonts w:ascii="TimesNewRomanPSMT" w:eastAsia="TimesNewRomanPSMT" w:cs="TimesNewRomanPSMT"/>
          <w:kern w:val="0"/>
          <w:sz w:val="32"/>
          <w:szCs w:val="32"/>
        </w:rPr>
        <w:t>5</w:t>
      </w:r>
      <w:r w:rsidRPr="00E507C8">
        <w:rPr>
          <w:rFonts w:ascii="仿宋_GB2312" w:eastAsia="仿宋_GB2312" w:cs="仿宋_GB2312" w:hint="eastAsia"/>
          <w:kern w:val="0"/>
          <w:sz w:val="32"/>
          <w:szCs w:val="32"/>
        </w:rPr>
        <w:t>年。</w:t>
      </w:r>
    </w:p>
    <w:p w14:paraId="3121DF0F"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kern w:val="0"/>
          <w:sz w:val="32"/>
          <w:szCs w:val="32"/>
        </w:rPr>
      </w:pPr>
      <w:r w:rsidRPr="00E507C8">
        <w:rPr>
          <w:rFonts w:ascii="黑体" w:eastAsia="黑体" w:cs="黑体" w:hint="eastAsia"/>
          <w:kern w:val="0"/>
          <w:sz w:val="32"/>
          <w:szCs w:val="32"/>
        </w:rPr>
        <w:t>第十条</w:t>
      </w:r>
      <w:r w:rsidRPr="00E507C8">
        <w:rPr>
          <w:rFonts w:ascii="黑体" w:eastAsia="黑体" w:cs="黑体"/>
          <w:kern w:val="0"/>
          <w:sz w:val="32"/>
          <w:szCs w:val="32"/>
        </w:rPr>
        <w:t xml:space="preserve"> </w:t>
      </w:r>
      <w:r w:rsidRPr="00E507C8">
        <w:rPr>
          <w:rFonts w:ascii="仿宋_GB2312" w:eastAsia="仿宋_GB2312" w:cs="仿宋_GB2312" w:hint="eastAsia"/>
          <w:kern w:val="0"/>
          <w:sz w:val="32"/>
          <w:szCs w:val="32"/>
        </w:rPr>
        <w:t>各县（市）老工伤人员纳入统筹管理时，按照本办法执行。</w:t>
      </w:r>
    </w:p>
    <w:p w14:paraId="7B76FDA4" w14:textId="77777777" w:rsidR="00E507C8" w:rsidRPr="00E507C8" w:rsidRDefault="00E507C8" w:rsidP="00E507C8">
      <w:pPr>
        <w:autoSpaceDE w:val="0"/>
        <w:autoSpaceDN w:val="0"/>
        <w:adjustRightInd w:val="0"/>
        <w:spacing w:line="640" w:lineRule="exact"/>
        <w:ind w:firstLineChars="200" w:firstLine="640"/>
        <w:rPr>
          <w:rFonts w:ascii="仿宋_GB2312" w:eastAsia="仿宋_GB2312" w:cs="仿宋_GB2312"/>
          <w:kern w:val="0"/>
          <w:sz w:val="32"/>
          <w:szCs w:val="32"/>
        </w:rPr>
      </w:pPr>
      <w:r w:rsidRPr="00E507C8">
        <w:rPr>
          <w:rFonts w:ascii="黑体" w:eastAsia="黑体" w:cs="黑体" w:hint="eastAsia"/>
          <w:kern w:val="0"/>
          <w:sz w:val="32"/>
          <w:szCs w:val="32"/>
        </w:rPr>
        <w:t>第十一条</w:t>
      </w:r>
      <w:r w:rsidRPr="00E507C8">
        <w:rPr>
          <w:rFonts w:ascii="黑体" w:eastAsia="黑体" w:cs="黑体"/>
          <w:kern w:val="0"/>
          <w:sz w:val="32"/>
          <w:szCs w:val="32"/>
        </w:rPr>
        <w:t xml:space="preserve"> </w:t>
      </w:r>
      <w:r w:rsidRPr="00E507C8">
        <w:rPr>
          <w:rFonts w:ascii="仿宋_GB2312" w:eastAsia="仿宋_GB2312" w:cs="仿宋_GB2312" w:hint="eastAsia"/>
          <w:kern w:val="0"/>
          <w:sz w:val="32"/>
          <w:szCs w:val="32"/>
        </w:rPr>
        <w:t>本办法由吉林市人力资源和社会保障局负责解释。</w:t>
      </w:r>
    </w:p>
    <w:p w14:paraId="316FADCB" w14:textId="1EED6974" w:rsidR="00675C7A" w:rsidRPr="00E507C8" w:rsidRDefault="00E507C8" w:rsidP="00E507C8">
      <w:pPr>
        <w:spacing w:line="640" w:lineRule="exact"/>
        <w:ind w:firstLineChars="200" w:firstLine="640"/>
        <w:rPr>
          <w:sz w:val="32"/>
          <w:szCs w:val="32"/>
        </w:rPr>
      </w:pPr>
      <w:r w:rsidRPr="00E507C8">
        <w:rPr>
          <w:rFonts w:ascii="黑体" w:eastAsia="黑体" w:cs="黑体" w:hint="eastAsia"/>
          <w:kern w:val="0"/>
          <w:sz w:val="32"/>
          <w:szCs w:val="32"/>
        </w:rPr>
        <w:t>第十二条</w:t>
      </w:r>
      <w:r w:rsidRPr="00E507C8">
        <w:rPr>
          <w:rFonts w:ascii="黑体" w:eastAsia="黑体" w:cs="黑体"/>
          <w:kern w:val="0"/>
          <w:sz w:val="32"/>
          <w:szCs w:val="32"/>
        </w:rPr>
        <w:t xml:space="preserve"> </w:t>
      </w:r>
      <w:r w:rsidRPr="00E507C8">
        <w:rPr>
          <w:rFonts w:ascii="仿宋_GB2312" w:eastAsia="仿宋_GB2312" w:cs="仿宋_GB2312" w:hint="eastAsia"/>
          <w:kern w:val="0"/>
          <w:sz w:val="32"/>
          <w:szCs w:val="32"/>
        </w:rPr>
        <w:t>本办法从</w:t>
      </w:r>
      <w:r w:rsidRPr="00E507C8">
        <w:rPr>
          <w:rFonts w:ascii="TimesNewRomanPSMT" w:eastAsia="TimesNewRomanPSMT" w:cs="TimesNewRomanPSMT"/>
          <w:kern w:val="0"/>
          <w:sz w:val="32"/>
          <w:szCs w:val="32"/>
        </w:rPr>
        <w:t>2013</w:t>
      </w:r>
      <w:r w:rsidRPr="00E507C8">
        <w:rPr>
          <w:rFonts w:ascii="仿宋_GB2312" w:eastAsia="仿宋_GB2312" w:cs="仿宋_GB2312" w:hint="eastAsia"/>
          <w:kern w:val="0"/>
          <w:sz w:val="32"/>
          <w:szCs w:val="32"/>
        </w:rPr>
        <w:t>年</w:t>
      </w:r>
      <w:r w:rsidRPr="00E507C8">
        <w:rPr>
          <w:rFonts w:ascii="TimesNewRomanPSMT" w:eastAsia="TimesNewRomanPSMT" w:cs="TimesNewRomanPSMT"/>
          <w:kern w:val="0"/>
          <w:sz w:val="32"/>
          <w:szCs w:val="32"/>
        </w:rPr>
        <w:t>1</w:t>
      </w:r>
      <w:r w:rsidRPr="00E507C8">
        <w:rPr>
          <w:rFonts w:ascii="仿宋_GB2312" w:eastAsia="仿宋_GB2312" w:cs="仿宋_GB2312" w:hint="eastAsia"/>
          <w:kern w:val="0"/>
          <w:sz w:val="32"/>
          <w:szCs w:val="32"/>
        </w:rPr>
        <w:t>月</w:t>
      </w:r>
      <w:r w:rsidRPr="00E507C8">
        <w:rPr>
          <w:rFonts w:ascii="TimesNewRomanPSMT" w:eastAsia="TimesNewRomanPSMT" w:cs="TimesNewRomanPSMT"/>
          <w:kern w:val="0"/>
          <w:sz w:val="32"/>
          <w:szCs w:val="32"/>
        </w:rPr>
        <w:t>1</w:t>
      </w:r>
      <w:r w:rsidRPr="00E507C8">
        <w:rPr>
          <w:rFonts w:ascii="仿宋_GB2312" w:eastAsia="仿宋_GB2312" w:cs="仿宋_GB2312" w:hint="eastAsia"/>
          <w:kern w:val="0"/>
          <w:sz w:val="32"/>
          <w:szCs w:val="32"/>
        </w:rPr>
        <w:t>日起执行。</w:t>
      </w:r>
    </w:p>
    <w:sectPr w:rsidR="00675C7A" w:rsidRPr="00E50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MicrosoftYaHei">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E"/>
    <w:rsid w:val="00675C7A"/>
    <w:rsid w:val="006A3ACE"/>
    <w:rsid w:val="00E5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921D"/>
  <w15:chartTrackingRefBased/>
  <w15:docId w15:val="{91F83A95-9262-4F11-9F3E-D9AD8D97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 张</dc:creator>
  <cp:keywords/>
  <dc:description/>
  <cp:lastModifiedBy>大 张</cp:lastModifiedBy>
  <cp:revision>3</cp:revision>
  <dcterms:created xsi:type="dcterms:W3CDTF">2023-06-19T01:00:00Z</dcterms:created>
  <dcterms:modified xsi:type="dcterms:W3CDTF">2023-06-19T01:03:00Z</dcterms:modified>
</cp:coreProperties>
</file>