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实行政府指导价管理的公证服务项目及收费标准</w:t>
      </w:r>
    </w:p>
    <w:tbl>
      <w:tblPr>
        <w:tblStyle w:val="3"/>
        <w:tblW w:w="15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7"/>
        <w:gridCol w:w="9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4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收费项目名称</w:t>
            </w:r>
          </w:p>
        </w:tc>
        <w:tc>
          <w:tcPr>
            <w:tcW w:w="950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证明法律事实类公证服务收费标准</w:t>
            </w:r>
          </w:p>
        </w:tc>
        <w:tc>
          <w:tcPr>
            <w:tcW w:w="4847" w:type="dxa"/>
            <w:vAlign w:val="center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证明财产继承、赠与、接受赠与</w:t>
            </w:r>
          </w:p>
        </w:tc>
        <w:tc>
          <w:tcPr>
            <w:tcW w:w="9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（一）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涉及房产等不动产的，当事人可以自主选择按下面的标准缴纳公证费: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1.按财产价值依据下列标准分段累计收取(不动产价值评估标准为同地段的市场价值):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（1）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受益额100万元以下的部分，按不超过 0.5%收取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超过 100万元至200万元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含200万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的部分，按不超过0.4%收取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（3）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超过200万元至500万元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含500万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的部分，按不超过0.3%收取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（4）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超过500万元至1000万元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含1000万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的部分，按不超过0.2%收取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(5)超过1000万元的部分，按不超过0.1%收取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.按照不动产受益面积计收:各地可结合本地房地产市场的实际情况，确定每平方米的具体收费标准，但居民住宅每平方米不得超过40元，商用、工建每平方米不得超过60元，按以上比例收费不到200元的，按照200元收取，单套居民房产收取公证费不得超过10000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（二）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除不动产外的财产继承、赠与、接受遗赠，按受益额的1%收取,最低收取200元。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证明离婚、抚养、赡养、监护、劳动（劳务）、寄养、遗赠抚养、解除收养关系、出国留学等协议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每件收费150元：涉及财产关系的，每件收费300元。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证明遗嘱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500元/件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证明自然人委托、声明、保证、认领亲子等其他单方法律行为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涉及人身权益的，每件收费200元；涉及财产关系的，每件收费400元。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出生、生存、死亡、身份、曾用名、住所地（居住地）、学历、学位、经历、职务（职称）、资格、有无违法犯罪记录、婚姻状况、亲属关系、财产权、收入状况、纳税状况、选票、指纹、查无档案记载等有法律意义的事实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证明不可抗力、意外事件、收养关系、抚养事实、票据拒绝、法人及其他组织的资格、资信等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200元/件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证明文书类公证服务收费标准</w:t>
            </w: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证明证书、执照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97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证明文书的副本、影印本、节本、译本与原本相符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90元/件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97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证明涉外公证书的译文与原文相符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45元/件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7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7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证明文书上的签名、印鉴、日期</w:t>
            </w:r>
          </w:p>
        </w:tc>
        <w:tc>
          <w:tcPr>
            <w:tcW w:w="9506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90元/件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527" w:right="1440" w:bottom="5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11171"/>
    <w:rsid w:val="00FA0F22"/>
    <w:rsid w:val="12311171"/>
    <w:rsid w:val="253F0FBD"/>
    <w:rsid w:val="3F4CDD9C"/>
    <w:rsid w:val="44766029"/>
    <w:rsid w:val="4CC21189"/>
    <w:rsid w:val="582A27F3"/>
    <w:rsid w:val="61536522"/>
    <w:rsid w:val="7EFF9F4B"/>
    <w:rsid w:val="BEB5D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2024-07-02T05:34:00Z</dcterms:created>
  <dc:creator>纪超小包包M.U</dc:creator>
  <cp:lastModifiedBy>inspur</cp:lastModifiedBy>
  <cp:lastPrinted>2025-11-01T00:00:00Z</cp:lastPrinted>
  <dcterms:modified xsi:type="dcterms:W3CDTF">2025-10-31T16:14:38Z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