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化纤社区新时代文明实践站管理制度</w:t>
      </w: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为切实加强“新时代文明实践站”的有效管理，使之制度化、常态化、规范化，特制定本制度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“新时代文明实践站”由实践站领导小组办公室辅助日常管理工作。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“新时代文明实践站”要认真制定年度方案计划。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“新时代文明实践</w:t>
      </w:r>
      <w:r>
        <w:rPr>
          <w:rFonts w:hint="eastAsia"/>
          <w:sz w:val="32"/>
          <w:szCs w:val="32"/>
        </w:rPr>
        <w:t>站”实行基础宣讲制，围绕</w:t>
      </w:r>
      <w:r>
        <w:rPr>
          <w:rFonts w:hint="eastAsia"/>
          <w:sz w:val="32"/>
          <w:szCs w:val="32"/>
          <w:lang w:val="en-US" w:eastAsia="zh-CN"/>
        </w:rPr>
        <w:t>习近平新时代中国特色社会主义思想讲理论、讲政</w:t>
      </w:r>
      <w:r>
        <w:rPr>
          <w:rFonts w:hint="eastAsia"/>
          <w:sz w:val="32"/>
          <w:szCs w:val="32"/>
        </w:rPr>
        <w:t>策、讲法治、讲文化，精心策划时间内容，及时做好宣讲资料，音像图片收集归类存档。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“新时代文明实践站”根据当前政策，结合社区民情，做好新形势、新风尚、新道德、新事物的各类精神文明活动，确保每月至少开展一次活动。</w:t>
      </w:r>
    </w:p>
    <w:p>
      <w:pPr>
        <w:numPr>
          <w:numId w:val="0"/>
        </w:numPr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五、“新时代文明实践站”要做到整洁、有序、文明、和谐，确保活动深入基层，直达民心，符合民需成为群众感受新时代、新思想、新目标、新征程的第课堂。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4177A"/>
    <w:multiLevelType w:val="singleLevel"/>
    <w:tmpl w:val="2C7417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jc4M2EwYzE4NGZlYzU0ODEyNmFlMDlmMzRiYTcifQ=="/>
  </w:docVars>
  <w:rsids>
    <w:rsidRoot w:val="00000000"/>
    <w:rsid w:val="723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2023-08-17T07:31:17Z</dcterms:created>
  <dc:creator>Administrator</dc:creator>
  <cp:lastModifiedBy>Administrator</cp:lastModifiedBy>
  <dcterms:modified xsi:type="dcterms:W3CDTF">2023-08-17T07:36:20Z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2A78DF4B6EB74FBD93EC9A172B6339E1_12</vt:lpwstr>
  </property>
</Properties>
</file>