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rPr>
          <w:rFonts w:ascii="仿宋_GB2312" w:hAnsi="仿宋_GB2312" w:eastAsia="仿宋_GB2312" w:cs="仿宋_GB2312"/>
          <w:bCs/>
          <w:spacing w:val="8"/>
          <w:sz w:val="34"/>
          <w:szCs w:val="34"/>
          <w:shd w:val="clear" w:color="auto" w:fill="FFFFFF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spacing w:val="8"/>
          <w:sz w:val="34"/>
          <w:szCs w:val="34"/>
          <w:shd w:val="clear" w:color="auto" w:fill="FFFFFF"/>
        </w:rPr>
        <w:t>附件2：</w:t>
      </w:r>
    </w:p>
    <w:p>
      <w:pPr>
        <w:widowControl/>
        <w:spacing w:line="560" w:lineRule="exact"/>
        <w:jc w:val="center"/>
        <w:rPr>
          <w:rFonts w:ascii="方正小标宋简体" w:hAnsi="仿宋_GB2312" w:eastAsia="方正小标宋简体" w:cs="仿宋_GB2312"/>
          <w:bCs/>
          <w:spacing w:val="8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 w:cs="宋体"/>
          <w:bCs/>
          <w:spacing w:val="8"/>
          <w:sz w:val="44"/>
          <w:szCs w:val="44"/>
          <w:shd w:val="clear" w:color="auto" w:fill="FFFFFF"/>
        </w:rPr>
        <w:t>温 馨 提 示</w:t>
      </w:r>
    </w:p>
    <w:p>
      <w:pPr>
        <w:widowControl/>
        <w:spacing w:line="560" w:lineRule="exact"/>
        <w:ind w:firstLine="672" w:firstLineChars="200"/>
        <w:jc w:val="left"/>
        <w:rPr>
          <w:rFonts w:ascii="仿宋_GB2312" w:hAnsi="仿宋_GB2312" w:eastAsia="仿宋_GB2312" w:cs="仿宋_GB2312"/>
          <w:spacing w:val="8"/>
          <w:sz w:val="32"/>
          <w:szCs w:val="32"/>
          <w:shd w:val="clear" w:color="auto" w:fill="FFFFFF"/>
        </w:rPr>
      </w:pPr>
    </w:p>
    <w:p>
      <w:pPr>
        <w:widowControl/>
        <w:spacing w:line="640" w:lineRule="exact"/>
        <w:jc w:val="left"/>
        <w:rPr>
          <w:rFonts w:ascii="仿宋_GB2312" w:hAnsi="仿宋_GB2312" w:eastAsia="仿宋_GB2312" w:cs="仿宋_GB2312"/>
          <w:spacing w:val="8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尊敬的各位办事群众：</w:t>
      </w:r>
    </w:p>
    <w:p>
      <w:pPr>
        <w:widowControl/>
        <w:spacing w:line="640" w:lineRule="exact"/>
        <w:ind w:firstLine="712" w:firstLineChars="200"/>
        <w:rPr>
          <w:rFonts w:ascii="仿宋_GB2312" w:hAnsi="仿宋_GB2312" w:eastAsia="仿宋_GB2312" w:cs="仿宋_GB2312"/>
          <w:spacing w:val="8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永吉县政务大厅是服务企业和群众的第一窗口，属人群聚集区，是新型冠状病毒感染的肺炎疫情防控的重点区域。为深入贯彻习近平总书记重要指示精神，全面落实党中央、国务院和省、市、县防控工作部署要求，切实做好新型冠状病毒感染的肺炎疫情防控工作，保障人民群众人身安全和生命健康，</w:t>
      </w:r>
      <w:r>
        <w:rPr>
          <w:rFonts w:hint="eastAsia" w:ascii="仿宋_GB2312" w:hAnsi="Helvetica" w:eastAsia="仿宋_GB2312" w:cs="Helvetica"/>
          <w:snapToGrid w:val="0"/>
          <w:kern w:val="0"/>
          <w:sz w:val="34"/>
          <w:szCs w:val="34"/>
        </w:rPr>
        <w:t>经</w:t>
      </w:r>
      <w:r>
        <w:rPr>
          <w:rFonts w:hint="eastAsia" w:ascii="仿宋_GB2312" w:hAnsi="微软雅黑" w:eastAsia="仿宋_GB2312" w:cs="宋体"/>
          <w:snapToGrid w:val="0"/>
          <w:spacing w:val="8"/>
          <w:kern w:val="0"/>
          <w:sz w:val="34"/>
          <w:szCs w:val="34"/>
          <w:shd w:val="clear" w:color="auto" w:fill="FFFFFF"/>
        </w:rPr>
        <w:t>永吉县新型冠状病毒感染的肺炎疫情防控工作领导小组批准，</w:t>
      </w: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我局特向您发出以下提示：</w:t>
      </w:r>
    </w:p>
    <w:p>
      <w:pPr>
        <w:widowControl/>
        <w:spacing w:line="640" w:lineRule="exact"/>
        <w:ind w:firstLine="680" w:firstLineChars="200"/>
        <w:rPr>
          <w:rFonts w:ascii="仿宋_GB2312" w:hAnsi="仿宋_GB2312" w:eastAsia="仿宋_GB2312" w:cs="仿宋_GB2312"/>
          <w:spacing w:val="8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4"/>
          <w:szCs w:val="34"/>
        </w:rPr>
        <w:t>一、永吉县政务大厅于2月9日（农历正月十六）前暂停对外服务，</w:t>
      </w: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请确需办事的企业群众，合理安排时间。</w:t>
      </w:r>
    </w:p>
    <w:p>
      <w:pPr>
        <w:widowControl/>
        <w:spacing w:line="640" w:lineRule="exact"/>
        <w:ind w:firstLine="712" w:firstLineChars="200"/>
        <w:rPr>
          <w:rFonts w:ascii="仿宋_GB2312" w:hAnsi="仿宋_GB2312" w:eastAsia="仿宋_GB2312" w:cs="仿宋_GB2312"/>
          <w:spacing w:val="8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二、倡导优先采用网上办理。可通过互联网端、手机APP、微信公众号等进行相关业务申办。办理结果通过邮政送达，费用到付。</w:t>
      </w:r>
    </w:p>
    <w:p>
      <w:pPr>
        <w:widowControl/>
        <w:spacing w:line="640" w:lineRule="exact"/>
        <w:ind w:firstLine="712" w:firstLineChars="200"/>
        <w:rPr>
          <w:rFonts w:ascii="仿宋_GB2312" w:hAnsi="仿宋_GB2312" w:eastAsia="仿宋_GB2312" w:cs="仿宋_GB2312"/>
          <w:spacing w:val="8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吉林政务服务网开通了外网申报端口，您可以登录吉林市政务服务网切换到永吉县，进行外网申报或业务办理（办理流程附后）。您还可以通过“国家税务总局吉林市税务局”、“吉林省e窗通系统”、“吉林省交通安全综合服务管理平台”、“互联网+公安”、“吉林掌上社保APP”、“</w:t>
      </w:r>
      <w:r>
        <w:rPr>
          <w:rFonts w:hint="eastAsia" w:ascii="仿宋_GB2312" w:hAnsi="仿宋_GB2312" w:eastAsia="仿宋_GB2312" w:cs="仿宋_GB2312"/>
          <w:sz w:val="34"/>
          <w:szCs w:val="34"/>
        </w:rPr>
        <w:t>吉林市社会医疗保险管理局”微信公众号</w:t>
      </w: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等网络平台，在线查询和办理相关业务。请您关注永吉县政府门户网站、吉林市政务服务网，我们将及时发布网上办理事项清单、指南等相关信息。</w:t>
      </w:r>
    </w:p>
    <w:p>
      <w:pPr>
        <w:widowControl/>
        <w:numPr>
          <w:ilvl w:val="0"/>
          <w:numId w:val="1"/>
        </w:numPr>
        <w:spacing w:line="640" w:lineRule="exact"/>
        <w:ind w:firstLine="712" w:firstLineChars="200"/>
        <w:rPr>
          <w:rFonts w:ascii="仿宋_GB2312" w:hAnsi="仿宋_GB2312" w:eastAsia="仿宋_GB2312" w:cs="仿宋_GB2312"/>
          <w:spacing w:val="8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开通绿色通道。您可通过电话咨询、实名预约办理的方式进行相关业务申办，通过QQ或微信等方式传送图片资料，先行预审，相关纸质书面材料可通过邮政EMS送达（费用自付）。如有重大紧急事项需要办理，请提前与各部门电话预约，未经实名预约的居民朋友，请勿自行前往县政务大厅。</w:t>
      </w:r>
    </w:p>
    <w:p>
      <w:pPr>
        <w:widowControl/>
        <w:spacing w:line="640" w:lineRule="exact"/>
        <w:ind w:firstLine="680" w:firstLineChars="200"/>
        <w:rPr>
          <w:rFonts w:ascii="仿宋_GB2312" w:hAnsi="仿宋_GB2312" w:eastAsia="仿宋_GB2312" w:cs="仿宋_GB2312"/>
          <w:sz w:val="34"/>
          <w:szCs w:val="34"/>
        </w:rPr>
      </w:pPr>
      <w:r>
        <w:rPr>
          <w:rFonts w:hint="eastAsia" w:ascii="仿宋_GB2312" w:hAnsi="仿宋_GB2312" w:eastAsia="仿宋_GB2312" w:cs="仿宋_GB2312"/>
          <w:sz w:val="34"/>
          <w:szCs w:val="34"/>
          <w:shd w:val="clear" w:color="auto" w:fill="FFFFFF"/>
        </w:rPr>
        <w:t>四、</w:t>
      </w: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若无紧要事项，请您延期到县政务大厅办理业务。</w:t>
      </w:r>
      <w:r>
        <w:rPr>
          <w:rFonts w:hint="eastAsia" w:ascii="仿宋_GB2312" w:hAnsi="仿宋_GB2312" w:eastAsia="仿宋_GB2312" w:cs="仿宋_GB2312"/>
          <w:sz w:val="34"/>
          <w:szCs w:val="34"/>
        </w:rPr>
        <w:t>14天内有重点区域旅行史或与重点人群接触史的，请按疫情防控有关要求做好申报、隔离，隔离期内请勿进入县政务大厅等公共场所。有发热等不适症状的，请按疫情防控指引及时就诊和隔离，请勿进入县政务大厅等公共场所。</w:t>
      </w:r>
      <w:r>
        <w:rPr>
          <w:rFonts w:hint="eastAsia" w:ascii="仿宋_GB2312" w:hAnsi="仿宋_GB2312" w:eastAsia="仿宋_GB2312" w:cs="仿宋_GB2312"/>
          <w:sz w:val="34"/>
          <w:szCs w:val="34"/>
          <w:shd w:val="clear" w:color="auto" w:fill="FFFFFF"/>
        </w:rPr>
        <w:t>实名预约后到县政务大厅现场办理业务的，请您务必自觉佩戴口罩，做好各种防护措施，即办即走，减少停留。</w:t>
      </w:r>
      <w:r>
        <w:rPr>
          <w:rFonts w:hint="eastAsia" w:ascii="仿宋_GB2312" w:hAnsi="仿宋_GB2312" w:eastAsia="仿宋_GB2312" w:cs="仿宋_GB2312"/>
          <w:sz w:val="34"/>
          <w:szCs w:val="34"/>
        </w:rPr>
        <w:t>请主动配合工作人员进行信息登记和体温检测，配合县政务大厅消毒工作。离开县政务大厅时，请将用过的纸巾和口罩随手带出政务大厅，按疫情防控指引做好处理。</w:t>
      </w:r>
    </w:p>
    <w:p>
      <w:pPr>
        <w:widowControl/>
        <w:spacing w:line="640" w:lineRule="exact"/>
        <w:ind w:firstLine="680" w:firstLineChars="200"/>
        <w:rPr>
          <w:rFonts w:ascii="仿宋_GB2312" w:hAnsi="仿宋_GB2312" w:eastAsia="仿宋_GB2312" w:cs="仿宋_GB2312"/>
          <w:sz w:val="34"/>
          <w:szCs w:val="34"/>
        </w:rPr>
      </w:pPr>
      <w:r>
        <w:rPr>
          <w:rFonts w:hint="eastAsia" w:ascii="仿宋_GB2312" w:hAnsi="仿宋_GB2312" w:eastAsia="仿宋_GB2312" w:cs="仿宋_GB2312"/>
          <w:sz w:val="34"/>
          <w:szCs w:val="34"/>
        </w:rPr>
        <w:t>为减少办事群众在县政务大厅滞留和聚集，降低交叉感染风险，县政务大厅管理部门将视情况实行人流管控。</w:t>
      </w:r>
    </w:p>
    <w:p>
      <w:pPr>
        <w:widowControl/>
        <w:spacing w:line="640" w:lineRule="exact"/>
        <w:ind w:firstLine="712" w:firstLineChars="200"/>
        <w:rPr>
          <w:rFonts w:ascii="仿宋_GB2312" w:hAnsi="仿宋_GB2312" w:eastAsia="仿宋_GB2312" w:cs="仿宋_GB2312"/>
          <w:sz w:val="34"/>
          <w:szCs w:val="34"/>
        </w:rPr>
      </w:pPr>
      <w:r>
        <w:rPr>
          <w:rFonts w:hint="eastAsia" w:ascii="仿宋_GB2312" w:hAnsi="仿宋_GB2312" w:eastAsia="仿宋_GB2312" w:cs="仿宋_GB2312"/>
          <w:spacing w:val="8"/>
          <w:sz w:val="34"/>
          <w:szCs w:val="34"/>
          <w:shd w:val="clear" w:color="auto" w:fill="FFFFFF"/>
        </w:rPr>
        <w:t>疫情防控，人人有责。</w:t>
      </w:r>
      <w:r>
        <w:rPr>
          <w:rFonts w:hint="eastAsia" w:ascii="仿宋_GB2312" w:hAnsi="仿宋_GB2312" w:eastAsia="仿宋_GB2312" w:cs="仿宋_GB2312"/>
          <w:sz w:val="34"/>
          <w:szCs w:val="34"/>
          <w:shd w:val="clear" w:color="auto" w:fill="FFFFFF"/>
        </w:rPr>
        <w:t>我们坚信，在党中央国务院和省委省政府、市委市政府、县委县政府的坚强领导以及社会各界的共同努力下，</w:t>
      </w:r>
      <w:r>
        <w:rPr>
          <w:rFonts w:hint="eastAsia" w:ascii="仿宋_GB2312" w:hAnsi="仿宋_GB2312" w:eastAsia="仿宋_GB2312" w:cs="仿宋_GB2312"/>
          <w:sz w:val="34"/>
          <w:szCs w:val="34"/>
        </w:rPr>
        <w:t>一定能够打赢这场</w:t>
      </w:r>
      <w:r>
        <w:rPr>
          <w:rFonts w:hint="eastAsia" w:ascii="仿宋_GB2312" w:hAnsi="仿宋_GB2312" w:eastAsia="仿宋_GB2312" w:cs="仿宋_GB2312"/>
          <w:sz w:val="34"/>
          <w:szCs w:val="34"/>
          <w:shd w:val="clear" w:color="auto" w:fill="FFFFFF"/>
        </w:rPr>
        <w:t>疫情防控</w:t>
      </w:r>
      <w:r>
        <w:rPr>
          <w:rFonts w:hint="eastAsia" w:ascii="仿宋_GB2312" w:hAnsi="仿宋_GB2312" w:eastAsia="仿宋_GB2312" w:cs="仿宋_GB2312"/>
          <w:sz w:val="34"/>
          <w:szCs w:val="34"/>
        </w:rPr>
        <w:t>的“人民战争”！ </w:t>
      </w:r>
    </w:p>
    <w:p>
      <w:pPr>
        <w:pStyle w:val="4"/>
        <w:spacing w:before="0" w:beforeAutospacing="0" w:after="0" w:afterAutospacing="0" w:line="640" w:lineRule="exact"/>
        <w:ind w:firstLine="680" w:firstLineChars="200"/>
        <w:jc w:val="both"/>
        <w:rPr>
          <w:rFonts w:ascii="仿宋_GB2312" w:hAnsi="仿宋_GB2312" w:eastAsia="仿宋_GB2312" w:cs="仿宋_GB2312"/>
          <w:sz w:val="34"/>
          <w:szCs w:val="34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4"/>
          <w:szCs w:val="34"/>
          <w:shd w:val="clear" w:color="auto" w:fill="FFFFFF"/>
        </w:rPr>
        <w:t>感谢您的理解和支持，祝大家新春快乐，身体健康，万事如意！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shd w:val="clear" w:color="auto" w:fill="FFFFFF"/>
        <w:snapToGrid w:val="0"/>
        <w:spacing w:beforeAutospacing="0" w:afterAutospacing="0"/>
        <w:jc w:val="center"/>
        <w:rPr>
          <w:rStyle w:val="7"/>
          <w:rFonts w:cs="仿宋_GB2312" w:asciiTheme="majorEastAsia" w:hAnsiTheme="majorEastAsia" w:eastAsiaTheme="majorEastAsia"/>
          <w:b w:val="0"/>
          <w:color w:val="333333"/>
          <w:sz w:val="44"/>
          <w:szCs w:val="44"/>
          <w:shd w:val="clear" w:color="auto" w:fill="FFFFFF"/>
        </w:rPr>
      </w:pPr>
      <w:r>
        <w:rPr>
          <w:rStyle w:val="7"/>
          <w:rFonts w:hint="eastAsia" w:cs="仿宋_GB2312" w:asciiTheme="majorEastAsia" w:hAnsiTheme="majorEastAsia" w:eastAsiaTheme="majorEastAsia"/>
          <w:b w:val="0"/>
          <w:color w:val="333333"/>
          <w:sz w:val="44"/>
          <w:szCs w:val="44"/>
          <w:shd w:val="clear" w:color="auto" w:fill="FFFFFF"/>
        </w:rPr>
        <w:t>永吉县网上办事大厅“网上办、不见面”</w:t>
      </w:r>
    </w:p>
    <w:p>
      <w:pPr>
        <w:pStyle w:val="4"/>
        <w:shd w:val="clear" w:color="auto" w:fill="FFFFFF"/>
        <w:snapToGrid w:val="0"/>
        <w:spacing w:beforeAutospacing="0" w:afterAutospacing="0"/>
        <w:jc w:val="center"/>
        <w:rPr>
          <w:rFonts w:cs="仿宋_GB2312" w:asciiTheme="majorEastAsia" w:hAnsiTheme="majorEastAsia" w:eastAsiaTheme="majorEastAsia"/>
          <w:b/>
          <w:color w:val="333333"/>
          <w:sz w:val="44"/>
          <w:szCs w:val="44"/>
        </w:rPr>
      </w:pPr>
      <w:r>
        <w:rPr>
          <w:rStyle w:val="7"/>
          <w:rFonts w:hint="eastAsia" w:cs="仿宋_GB2312" w:asciiTheme="majorEastAsia" w:hAnsiTheme="majorEastAsia" w:eastAsiaTheme="majorEastAsia"/>
          <w:b w:val="0"/>
          <w:color w:val="333333"/>
          <w:sz w:val="44"/>
          <w:szCs w:val="44"/>
          <w:shd w:val="clear" w:color="auto" w:fill="FFFFFF"/>
        </w:rPr>
        <w:t>办理流程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color w:val="333333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　　</w:t>
      </w:r>
    </w:p>
    <w:p>
      <w:pPr>
        <w:pStyle w:val="4"/>
        <w:shd w:val="clear" w:color="auto" w:fill="FFFFFF"/>
        <w:spacing w:beforeAutospacing="0" w:afterAutospacing="0" w:line="360" w:lineRule="auto"/>
        <w:ind w:firstLine="360" w:firstLineChars="150"/>
        <w:rPr>
          <w:rFonts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一</w:t>
      </w:r>
      <w:r>
        <w:rPr>
          <w:rStyle w:val="7"/>
          <w:rFonts w:hint="eastAsia" w:ascii="仿宋" w:hAnsi="仿宋" w:eastAsia="仿宋" w:cs="仿宋"/>
          <w:color w:val="333333"/>
          <w:shd w:val="clear" w:color="auto" w:fill="FFFFFF"/>
        </w:rPr>
        <w:t>、用户登录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　 用户访问吉林政务服务网：（http://zwfw.jlcity.gov.cn:66/pro)，建议采用谷歌和360浏览器（极速模式），如图一（首页）。</w:t>
      </w:r>
    </w:p>
    <w:p>
      <w:pPr>
        <w:widowControl/>
        <w:shd w:val="clear" w:color="auto" w:fill="FFFFFF"/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1135" cy="2753360"/>
            <wp:effectExtent l="0" t="0" r="571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sz w:val="18"/>
          <w:szCs w:val="18"/>
          <w:shd w:val="clear" w:color="auto" w:fill="FFFFFF"/>
        </w:rPr>
        <w:t>图一（首页）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　　点击右上方【</w:t>
      </w:r>
      <w:r>
        <w:rPr>
          <w:rFonts w:hint="eastAsia" w:ascii="仿宋" w:hAnsi="仿宋" w:eastAsia="仿宋" w:cs="仿宋"/>
          <w:b/>
          <w:bCs/>
          <w:color w:val="333333"/>
          <w:shd w:val="clear" w:color="auto" w:fill="FFFFFF"/>
        </w:rPr>
        <w:t>登录</w:t>
      </w:r>
      <w:r>
        <w:rPr>
          <w:rFonts w:hint="eastAsia" w:ascii="仿宋" w:hAnsi="仿宋" w:eastAsia="仿宋" w:cs="仿宋"/>
          <w:color w:val="333333"/>
          <w:shd w:val="clear" w:color="auto" w:fill="FFFFFF"/>
        </w:rPr>
        <w:t>】，输入用户名和密码，如图二（登录页面）。</w:t>
      </w:r>
    </w:p>
    <w:p>
      <w:pPr>
        <w:widowControl/>
        <w:shd w:val="clear" w:color="auto" w:fill="FFFFFF"/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1135" cy="232918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b/>
          <w:bCs/>
          <w:color w:val="333333"/>
          <w:sz w:val="18"/>
          <w:szCs w:val="18"/>
          <w:shd w:val="clear" w:color="auto" w:fill="FFFFFF"/>
        </w:rPr>
        <w:t>图二（登录页面）</w:t>
      </w:r>
    </w:p>
    <w:p>
      <w:pPr>
        <w:pStyle w:val="4"/>
        <w:shd w:val="clear" w:color="auto" w:fill="FFFFFF"/>
        <w:spacing w:beforeAutospacing="0" w:afterAutospacing="0" w:line="360" w:lineRule="auto"/>
        <w:ind w:firstLine="560"/>
        <w:rPr>
          <w:rFonts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如果用户已经注册过，根据实际情况，选择“个人用户”或“法</w:t>
      </w:r>
      <w:r>
        <w:rPr>
          <w:rFonts w:hint="eastAsia" w:ascii="仿宋" w:hAnsi="仿宋" w:eastAsia="仿宋" w:cs="仿宋"/>
          <w:shd w:val="clear" w:color="auto" w:fill="FFFFFF"/>
        </w:rPr>
        <w:t>人用户”，输入用户名、密码，即可直接登录；</w:t>
      </w:r>
    </w:p>
    <w:p>
      <w:pPr>
        <w:pStyle w:val="4"/>
        <w:shd w:val="clear" w:color="auto" w:fill="FFFFFF"/>
        <w:spacing w:beforeAutospacing="0" w:afterAutospacing="0" w:line="360" w:lineRule="auto"/>
        <w:ind w:firstLine="560"/>
        <w:rPr>
          <w:rFonts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t>若没有注册过，请先注册账号，根据申报对象，选择“个人注册”或者“法人注册”，进行注册。所有信息必须填写完整，为保证申报信息准确，请仔细核准注册信息。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drawing>
          <wp:inline distT="0" distB="0" distL="114300" distR="114300">
            <wp:extent cx="5262245" cy="1969770"/>
            <wp:effectExtent l="0" t="0" r="14605" b="1143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Autospacing="0" w:afterAutospacing="0" w:line="360" w:lineRule="auto"/>
        <w:jc w:val="center"/>
        <w:rPr>
          <w:rFonts w:ascii="仿宋" w:hAnsi="仿宋" w:eastAsia="仿宋" w:cs="仿宋"/>
          <w:sz w:val="18"/>
          <w:szCs w:val="18"/>
          <w:shd w:val="clear" w:color="auto" w:fill="FFFFFF"/>
        </w:rPr>
      </w:pPr>
      <w:r>
        <w:rPr>
          <w:rFonts w:hint="eastAsia" w:ascii="仿宋" w:hAnsi="仿宋" w:eastAsia="仿宋" w:cs="仿宋"/>
          <w:sz w:val="18"/>
          <w:szCs w:val="18"/>
          <w:shd w:val="clear" w:color="auto" w:fill="FFFFFF"/>
        </w:rPr>
        <w:t>图二（个人注册界面）</w:t>
      </w:r>
    </w:p>
    <w:p>
      <w:pPr>
        <w:pStyle w:val="4"/>
        <w:shd w:val="clear" w:color="auto" w:fill="FFFFFF"/>
        <w:spacing w:beforeAutospacing="0" w:afterAutospacing="0" w:line="360" w:lineRule="auto"/>
        <w:jc w:val="center"/>
        <w:rPr>
          <w:rFonts w:ascii="仿宋" w:hAnsi="仿宋" w:eastAsia="仿宋" w:cs="仿宋"/>
          <w:sz w:val="18"/>
          <w:szCs w:val="18"/>
          <w:shd w:val="clear" w:color="auto" w:fill="FFFFFF"/>
        </w:rPr>
      </w:pPr>
      <w:r>
        <w:rPr>
          <w:rFonts w:ascii="仿宋" w:hAnsi="仿宋" w:eastAsia="仿宋" w:cs="仿宋"/>
          <w:sz w:val="18"/>
          <w:szCs w:val="18"/>
          <w:shd w:val="clear" w:color="auto" w:fill="FFFFFF"/>
        </w:rPr>
        <w:drawing>
          <wp:inline distT="0" distB="0" distL="114300" distR="114300">
            <wp:extent cx="5265420" cy="3024505"/>
            <wp:effectExtent l="0" t="0" r="11430" b="444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18"/>
          <w:szCs w:val="18"/>
          <w:shd w:val="clear" w:color="auto" w:fill="FFFFFF"/>
        </w:rPr>
        <w:t>图二（法人注册界面）</w:t>
      </w:r>
    </w:p>
    <w:p>
      <w:pPr>
        <w:pStyle w:val="4"/>
        <w:shd w:val="clear" w:color="auto" w:fill="FFFFFF"/>
        <w:spacing w:beforeAutospacing="0" w:afterAutospacing="0" w:line="360" w:lineRule="auto"/>
        <w:ind w:firstLine="560"/>
        <w:rPr>
          <w:rFonts w:ascii="仿宋" w:hAnsi="仿宋" w:eastAsia="仿宋" w:cs="仿宋"/>
          <w:color w:val="333333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系统登录后，进入个人中心，可修改用户基本信息，查看我的办件、收件地址、我的投资项目、我的收藏、我的咨询等信息，如图三（个人中心）。</w:t>
      </w:r>
    </w:p>
    <w:p>
      <w:pPr>
        <w:pStyle w:val="4"/>
        <w:shd w:val="clear" w:color="auto" w:fill="FFFFFF"/>
        <w:spacing w:beforeAutospacing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499360"/>
            <wp:effectExtent l="0" t="0" r="1206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Autospacing="0" w:afterAutospacing="0" w:line="360" w:lineRule="auto"/>
        <w:ind w:firstLine="560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sz w:val="18"/>
          <w:szCs w:val="18"/>
          <w:shd w:val="clear" w:color="auto" w:fill="FFFFFF"/>
        </w:rPr>
        <w:t>图三（个人中心）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color w:val="333333"/>
        </w:rPr>
      </w:pPr>
      <w:r>
        <w:rPr>
          <w:rStyle w:val="7"/>
          <w:rFonts w:hint="eastAsia" w:ascii="仿宋" w:hAnsi="仿宋" w:eastAsia="仿宋" w:cs="仿宋"/>
          <w:color w:val="333333"/>
          <w:shd w:val="clear" w:color="auto" w:fill="FFFFFF"/>
        </w:rPr>
        <w:t>　　二、定位办事区域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13684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Autospacing="0" w:afterAutospacing="0" w:line="360" w:lineRule="auto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333333"/>
          <w:sz w:val="18"/>
          <w:szCs w:val="18"/>
          <w:shd w:val="clear" w:color="auto" w:fill="FFFFFF"/>
        </w:rPr>
        <w:t>图四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　　切换申报区域。根据用户实际需要，可通过点击，网站首页“地区切换”后，在下拉列表中，选择相应“市级”或“县（市、区）” 切换到选中区域进行办理，如图四。</w:t>
      </w:r>
    </w:p>
    <w:p>
      <w:pPr>
        <w:pStyle w:val="4"/>
        <w:shd w:val="clear" w:color="auto" w:fill="FFFFFF"/>
        <w:spacing w:beforeAutospacing="0" w:afterAutospacing="0" w:line="360" w:lineRule="auto"/>
        <w:rPr>
          <w:rFonts w:ascii="仿宋" w:hAnsi="仿宋" w:eastAsia="仿宋" w:cs="仿宋"/>
          <w:color w:val="333333"/>
        </w:rPr>
      </w:pPr>
      <w:r>
        <w:rPr>
          <w:rFonts w:hint="eastAsia" w:ascii="仿宋" w:hAnsi="仿宋" w:eastAsia="仿宋" w:cs="仿宋"/>
          <w:color w:val="333333"/>
          <w:shd w:val="clear" w:color="auto" w:fill="FFFFFF"/>
        </w:rPr>
        <w:t>　 三、</w:t>
      </w:r>
      <w:r>
        <w:rPr>
          <w:rStyle w:val="7"/>
          <w:rFonts w:hint="eastAsia" w:ascii="仿宋" w:hAnsi="仿宋" w:eastAsia="仿宋" w:cs="仿宋"/>
          <w:color w:val="333333"/>
          <w:shd w:val="clear" w:color="auto" w:fill="FFFFFF"/>
        </w:rPr>
        <w:t>事项申报</w:t>
      </w:r>
    </w:p>
    <w:p>
      <w:pPr>
        <w:shd w:val="clear" w:color="auto" w:fill="FFFFFF"/>
        <w:spacing w:line="360" w:lineRule="auto"/>
        <w:ind w:firstLine="56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以市水利局取水许可审批为例。</w:t>
      </w:r>
    </w:p>
    <w:p>
      <w:pPr>
        <w:shd w:val="clear" w:color="auto" w:fill="FFFFFF"/>
        <w:spacing w:line="360" w:lineRule="auto"/>
        <w:ind w:firstLine="56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找到要办理事项的两种方法：</w:t>
      </w:r>
    </w:p>
    <w:p>
      <w:pPr>
        <w:numPr>
          <w:ilvl w:val="0"/>
          <w:numId w:val="2"/>
        </w:numPr>
        <w:shd w:val="clear" w:color="auto" w:fill="FFFFFF"/>
        <w:spacing w:line="360" w:lineRule="auto"/>
        <w:ind w:firstLine="56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首页——个人办事——按部门——市水利局——取水许可审批，如图五所示；</w:t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221230"/>
            <wp:effectExtent l="0" t="0" r="1016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kern w:val="0"/>
          <w:sz w:val="18"/>
          <w:szCs w:val="18"/>
          <w:shd w:val="clear" w:color="auto" w:fill="FFFFFF"/>
        </w:rPr>
        <w:t>图五</w:t>
      </w:r>
    </w:p>
    <w:p>
      <w:pPr>
        <w:numPr>
          <w:ilvl w:val="0"/>
          <w:numId w:val="2"/>
        </w:numPr>
        <w:shd w:val="clear" w:color="auto" w:fill="FFFFFF"/>
        <w:spacing w:line="360" w:lineRule="auto"/>
        <w:ind w:firstLine="56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在右上角搜索栏中，输入关键字即可找到想要办理的事项，如图六所示。</w:t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325" cy="1203960"/>
            <wp:effectExtent l="0" t="0" r="952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kern w:val="0"/>
          <w:sz w:val="18"/>
          <w:szCs w:val="18"/>
          <w:shd w:val="clear" w:color="auto" w:fill="FFFFFF"/>
        </w:rPr>
        <w:t>图六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点击进入办事指南详情页面，可了解该事项相关信息，如图七所示。</w:t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66715" cy="4243705"/>
            <wp:effectExtent l="0" t="0" r="635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kern w:val="0"/>
          <w:sz w:val="18"/>
          <w:szCs w:val="18"/>
          <w:shd w:val="clear" w:color="auto" w:fill="FFFFFF"/>
        </w:rPr>
        <w:t>图七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如需办理点击【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在线办理/在线预审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】按钮，进行事项申请。</w:t>
      </w:r>
    </w:p>
    <w:p>
      <w:pPr>
        <w:spacing w:line="360" w:lineRule="auto"/>
        <w:ind w:firstLine="360" w:firstLineChars="150"/>
        <w:jc w:val="left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进入阅读须知界面，请自检审批条件是否满足，并仔细查看所需要收取的材料列表，如满足要求，点击网页下方的【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下一步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】按钮。</w:t>
      </w:r>
    </w:p>
    <w:p>
      <w:pPr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4785" cy="3524250"/>
            <wp:effectExtent l="0" t="0" r="1206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sz w:val="18"/>
          <w:szCs w:val="18"/>
        </w:rPr>
        <w:t>图八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点击【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下一步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】按钮后，跳转到申报信息界面，在申报信息界面，需要填写一些基本信息，其中带*号为必填项，根据实际情况进行填写。如需邮寄结果，选中是否邮寄结果中的“是”，填写收件人信息，如图九所示。</w:t>
      </w: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325" cy="5870575"/>
            <wp:effectExtent l="0" t="0" r="9525" b="158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kern w:val="0"/>
          <w:sz w:val="18"/>
          <w:szCs w:val="18"/>
          <w:shd w:val="clear" w:color="auto" w:fill="FFFFFF"/>
        </w:rPr>
        <w:t>图九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申报材料支持多种收取方式。如提交纸质、上传附件、来自共享材料，若为本地上传，需要选择【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上传附件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】，上传相关电子文件。若选择【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提交纸质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】申请人可将纸质材料邮寄至各审批窗口。选择【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来自共享材料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 xml:space="preserve">】，可选择该账号下关联所有共享材料，根据事项材料选择材料。 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当基本信息及材料提交完成后 点击【</w:t>
      </w:r>
      <w:r>
        <w:rPr>
          <w:rFonts w:hint="eastAsia" w:ascii="仿宋" w:hAnsi="仿宋" w:eastAsia="仿宋" w:cs="仿宋"/>
          <w:b/>
          <w:bCs/>
          <w:color w:val="333333"/>
          <w:kern w:val="0"/>
          <w:sz w:val="24"/>
          <w:szCs w:val="24"/>
          <w:shd w:val="clear" w:color="auto" w:fill="FFFFFF"/>
        </w:rPr>
        <w:t>提交</w:t>
      </w: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>】按钮，系统生成申办告知单，告知单生成唯一的办件申报号,如图十所示，查询办件流程的查询密码方便申请人实时关注办件进度。</w:t>
      </w: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960" cy="4097020"/>
            <wp:effectExtent l="0" t="0" r="8890" b="177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18"/>
          <w:szCs w:val="18"/>
        </w:rPr>
      </w:pPr>
      <w:r>
        <w:rPr>
          <w:rFonts w:hint="eastAsia" w:ascii="仿宋" w:hAnsi="仿宋" w:eastAsia="仿宋" w:cs="仿宋"/>
          <w:color w:val="333333"/>
          <w:kern w:val="0"/>
          <w:sz w:val="18"/>
          <w:szCs w:val="18"/>
          <w:shd w:val="clear" w:color="auto" w:fill="FFFFFF"/>
        </w:rPr>
        <w:t>图十</w:t>
      </w:r>
    </w:p>
    <w:p>
      <w:pPr>
        <w:spacing w:line="360" w:lineRule="auto"/>
        <w:ind w:firstLine="465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333333"/>
          <w:kern w:val="0"/>
          <w:sz w:val="24"/>
          <w:szCs w:val="24"/>
          <w:shd w:val="clear" w:color="auto" w:fill="FFFFFF"/>
        </w:rPr>
        <w:t xml:space="preserve"> 已经申报的事项，可以【个人中心】中【我的办件】查询办件进度，如图十一所示。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055" cy="2030095"/>
            <wp:effectExtent l="0" t="0" r="10795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65"/>
        <w:jc w:val="center"/>
        <w:rPr>
          <w:snapToGrid w:val="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kern w:val="0"/>
          <w:sz w:val="18"/>
          <w:szCs w:val="18"/>
          <w:shd w:val="clear" w:color="auto" w:fill="FFFFFF"/>
        </w:rPr>
        <w:t>图十一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3D86CA"/>
    <w:multiLevelType w:val="singleLevel"/>
    <w:tmpl w:val="883D86C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619A6EC"/>
    <w:multiLevelType w:val="singleLevel"/>
    <w:tmpl w:val="D619A6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54C2B"/>
    <w:rsid w:val="54B5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2020-02-02T06:16:00Z</dcterms:created>
  <dc:creator>漱溪生</dc:creator>
  <cp:lastModifiedBy>漱溪生</cp:lastModifiedBy>
  <dcterms:modified xsi:type="dcterms:W3CDTF">2020-02-02T06:19:07Z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