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0" w:firstLineChars="0"/>
        <w:jc w:val="left"/>
        <w:rPr>
          <w:rFonts w:cs="Times New Roman"/>
          <w:kern w:val="0"/>
          <w:sz w:val="40"/>
          <w:szCs w:val="40"/>
        </w:rPr>
      </w:pPr>
    </w:p>
    <w:p>
      <w:pPr>
        <w:ind w:firstLine="800"/>
        <w:jc w:val="center"/>
        <w:rPr>
          <w:rFonts w:cs="Times New Roman"/>
          <w:sz w:val="40"/>
          <w:szCs w:val="40"/>
        </w:rPr>
      </w:pPr>
    </w:p>
    <w:p>
      <w:pPr>
        <w:ind w:firstLine="0" w:firstLineChars="0"/>
        <w:jc w:val="left"/>
        <w:rPr>
          <w:rFonts w:cs="Times New Roman"/>
          <w:sz w:val="40"/>
          <w:szCs w:val="40"/>
        </w:rPr>
      </w:pPr>
    </w:p>
    <w:p>
      <w:pPr>
        <w:spacing w:line="720" w:lineRule="auto"/>
        <w:ind w:firstLine="0" w:firstLineChars="0"/>
        <w:jc w:val="center"/>
        <w:rPr>
          <w:rFonts w:eastAsia="方正小标宋简体" w:cs="Times New Roman"/>
          <w:b/>
          <w:kern w:val="0"/>
          <w:sz w:val="40"/>
          <w:szCs w:val="44"/>
        </w:rPr>
      </w:pPr>
      <w:r>
        <w:rPr>
          <w:rFonts w:hint="eastAsia" w:eastAsia="方正小标宋简体" w:cs="Times New Roman"/>
          <w:b/>
          <w:kern w:val="0"/>
          <w:sz w:val="40"/>
          <w:szCs w:val="44"/>
        </w:rPr>
        <w:t>永吉县西阳镇</w:t>
      </w:r>
      <w:r>
        <w:rPr>
          <w:rFonts w:eastAsia="方正小标宋简体" w:cs="Times New Roman"/>
          <w:b/>
          <w:kern w:val="0"/>
          <w:sz w:val="40"/>
          <w:szCs w:val="44"/>
        </w:rPr>
        <w:t>土地利用总体规划</w:t>
      </w:r>
    </w:p>
    <w:p>
      <w:pPr>
        <w:spacing w:line="720" w:lineRule="auto"/>
        <w:ind w:firstLine="0" w:firstLineChars="0"/>
        <w:jc w:val="center"/>
        <w:rPr>
          <w:rFonts w:eastAsia="方正小标宋简体" w:cs="Times New Roman"/>
          <w:b/>
          <w:kern w:val="0"/>
          <w:sz w:val="40"/>
          <w:szCs w:val="44"/>
        </w:rPr>
      </w:pPr>
      <w:r>
        <w:rPr>
          <w:rFonts w:eastAsia="方正小标宋简体" w:cs="Times New Roman"/>
          <w:b/>
          <w:kern w:val="0"/>
          <w:sz w:val="40"/>
          <w:szCs w:val="44"/>
        </w:rPr>
        <w:t>（2006-2020年）</w:t>
      </w:r>
    </w:p>
    <w:p>
      <w:pPr>
        <w:spacing w:line="720" w:lineRule="auto"/>
        <w:ind w:firstLine="0" w:firstLineChars="0"/>
        <w:jc w:val="center"/>
        <w:rPr>
          <w:rFonts w:eastAsia="方正小标宋简体" w:cs="Times New Roman"/>
          <w:b/>
          <w:kern w:val="0"/>
          <w:sz w:val="40"/>
          <w:szCs w:val="44"/>
        </w:rPr>
      </w:pPr>
      <w:r>
        <w:rPr>
          <w:rFonts w:eastAsia="方正小标宋简体" w:cs="Times New Roman"/>
          <w:b/>
          <w:kern w:val="0"/>
          <w:sz w:val="40"/>
          <w:szCs w:val="44"/>
        </w:rPr>
        <w:t>修改方案</w:t>
      </w:r>
    </w:p>
    <w:p>
      <w:pPr>
        <w:spacing w:line="720" w:lineRule="auto"/>
        <w:ind w:firstLine="0" w:firstLineChars="0"/>
        <w:jc w:val="center"/>
        <w:rPr>
          <w:rFonts w:cs="Times New Roman"/>
          <w:kern w:val="0"/>
          <w:sz w:val="40"/>
        </w:rPr>
      </w:pPr>
    </w:p>
    <w:p>
      <w:pPr>
        <w:ind w:firstLine="0" w:firstLineChars="0"/>
        <w:jc w:val="center"/>
        <w:rPr>
          <w:rFonts w:cs="Times New Roman"/>
          <w:kern w:val="0"/>
          <w:sz w:val="40"/>
        </w:rPr>
      </w:pPr>
    </w:p>
    <w:p>
      <w:pPr>
        <w:ind w:firstLine="0" w:firstLineChars="0"/>
        <w:jc w:val="center"/>
        <w:rPr>
          <w:rFonts w:cs="Times New Roman"/>
          <w:kern w:val="0"/>
          <w:sz w:val="40"/>
        </w:rPr>
      </w:pPr>
    </w:p>
    <w:p>
      <w:pPr>
        <w:ind w:firstLine="0" w:firstLineChars="0"/>
        <w:jc w:val="center"/>
        <w:rPr>
          <w:rFonts w:cs="Times New Roman"/>
          <w:kern w:val="0"/>
          <w:sz w:val="40"/>
        </w:rPr>
      </w:pPr>
    </w:p>
    <w:p>
      <w:pPr>
        <w:ind w:firstLine="0" w:firstLineChars="0"/>
        <w:jc w:val="center"/>
        <w:rPr>
          <w:rFonts w:cs="Times New Roman"/>
          <w:kern w:val="0"/>
          <w:sz w:val="40"/>
        </w:rPr>
      </w:pPr>
    </w:p>
    <w:p>
      <w:pPr>
        <w:ind w:firstLine="0" w:firstLineChars="0"/>
        <w:jc w:val="center"/>
        <w:rPr>
          <w:rFonts w:cs="Times New Roman"/>
          <w:kern w:val="0"/>
          <w:sz w:val="40"/>
        </w:rPr>
      </w:pPr>
    </w:p>
    <w:p>
      <w:pPr>
        <w:ind w:firstLine="0" w:firstLineChars="0"/>
        <w:jc w:val="center"/>
        <w:rPr>
          <w:rFonts w:cs="Times New Roman"/>
          <w:kern w:val="0"/>
          <w:sz w:val="40"/>
        </w:rPr>
      </w:pPr>
    </w:p>
    <w:p>
      <w:pPr>
        <w:ind w:firstLine="0" w:firstLineChars="0"/>
        <w:jc w:val="center"/>
        <w:rPr>
          <w:rFonts w:cs="Times New Roman"/>
          <w:kern w:val="0"/>
          <w:sz w:val="40"/>
        </w:rPr>
      </w:pPr>
    </w:p>
    <w:p>
      <w:pPr>
        <w:ind w:firstLine="0" w:firstLineChars="0"/>
        <w:jc w:val="center"/>
        <w:rPr>
          <w:rFonts w:cs="Times New Roman"/>
          <w:kern w:val="0"/>
          <w:sz w:val="40"/>
        </w:rPr>
      </w:pPr>
    </w:p>
    <w:p>
      <w:pPr>
        <w:ind w:firstLine="0" w:firstLineChars="0"/>
        <w:jc w:val="center"/>
        <w:rPr>
          <w:rFonts w:cs="Times New Roman"/>
          <w:kern w:val="0"/>
          <w:sz w:val="40"/>
        </w:rPr>
      </w:pPr>
    </w:p>
    <w:p>
      <w:pPr>
        <w:ind w:firstLine="0" w:firstLineChars="0"/>
        <w:jc w:val="center"/>
        <w:rPr>
          <w:rFonts w:cs="Times New Roman"/>
          <w:kern w:val="0"/>
          <w:sz w:val="40"/>
        </w:rPr>
      </w:pPr>
    </w:p>
    <w:p>
      <w:pPr>
        <w:spacing w:line="312" w:lineRule="auto"/>
        <w:ind w:firstLine="0" w:firstLineChars="0"/>
        <w:jc w:val="center"/>
        <w:rPr>
          <w:rFonts w:eastAsia="方正小标宋简体" w:cs="Times New Roman"/>
          <w:b/>
          <w:kern w:val="2"/>
          <w:sz w:val="32"/>
          <w:szCs w:val="32"/>
        </w:rPr>
      </w:pPr>
      <w:r>
        <w:rPr>
          <w:rFonts w:hint="eastAsia" w:eastAsia="方正小标宋简体" w:cs="Times New Roman"/>
          <w:b/>
          <w:kern w:val="2"/>
          <w:sz w:val="32"/>
          <w:szCs w:val="32"/>
        </w:rPr>
        <w:t>西阳镇</w:t>
      </w:r>
      <w:r>
        <w:rPr>
          <w:rFonts w:eastAsia="方正小标宋简体" w:cs="Times New Roman"/>
          <w:b/>
          <w:kern w:val="2"/>
          <w:sz w:val="32"/>
          <w:szCs w:val="32"/>
        </w:rPr>
        <w:t>人民政府</w:t>
      </w:r>
    </w:p>
    <w:p>
      <w:pPr>
        <w:spacing w:line="312" w:lineRule="auto"/>
        <w:ind w:firstLine="0" w:firstLineChars="0"/>
        <w:jc w:val="center"/>
        <w:rPr>
          <w:rFonts w:eastAsia="方正小标宋简体" w:cs="Times New Roman"/>
          <w:b/>
          <w:kern w:val="2"/>
          <w:sz w:val="32"/>
          <w:szCs w:val="32"/>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cols w:space="720" w:num="1"/>
          <w:docGrid w:type="lines" w:linePitch="312" w:charSpace="0"/>
        </w:sectPr>
      </w:pPr>
      <w:r>
        <w:rPr>
          <w:rFonts w:eastAsia="方正小标宋简体" w:cs="Times New Roman"/>
          <w:b/>
          <w:kern w:val="2"/>
          <w:sz w:val="32"/>
          <w:szCs w:val="32"/>
        </w:rPr>
        <w:t>二〇</w:t>
      </w:r>
      <w:r>
        <w:rPr>
          <w:rFonts w:hint="eastAsia" w:eastAsia="方正小标宋简体" w:cs="Times New Roman"/>
          <w:b/>
          <w:kern w:val="2"/>
          <w:sz w:val="32"/>
          <w:szCs w:val="32"/>
        </w:rPr>
        <w:t>二〇</w:t>
      </w:r>
      <w:r>
        <w:rPr>
          <w:rFonts w:eastAsia="方正小标宋简体" w:cs="Times New Roman"/>
          <w:b/>
          <w:kern w:val="2"/>
          <w:sz w:val="32"/>
          <w:szCs w:val="32"/>
        </w:rPr>
        <w:t>年</w:t>
      </w:r>
      <w:r>
        <w:rPr>
          <w:rFonts w:hint="eastAsia" w:eastAsia="方正小标宋简体" w:cs="Times New Roman"/>
          <w:b/>
          <w:kern w:val="2"/>
          <w:sz w:val="32"/>
          <w:szCs w:val="32"/>
        </w:rPr>
        <w:t>五</w:t>
      </w:r>
      <w:r>
        <w:rPr>
          <w:rFonts w:eastAsia="方正小标宋简体" w:cs="Times New Roman"/>
          <w:b/>
          <w:kern w:val="2"/>
          <w:sz w:val="32"/>
          <w:szCs w:val="32"/>
        </w:rPr>
        <w:t>月</w:t>
      </w:r>
    </w:p>
    <w:p>
      <w:pPr>
        <w:pStyle w:val="29"/>
        <w:spacing w:before="156" w:after="156" w:line="240" w:lineRule="auto"/>
        <w:ind w:firstLine="0" w:firstLineChars="0"/>
        <w:jc w:val="center"/>
      </w:pPr>
      <w:bookmarkStart w:id="0" w:name="_Toc532804508"/>
      <w:bookmarkStart w:id="1" w:name="_Toc464034378"/>
      <w:bookmarkStart w:id="2" w:name="_Toc528244380"/>
      <w:bookmarkStart w:id="3" w:name="_Toc534727034"/>
      <w:bookmarkStart w:id="4" w:name="_Toc28712802"/>
      <w:bookmarkStart w:id="5" w:name="_Toc533597856"/>
      <w:bookmarkStart w:id="6" w:name="_Toc532804686"/>
      <w:bookmarkStart w:id="7" w:name="_Toc407090038"/>
      <w:bookmarkStart w:id="8" w:name="_Toc406944119"/>
      <w:bookmarkStart w:id="9" w:name="_Toc27659710"/>
      <w:bookmarkStart w:id="10" w:name="_Toc28874699"/>
      <w:bookmarkStart w:id="11" w:name="_Toc456876037"/>
      <w:bookmarkStart w:id="12" w:name="_Toc417551640"/>
      <w:bookmarkStart w:id="13" w:name="_Toc464030950"/>
      <w:bookmarkStart w:id="14" w:name="_Toc40116509"/>
      <w:bookmarkStart w:id="15" w:name="_Toc532804640"/>
      <w:bookmarkStart w:id="16" w:name="_Toc534880682"/>
      <w:bookmarkStart w:id="17" w:name="_Toc534880971"/>
      <w:bookmarkStart w:id="18" w:name="_Toc534619717"/>
      <w:bookmarkStart w:id="19" w:name="_Toc39828241"/>
      <w:bookmarkStart w:id="20" w:name="_Toc534720108"/>
      <w:bookmarkStart w:id="21" w:name="_Toc406499483"/>
      <w:bookmarkStart w:id="22" w:name="_Toc406932928"/>
      <w:bookmarkStart w:id="23" w:name="_Toc406932974"/>
      <w:bookmarkStart w:id="24" w:name="_Toc456122282"/>
      <w:bookmarkStart w:id="25" w:name="_Toc456950044"/>
      <w:bookmarkStart w:id="26" w:name="_Toc406932654"/>
      <w:bookmarkStart w:id="27" w:name="_Toc456189133"/>
      <w:bookmarkStart w:id="28" w:name="_Toc406944193"/>
      <w:bookmarkStart w:id="29" w:name="_Toc24561588"/>
      <w:bookmarkStart w:id="30" w:name="_Toc407111066"/>
      <w:bookmarkStart w:id="31" w:name="_Toc406944158"/>
      <w:bookmarkStart w:id="32" w:name="_Toc28081144"/>
      <w:bookmarkStart w:id="33" w:name="_Toc28708039"/>
      <w:bookmarkStart w:id="34" w:name="_Toc534720050"/>
      <w:bookmarkStart w:id="35" w:name="_Toc532804920"/>
      <w:bookmarkStart w:id="36" w:name="_Toc416807065"/>
      <w:bookmarkStart w:id="37" w:name="_Toc417488056"/>
      <w:bookmarkStart w:id="38" w:name="_Toc417542825"/>
      <w:bookmarkStart w:id="39" w:name="_Toc416807213"/>
      <w:bookmarkStart w:id="40" w:name="_Toc407696202"/>
      <w:bookmarkStart w:id="41" w:name="_Toc407780875"/>
      <w:bookmarkStart w:id="42" w:name="_Toc39330353"/>
      <w:bookmarkStart w:id="43" w:name="_Toc28708094"/>
      <w:bookmarkStart w:id="44" w:name="_Toc406246164"/>
      <w:bookmarkStart w:id="45" w:name="_Toc532804585"/>
      <w:bookmarkStart w:id="46" w:name="_Toc39173401"/>
      <w:bookmarkStart w:id="47" w:name="_Toc28971266"/>
      <w:r>
        <w:t>目</w:t>
      </w:r>
      <w:r>
        <w:rPr>
          <w:rFonts w:hint="eastAsia"/>
        </w:rPr>
        <w:t xml:space="preserve">  </w:t>
      </w:r>
      <w:r>
        <w:t>录</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r>
        <w:rPr>
          <w:rFonts w:eastAsia="仿宋_GB2312"/>
          <w:sz w:val="28"/>
        </w:rPr>
        <w:fldChar w:fldCharType="begin"/>
      </w:r>
      <w:r>
        <w:rPr>
          <w:rFonts w:eastAsia="仿宋_GB2312"/>
          <w:sz w:val="28"/>
        </w:rPr>
        <w:instrText xml:space="preserve"> TOC \o "1-2" \h \z \u </w:instrText>
      </w:r>
      <w:r>
        <w:rPr>
          <w:rFonts w:eastAsia="仿宋_GB2312"/>
          <w:sz w:val="28"/>
        </w:rPr>
        <w:fldChar w:fldCharType="separate"/>
      </w:r>
    </w:p>
    <w:p>
      <w:pPr>
        <w:pStyle w:val="13"/>
        <w:rPr>
          <w:rFonts w:asciiTheme="minorHAnsi" w:hAnsiTheme="minorHAnsi" w:eastAsiaTheme="minorEastAsia"/>
          <w:kern w:val="2"/>
          <w:sz w:val="21"/>
          <w:szCs w:val="22"/>
        </w:rPr>
      </w:pPr>
      <w:r>
        <w:rPr>
          <w:rStyle w:val="21"/>
        </w:rPr>
        <w:fldChar w:fldCharType="begin"/>
      </w:r>
      <w:r>
        <w:rPr>
          <w:rStyle w:val="21"/>
        </w:rPr>
        <w:instrText xml:space="preserve"> </w:instrText>
      </w:r>
      <w:r>
        <w:instrText xml:space="preserve">HYPERLINK \l "_Toc40116510"</w:instrText>
      </w:r>
      <w:r>
        <w:rPr>
          <w:rStyle w:val="21"/>
        </w:rPr>
        <w:instrText xml:space="preserve"> </w:instrText>
      </w:r>
      <w:r>
        <w:rPr>
          <w:rStyle w:val="21"/>
        </w:rPr>
        <w:fldChar w:fldCharType="separate"/>
      </w:r>
      <w:r>
        <w:rPr>
          <w:rStyle w:val="21"/>
          <w:rFonts w:hint="eastAsia"/>
        </w:rPr>
        <w:t>前</w:t>
      </w:r>
      <w:r>
        <w:rPr>
          <w:rStyle w:val="21"/>
        </w:rPr>
        <w:t xml:space="preserve">  </w:t>
      </w:r>
      <w:r>
        <w:rPr>
          <w:rStyle w:val="21"/>
          <w:rFonts w:hint="eastAsia"/>
        </w:rPr>
        <w:t>言</w:t>
      </w:r>
      <w:r>
        <w:tab/>
      </w:r>
      <w:r>
        <w:fldChar w:fldCharType="begin"/>
      </w:r>
      <w:r>
        <w:instrText xml:space="preserve"> PAGEREF _Toc40116510 \h </w:instrText>
      </w:r>
      <w:r>
        <w:fldChar w:fldCharType="separate"/>
      </w:r>
      <w:r>
        <w:t>1</w:t>
      </w:r>
      <w:r>
        <w:fldChar w:fldCharType="end"/>
      </w:r>
      <w:r>
        <w:rPr>
          <w:rStyle w:val="21"/>
        </w:rPr>
        <w:fldChar w:fldCharType="end"/>
      </w:r>
    </w:p>
    <w:p>
      <w:pPr>
        <w:pStyle w:val="13"/>
        <w:rPr>
          <w:rFonts w:asciiTheme="minorHAnsi" w:hAnsiTheme="minorHAnsi" w:eastAsiaTheme="minorEastAsia"/>
          <w:kern w:val="2"/>
          <w:sz w:val="21"/>
          <w:szCs w:val="22"/>
        </w:rPr>
      </w:pPr>
      <w:r>
        <w:fldChar w:fldCharType="begin"/>
      </w:r>
      <w:r>
        <w:instrText xml:space="preserve"> HYPERLINK \l "_Toc40116511" </w:instrText>
      </w:r>
      <w:r>
        <w:fldChar w:fldCharType="separate"/>
      </w:r>
      <w:r>
        <w:rPr>
          <w:rStyle w:val="21"/>
          <w:rFonts w:hint="eastAsia"/>
        </w:rPr>
        <w:t>一、镇域概况</w:t>
      </w:r>
      <w:r>
        <w:tab/>
      </w:r>
      <w:r>
        <w:fldChar w:fldCharType="begin"/>
      </w:r>
      <w:r>
        <w:instrText xml:space="preserve"> PAGEREF _Toc40116511 \h </w:instrText>
      </w:r>
      <w:r>
        <w:fldChar w:fldCharType="separate"/>
      </w:r>
      <w:r>
        <w:t>3</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"_Toc40116512" </w:instrText>
      </w:r>
      <w:r>
        <w:fldChar w:fldCharType="separate"/>
      </w:r>
      <w:r>
        <w:rPr>
          <w:rStyle w:val="21"/>
          <w:rFonts w:hint="eastAsia"/>
        </w:rPr>
        <w:t>（一）自然概况</w:t>
      </w:r>
      <w:r>
        <w:tab/>
      </w:r>
      <w:r>
        <w:fldChar w:fldCharType="begin"/>
      </w:r>
      <w:r>
        <w:instrText xml:space="preserve"> PAGEREF _Toc40116512 \h </w:instrText>
      </w:r>
      <w:r>
        <w:fldChar w:fldCharType="separate"/>
      </w:r>
      <w:r>
        <w:t>3</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"_Toc40116513" </w:instrText>
      </w:r>
      <w:r>
        <w:fldChar w:fldCharType="separate"/>
      </w:r>
      <w:r>
        <w:rPr>
          <w:rStyle w:val="21"/>
          <w:rFonts w:hint="eastAsia"/>
        </w:rPr>
        <w:t>（二）社会经济概况</w:t>
      </w:r>
      <w:r>
        <w:tab/>
      </w:r>
      <w:r>
        <w:fldChar w:fldCharType="begin"/>
      </w:r>
      <w:r>
        <w:instrText xml:space="preserve"> PAGEREF _Toc40116513 \h </w:instrText>
      </w:r>
      <w:r>
        <w:fldChar w:fldCharType="separate"/>
      </w:r>
      <w:r>
        <w:t>4</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"_Toc40116514" </w:instrText>
      </w:r>
      <w:r>
        <w:fldChar w:fldCharType="separate"/>
      </w:r>
      <w:r>
        <w:rPr>
          <w:rStyle w:val="21"/>
          <w:rFonts w:hint="eastAsia"/>
        </w:rPr>
        <w:t>（三）土地利用现状</w:t>
      </w:r>
      <w:r>
        <w:tab/>
      </w:r>
      <w:r>
        <w:fldChar w:fldCharType="begin"/>
      </w:r>
      <w:r>
        <w:instrText xml:space="preserve"> PAGEREF _Toc40116514 \h </w:instrText>
      </w:r>
      <w:r>
        <w:fldChar w:fldCharType="separate"/>
      </w:r>
      <w:r>
        <w:t>4</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"_Toc40116515" </w:instrText>
      </w:r>
      <w:r>
        <w:fldChar w:fldCharType="separate"/>
      </w:r>
      <w:r>
        <w:rPr>
          <w:rStyle w:val="21"/>
          <w:rFonts w:hint="eastAsia"/>
        </w:rPr>
        <w:t>（四）土地利用现状特点</w:t>
      </w:r>
      <w:r>
        <w:tab/>
      </w:r>
      <w:r>
        <w:fldChar w:fldCharType="begin"/>
      </w:r>
      <w:r>
        <w:instrText xml:space="preserve"> PAGEREF _Toc40116515 \h </w:instrText>
      </w:r>
      <w:r>
        <w:fldChar w:fldCharType="separate"/>
      </w:r>
      <w:r>
        <w:t>6</w:t>
      </w:r>
      <w:r>
        <w:fldChar w:fldCharType="end"/>
      </w:r>
      <w:r>
        <w:fldChar w:fldCharType="end"/>
      </w:r>
    </w:p>
    <w:p>
      <w:pPr>
        <w:pStyle w:val="13"/>
        <w:rPr>
          <w:rFonts w:asciiTheme="minorHAnsi" w:hAnsiTheme="minorHAnsi" w:eastAsiaTheme="minorEastAsia"/>
          <w:kern w:val="2"/>
          <w:sz w:val="21"/>
          <w:szCs w:val="22"/>
        </w:rPr>
      </w:pPr>
      <w:r>
        <w:fldChar w:fldCharType="begin"/>
      </w:r>
      <w:r>
        <w:instrText xml:space="preserve"> HYPERLINK \l "_Toc40116516" </w:instrText>
      </w:r>
      <w:r>
        <w:fldChar w:fldCharType="separate"/>
      </w:r>
      <w:r>
        <w:rPr>
          <w:rStyle w:val="21"/>
          <w:rFonts w:hint="eastAsia"/>
        </w:rPr>
        <w:t>二、规划评估情况</w:t>
      </w:r>
      <w:r>
        <w:tab/>
      </w:r>
      <w:r>
        <w:fldChar w:fldCharType="begin"/>
      </w:r>
      <w:r>
        <w:instrText xml:space="preserve"> PAGEREF _Toc40116516 \h </w:instrText>
      </w:r>
      <w:r>
        <w:fldChar w:fldCharType="separate"/>
      </w:r>
      <w:r>
        <w:t>8</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"_Toc40116517" </w:instrText>
      </w:r>
      <w:r>
        <w:fldChar w:fldCharType="separate"/>
      </w:r>
      <w:r>
        <w:rPr>
          <w:rStyle w:val="21"/>
          <w:rFonts w:hint="eastAsia"/>
        </w:rPr>
        <w:t>（一）规划评估主要内容</w:t>
      </w:r>
      <w:r>
        <w:tab/>
      </w:r>
      <w:r>
        <w:fldChar w:fldCharType="begin"/>
      </w:r>
      <w:r>
        <w:instrText xml:space="preserve"> PAGEREF _Toc40116517 \h </w:instrText>
      </w:r>
      <w:r>
        <w:fldChar w:fldCharType="separate"/>
      </w:r>
      <w:r>
        <w:t>8</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"_Toc40116518" </w:instrText>
      </w:r>
      <w:r>
        <w:fldChar w:fldCharType="separate"/>
      </w:r>
      <w:r>
        <w:rPr>
          <w:rStyle w:val="21"/>
          <w:rFonts w:hint="eastAsia"/>
        </w:rPr>
        <w:t>（二）规划评估结论</w:t>
      </w:r>
      <w:r>
        <w:tab/>
      </w:r>
      <w:r>
        <w:fldChar w:fldCharType="begin"/>
      </w:r>
      <w:r>
        <w:instrText xml:space="preserve"> PAGEREF _Toc40116518 \h </w:instrText>
      </w:r>
      <w:r>
        <w:fldChar w:fldCharType="separate"/>
      </w:r>
      <w:r>
        <w:t>12</w:t>
      </w:r>
      <w:r>
        <w:fldChar w:fldCharType="end"/>
      </w:r>
      <w:r>
        <w:fldChar w:fldCharType="end"/>
      </w:r>
    </w:p>
    <w:p>
      <w:pPr>
        <w:pStyle w:val="13"/>
        <w:rPr>
          <w:rFonts w:asciiTheme="minorHAnsi" w:hAnsiTheme="minorHAnsi" w:eastAsiaTheme="minorEastAsia"/>
          <w:kern w:val="2"/>
          <w:sz w:val="21"/>
          <w:szCs w:val="22"/>
        </w:rPr>
      </w:pPr>
      <w:r>
        <w:fldChar w:fldCharType="begin"/>
      </w:r>
      <w:r>
        <w:instrText xml:space="preserve"> HYPERLINK \l "_Toc40116519" </w:instrText>
      </w:r>
      <w:r>
        <w:fldChar w:fldCharType="separate"/>
      </w:r>
      <w:r>
        <w:rPr>
          <w:rStyle w:val="21"/>
          <w:rFonts w:hint="eastAsia"/>
        </w:rPr>
        <w:t>三、规划修改的原因</w:t>
      </w:r>
      <w:r>
        <w:tab/>
      </w:r>
      <w:r>
        <w:fldChar w:fldCharType="begin"/>
      </w:r>
      <w:r>
        <w:instrText xml:space="preserve"> PAGEREF _Toc40116519 \h </w:instrText>
      </w:r>
      <w:r>
        <w:fldChar w:fldCharType="separate"/>
      </w:r>
      <w:r>
        <w:t>14</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"_Toc40116520" </w:instrText>
      </w:r>
      <w:r>
        <w:fldChar w:fldCharType="separate"/>
      </w:r>
      <w:r>
        <w:rPr>
          <w:rStyle w:val="21"/>
          <w:rFonts w:hint="eastAsia"/>
        </w:rPr>
        <w:t>（一）规划修改的必要性</w:t>
      </w:r>
      <w:r>
        <w:tab/>
      </w:r>
      <w:r>
        <w:fldChar w:fldCharType="begin"/>
      </w:r>
      <w:r>
        <w:instrText xml:space="preserve"> PAGEREF _Toc40116520 \h </w:instrText>
      </w:r>
      <w:r>
        <w:fldChar w:fldCharType="separate"/>
      </w:r>
      <w:r>
        <w:t>14</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"_Toc40116521" </w:instrText>
      </w:r>
      <w:r>
        <w:fldChar w:fldCharType="separate"/>
      </w:r>
      <w:r>
        <w:rPr>
          <w:rStyle w:val="21"/>
          <w:rFonts w:hint="eastAsia"/>
        </w:rPr>
        <w:t>（二）规划修改的合法性</w:t>
      </w:r>
      <w:r>
        <w:tab/>
      </w:r>
      <w:r>
        <w:fldChar w:fldCharType="begin"/>
      </w:r>
      <w:r>
        <w:instrText xml:space="preserve"> PAGEREF _Toc40116521 \h </w:instrText>
      </w:r>
      <w:r>
        <w:fldChar w:fldCharType="separate"/>
      </w:r>
      <w:r>
        <w:t>15</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"_Toc40116522" </w:instrText>
      </w:r>
      <w:r>
        <w:fldChar w:fldCharType="separate"/>
      </w:r>
      <w:r>
        <w:rPr>
          <w:rStyle w:val="21"/>
          <w:rFonts w:hint="eastAsia"/>
        </w:rPr>
        <w:t>（三）规划修改的合理性</w:t>
      </w:r>
      <w:r>
        <w:tab/>
      </w:r>
      <w:r>
        <w:fldChar w:fldCharType="begin"/>
      </w:r>
      <w:r>
        <w:instrText xml:space="preserve"> PAGEREF _Toc40116522 \h </w:instrText>
      </w:r>
      <w:r>
        <w:fldChar w:fldCharType="separate"/>
      </w:r>
      <w:r>
        <w:t>16</w:t>
      </w:r>
      <w:r>
        <w:fldChar w:fldCharType="end"/>
      </w:r>
      <w:r>
        <w:fldChar w:fldCharType="end"/>
      </w:r>
    </w:p>
    <w:p>
      <w:pPr>
        <w:pStyle w:val="13"/>
        <w:rPr>
          <w:rFonts w:asciiTheme="minorHAnsi" w:hAnsiTheme="minorHAnsi" w:eastAsiaTheme="minorEastAsia"/>
          <w:kern w:val="2"/>
          <w:sz w:val="21"/>
          <w:szCs w:val="22"/>
        </w:rPr>
      </w:pPr>
      <w:r>
        <w:fldChar w:fldCharType="begin"/>
      </w:r>
      <w:r>
        <w:instrText xml:space="preserve"> HYPERLINK \l "_Toc40116523" </w:instrText>
      </w:r>
      <w:r>
        <w:fldChar w:fldCharType="separate"/>
      </w:r>
      <w:r>
        <w:rPr>
          <w:rStyle w:val="21"/>
          <w:rFonts w:hint="eastAsia"/>
        </w:rPr>
        <w:t>四、规划修改总体要求</w:t>
      </w:r>
      <w:r>
        <w:tab/>
      </w:r>
      <w:r>
        <w:fldChar w:fldCharType="begin"/>
      </w:r>
      <w:r>
        <w:instrText xml:space="preserve"> PAGEREF _Toc40116523 \h </w:instrText>
      </w:r>
      <w:r>
        <w:fldChar w:fldCharType="separate"/>
      </w:r>
      <w:r>
        <w:t>17</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"_Toc40116524" </w:instrText>
      </w:r>
      <w:r>
        <w:fldChar w:fldCharType="separate"/>
      </w:r>
      <w:r>
        <w:rPr>
          <w:rStyle w:val="21"/>
          <w:rFonts w:hint="eastAsia"/>
        </w:rPr>
        <w:t>（一）规划修改指导思想</w:t>
      </w:r>
      <w:r>
        <w:tab/>
      </w:r>
      <w:r>
        <w:fldChar w:fldCharType="begin"/>
      </w:r>
      <w:r>
        <w:instrText xml:space="preserve"> PAGEREF _Toc40116524 \h </w:instrText>
      </w:r>
      <w:r>
        <w:fldChar w:fldCharType="separate"/>
      </w:r>
      <w:r>
        <w:t>17</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"_Toc40116525" </w:instrText>
      </w:r>
      <w:r>
        <w:fldChar w:fldCharType="separate"/>
      </w:r>
      <w:r>
        <w:rPr>
          <w:rStyle w:val="21"/>
          <w:rFonts w:hint="eastAsia"/>
        </w:rPr>
        <w:t>（二）规划修改原则</w:t>
      </w:r>
      <w:r>
        <w:tab/>
      </w:r>
      <w:r>
        <w:fldChar w:fldCharType="begin"/>
      </w:r>
      <w:r>
        <w:instrText xml:space="preserve"> PAGEREF _Toc40116525 \h </w:instrText>
      </w:r>
      <w:r>
        <w:fldChar w:fldCharType="separate"/>
      </w:r>
      <w:r>
        <w:t>17</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"_Toc40116526" </w:instrText>
      </w:r>
      <w:r>
        <w:fldChar w:fldCharType="separate"/>
      </w:r>
      <w:r>
        <w:rPr>
          <w:rStyle w:val="21"/>
          <w:rFonts w:hint="eastAsia"/>
        </w:rPr>
        <w:t>（三）规划修改依据</w:t>
      </w:r>
      <w:r>
        <w:tab/>
      </w:r>
      <w:r>
        <w:fldChar w:fldCharType="begin"/>
      </w:r>
      <w:r>
        <w:instrText xml:space="preserve"> PAGEREF _Toc40116526 \h </w:instrText>
      </w:r>
      <w:r>
        <w:fldChar w:fldCharType="separate"/>
      </w:r>
      <w:r>
        <w:t>19</w:t>
      </w:r>
      <w:r>
        <w:fldChar w:fldCharType="end"/>
      </w:r>
      <w:r>
        <w:fldChar w:fldCharType="end"/>
      </w:r>
    </w:p>
    <w:p>
      <w:pPr>
        <w:pStyle w:val="13"/>
        <w:rPr>
          <w:rFonts w:asciiTheme="minorHAnsi" w:hAnsiTheme="minorHAnsi" w:eastAsiaTheme="minorEastAsia"/>
          <w:kern w:val="2"/>
          <w:sz w:val="21"/>
          <w:szCs w:val="22"/>
        </w:rPr>
      </w:pPr>
      <w:r>
        <w:fldChar w:fldCharType="begin"/>
      </w:r>
      <w:r>
        <w:instrText xml:space="preserve"> HYPERLINK \l "_Toc40116527" </w:instrText>
      </w:r>
      <w:r>
        <w:fldChar w:fldCharType="separate"/>
      </w:r>
      <w:r>
        <w:rPr>
          <w:rStyle w:val="21"/>
          <w:rFonts w:hint="eastAsia"/>
        </w:rPr>
        <w:t>五、规划修改方案</w:t>
      </w:r>
      <w:r>
        <w:tab/>
      </w:r>
      <w:r>
        <w:fldChar w:fldCharType="begin"/>
      </w:r>
      <w:r>
        <w:instrText xml:space="preserve"> PAGEREF _Toc40116527 \h </w:instrText>
      </w:r>
      <w:r>
        <w:fldChar w:fldCharType="separate"/>
      </w:r>
      <w:r>
        <w:t>21</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"_Toc40116528" </w:instrText>
      </w:r>
      <w:r>
        <w:fldChar w:fldCharType="separate"/>
      </w:r>
      <w:r>
        <w:rPr>
          <w:rStyle w:val="21"/>
          <w:rFonts w:hint="eastAsia"/>
        </w:rPr>
        <w:t>（一）调入情况</w:t>
      </w:r>
      <w:r>
        <w:tab/>
      </w:r>
      <w:r>
        <w:fldChar w:fldCharType="begin"/>
      </w:r>
      <w:r>
        <w:instrText xml:space="preserve"> PAGEREF _Toc40116528 \h </w:instrText>
      </w:r>
      <w:r>
        <w:fldChar w:fldCharType="separate"/>
      </w:r>
      <w:r>
        <w:t>21</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"_Toc40116529" </w:instrText>
      </w:r>
      <w:r>
        <w:fldChar w:fldCharType="separate"/>
      </w:r>
      <w:r>
        <w:rPr>
          <w:rStyle w:val="21"/>
          <w:rFonts w:hint="eastAsia"/>
        </w:rPr>
        <w:t>（二）调出情况</w:t>
      </w:r>
      <w:r>
        <w:tab/>
      </w:r>
      <w:r>
        <w:fldChar w:fldCharType="begin"/>
      </w:r>
      <w:r>
        <w:instrText xml:space="preserve"> PAGEREF _Toc40116529 \h </w:instrText>
      </w:r>
      <w:r>
        <w:fldChar w:fldCharType="separate"/>
      </w:r>
      <w:r>
        <w:t>22</w:t>
      </w:r>
      <w:r>
        <w:fldChar w:fldCharType="end"/>
      </w:r>
      <w:r>
        <w:fldChar w:fldCharType="end"/>
      </w:r>
    </w:p>
    <w:p>
      <w:pPr>
        <w:pStyle w:val="13"/>
        <w:rPr>
          <w:rFonts w:asciiTheme="minorHAnsi" w:hAnsiTheme="minorHAnsi" w:eastAsiaTheme="minorEastAsia"/>
          <w:kern w:val="2"/>
          <w:sz w:val="21"/>
          <w:szCs w:val="22"/>
        </w:rPr>
      </w:pPr>
      <w:r>
        <w:fldChar w:fldCharType="begin"/>
      </w:r>
      <w:r>
        <w:instrText xml:space="preserve"> HYPERLINK \l "_Toc40116530" </w:instrText>
      </w:r>
      <w:r>
        <w:fldChar w:fldCharType="separate"/>
      </w:r>
      <w:r>
        <w:rPr>
          <w:rStyle w:val="21"/>
          <w:rFonts w:hint="eastAsia"/>
        </w:rPr>
        <w:t>六、规划修改可行性分析</w:t>
      </w:r>
      <w:r>
        <w:tab/>
      </w:r>
      <w:r>
        <w:fldChar w:fldCharType="begin"/>
      </w:r>
      <w:r>
        <w:instrText xml:space="preserve"> PAGEREF _Toc40116530 \h </w:instrText>
      </w:r>
      <w:r>
        <w:fldChar w:fldCharType="separate"/>
      </w:r>
      <w:r>
        <w:t>24</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"_Toc40116531" </w:instrText>
      </w:r>
      <w:r>
        <w:fldChar w:fldCharType="separate"/>
      </w:r>
      <w:r>
        <w:rPr>
          <w:rStyle w:val="21"/>
          <w:rFonts w:hint="eastAsia"/>
        </w:rPr>
        <w:t>（一）对现行土地利用总体规划主要控制目标的影响</w:t>
      </w:r>
      <w:r>
        <w:tab/>
      </w:r>
      <w:r>
        <w:fldChar w:fldCharType="begin"/>
      </w:r>
      <w:r>
        <w:instrText xml:space="preserve"> PAGEREF _Toc40116531 \h </w:instrText>
      </w:r>
      <w:r>
        <w:fldChar w:fldCharType="separate"/>
      </w:r>
      <w:r>
        <w:t>24</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"_Toc40116532" </w:instrText>
      </w:r>
      <w:r>
        <w:fldChar w:fldCharType="separate"/>
      </w:r>
      <w:r>
        <w:rPr>
          <w:rStyle w:val="21"/>
          <w:rFonts w:hint="eastAsia"/>
        </w:rPr>
        <w:t>（二）对建设用地管制分区执行情况的影响</w:t>
      </w:r>
      <w:r>
        <w:tab/>
      </w:r>
      <w:r>
        <w:fldChar w:fldCharType="begin"/>
      </w:r>
      <w:r>
        <w:instrText xml:space="preserve"> PAGEREF _Toc40116532 \h </w:instrText>
      </w:r>
      <w:r>
        <w:fldChar w:fldCharType="separate"/>
      </w:r>
      <w:r>
        <w:t>25</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"_Toc40116533" </w:instrText>
      </w:r>
      <w:r>
        <w:fldChar w:fldCharType="separate"/>
      </w:r>
      <w:r>
        <w:rPr>
          <w:rStyle w:val="21"/>
          <w:rFonts w:hint="eastAsia"/>
        </w:rPr>
        <w:t>（三）对土地利用结构和布局的影响</w:t>
      </w:r>
      <w:r>
        <w:tab/>
      </w:r>
      <w:r>
        <w:fldChar w:fldCharType="begin"/>
      </w:r>
      <w:r>
        <w:instrText xml:space="preserve"> PAGEREF _Toc40116533 \h </w:instrText>
      </w:r>
      <w:r>
        <w:fldChar w:fldCharType="separate"/>
      </w:r>
      <w:r>
        <w:t>25</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"_Toc40116534" </w:instrText>
      </w:r>
      <w:r>
        <w:fldChar w:fldCharType="separate"/>
      </w:r>
      <w:r>
        <w:rPr>
          <w:rStyle w:val="21"/>
          <w:rFonts w:hint="eastAsia"/>
        </w:rPr>
        <w:t>（四）压覆矿产资源情况</w:t>
      </w:r>
      <w:r>
        <w:tab/>
      </w:r>
      <w:r>
        <w:fldChar w:fldCharType="begin"/>
      </w:r>
      <w:r>
        <w:instrText xml:space="preserve"> PAGEREF _Toc40116534 \h </w:instrText>
      </w:r>
      <w:r>
        <w:fldChar w:fldCharType="separate"/>
      </w:r>
      <w:r>
        <w:t>26</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"_Toc40116535" </w:instrText>
      </w:r>
      <w:r>
        <w:fldChar w:fldCharType="separate"/>
      </w:r>
      <w:r>
        <w:rPr>
          <w:rStyle w:val="21"/>
          <w:rFonts w:hint="eastAsia"/>
        </w:rPr>
        <w:t>（五）对区域经济社会发展的影响</w:t>
      </w:r>
      <w:r>
        <w:tab/>
      </w:r>
      <w:r>
        <w:fldChar w:fldCharType="begin"/>
      </w:r>
      <w:r>
        <w:instrText xml:space="preserve"> PAGEREF _Toc40116535 \h </w:instrText>
      </w:r>
      <w:r>
        <w:fldChar w:fldCharType="separate"/>
      </w:r>
      <w:r>
        <w:t>26</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"_Toc40116536" </w:instrText>
      </w:r>
      <w:r>
        <w:fldChar w:fldCharType="separate"/>
      </w:r>
      <w:r>
        <w:rPr>
          <w:rStyle w:val="21"/>
          <w:rFonts w:hint="eastAsia"/>
        </w:rPr>
        <w:t>（六）对生态环境的影响</w:t>
      </w:r>
      <w:r>
        <w:tab/>
      </w:r>
      <w:r>
        <w:fldChar w:fldCharType="begin"/>
      </w:r>
      <w:r>
        <w:instrText xml:space="preserve"> PAGEREF _Toc40116536 \h </w:instrText>
      </w:r>
      <w:r>
        <w:fldChar w:fldCharType="separate"/>
      </w:r>
      <w:r>
        <w:t>26</w:t>
      </w:r>
      <w:r>
        <w:fldChar w:fldCharType="end"/>
      </w:r>
      <w:r>
        <w:fldChar w:fldCharType="end"/>
      </w:r>
    </w:p>
    <w:p>
      <w:pPr>
        <w:pStyle w:val="13"/>
        <w:rPr>
          <w:rFonts w:asciiTheme="minorHAnsi" w:hAnsiTheme="minorHAnsi" w:eastAsiaTheme="minorEastAsia"/>
          <w:kern w:val="2"/>
          <w:sz w:val="21"/>
          <w:szCs w:val="22"/>
        </w:rPr>
      </w:pPr>
      <w:r>
        <w:fldChar w:fldCharType="begin"/>
      </w:r>
      <w:r>
        <w:instrText xml:space="preserve"> HYPERLINK \l "_Toc40116537" </w:instrText>
      </w:r>
      <w:r>
        <w:fldChar w:fldCharType="separate"/>
      </w:r>
      <w:r>
        <w:rPr>
          <w:rStyle w:val="21"/>
          <w:rFonts w:hint="eastAsia"/>
        </w:rPr>
        <w:t>七、规划修改后实施保障措施</w:t>
      </w:r>
      <w:r>
        <w:tab/>
      </w:r>
      <w:r>
        <w:fldChar w:fldCharType="begin"/>
      </w:r>
      <w:r>
        <w:instrText xml:space="preserve"> PAGEREF _Toc40116537 \h </w:instrText>
      </w:r>
      <w:r>
        <w:fldChar w:fldCharType="separate"/>
      </w:r>
      <w:r>
        <w:t>27</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"_Toc40116538" </w:instrText>
      </w:r>
      <w:r>
        <w:fldChar w:fldCharType="separate"/>
      </w:r>
      <w:r>
        <w:rPr>
          <w:rStyle w:val="21"/>
          <w:rFonts w:hint="eastAsia"/>
        </w:rPr>
        <w:t>（一）强化用地管制，严格保护耕地和永久基本农田</w:t>
      </w:r>
      <w:r>
        <w:tab/>
      </w:r>
      <w:r>
        <w:fldChar w:fldCharType="begin"/>
      </w:r>
      <w:r>
        <w:instrText xml:space="preserve"> PAGEREF _Toc40116538 \h </w:instrText>
      </w:r>
      <w:r>
        <w:fldChar w:fldCharType="separate"/>
      </w:r>
      <w:r>
        <w:t>27</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"_Toc40116539" </w:instrText>
      </w:r>
      <w:r>
        <w:fldChar w:fldCharType="separate"/>
      </w:r>
      <w:r>
        <w:rPr>
          <w:rStyle w:val="21"/>
          <w:rFonts w:hint="eastAsia"/>
        </w:rPr>
        <w:t>（二）拓展建设用地空间，促进土地节约集约利用</w:t>
      </w:r>
      <w:r>
        <w:tab/>
      </w:r>
      <w:r>
        <w:fldChar w:fldCharType="begin"/>
      </w:r>
      <w:r>
        <w:instrText xml:space="preserve"> PAGEREF _Toc40116539 \h </w:instrText>
      </w:r>
      <w:r>
        <w:fldChar w:fldCharType="separate"/>
      </w:r>
      <w:r>
        <w:t>27</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"_Toc40116540" </w:instrText>
      </w:r>
      <w:r>
        <w:fldChar w:fldCharType="separate"/>
      </w:r>
      <w:r>
        <w:rPr>
          <w:rStyle w:val="21"/>
          <w:rFonts w:hint="eastAsia"/>
        </w:rPr>
        <w:t>（三）加强生态环境建设，坚守生态保护红线</w:t>
      </w:r>
      <w:r>
        <w:tab/>
      </w:r>
      <w:r>
        <w:fldChar w:fldCharType="begin"/>
      </w:r>
      <w:r>
        <w:instrText xml:space="preserve"> PAGEREF _Toc40116540 \h </w:instrText>
      </w:r>
      <w:r>
        <w:fldChar w:fldCharType="separate"/>
      </w:r>
      <w:r>
        <w:t>28</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"_Toc40116541" </w:instrText>
      </w:r>
      <w:r>
        <w:fldChar w:fldCharType="separate"/>
      </w:r>
      <w:r>
        <w:rPr>
          <w:rStyle w:val="21"/>
          <w:rFonts w:hint="eastAsia"/>
        </w:rPr>
        <w:t>（四）加强公示宣传，提高修改方案的科学性和可操作性</w:t>
      </w:r>
      <w:r>
        <w:tab/>
      </w:r>
      <w:r>
        <w:fldChar w:fldCharType="begin"/>
      </w:r>
      <w:r>
        <w:instrText xml:space="preserve"> PAGEREF _Toc40116541 \h </w:instrText>
      </w:r>
      <w:r>
        <w:fldChar w:fldCharType="separate"/>
      </w:r>
      <w:r>
        <w:t>28</w:t>
      </w:r>
      <w:r>
        <w:fldChar w:fldCharType="end"/>
      </w:r>
      <w:r>
        <w:fldChar w:fldCharType="end"/>
      </w:r>
    </w:p>
    <w:p>
      <w:pPr>
        <w:pStyle w:val="13"/>
        <w:rPr>
          <w:rFonts w:asciiTheme="minorHAnsi" w:hAnsiTheme="minorHAnsi" w:eastAsiaTheme="minorEastAsia"/>
          <w:kern w:val="2"/>
          <w:sz w:val="21"/>
          <w:szCs w:val="22"/>
        </w:rPr>
      </w:pPr>
      <w:r>
        <w:fldChar w:fldCharType="begin"/>
      </w:r>
      <w:r>
        <w:instrText xml:space="preserve"> HYPERLINK \l "_Toc40116542" </w:instrText>
      </w:r>
      <w:r>
        <w:fldChar w:fldCharType="separate"/>
      </w:r>
      <w:r>
        <w:rPr>
          <w:rStyle w:val="21"/>
          <w:rFonts w:hint="eastAsia"/>
        </w:rPr>
        <w:t>附表：</w:t>
      </w:r>
      <w:r>
        <w:tab/>
      </w:r>
      <w:r>
        <w:fldChar w:fldCharType="begin"/>
      </w:r>
      <w:r>
        <w:instrText xml:space="preserve"> PAGEREF _Toc40116542 \h </w:instrText>
      </w:r>
      <w:r>
        <w:fldChar w:fldCharType="separate"/>
      </w:r>
      <w:r>
        <w:t>29</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"_Toc40116543" </w:instrText>
      </w:r>
      <w:r>
        <w:fldChar w:fldCharType="separate"/>
      </w:r>
      <w:r>
        <w:rPr>
          <w:rStyle w:val="21"/>
          <w:rFonts w:hint="eastAsia"/>
        </w:rPr>
        <w:t>附表</w:t>
      </w:r>
      <w:r>
        <w:rPr>
          <w:rStyle w:val="21"/>
        </w:rPr>
        <w:t xml:space="preserve">1  </w:t>
      </w:r>
      <w:r>
        <w:rPr>
          <w:rStyle w:val="21"/>
          <w:rFonts w:hint="eastAsia"/>
        </w:rPr>
        <w:t>西阳镇土地利用总体规划（</w:t>
      </w:r>
      <w:r>
        <w:rPr>
          <w:rStyle w:val="21"/>
        </w:rPr>
        <w:t>2006-2020</w:t>
      </w:r>
      <w:r>
        <w:rPr>
          <w:rStyle w:val="21"/>
          <w:rFonts w:hint="eastAsia"/>
        </w:rPr>
        <w:t>年）修改调入地块情况</w:t>
      </w:r>
      <w:r>
        <w:tab/>
      </w:r>
      <w:r>
        <w:fldChar w:fldCharType="begin"/>
      </w:r>
      <w:r>
        <w:instrText xml:space="preserve"> PAGEREF _Toc40116543 \h </w:instrText>
      </w:r>
      <w:r>
        <w:fldChar w:fldCharType="separate"/>
      </w:r>
      <w:r>
        <w:t>29</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"_Toc40116544" </w:instrText>
      </w:r>
      <w:r>
        <w:fldChar w:fldCharType="separate"/>
      </w:r>
      <w:r>
        <w:rPr>
          <w:rStyle w:val="21"/>
          <w:rFonts w:hint="eastAsia"/>
        </w:rPr>
        <w:t>附表</w:t>
      </w:r>
      <w:r>
        <w:rPr>
          <w:rStyle w:val="21"/>
        </w:rPr>
        <w:t xml:space="preserve">2  </w:t>
      </w:r>
      <w:r>
        <w:rPr>
          <w:rStyle w:val="21"/>
          <w:rFonts w:hint="eastAsia"/>
        </w:rPr>
        <w:t>西阳镇土地利用总体规划（</w:t>
      </w:r>
      <w:r>
        <w:rPr>
          <w:rStyle w:val="21"/>
        </w:rPr>
        <w:t>2006-2020</w:t>
      </w:r>
      <w:r>
        <w:rPr>
          <w:rStyle w:val="21"/>
          <w:rFonts w:hint="eastAsia"/>
        </w:rPr>
        <w:t>年）修改调出地块情况</w:t>
      </w:r>
      <w:r>
        <w:tab/>
      </w:r>
      <w:r>
        <w:fldChar w:fldCharType="begin"/>
      </w:r>
      <w:r>
        <w:instrText xml:space="preserve"> PAGEREF _Toc40116544 \h </w:instrText>
      </w:r>
      <w:r>
        <w:fldChar w:fldCharType="separate"/>
      </w:r>
      <w:r>
        <w:t>30</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"_Toc40116545" </w:instrText>
      </w:r>
      <w:r>
        <w:fldChar w:fldCharType="separate"/>
      </w:r>
      <w:r>
        <w:rPr>
          <w:rStyle w:val="21"/>
          <w:rFonts w:hint="eastAsia"/>
        </w:rPr>
        <w:t>附表</w:t>
      </w:r>
      <w:r>
        <w:rPr>
          <w:rStyle w:val="21"/>
        </w:rPr>
        <w:t xml:space="preserve">3  </w:t>
      </w:r>
      <w:r>
        <w:rPr>
          <w:rStyle w:val="21"/>
          <w:rFonts w:hint="eastAsia"/>
        </w:rPr>
        <w:t>西阳镇修改前后土地利用结构变化表</w:t>
      </w:r>
      <w:r>
        <w:tab/>
      </w:r>
      <w:r>
        <w:fldChar w:fldCharType="begin"/>
      </w:r>
      <w:r>
        <w:instrText xml:space="preserve"> PAGEREF _Toc40116545 \h </w:instrText>
      </w:r>
      <w:r>
        <w:fldChar w:fldCharType="separate"/>
      </w:r>
      <w:r>
        <w:t>31</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"_Toc40116546" </w:instrText>
      </w:r>
      <w:r>
        <w:fldChar w:fldCharType="separate"/>
      </w:r>
      <w:r>
        <w:rPr>
          <w:rStyle w:val="21"/>
          <w:rFonts w:hint="eastAsia"/>
        </w:rPr>
        <w:t>附表</w:t>
      </w:r>
      <w:r>
        <w:rPr>
          <w:rStyle w:val="21"/>
        </w:rPr>
        <w:t xml:space="preserve">4  </w:t>
      </w:r>
      <w:r>
        <w:rPr>
          <w:rStyle w:val="21"/>
          <w:rFonts w:hint="eastAsia"/>
        </w:rPr>
        <w:t>西阳镇规划主要控制指标对比分析表</w:t>
      </w:r>
      <w:r>
        <w:tab/>
      </w:r>
      <w:r>
        <w:fldChar w:fldCharType="begin"/>
      </w:r>
      <w:r>
        <w:instrText xml:space="preserve"> PAGEREF _Toc40116546 \h </w:instrText>
      </w:r>
      <w:r>
        <w:fldChar w:fldCharType="separate"/>
      </w:r>
      <w:r>
        <w:t>32</w:t>
      </w:r>
      <w:r>
        <w:fldChar w:fldCharType="end"/>
      </w:r>
      <w:r>
        <w:fldChar w:fldCharType="end"/>
      </w:r>
    </w:p>
    <w:p>
      <w:pPr>
        <w:pStyle w:val="15"/>
        <w:rPr>
          <w:rFonts w:asciiTheme="minorHAnsi" w:hAnsiTheme="minorHAnsi" w:eastAsiaTheme="minorEastAsia"/>
          <w:kern w:val="2"/>
          <w:sz w:val="21"/>
          <w:szCs w:val="22"/>
        </w:rPr>
      </w:pPr>
      <w:r>
        <w:fldChar w:fldCharType="begin"/>
      </w:r>
      <w:r>
        <w:instrText xml:space="preserve"> HYPERLINK \l "_Toc40116547" </w:instrText>
      </w:r>
      <w:r>
        <w:fldChar w:fldCharType="separate"/>
      </w:r>
      <w:r>
        <w:rPr>
          <w:rStyle w:val="21"/>
          <w:rFonts w:hint="eastAsia"/>
        </w:rPr>
        <w:t>附表</w:t>
      </w:r>
      <w:r>
        <w:rPr>
          <w:rStyle w:val="21"/>
        </w:rPr>
        <w:t xml:space="preserve">5  </w:t>
      </w:r>
      <w:r>
        <w:rPr>
          <w:rStyle w:val="21"/>
          <w:rFonts w:hint="eastAsia"/>
        </w:rPr>
        <w:t>西阳镇修改前后建设用地管制分区变化情况</w:t>
      </w:r>
      <w:r>
        <w:tab/>
      </w:r>
      <w:r>
        <w:fldChar w:fldCharType="begin"/>
      </w:r>
      <w:r>
        <w:instrText xml:space="preserve"> PAGEREF _Toc40116547 \h </w:instrText>
      </w:r>
      <w:r>
        <w:fldChar w:fldCharType="separate"/>
      </w:r>
      <w:r>
        <w:t>32</w:t>
      </w:r>
      <w:r>
        <w:fldChar w:fldCharType="end"/>
      </w:r>
      <w:r>
        <w:fldChar w:fldCharType="end"/>
      </w:r>
    </w:p>
    <w:p>
      <w:pPr>
        <w:ind w:firstLine="0" w:firstLineChars="0"/>
        <w:rPr>
          <w:rFonts w:cs="Times New Roman"/>
          <w:kern w:val="0"/>
        </w:rPr>
        <w:sectPr>
          <w:headerReference r:id="rId11" w:type="default"/>
          <w:footerReference r:id="rId12" w:type="default"/>
          <w:pgSz w:w="11906" w:h="16838"/>
          <w:pgMar w:top="1440" w:right="1800" w:bottom="1440" w:left="1800" w:header="851" w:footer="992" w:gutter="0"/>
          <w:pgNumType w:fmt="upperRoman" w:start="1"/>
          <w:cols w:space="720" w:num="1"/>
          <w:docGrid w:type="lines" w:linePitch="312" w:charSpace="0"/>
        </w:sectPr>
      </w:pPr>
      <w:r>
        <w:rPr>
          <w:rFonts w:cs="Times New Roman"/>
          <w:szCs w:val="28"/>
        </w:rPr>
        <w:fldChar w:fldCharType="end"/>
      </w:r>
    </w:p>
    <w:p>
      <w:pPr>
        <w:pStyle w:val="29"/>
        <w:spacing w:before="156" w:after="156"/>
        <w:ind w:firstLine="0" w:firstLineChars="0"/>
        <w:jc w:val="center"/>
      </w:pPr>
      <w:bookmarkStart w:id="48" w:name="_Toc532804921"/>
      <w:bookmarkStart w:id="49" w:name="_Toc392065615"/>
      <w:bookmarkStart w:id="50" w:name="_Toc405884108"/>
      <w:bookmarkStart w:id="51" w:name="_Toc405883022"/>
      <w:bookmarkStart w:id="52" w:name="_Toc376014932"/>
      <w:bookmarkStart w:id="53" w:name="_Toc532804586"/>
      <w:bookmarkStart w:id="54" w:name="_Toc406944194"/>
      <w:bookmarkStart w:id="55" w:name="_Toc416807066"/>
      <w:bookmarkStart w:id="56" w:name="_Toc532804687"/>
      <w:bookmarkStart w:id="57" w:name="_Toc532804509"/>
      <w:bookmarkStart w:id="58" w:name="_Toc405908862"/>
      <w:bookmarkStart w:id="59" w:name="_Toc406932975"/>
      <w:bookmarkStart w:id="60" w:name="_Toc406932929"/>
      <w:bookmarkStart w:id="61" w:name="_Toc534619718"/>
      <w:bookmarkStart w:id="62" w:name="_Toc406246099"/>
      <w:bookmarkStart w:id="63" w:name="_Toc406499484"/>
      <w:bookmarkStart w:id="64" w:name="_Toc532804641"/>
      <w:bookmarkStart w:id="65" w:name="_Toc40116510"/>
      <w:bookmarkStart w:id="66" w:name="_Toc406932655"/>
      <w:bookmarkStart w:id="67" w:name="_Toc405883859"/>
      <w:bookmarkStart w:id="68" w:name="_Toc376959022"/>
      <w:bookmarkStart w:id="69" w:name="_Toc406246165"/>
      <w:bookmarkStart w:id="70" w:name="_Toc406944159"/>
      <w:bookmarkStart w:id="71" w:name="_Toc406944120"/>
      <w:r>
        <w:t>前</w:t>
      </w:r>
      <w:r>
        <w:rPr>
          <w:rFonts w:hint="eastAsia"/>
        </w:rPr>
        <w:t xml:space="preserve">  </w:t>
      </w:r>
      <w:r>
        <w:t>言</w:t>
      </w:r>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p>
    <w:p>
      <w:pPr>
        <w:ind w:firstLine="560"/>
      </w:pPr>
      <w:r>
        <w:t>《</w:t>
      </w:r>
      <w:r>
        <w:rPr>
          <w:rFonts w:hint="eastAsia"/>
        </w:rPr>
        <w:t>永吉县西阳镇</w:t>
      </w:r>
      <w:r>
        <w:t>土地利用总体规划（2006-2020年）》（以下简称《规划》）</w:t>
      </w:r>
      <w:r>
        <w:rPr>
          <w:rFonts w:hint="eastAsia"/>
        </w:rPr>
        <w:t>自批准实施以来，</w:t>
      </w:r>
      <w:r>
        <w:t>在保障</w:t>
      </w:r>
      <w:r>
        <w:rPr>
          <w:rFonts w:hint="eastAsia"/>
        </w:rPr>
        <w:t>西阳镇</w:t>
      </w:r>
      <w:r>
        <w:t>社会经济稳定、协调发展和规范土地利用行为等方面起到了</w:t>
      </w:r>
      <w:r>
        <w:rPr>
          <w:rFonts w:hint="eastAsia"/>
        </w:rPr>
        <w:t>主要</w:t>
      </w:r>
      <w:r>
        <w:t>的调控和指导作用。</w:t>
      </w:r>
      <w:r>
        <w:rPr>
          <w:rFonts w:hint="eastAsia"/>
        </w:rPr>
        <w:t>2015年9月，按照国家、省、市关于土地利用总体规划调整完善工作部署，为适应经济社会发展新形势，永吉县人民政府组织开展了县、乡两级土地利用总体规划调整完善工作，对各项调控指标、耕地及建设用地布局进行了调整，《永吉县西阳镇土地利用总体规划（2006-2020年）调整方案》（以下简称《调整方案》）于2017年4月通过了吉林市人民政府审批。随着经济社会的不断发展及乡村振兴战略的深入实施，西阳镇依托地理位置优势，不断地加快特色产业的发展进程，导致规划中安排的部分新增建设用地布局与今后产业发展方向和用地需求不相适应。</w:t>
      </w:r>
    </w:p>
    <w:p>
      <w:pPr>
        <w:ind w:firstLine="560"/>
      </w:pPr>
      <w:r>
        <w:t>根据《</w:t>
      </w:r>
      <w:r>
        <w:rPr>
          <w:rFonts w:hint="eastAsia"/>
        </w:rPr>
        <w:t>中华人民共和国</w:t>
      </w:r>
      <w:r>
        <w:t>土地管理法》和《国土资源部关于严格土地利用总体规划实施管理的通知》（国土资发〔2012〕2号）有关规定，按照《吉林省土地利用总体规划调整和修改工作规则》（吉国土资规发〔2013〕47号）中，“因经济社会发展战略发生重大变化，经评估确需修改土地利用总体规划确定的约束性指标、调整建设用地扩展边界，经规划原批准机关批准，方可对规划进行修改”的要求</w:t>
      </w:r>
      <w:r>
        <w:rPr>
          <w:rFonts w:hint="eastAsia"/>
        </w:rPr>
        <w:t>，永吉县人民政府</w:t>
      </w:r>
      <w:r>
        <w:t>在相关职能部门的配合下，组织开展《规划》修改工作，编制了《</w:t>
      </w:r>
      <w:r>
        <w:rPr>
          <w:rFonts w:hint="eastAsia"/>
        </w:rPr>
        <w:t>永吉县西阳镇</w:t>
      </w:r>
      <w:r>
        <w:t>土地利用总体规划（2006-2020年）修改方案》（以下简称《修改</w:t>
      </w:r>
      <w:r>
        <w:rPr>
          <w:rFonts w:hint="eastAsia"/>
        </w:rPr>
        <w:t>方案</w:t>
      </w:r>
      <w:r>
        <w:t>》）。</w:t>
      </w:r>
    </w:p>
    <w:p>
      <w:pPr>
        <w:ind w:firstLine="560"/>
        <w:rPr>
          <w:rFonts w:cs="Times New Roman"/>
          <w:kern w:val="2"/>
          <w:szCs w:val="22"/>
        </w:rPr>
      </w:pPr>
      <w:r>
        <w:t>《修改</w:t>
      </w:r>
      <w:r>
        <w:rPr>
          <w:rFonts w:hint="eastAsia"/>
        </w:rPr>
        <w:t>方案</w:t>
      </w:r>
      <w:r>
        <w:t>》严格按照相关法律文件规定的修改原则，依据《</w:t>
      </w:r>
      <w:r>
        <w:rPr>
          <w:rFonts w:hint="eastAsia"/>
        </w:rPr>
        <w:t>永吉县西阳镇</w:t>
      </w:r>
      <w:r>
        <w:t>土地利用总体规划（2006-2020年）</w:t>
      </w:r>
      <w:r>
        <w:rPr>
          <w:rFonts w:hint="eastAsia"/>
        </w:rPr>
        <w:t>实施</w:t>
      </w:r>
      <w:r>
        <w:t>评估报告》</w:t>
      </w:r>
      <w:r>
        <w:rPr>
          <w:rFonts w:hint="eastAsia"/>
        </w:rPr>
        <w:t>（以下简称《评估报告》）</w:t>
      </w:r>
      <w:r>
        <w:t>中的规划评估情况，明确本次规划修改</w:t>
      </w:r>
      <w:r>
        <w:rPr>
          <w:rFonts w:hint="eastAsia"/>
        </w:rPr>
        <w:t>的原因以及建设用地布局调整方向</w:t>
      </w:r>
      <w:r>
        <w:t>，</w:t>
      </w:r>
      <w:r>
        <w:rPr>
          <w:rFonts w:hint="eastAsia"/>
        </w:rPr>
        <w:t>并</w:t>
      </w:r>
      <w:r>
        <w:t>分析规划修改对规划实施的影响，提出规划修改后实施措施，最终形成</w:t>
      </w:r>
      <w:r>
        <w:rPr>
          <w:rFonts w:hint="eastAsia"/>
        </w:rPr>
        <w:t>切实可行</w:t>
      </w:r>
      <w:r>
        <w:t>的规划修改方案。</w:t>
      </w:r>
    </w:p>
    <w:p>
      <w:pPr>
        <w:ind w:firstLine="560"/>
        <w:rPr>
          <w:rFonts w:cs="Times New Roman"/>
          <w:kern w:val="2"/>
          <w:szCs w:val="22"/>
        </w:rPr>
        <w:sectPr>
          <w:footerReference r:id="rId13" w:type="default"/>
          <w:pgSz w:w="11906" w:h="16838"/>
          <w:pgMar w:top="1440" w:right="1800" w:bottom="1440" w:left="1800" w:header="851" w:footer="992" w:gutter="0"/>
          <w:pgNumType w:start="1"/>
          <w:cols w:space="425" w:num="1"/>
          <w:docGrid w:type="lines" w:linePitch="312" w:charSpace="0"/>
        </w:sectPr>
      </w:pPr>
    </w:p>
    <w:p>
      <w:pPr>
        <w:pStyle w:val="29"/>
        <w:spacing w:before="156" w:after="156"/>
        <w:ind w:firstLine="0" w:firstLineChars="0"/>
      </w:pPr>
      <w:bookmarkStart w:id="72" w:name="_Toc405883860"/>
      <w:bookmarkStart w:id="73" w:name="_Toc376959023"/>
      <w:bookmarkStart w:id="74" w:name="_Toc376014933"/>
      <w:bookmarkStart w:id="75" w:name="_Toc40116511"/>
      <w:bookmarkStart w:id="76" w:name="_Toc416807067"/>
      <w:bookmarkStart w:id="77" w:name="_Toc405883023"/>
      <w:bookmarkStart w:id="78" w:name="_Toc405908863"/>
      <w:bookmarkStart w:id="79" w:name="_Toc405884109"/>
      <w:r>
        <w:t>一、</w:t>
      </w:r>
      <w:r>
        <w:rPr>
          <w:rFonts w:hint="eastAsia"/>
        </w:rPr>
        <w:t>镇域</w:t>
      </w:r>
      <w:r>
        <w:t>概况</w:t>
      </w:r>
      <w:bookmarkEnd w:id="72"/>
      <w:bookmarkEnd w:id="73"/>
      <w:bookmarkEnd w:id="74"/>
      <w:bookmarkEnd w:id="75"/>
      <w:bookmarkEnd w:id="76"/>
      <w:bookmarkEnd w:id="77"/>
      <w:bookmarkEnd w:id="78"/>
      <w:bookmarkEnd w:id="79"/>
    </w:p>
    <w:p>
      <w:pPr>
        <w:pStyle w:val="3"/>
        <w:ind w:firstLine="199" w:firstLineChars="62"/>
      </w:pPr>
      <w:bookmarkStart w:id="80" w:name="_Toc22716690"/>
      <w:bookmarkStart w:id="81" w:name="_Toc40116512"/>
      <w:bookmarkStart w:id="82" w:name="_Toc399316624"/>
      <w:r>
        <w:rPr>
          <w:rFonts w:hint="eastAsia"/>
        </w:rPr>
        <w:t>（一）自然概况</w:t>
      </w:r>
      <w:bookmarkEnd w:id="80"/>
      <w:bookmarkEnd w:id="81"/>
    </w:p>
    <w:p>
      <w:pPr>
        <w:pStyle w:val="4"/>
        <w:ind w:firstLine="643"/>
      </w:pPr>
      <w:bookmarkStart w:id="83" w:name="_Toc22716691"/>
      <w:bookmarkStart w:id="84" w:name="_Toc22646762"/>
      <w:bookmarkStart w:id="85" w:name="_Toc531780464"/>
      <w:bookmarkStart w:id="86" w:name="_Toc22654970"/>
      <w:bookmarkStart w:id="87" w:name="_Toc21791356"/>
      <w:bookmarkStart w:id="88" w:name="_Toc531340967"/>
      <w:bookmarkStart w:id="89" w:name="_Toc531340572"/>
      <w:bookmarkStart w:id="90" w:name="_Toc531620715"/>
      <w:r>
        <w:rPr>
          <w:rFonts w:hint="eastAsia"/>
        </w:rPr>
        <w:t>1、地理位置</w:t>
      </w:r>
      <w:bookmarkEnd w:id="83"/>
      <w:bookmarkEnd w:id="84"/>
      <w:bookmarkEnd w:id="85"/>
      <w:bookmarkEnd w:id="86"/>
      <w:bookmarkEnd w:id="87"/>
      <w:bookmarkEnd w:id="88"/>
      <w:bookmarkEnd w:id="89"/>
      <w:bookmarkEnd w:id="90"/>
    </w:p>
    <w:p>
      <w:pPr>
        <w:spacing w:line="312" w:lineRule="auto"/>
        <w:ind w:firstLine="560"/>
        <w:rPr>
          <w:rFonts w:cs="Times New Roman"/>
        </w:rPr>
      </w:pPr>
      <w:r>
        <w:rPr>
          <w:rFonts w:cs="Times New Roman"/>
        </w:rPr>
        <w:t>西阳镇位于永吉县中部，距县城口前镇16公里，地处东经126°12'－126°23'，北纬43°27'－43°42'之间，东邻县城口前镇，南与双河镇接壤，西与黄榆乡依山毗邻，北与一拉溪镇、岔路河镇连接。202国道、沈吉线铁路途经西阳镇，交通运输十分便利。</w:t>
      </w:r>
    </w:p>
    <w:p>
      <w:pPr>
        <w:spacing w:line="312" w:lineRule="auto"/>
        <w:ind w:firstLine="0" w:firstLineChars="0"/>
        <w:jc w:val="center"/>
        <w:rPr>
          <w:rFonts w:cs="Times New Roman"/>
        </w:rPr>
      </w:pPr>
      <w:r>
        <w:rPr>
          <w:rFonts w:cs="Times New Roman"/>
        </w:rPr>
        <w:drawing>
          <wp:inline distT="0" distB="0" distL="0" distR="0">
            <wp:extent cx="3810000" cy="2693035"/>
            <wp:effectExtent l="0" t="0" r="0" b="0"/>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pic:cNvPicPr>
                      <a:picLocks noChangeAspect="1"/>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814547" cy="2696728"/>
                    </a:xfrm>
                    <a:prstGeom prst="rect">
                      <a:avLst/>
                    </a:prstGeom>
                  </pic:spPr>
                </pic:pic>
              </a:graphicData>
            </a:graphic>
          </wp:inline>
        </w:drawing>
      </w:r>
    </w:p>
    <w:p>
      <w:pPr>
        <w:snapToGrid w:val="0"/>
        <w:spacing w:line="312" w:lineRule="auto"/>
        <w:ind w:firstLine="0" w:firstLineChars="0"/>
        <w:jc w:val="center"/>
        <w:rPr>
          <w:rFonts w:cs="Times New Roman"/>
          <w:b/>
          <w:bCs/>
          <w:sz w:val="24"/>
          <w:szCs w:val="24"/>
        </w:rPr>
      </w:pPr>
      <w:r>
        <w:rPr>
          <w:rFonts w:hint="eastAsia" w:cs="Times New Roman"/>
          <w:b/>
          <w:bCs/>
          <w:sz w:val="24"/>
          <w:szCs w:val="24"/>
        </w:rPr>
        <w:t>图1-1  西阳镇在永吉县的位置示意图</w:t>
      </w:r>
    </w:p>
    <w:p>
      <w:pPr>
        <w:pStyle w:val="4"/>
        <w:ind w:firstLine="643"/>
      </w:pPr>
      <w:bookmarkStart w:id="91" w:name="_Toc531340573"/>
      <w:bookmarkStart w:id="92" w:name="_Toc531340968"/>
      <w:bookmarkStart w:id="93" w:name="_Toc531620716"/>
      <w:bookmarkStart w:id="94" w:name="_Toc531780465"/>
      <w:bookmarkStart w:id="95" w:name="_Toc21791357"/>
      <w:bookmarkStart w:id="96" w:name="_Toc22646763"/>
      <w:bookmarkStart w:id="97" w:name="_Toc22654971"/>
      <w:bookmarkStart w:id="98" w:name="_Toc22716692"/>
      <w:r>
        <w:rPr>
          <w:rFonts w:hint="eastAsia"/>
        </w:rPr>
        <w:t>2、气候条件</w:t>
      </w:r>
      <w:bookmarkEnd w:id="91"/>
      <w:bookmarkEnd w:id="92"/>
      <w:bookmarkEnd w:id="93"/>
      <w:bookmarkEnd w:id="94"/>
      <w:bookmarkEnd w:id="95"/>
      <w:bookmarkEnd w:id="96"/>
      <w:bookmarkEnd w:id="97"/>
      <w:bookmarkEnd w:id="98"/>
    </w:p>
    <w:p>
      <w:pPr>
        <w:spacing w:line="312" w:lineRule="auto"/>
        <w:ind w:firstLine="560"/>
        <w:rPr>
          <w:rFonts w:cs="Times New Roman"/>
        </w:rPr>
      </w:pPr>
      <w:r>
        <w:rPr>
          <w:rFonts w:cs="Times New Roman"/>
        </w:rPr>
        <w:t>西阳镇属北温带大陆季风气候，年平均气温4.8度，年平均有效积温2700度，无霜期120-130天。</w:t>
      </w:r>
    </w:p>
    <w:p>
      <w:pPr>
        <w:pStyle w:val="4"/>
        <w:ind w:firstLine="643"/>
      </w:pPr>
      <w:bookmarkStart w:id="99" w:name="_Toc21791358"/>
      <w:bookmarkStart w:id="100" w:name="_Toc22646764"/>
      <w:bookmarkStart w:id="101" w:name="_Toc22654972"/>
      <w:bookmarkStart w:id="102" w:name="_Toc22716693"/>
      <w:r>
        <w:rPr>
          <w:rFonts w:hint="eastAsia"/>
        </w:rPr>
        <w:t>3、地形地貌</w:t>
      </w:r>
      <w:bookmarkEnd w:id="99"/>
      <w:bookmarkEnd w:id="100"/>
      <w:bookmarkEnd w:id="101"/>
      <w:bookmarkEnd w:id="102"/>
    </w:p>
    <w:p>
      <w:pPr>
        <w:spacing w:line="312" w:lineRule="auto"/>
        <w:ind w:firstLine="560"/>
        <w:rPr>
          <w:rFonts w:cs="Times New Roman"/>
        </w:rPr>
      </w:pPr>
      <w:r>
        <w:rPr>
          <w:rFonts w:cs="Times New Roman"/>
        </w:rPr>
        <w:t>地势属半山区丘陵地带，整体地势是由东南向西北逐渐平缓，海拔高度依次递减的地理景观。</w:t>
      </w:r>
    </w:p>
    <w:p>
      <w:pPr>
        <w:pStyle w:val="4"/>
        <w:ind w:firstLine="643"/>
      </w:pPr>
      <w:bookmarkStart w:id="103" w:name="_Toc531340575"/>
      <w:bookmarkStart w:id="104" w:name="_Toc531340970"/>
      <w:bookmarkStart w:id="105" w:name="_Toc531620718"/>
      <w:bookmarkStart w:id="106" w:name="_Toc531780467"/>
      <w:bookmarkStart w:id="107" w:name="_Toc21791359"/>
      <w:bookmarkStart w:id="108" w:name="_Toc22646765"/>
      <w:bookmarkStart w:id="109" w:name="_Toc22654973"/>
      <w:bookmarkStart w:id="110" w:name="_Toc22716694"/>
      <w:r>
        <w:rPr>
          <w:rFonts w:hint="eastAsia"/>
        </w:rPr>
        <w:t>4、</w:t>
      </w:r>
      <w:bookmarkEnd w:id="103"/>
      <w:bookmarkEnd w:id="104"/>
      <w:bookmarkEnd w:id="105"/>
      <w:bookmarkEnd w:id="106"/>
      <w:r>
        <w:rPr>
          <w:rFonts w:hint="eastAsia"/>
        </w:rPr>
        <w:t>矿产资源</w:t>
      </w:r>
      <w:bookmarkEnd w:id="107"/>
      <w:bookmarkEnd w:id="108"/>
      <w:bookmarkEnd w:id="109"/>
      <w:bookmarkEnd w:id="110"/>
    </w:p>
    <w:p>
      <w:pPr>
        <w:spacing w:line="312" w:lineRule="auto"/>
        <w:ind w:firstLine="560"/>
        <w:rPr>
          <w:rFonts w:cs="Times New Roman"/>
        </w:rPr>
      </w:pPr>
      <w:r>
        <w:rPr>
          <w:rFonts w:hint="eastAsia" w:cs="Times New Roman"/>
        </w:rPr>
        <w:t>镇内地下蕴藏着丰富的钼、石灰石等矿产资源，矿产资源丰富。</w:t>
      </w:r>
    </w:p>
    <w:p>
      <w:pPr>
        <w:pStyle w:val="3"/>
        <w:ind w:firstLine="199" w:firstLineChars="62"/>
      </w:pPr>
      <w:bookmarkStart w:id="111" w:name="_Toc40116513"/>
      <w:bookmarkStart w:id="112" w:name="_Toc22716695"/>
      <w:r>
        <w:rPr>
          <w:rFonts w:hint="eastAsia"/>
        </w:rPr>
        <w:t>（二）社会经济概况</w:t>
      </w:r>
      <w:bookmarkEnd w:id="111"/>
      <w:bookmarkEnd w:id="112"/>
    </w:p>
    <w:p>
      <w:pPr>
        <w:ind w:firstLine="560"/>
        <w:rPr>
          <w:kern w:val="0"/>
        </w:rPr>
      </w:pPr>
      <w:r>
        <w:rPr>
          <w:rFonts w:hint="eastAsia"/>
          <w:kern w:val="0"/>
        </w:rPr>
        <w:t>西阳镇幅员面积422.36平方公里，14个村、1个居民委。多数为汉族，少数民族以满族居多，其次朝鲜族、蒙古族、回族。2018年，西阳镇总人口31922 人，其中，城镇人口5838人，乡村人口26084人，城镇化率为18.29%。</w:t>
      </w:r>
    </w:p>
    <w:p>
      <w:pPr>
        <w:ind w:firstLine="560"/>
        <w:rPr>
          <w:kern w:val="0"/>
        </w:rPr>
      </w:pPr>
      <w:r>
        <w:rPr>
          <w:rFonts w:hint="eastAsia"/>
          <w:kern w:val="0"/>
        </w:rPr>
        <w:t>2018年，按可比价计算，西阳镇地区生产总值达81724.16万元，其中，第一产业增加值为14138.86万元，第二产业增加值为32914.60万元，第三产业增加值34670.69万元，固定资产投资为50039.19万元。</w:t>
      </w:r>
    </w:p>
    <w:p>
      <w:pPr>
        <w:pStyle w:val="3"/>
        <w:ind w:firstLine="199" w:firstLineChars="62"/>
      </w:pPr>
      <w:bookmarkStart w:id="113" w:name="_Toc40116514"/>
      <w:bookmarkStart w:id="114" w:name="_Toc22716696"/>
      <w:r>
        <w:rPr>
          <w:rFonts w:hint="eastAsia"/>
        </w:rPr>
        <w:t>（三）土地利用现状</w:t>
      </w:r>
      <w:bookmarkEnd w:id="113"/>
      <w:bookmarkEnd w:id="114"/>
    </w:p>
    <w:p>
      <w:pPr>
        <w:widowControl/>
        <w:spacing w:line="240" w:lineRule="auto"/>
        <w:ind w:firstLine="560"/>
        <w:rPr>
          <w:rFonts w:cs="Times New Roman"/>
        </w:rPr>
      </w:pPr>
      <w:r>
        <w:rPr>
          <w:rFonts w:hint="eastAsia" w:cs="Times New Roman"/>
        </w:rPr>
        <w:t>根据永吉县2018年土地利用变更调查数据统计，2018年末，西阳镇土地总面积42235.90公顷。其中，农用地38247.13公顷，占土地总面积的90.55%；建设用地3385.72公顷，占土地总面积的8.02%；其他土地603.05公顷，占土地总面积的1.43%。详见表1-1。</w:t>
      </w:r>
    </w:p>
    <w:p>
      <w:pPr>
        <w:pStyle w:val="4"/>
        <w:ind w:firstLine="643"/>
      </w:pPr>
      <w:bookmarkStart w:id="115" w:name="_Toc527468269"/>
      <w:bookmarkStart w:id="116" w:name="_Toc530297607"/>
      <w:bookmarkStart w:id="117" w:name="_Toc530300321"/>
      <w:bookmarkStart w:id="118" w:name="_Toc530398493"/>
      <w:bookmarkStart w:id="119" w:name="_Toc531340578"/>
      <w:bookmarkStart w:id="120" w:name="_Toc531340973"/>
      <w:bookmarkStart w:id="121" w:name="_Toc531620721"/>
      <w:bookmarkStart w:id="122" w:name="_Toc531780470"/>
      <w:bookmarkStart w:id="123" w:name="_Toc21791362"/>
      <w:bookmarkStart w:id="124" w:name="_Toc22646768"/>
      <w:bookmarkStart w:id="125" w:name="_Toc22654976"/>
      <w:bookmarkStart w:id="126" w:name="_Toc22716697"/>
      <w:r>
        <w:rPr>
          <w:rFonts w:hint="eastAsia"/>
        </w:rPr>
        <w:t>1、农用地</w:t>
      </w:r>
      <w:bookmarkEnd w:id="115"/>
      <w:bookmarkEnd w:id="116"/>
      <w:bookmarkEnd w:id="117"/>
      <w:bookmarkEnd w:id="118"/>
      <w:bookmarkEnd w:id="119"/>
      <w:bookmarkEnd w:id="120"/>
      <w:bookmarkEnd w:id="121"/>
      <w:bookmarkEnd w:id="122"/>
      <w:bookmarkEnd w:id="123"/>
      <w:bookmarkEnd w:id="124"/>
      <w:bookmarkEnd w:id="125"/>
      <w:bookmarkEnd w:id="126"/>
    </w:p>
    <w:p>
      <w:pPr>
        <w:spacing w:line="312" w:lineRule="auto"/>
        <w:ind w:firstLine="560"/>
        <w:rPr>
          <w:rFonts w:cs="Times New Roman"/>
        </w:rPr>
      </w:pPr>
      <w:r>
        <w:rPr>
          <w:rFonts w:hint="eastAsia" w:cs="Times New Roman"/>
        </w:rPr>
        <w:t>农用地中，耕地10483.40公顷，占土地总面积的24.82%；园地1834.83公顷，占土地总面积的4.34%；林地25767.11公顷，占土地总面积的61.01%；其他农用地161.79公顷，占土地总面积的0.38%。</w:t>
      </w:r>
    </w:p>
    <w:p>
      <w:pPr>
        <w:ind w:firstLine="560"/>
        <w:jc w:val="left"/>
        <w:rPr>
          <w:rFonts w:cs="Times New Roman"/>
          <w:color w:val="000000" w:themeColor="text1"/>
          <w:szCs w:val="28"/>
          <w14:textFill>
            <w14:solidFill>
              <w14:schemeClr w14:val="tx1"/>
            </w14:solidFill>
          </w14:textFill>
        </w:rPr>
      </w:pPr>
      <w:r>
        <w:rPr>
          <w:rFonts w:hint="eastAsia" w:cs="Times New Roman"/>
          <w:color w:val="000000" w:themeColor="text1"/>
          <w:szCs w:val="28"/>
          <w14:textFill>
            <w14:solidFill>
              <w14:schemeClr w14:val="tx1"/>
            </w14:solidFill>
          </w14:textFill>
        </w:rPr>
        <w:t>根据永吉县2018年耕地质量等别年度更新评价成果，西阳镇2018年现状耕地中，国家利用等统计分别为10等60.42公顷，占耕地面积的0.58%；11等3312.21公顷，占耕地面积的31.59%；12等7111.08公顷，占耕地面积的67.83%。</w:t>
      </w:r>
    </w:p>
    <w:p>
      <w:pPr>
        <w:pStyle w:val="4"/>
        <w:ind w:firstLine="643"/>
      </w:pPr>
      <w:bookmarkStart w:id="127" w:name="_Toc531340974"/>
      <w:bookmarkStart w:id="128" w:name="_Toc530398494"/>
      <w:bookmarkStart w:id="129" w:name="_Toc531620722"/>
      <w:bookmarkStart w:id="130" w:name="_Toc530297608"/>
      <w:bookmarkStart w:id="131" w:name="_Toc531340579"/>
      <w:bookmarkStart w:id="132" w:name="_Toc530300322"/>
      <w:bookmarkStart w:id="133" w:name="_Toc527468270"/>
      <w:bookmarkStart w:id="134" w:name="_Toc22716698"/>
      <w:bookmarkStart w:id="135" w:name="_Toc22646769"/>
      <w:bookmarkStart w:id="136" w:name="_Toc531780471"/>
      <w:bookmarkStart w:id="137" w:name="_Toc22654977"/>
      <w:bookmarkStart w:id="138" w:name="_Toc21791363"/>
      <w:r>
        <w:rPr>
          <w:rFonts w:hint="eastAsia"/>
        </w:rPr>
        <w:t>2、</w:t>
      </w:r>
      <w:r>
        <w:t>建设用地</w:t>
      </w:r>
      <w:bookmarkEnd w:id="127"/>
      <w:bookmarkEnd w:id="128"/>
      <w:bookmarkEnd w:id="129"/>
      <w:bookmarkEnd w:id="130"/>
      <w:bookmarkEnd w:id="131"/>
      <w:bookmarkEnd w:id="132"/>
      <w:bookmarkEnd w:id="133"/>
      <w:bookmarkEnd w:id="134"/>
      <w:bookmarkEnd w:id="135"/>
      <w:bookmarkEnd w:id="136"/>
      <w:bookmarkEnd w:id="137"/>
      <w:bookmarkEnd w:id="138"/>
    </w:p>
    <w:p>
      <w:pPr>
        <w:spacing w:line="312" w:lineRule="auto"/>
        <w:ind w:firstLine="560"/>
        <w:rPr>
          <w:rFonts w:cs="Times New Roman"/>
        </w:rPr>
      </w:pPr>
      <w:r>
        <w:rPr>
          <w:rFonts w:hint="eastAsia" w:cs="Times New Roman"/>
        </w:rPr>
        <w:t>建设用地中，城乡建设用地1509.15公顷，占土地总面积的3.57%。其中，城镇用地181.27公顷，占土地总面积的0.43%；农村居民点用地879.34公顷，占土地总面积的2.08%；采矿用地448.54公顷，占土地总面积的1.06%。交通水利用地1816.51公顷，占土地总面积的4.30 %。其他建设用地面积60.05公顷，占土地总面积的0.14%。</w:t>
      </w:r>
    </w:p>
    <w:p>
      <w:pPr>
        <w:pStyle w:val="4"/>
        <w:ind w:firstLine="643"/>
      </w:pPr>
      <w:bookmarkStart w:id="139" w:name="_Toc531780472"/>
      <w:bookmarkStart w:id="140" w:name="_Toc531340580"/>
      <w:bookmarkStart w:id="141" w:name="_Toc531620723"/>
      <w:bookmarkStart w:id="142" w:name="_Toc530300323"/>
      <w:bookmarkStart w:id="143" w:name="_Toc531340975"/>
      <w:bookmarkStart w:id="144" w:name="_Toc527468271"/>
      <w:bookmarkStart w:id="145" w:name="_Toc530398495"/>
      <w:bookmarkStart w:id="146" w:name="_Toc530297609"/>
      <w:bookmarkStart w:id="147" w:name="_Toc21791364"/>
      <w:bookmarkStart w:id="148" w:name="_Toc22646770"/>
      <w:bookmarkStart w:id="149" w:name="_Toc22654978"/>
      <w:bookmarkStart w:id="150" w:name="_Toc22716699"/>
      <w:r>
        <w:rPr>
          <w:rFonts w:hint="eastAsia"/>
        </w:rPr>
        <w:t>3、</w:t>
      </w:r>
      <w:r>
        <w:t>其他土地</w:t>
      </w:r>
      <w:bookmarkEnd w:id="139"/>
      <w:bookmarkEnd w:id="140"/>
      <w:bookmarkEnd w:id="141"/>
      <w:bookmarkEnd w:id="142"/>
      <w:bookmarkEnd w:id="143"/>
      <w:bookmarkEnd w:id="144"/>
      <w:bookmarkEnd w:id="145"/>
      <w:bookmarkEnd w:id="146"/>
      <w:bookmarkEnd w:id="147"/>
      <w:bookmarkEnd w:id="148"/>
      <w:bookmarkEnd w:id="149"/>
      <w:bookmarkEnd w:id="150"/>
    </w:p>
    <w:p>
      <w:pPr>
        <w:spacing w:line="312" w:lineRule="auto"/>
        <w:ind w:firstLine="560"/>
        <w:rPr>
          <w:rFonts w:cs="Times New Roman"/>
        </w:rPr>
        <w:sectPr>
          <w:footerReference r:id="rId14" w:type="default"/>
          <w:pgSz w:w="11906" w:h="16838"/>
          <w:pgMar w:top="1440" w:right="1800" w:bottom="1440" w:left="1800" w:header="851" w:footer="992" w:gutter="0"/>
          <w:cols w:space="425" w:num="1"/>
          <w:docGrid w:type="lines" w:linePitch="312" w:charSpace="0"/>
        </w:sectPr>
      </w:pPr>
      <w:r>
        <w:rPr>
          <w:rFonts w:hint="eastAsia" w:cs="Times New Roman"/>
        </w:rPr>
        <w:t>其他土地中，水域224.87公顷，占土地总面积的0.53%；未利用地378.18公顷，占土地总面积的0.90%。</w:t>
      </w:r>
    </w:p>
    <w:bookmarkEnd w:id="82"/>
    <w:p>
      <w:pPr>
        <w:snapToGrid w:val="0"/>
        <w:spacing w:line="312" w:lineRule="auto"/>
        <w:ind w:firstLine="0" w:firstLineChars="0"/>
        <w:jc w:val="center"/>
        <w:rPr>
          <w:rFonts w:cs="Times New Roman"/>
          <w:b/>
          <w:bCs/>
          <w:sz w:val="24"/>
          <w:szCs w:val="24"/>
        </w:rPr>
      </w:pPr>
      <w:bookmarkStart w:id="151" w:name="_Toc469995080"/>
      <w:bookmarkStart w:id="152" w:name="_Toc470096899"/>
      <w:bookmarkStart w:id="153" w:name="_Toc470637910"/>
      <w:bookmarkStart w:id="154" w:name="_Toc476579709"/>
      <w:r>
        <w:rPr>
          <w:rFonts w:cs="Times New Roman"/>
          <w:b/>
          <w:bCs/>
          <w:sz w:val="24"/>
          <w:szCs w:val="24"/>
        </w:rPr>
        <w:t>表</w:t>
      </w:r>
      <w:r>
        <w:rPr>
          <w:rFonts w:hint="eastAsia" w:cs="Times New Roman"/>
          <w:b/>
          <w:bCs/>
          <w:sz w:val="24"/>
          <w:szCs w:val="24"/>
        </w:rPr>
        <w:t>1</w:t>
      </w:r>
      <w:r>
        <w:rPr>
          <w:rFonts w:cs="Times New Roman"/>
          <w:b/>
          <w:bCs/>
          <w:sz w:val="24"/>
          <w:szCs w:val="24"/>
        </w:rPr>
        <w:t>-1  西阳镇201</w:t>
      </w:r>
      <w:r>
        <w:rPr>
          <w:rFonts w:hint="eastAsia" w:cs="Times New Roman"/>
          <w:b/>
          <w:bCs/>
          <w:sz w:val="24"/>
          <w:szCs w:val="24"/>
        </w:rPr>
        <w:t>8</w:t>
      </w:r>
      <w:r>
        <w:rPr>
          <w:rFonts w:cs="Times New Roman"/>
          <w:b/>
          <w:bCs/>
          <w:sz w:val="24"/>
          <w:szCs w:val="24"/>
        </w:rPr>
        <w:t>年土地利用现状</w:t>
      </w:r>
      <w:bookmarkEnd w:id="151"/>
      <w:bookmarkEnd w:id="152"/>
      <w:bookmarkEnd w:id="153"/>
      <w:bookmarkEnd w:id="154"/>
    </w:p>
    <w:p>
      <w:pPr>
        <w:ind w:firstLine="480"/>
        <w:jc w:val="right"/>
        <w:rPr>
          <w:sz w:val="24"/>
        </w:rPr>
      </w:pPr>
      <w:r>
        <w:rPr>
          <w:sz w:val="24"/>
        </w:rPr>
        <w:t>单位：公顷</w:t>
      </w:r>
      <w:r>
        <w:rPr>
          <w:rFonts w:hint="eastAsia"/>
          <w:sz w:val="24"/>
        </w:rPr>
        <w:t>、%</w:t>
      </w:r>
    </w:p>
    <w:tbl>
      <w:tblPr>
        <w:tblStyle w:val="17"/>
        <w:tblW w:w="8522"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251"/>
        <w:gridCol w:w="1848"/>
        <w:gridCol w:w="2749"/>
        <w:gridCol w:w="1338"/>
        <w:gridCol w:w="133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5848" w:type="dxa"/>
            <w:gridSpan w:val="3"/>
            <w:shd w:val="clear" w:color="auto" w:fill="auto"/>
            <w:noWrap/>
            <w:vAlign w:val="center"/>
          </w:tcPr>
          <w:p>
            <w:pPr>
              <w:widowControl/>
              <w:spacing w:line="240" w:lineRule="auto"/>
              <w:ind w:firstLine="0" w:firstLineChars="0"/>
              <w:jc w:val="center"/>
              <w:rPr>
                <w:rFonts w:cs="Times New Roman"/>
                <w:b/>
                <w:bCs/>
                <w:color w:val="000000"/>
                <w:kern w:val="0"/>
                <w:sz w:val="21"/>
              </w:rPr>
            </w:pPr>
            <w:r>
              <w:rPr>
                <w:rFonts w:cs="Times New Roman"/>
                <w:b/>
                <w:bCs/>
                <w:color w:val="000000"/>
                <w:kern w:val="0"/>
                <w:sz w:val="21"/>
              </w:rPr>
              <w:t>地类</w:t>
            </w:r>
          </w:p>
        </w:tc>
        <w:tc>
          <w:tcPr>
            <w:tcW w:w="1338" w:type="dxa"/>
            <w:shd w:val="clear" w:color="auto" w:fill="auto"/>
            <w:noWrap/>
            <w:vAlign w:val="center"/>
          </w:tcPr>
          <w:p>
            <w:pPr>
              <w:widowControl/>
              <w:spacing w:line="240" w:lineRule="auto"/>
              <w:ind w:firstLine="0" w:firstLineChars="0"/>
              <w:jc w:val="center"/>
              <w:rPr>
                <w:rFonts w:cs="Times New Roman"/>
                <w:b/>
                <w:bCs/>
                <w:color w:val="000000"/>
                <w:kern w:val="0"/>
                <w:sz w:val="21"/>
              </w:rPr>
            </w:pPr>
            <w:r>
              <w:rPr>
                <w:rFonts w:cs="Times New Roman"/>
                <w:b/>
                <w:bCs/>
                <w:color w:val="000000"/>
                <w:kern w:val="0"/>
                <w:sz w:val="21"/>
              </w:rPr>
              <w:t>面积</w:t>
            </w:r>
          </w:p>
        </w:tc>
        <w:tc>
          <w:tcPr>
            <w:tcW w:w="1336" w:type="dxa"/>
            <w:shd w:val="clear" w:color="auto" w:fill="auto"/>
            <w:noWrap/>
            <w:vAlign w:val="center"/>
          </w:tcPr>
          <w:p>
            <w:pPr>
              <w:widowControl/>
              <w:spacing w:line="240" w:lineRule="auto"/>
              <w:ind w:firstLine="0" w:firstLineChars="0"/>
              <w:jc w:val="center"/>
              <w:rPr>
                <w:rFonts w:cs="Times New Roman"/>
                <w:b/>
                <w:bCs/>
                <w:color w:val="000000"/>
                <w:kern w:val="0"/>
                <w:sz w:val="21"/>
              </w:rPr>
            </w:pPr>
            <w:r>
              <w:rPr>
                <w:rFonts w:cs="Times New Roman"/>
                <w:b/>
                <w:bCs/>
                <w:color w:val="000000"/>
                <w:kern w:val="0"/>
                <w:sz w:val="21"/>
              </w:rPr>
              <w:t>比例</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5848" w:type="dxa"/>
            <w:gridSpan w:val="3"/>
            <w:shd w:val="clear" w:color="auto" w:fill="auto"/>
            <w:noWrap/>
            <w:vAlign w:val="center"/>
          </w:tcPr>
          <w:p>
            <w:pPr>
              <w:widowControl/>
              <w:spacing w:line="240" w:lineRule="auto"/>
              <w:ind w:firstLine="0" w:firstLineChars="0"/>
              <w:jc w:val="center"/>
              <w:rPr>
                <w:rFonts w:cs="Times New Roman"/>
                <w:b/>
                <w:bCs/>
                <w:color w:val="000000"/>
                <w:kern w:val="0"/>
                <w:sz w:val="21"/>
              </w:rPr>
            </w:pPr>
            <w:r>
              <w:rPr>
                <w:rFonts w:cs="Times New Roman"/>
                <w:b/>
                <w:bCs/>
                <w:color w:val="000000"/>
                <w:kern w:val="0"/>
                <w:sz w:val="21"/>
              </w:rPr>
              <w:t>土地总面积</w:t>
            </w:r>
          </w:p>
        </w:tc>
        <w:tc>
          <w:tcPr>
            <w:tcW w:w="1338" w:type="dxa"/>
            <w:shd w:val="clear" w:color="auto" w:fill="auto"/>
            <w:noWrap/>
            <w:vAlign w:val="center"/>
          </w:tcPr>
          <w:p>
            <w:pPr>
              <w:widowControl/>
              <w:spacing w:line="240" w:lineRule="auto"/>
              <w:ind w:firstLine="0" w:firstLineChars="0"/>
              <w:jc w:val="center"/>
              <w:rPr>
                <w:rFonts w:cs="Times New Roman"/>
                <w:b/>
                <w:bCs/>
                <w:color w:val="000000"/>
                <w:kern w:val="0"/>
                <w:sz w:val="21"/>
              </w:rPr>
            </w:pPr>
            <w:r>
              <w:rPr>
                <w:rFonts w:cs="Times New Roman"/>
                <w:b/>
                <w:bCs/>
                <w:color w:val="000000"/>
                <w:kern w:val="0"/>
                <w:sz w:val="21"/>
              </w:rPr>
              <w:t>42235.90</w:t>
            </w:r>
          </w:p>
        </w:tc>
        <w:tc>
          <w:tcPr>
            <w:tcW w:w="1336" w:type="dxa"/>
            <w:shd w:val="clear" w:color="auto" w:fill="auto"/>
            <w:noWrap/>
            <w:vAlign w:val="center"/>
          </w:tcPr>
          <w:p>
            <w:pPr>
              <w:widowControl/>
              <w:spacing w:line="240" w:lineRule="auto"/>
              <w:ind w:firstLine="0" w:firstLineChars="0"/>
              <w:jc w:val="center"/>
              <w:rPr>
                <w:rFonts w:cs="Times New Roman"/>
                <w:b/>
                <w:bCs/>
                <w:color w:val="000000"/>
                <w:kern w:val="0"/>
                <w:sz w:val="21"/>
              </w:rPr>
            </w:pPr>
            <w:r>
              <w:rPr>
                <w:rFonts w:cs="Times New Roman"/>
                <w:b/>
                <w:bCs/>
                <w:color w:val="000000"/>
                <w:kern w:val="0"/>
                <w:sz w:val="21"/>
              </w:rPr>
              <w:t>100.00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099" w:type="dxa"/>
            <w:gridSpan w:val="2"/>
            <w:vMerge w:val="restart"/>
            <w:shd w:val="clear" w:color="auto" w:fill="auto"/>
            <w:noWrap/>
            <w:vAlign w:val="center"/>
          </w:tcPr>
          <w:p>
            <w:pPr>
              <w:widowControl/>
              <w:spacing w:line="240" w:lineRule="auto"/>
              <w:ind w:firstLine="0" w:firstLineChars="0"/>
              <w:jc w:val="center"/>
              <w:rPr>
                <w:rFonts w:cs="Times New Roman"/>
                <w:b/>
                <w:bCs/>
                <w:color w:val="000000"/>
                <w:kern w:val="0"/>
                <w:sz w:val="21"/>
              </w:rPr>
            </w:pPr>
            <w:r>
              <w:rPr>
                <w:rFonts w:cs="Times New Roman"/>
                <w:b/>
                <w:bCs/>
                <w:color w:val="000000"/>
                <w:kern w:val="0"/>
                <w:sz w:val="21"/>
              </w:rPr>
              <w:t>农用地</w:t>
            </w:r>
          </w:p>
        </w:tc>
        <w:tc>
          <w:tcPr>
            <w:tcW w:w="2749"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耕地</w:t>
            </w:r>
          </w:p>
        </w:tc>
        <w:tc>
          <w:tcPr>
            <w:tcW w:w="1338"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10483.40</w:t>
            </w:r>
          </w:p>
        </w:tc>
        <w:tc>
          <w:tcPr>
            <w:tcW w:w="1336"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24.82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099" w:type="dxa"/>
            <w:gridSpan w:val="2"/>
            <w:vMerge w:val="continue"/>
            <w:vAlign w:val="center"/>
          </w:tcPr>
          <w:p>
            <w:pPr>
              <w:widowControl/>
              <w:spacing w:line="240" w:lineRule="auto"/>
              <w:ind w:firstLine="0" w:firstLineChars="0"/>
              <w:jc w:val="left"/>
              <w:rPr>
                <w:rFonts w:cs="Times New Roman"/>
                <w:b/>
                <w:bCs/>
                <w:color w:val="000000"/>
                <w:kern w:val="0"/>
                <w:sz w:val="21"/>
              </w:rPr>
            </w:pPr>
          </w:p>
        </w:tc>
        <w:tc>
          <w:tcPr>
            <w:tcW w:w="2749"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园地</w:t>
            </w:r>
          </w:p>
        </w:tc>
        <w:tc>
          <w:tcPr>
            <w:tcW w:w="1338"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1835.83</w:t>
            </w:r>
          </w:p>
        </w:tc>
        <w:tc>
          <w:tcPr>
            <w:tcW w:w="1336"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4.34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099" w:type="dxa"/>
            <w:gridSpan w:val="2"/>
            <w:vMerge w:val="continue"/>
            <w:vAlign w:val="center"/>
          </w:tcPr>
          <w:p>
            <w:pPr>
              <w:widowControl/>
              <w:spacing w:line="240" w:lineRule="auto"/>
              <w:ind w:firstLine="0" w:firstLineChars="0"/>
              <w:jc w:val="left"/>
              <w:rPr>
                <w:rFonts w:cs="Times New Roman"/>
                <w:b/>
                <w:bCs/>
                <w:color w:val="000000"/>
                <w:kern w:val="0"/>
                <w:sz w:val="21"/>
              </w:rPr>
            </w:pPr>
          </w:p>
        </w:tc>
        <w:tc>
          <w:tcPr>
            <w:tcW w:w="2749"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林地</w:t>
            </w:r>
          </w:p>
        </w:tc>
        <w:tc>
          <w:tcPr>
            <w:tcW w:w="1338"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25767.11</w:t>
            </w:r>
          </w:p>
        </w:tc>
        <w:tc>
          <w:tcPr>
            <w:tcW w:w="1336"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61.01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099" w:type="dxa"/>
            <w:gridSpan w:val="2"/>
            <w:vMerge w:val="continue"/>
            <w:vAlign w:val="center"/>
          </w:tcPr>
          <w:p>
            <w:pPr>
              <w:widowControl/>
              <w:spacing w:line="240" w:lineRule="auto"/>
              <w:ind w:firstLine="0" w:firstLineChars="0"/>
              <w:jc w:val="left"/>
              <w:rPr>
                <w:rFonts w:cs="Times New Roman"/>
                <w:b/>
                <w:bCs/>
                <w:color w:val="000000"/>
                <w:kern w:val="0"/>
                <w:sz w:val="21"/>
              </w:rPr>
            </w:pPr>
          </w:p>
        </w:tc>
        <w:tc>
          <w:tcPr>
            <w:tcW w:w="2749"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其他农用地</w:t>
            </w:r>
          </w:p>
        </w:tc>
        <w:tc>
          <w:tcPr>
            <w:tcW w:w="1338"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161.79</w:t>
            </w:r>
          </w:p>
        </w:tc>
        <w:tc>
          <w:tcPr>
            <w:tcW w:w="1336"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0.38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099" w:type="dxa"/>
            <w:gridSpan w:val="2"/>
            <w:vMerge w:val="continue"/>
            <w:vAlign w:val="center"/>
          </w:tcPr>
          <w:p>
            <w:pPr>
              <w:widowControl/>
              <w:spacing w:line="240" w:lineRule="auto"/>
              <w:ind w:firstLine="0" w:firstLineChars="0"/>
              <w:jc w:val="left"/>
              <w:rPr>
                <w:rFonts w:cs="Times New Roman"/>
                <w:b/>
                <w:bCs/>
                <w:color w:val="000000"/>
                <w:kern w:val="0"/>
                <w:sz w:val="21"/>
              </w:rPr>
            </w:pPr>
          </w:p>
        </w:tc>
        <w:tc>
          <w:tcPr>
            <w:tcW w:w="2749" w:type="dxa"/>
            <w:shd w:val="clear" w:color="000000" w:fill="FFFFFF"/>
            <w:noWrap/>
            <w:vAlign w:val="center"/>
          </w:tcPr>
          <w:p>
            <w:pPr>
              <w:widowControl/>
              <w:spacing w:line="240" w:lineRule="auto"/>
              <w:ind w:firstLine="0" w:firstLineChars="0"/>
              <w:jc w:val="center"/>
              <w:rPr>
                <w:rFonts w:cs="Times New Roman"/>
                <w:b/>
                <w:bCs/>
                <w:color w:val="000000"/>
                <w:kern w:val="0"/>
                <w:sz w:val="21"/>
              </w:rPr>
            </w:pPr>
            <w:r>
              <w:rPr>
                <w:rFonts w:cs="Times New Roman"/>
                <w:b/>
                <w:bCs/>
                <w:color w:val="000000"/>
                <w:kern w:val="0"/>
                <w:sz w:val="21"/>
              </w:rPr>
              <w:t>合计</w:t>
            </w:r>
          </w:p>
        </w:tc>
        <w:tc>
          <w:tcPr>
            <w:tcW w:w="1338" w:type="dxa"/>
            <w:shd w:val="clear" w:color="000000" w:fill="FFFFFF"/>
            <w:noWrap/>
            <w:vAlign w:val="center"/>
          </w:tcPr>
          <w:p>
            <w:pPr>
              <w:widowControl/>
              <w:spacing w:line="240" w:lineRule="auto"/>
              <w:ind w:firstLine="0" w:firstLineChars="0"/>
              <w:jc w:val="center"/>
              <w:rPr>
                <w:rFonts w:cs="Times New Roman"/>
                <w:b/>
                <w:bCs/>
                <w:color w:val="000000"/>
                <w:kern w:val="0"/>
                <w:sz w:val="21"/>
              </w:rPr>
            </w:pPr>
            <w:r>
              <w:rPr>
                <w:rFonts w:cs="Times New Roman"/>
                <w:b/>
                <w:bCs/>
                <w:color w:val="000000"/>
                <w:kern w:val="0"/>
                <w:sz w:val="21"/>
              </w:rPr>
              <w:t>38247.13</w:t>
            </w:r>
          </w:p>
        </w:tc>
        <w:tc>
          <w:tcPr>
            <w:tcW w:w="1336" w:type="dxa"/>
            <w:shd w:val="clear" w:color="auto" w:fill="auto"/>
            <w:noWrap/>
            <w:vAlign w:val="center"/>
          </w:tcPr>
          <w:p>
            <w:pPr>
              <w:widowControl/>
              <w:spacing w:line="240" w:lineRule="auto"/>
              <w:ind w:firstLine="0" w:firstLineChars="0"/>
              <w:jc w:val="center"/>
              <w:rPr>
                <w:rFonts w:cs="Times New Roman"/>
                <w:b/>
                <w:bCs/>
                <w:color w:val="000000"/>
                <w:kern w:val="0"/>
                <w:sz w:val="21"/>
              </w:rPr>
            </w:pPr>
            <w:r>
              <w:rPr>
                <w:rFonts w:cs="Times New Roman"/>
                <w:b/>
                <w:bCs/>
                <w:color w:val="000000"/>
                <w:kern w:val="0"/>
                <w:sz w:val="21"/>
              </w:rPr>
              <w:t>90.55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251" w:type="dxa"/>
            <w:vMerge w:val="restart"/>
            <w:shd w:val="clear" w:color="auto" w:fill="auto"/>
            <w:noWrap/>
            <w:vAlign w:val="center"/>
          </w:tcPr>
          <w:p>
            <w:pPr>
              <w:widowControl/>
              <w:spacing w:line="240" w:lineRule="auto"/>
              <w:ind w:firstLine="0" w:firstLineChars="0"/>
              <w:jc w:val="center"/>
              <w:rPr>
                <w:rFonts w:cs="Times New Roman"/>
                <w:b/>
                <w:bCs/>
                <w:color w:val="000000"/>
                <w:kern w:val="0"/>
                <w:sz w:val="21"/>
              </w:rPr>
            </w:pPr>
            <w:r>
              <w:rPr>
                <w:rFonts w:cs="Times New Roman"/>
                <w:b/>
                <w:bCs/>
                <w:color w:val="000000"/>
                <w:kern w:val="0"/>
                <w:sz w:val="21"/>
              </w:rPr>
              <w:t>建设用地</w:t>
            </w:r>
          </w:p>
        </w:tc>
        <w:tc>
          <w:tcPr>
            <w:tcW w:w="1848" w:type="dxa"/>
            <w:vMerge w:val="restart"/>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城乡建设用地</w:t>
            </w:r>
          </w:p>
        </w:tc>
        <w:tc>
          <w:tcPr>
            <w:tcW w:w="2749" w:type="dxa"/>
            <w:shd w:val="clear" w:color="000000" w:fill="FFFFFF"/>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城镇用地</w:t>
            </w:r>
          </w:p>
        </w:tc>
        <w:tc>
          <w:tcPr>
            <w:tcW w:w="1338" w:type="dxa"/>
            <w:shd w:val="clear" w:color="000000" w:fill="FFFFFF"/>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181.27</w:t>
            </w:r>
          </w:p>
        </w:tc>
        <w:tc>
          <w:tcPr>
            <w:tcW w:w="1336"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0.43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251" w:type="dxa"/>
            <w:vMerge w:val="continue"/>
            <w:vAlign w:val="center"/>
          </w:tcPr>
          <w:p>
            <w:pPr>
              <w:widowControl/>
              <w:spacing w:line="240" w:lineRule="auto"/>
              <w:ind w:firstLine="0" w:firstLineChars="0"/>
              <w:jc w:val="left"/>
              <w:rPr>
                <w:rFonts w:cs="Times New Roman"/>
                <w:b/>
                <w:bCs/>
                <w:color w:val="000000"/>
                <w:kern w:val="0"/>
                <w:sz w:val="21"/>
              </w:rPr>
            </w:pPr>
          </w:p>
        </w:tc>
        <w:tc>
          <w:tcPr>
            <w:tcW w:w="1848" w:type="dxa"/>
            <w:vMerge w:val="continue"/>
            <w:vAlign w:val="center"/>
          </w:tcPr>
          <w:p>
            <w:pPr>
              <w:widowControl/>
              <w:spacing w:line="240" w:lineRule="auto"/>
              <w:ind w:firstLine="0" w:firstLineChars="0"/>
              <w:jc w:val="left"/>
              <w:rPr>
                <w:rFonts w:cs="Times New Roman"/>
                <w:color w:val="000000"/>
                <w:kern w:val="0"/>
                <w:sz w:val="21"/>
              </w:rPr>
            </w:pPr>
          </w:p>
        </w:tc>
        <w:tc>
          <w:tcPr>
            <w:tcW w:w="2749"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农村居民点用地</w:t>
            </w:r>
          </w:p>
        </w:tc>
        <w:tc>
          <w:tcPr>
            <w:tcW w:w="1338" w:type="dxa"/>
            <w:shd w:val="clear" w:color="000000" w:fill="FFFFFF"/>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879.34</w:t>
            </w:r>
          </w:p>
        </w:tc>
        <w:tc>
          <w:tcPr>
            <w:tcW w:w="1336"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2.08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251" w:type="dxa"/>
            <w:vMerge w:val="continue"/>
            <w:vAlign w:val="center"/>
          </w:tcPr>
          <w:p>
            <w:pPr>
              <w:widowControl/>
              <w:spacing w:line="240" w:lineRule="auto"/>
              <w:ind w:firstLine="0" w:firstLineChars="0"/>
              <w:jc w:val="left"/>
              <w:rPr>
                <w:rFonts w:cs="Times New Roman"/>
                <w:b/>
                <w:bCs/>
                <w:color w:val="000000"/>
                <w:kern w:val="0"/>
                <w:sz w:val="21"/>
              </w:rPr>
            </w:pPr>
          </w:p>
        </w:tc>
        <w:tc>
          <w:tcPr>
            <w:tcW w:w="1848" w:type="dxa"/>
            <w:vMerge w:val="continue"/>
            <w:vAlign w:val="center"/>
          </w:tcPr>
          <w:p>
            <w:pPr>
              <w:widowControl/>
              <w:spacing w:line="240" w:lineRule="auto"/>
              <w:ind w:firstLine="0" w:firstLineChars="0"/>
              <w:jc w:val="left"/>
              <w:rPr>
                <w:rFonts w:cs="Times New Roman"/>
                <w:color w:val="000000"/>
                <w:kern w:val="0"/>
                <w:sz w:val="21"/>
              </w:rPr>
            </w:pPr>
          </w:p>
        </w:tc>
        <w:tc>
          <w:tcPr>
            <w:tcW w:w="2749"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采矿用地</w:t>
            </w:r>
          </w:p>
        </w:tc>
        <w:tc>
          <w:tcPr>
            <w:tcW w:w="1338"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448.54</w:t>
            </w:r>
          </w:p>
        </w:tc>
        <w:tc>
          <w:tcPr>
            <w:tcW w:w="1336"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1.06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251" w:type="dxa"/>
            <w:vMerge w:val="continue"/>
            <w:vAlign w:val="center"/>
          </w:tcPr>
          <w:p>
            <w:pPr>
              <w:widowControl/>
              <w:spacing w:line="240" w:lineRule="auto"/>
              <w:ind w:firstLine="0" w:firstLineChars="0"/>
              <w:jc w:val="left"/>
              <w:rPr>
                <w:rFonts w:cs="Times New Roman"/>
                <w:b/>
                <w:bCs/>
                <w:color w:val="000000"/>
                <w:kern w:val="0"/>
                <w:sz w:val="21"/>
              </w:rPr>
            </w:pPr>
          </w:p>
        </w:tc>
        <w:tc>
          <w:tcPr>
            <w:tcW w:w="1848" w:type="dxa"/>
            <w:vMerge w:val="continue"/>
            <w:vAlign w:val="center"/>
          </w:tcPr>
          <w:p>
            <w:pPr>
              <w:widowControl/>
              <w:spacing w:line="240" w:lineRule="auto"/>
              <w:ind w:firstLine="0" w:firstLineChars="0"/>
              <w:jc w:val="left"/>
              <w:rPr>
                <w:rFonts w:cs="Times New Roman"/>
                <w:color w:val="000000"/>
                <w:kern w:val="0"/>
                <w:sz w:val="21"/>
              </w:rPr>
            </w:pPr>
          </w:p>
        </w:tc>
        <w:tc>
          <w:tcPr>
            <w:tcW w:w="2749"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其他独立建设用地</w:t>
            </w:r>
          </w:p>
        </w:tc>
        <w:tc>
          <w:tcPr>
            <w:tcW w:w="1338"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0.00</w:t>
            </w:r>
          </w:p>
        </w:tc>
        <w:tc>
          <w:tcPr>
            <w:tcW w:w="1336"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0.00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251" w:type="dxa"/>
            <w:vMerge w:val="continue"/>
            <w:vAlign w:val="center"/>
          </w:tcPr>
          <w:p>
            <w:pPr>
              <w:widowControl/>
              <w:spacing w:line="240" w:lineRule="auto"/>
              <w:ind w:firstLine="0" w:firstLineChars="0"/>
              <w:jc w:val="left"/>
              <w:rPr>
                <w:rFonts w:cs="Times New Roman"/>
                <w:b/>
                <w:bCs/>
                <w:color w:val="000000"/>
                <w:kern w:val="0"/>
                <w:sz w:val="21"/>
              </w:rPr>
            </w:pPr>
          </w:p>
        </w:tc>
        <w:tc>
          <w:tcPr>
            <w:tcW w:w="1848" w:type="dxa"/>
            <w:vMerge w:val="continue"/>
            <w:vAlign w:val="center"/>
          </w:tcPr>
          <w:p>
            <w:pPr>
              <w:widowControl/>
              <w:spacing w:line="240" w:lineRule="auto"/>
              <w:ind w:firstLine="0" w:firstLineChars="0"/>
              <w:jc w:val="left"/>
              <w:rPr>
                <w:rFonts w:cs="Times New Roman"/>
                <w:color w:val="000000"/>
                <w:kern w:val="0"/>
                <w:sz w:val="21"/>
              </w:rPr>
            </w:pPr>
          </w:p>
        </w:tc>
        <w:tc>
          <w:tcPr>
            <w:tcW w:w="2749"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小计</w:t>
            </w:r>
          </w:p>
        </w:tc>
        <w:tc>
          <w:tcPr>
            <w:tcW w:w="1338"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1509.15</w:t>
            </w:r>
          </w:p>
        </w:tc>
        <w:tc>
          <w:tcPr>
            <w:tcW w:w="1336"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3.57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251" w:type="dxa"/>
            <w:vMerge w:val="continue"/>
            <w:vAlign w:val="center"/>
          </w:tcPr>
          <w:p>
            <w:pPr>
              <w:widowControl/>
              <w:spacing w:line="240" w:lineRule="auto"/>
              <w:ind w:firstLine="0" w:firstLineChars="0"/>
              <w:jc w:val="left"/>
              <w:rPr>
                <w:rFonts w:cs="Times New Roman"/>
                <w:b/>
                <w:bCs/>
                <w:color w:val="000000"/>
                <w:kern w:val="0"/>
                <w:sz w:val="21"/>
              </w:rPr>
            </w:pPr>
          </w:p>
        </w:tc>
        <w:tc>
          <w:tcPr>
            <w:tcW w:w="1848" w:type="dxa"/>
            <w:vMerge w:val="restart"/>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交通运输用地</w:t>
            </w:r>
          </w:p>
        </w:tc>
        <w:tc>
          <w:tcPr>
            <w:tcW w:w="2749"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铁路用地</w:t>
            </w:r>
          </w:p>
        </w:tc>
        <w:tc>
          <w:tcPr>
            <w:tcW w:w="1338"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100.34</w:t>
            </w:r>
          </w:p>
        </w:tc>
        <w:tc>
          <w:tcPr>
            <w:tcW w:w="1336"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0.24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251" w:type="dxa"/>
            <w:vMerge w:val="continue"/>
            <w:vAlign w:val="center"/>
          </w:tcPr>
          <w:p>
            <w:pPr>
              <w:widowControl/>
              <w:spacing w:line="240" w:lineRule="auto"/>
              <w:ind w:firstLine="0" w:firstLineChars="0"/>
              <w:jc w:val="left"/>
              <w:rPr>
                <w:rFonts w:cs="Times New Roman"/>
                <w:b/>
                <w:bCs/>
                <w:color w:val="000000"/>
                <w:kern w:val="0"/>
                <w:sz w:val="21"/>
              </w:rPr>
            </w:pPr>
          </w:p>
        </w:tc>
        <w:tc>
          <w:tcPr>
            <w:tcW w:w="1848" w:type="dxa"/>
            <w:vMerge w:val="continue"/>
            <w:vAlign w:val="center"/>
          </w:tcPr>
          <w:p>
            <w:pPr>
              <w:widowControl/>
              <w:spacing w:line="240" w:lineRule="auto"/>
              <w:ind w:firstLine="0" w:firstLineChars="0"/>
              <w:jc w:val="left"/>
              <w:rPr>
                <w:rFonts w:cs="Times New Roman"/>
                <w:color w:val="000000"/>
                <w:kern w:val="0"/>
                <w:sz w:val="21"/>
              </w:rPr>
            </w:pPr>
          </w:p>
        </w:tc>
        <w:tc>
          <w:tcPr>
            <w:tcW w:w="2749"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公路用地</w:t>
            </w:r>
          </w:p>
        </w:tc>
        <w:tc>
          <w:tcPr>
            <w:tcW w:w="1338"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138.27</w:t>
            </w:r>
          </w:p>
        </w:tc>
        <w:tc>
          <w:tcPr>
            <w:tcW w:w="1336"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0.33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251" w:type="dxa"/>
            <w:vMerge w:val="continue"/>
            <w:vAlign w:val="center"/>
          </w:tcPr>
          <w:p>
            <w:pPr>
              <w:widowControl/>
              <w:spacing w:line="240" w:lineRule="auto"/>
              <w:ind w:firstLine="0" w:firstLineChars="0"/>
              <w:jc w:val="left"/>
              <w:rPr>
                <w:rFonts w:cs="Times New Roman"/>
                <w:b/>
                <w:bCs/>
                <w:color w:val="000000"/>
                <w:kern w:val="0"/>
                <w:sz w:val="21"/>
              </w:rPr>
            </w:pPr>
          </w:p>
        </w:tc>
        <w:tc>
          <w:tcPr>
            <w:tcW w:w="1848" w:type="dxa"/>
            <w:vMerge w:val="continue"/>
            <w:vAlign w:val="center"/>
          </w:tcPr>
          <w:p>
            <w:pPr>
              <w:widowControl/>
              <w:spacing w:line="240" w:lineRule="auto"/>
              <w:ind w:firstLine="0" w:firstLineChars="0"/>
              <w:jc w:val="left"/>
              <w:rPr>
                <w:rFonts w:cs="Times New Roman"/>
                <w:color w:val="000000"/>
                <w:kern w:val="0"/>
                <w:sz w:val="21"/>
              </w:rPr>
            </w:pPr>
          </w:p>
        </w:tc>
        <w:tc>
          <w:tcPr>
            <w:tcW w:w="2749"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小计</w:t>
            </w:r>
          </w:p>
        </w:tc>
        <w:tc>
          <w:tcPr>
            <w:tcW w:w="1338"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238.61</w:t>
            </w:r>
          </w:p>
        </w:tc>
        <w:tc>
          <w:tcPr>
            <w:tcW w:w="1336"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0.56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251" w:type="dxa"/>
            <w:vMerge w:val="continue"/>
            <w:vAlign w:val="center"/>
          </w:tcPr>
          <w:p>
            <w:pPr>
              <w:widowControl/>
              <w:spacing w:line="240" w:lineRule="auto"/>
              <w:ind w:firstLine="0" w:firstLineChars="0"/>
              <w:jc w:val="left"/>
              <w:rPr>
                <w:rFonts w:cs="Times New Roman"/>
                <w:b/>
                <w:bCs/>
                <w:color w:val="000000"/>
                <w:kern w:val="0"/>
                <w:sz w:val="21"/>
              </w:rPr>
            </w:pPr>
          </w:p>
        </w:tc>
        <w:tc>
          <w:tcPr>
            <w:tcW w:w="1848" w:type="dxa"/>
            <w:vMerge w:val="restart"/>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水利设施用地</w:t>
            </w:r>
          </w:p>
        </w:tc>
        <w:tc>
          <w:tcPr>
            <w:tcW w:w="2749"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水库水面</w:t>
            </w:r>
          </w:p>
        </w:tc>
        <w:tc>
          <w:tcPr>
            <w:tcW w:w="1338"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1571.64</w:t>
            </w:r>
          </w:p>
        </w:tc>
        <w:tc>
          <w:tcPr>
            <w:tcW w:w="1336"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3.72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251" w:type="dxa"/>
            <w:vMerge w:val="continue"/>
            <w:vAlign w:val="center"/>
          </w:tcPr>
          <w:p>
            <w:pPr>
              <w:widowControl/>
              <w:spacing w:line="240" w:lineRule="auto"/>
              <w:ind w:firstLine="0" w:firstLineChars="0"/>
              <w:jc w:val="left"/>
              <w:rPr>
                <w:rFonts w:cs="Times New Roman"/>
                <w:b/>
                <w:bCs/>
                <w:color w:val="000000"/>
                <w:kern w:val="0"/>
                <w:sz w:val="21"/>
              </w:rPr>
            </w:pPr>
          </w:p>
        </w:tc>
        <w:tc>
          <w:tcPr>
            <w:tcW w:w="1848" w:type="dxa"/>
            <w:vMerge w:val="continue"/>
            <w:vAlign w:val="center"/>
          </w:tcPr>
          <w:p>
            <w:pPr>
              <w:widowControl/>
              <w:spacing w:line="240" w:lineRule="auto"/>
              <w:ind w:firstLine="0" w:firstLineChars="0"/>
              <w:jc w:val="left"/>
              <w:rPr>
                <w:rFonts w:cs="Times New Roman"/>
                <w:color w:val="000000"/>
                <w:kern w:val="0"/>
                <w:sz w:val="21"/>
              </w:rPr>
            </w:pPr>
          </w:p>
        </w:tc>
        <w:tc>
          <w:tcPr>
            <w:tcW w:w="2749"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水工建筑用地</w:t>
            </w:r>
          </w:p>
        </w:tc>
        <w:tc>
          <w:tcPr>
            <w:tcW w:w="1338"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6.26</w:t>
            </w:r>
          </w:p>
        </w:tc>
        <w:tc>
          <w:tcPr>
            <w:tcW w:w="1336"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0.01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251" w:type="dxa"/>
            <w:vMerge w:val="continue"/>
            <w:vAlign w:val="center"/>
          </w:tcPr>
          <w:p>
            <w:pPr>
              <w:widowControl/>
              <w:spacing w:line="240" w:lineRule="auto"/>
              <w:ind w:firstLine="0" w:firstLineChars="0"/>
              <w:jc w:val="left"/>
              <w:rPr>
                <w:rFonts w:cs="Times New Roman"/>
                <w:b/>
                <w:bCs/>
                <w:color w:val="000000"/>
                <w:kern w:val="0"/>
                <w:sz w:val="21"/>
              </w:rPr>
            </w:pPr>
          </w:p>
        </w:tc>
        <w:tc>
          <w:tcPr>
            <w:tcW w:w="1848" w:type="dxa"/>
            <w:vMerge w:val="continue"/>
            <w:vAlign w:val="center"/>
          </w:tcPr>
          <w:p>
            <w:pPr>
              <w:widowControl/>
              <w:spacing w:line="240" w:lineRule="auto"/>
              <w:ind w:firstLine="0" w:firstLineChars="0"/>
              <w:jc w:val="left"/>
              <w:rPr>
                <w:rFonts w:cs="Times New Roman"/>
                <w:color w:val="000000"/>
                <w:kern w:val="0"/>
                <w:sz w:val="21"/>
              </w:rPr>
            </w:pPr>
          </w:p>
        </w:tc>
        <w:tc>
          <w:tcPr>
            <w:tcW w:w="2749"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小计</w:t>
            </w:r>
          </w:p>
        </w:tc>
        <w:tc>
          <w:tcPr>
            <w:tcW w:w="1338"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1577.90</w:t>
            </w:r>
          </w:p>
        </w:tc>
        <w:tc>
          <w:tcPr>
            <w:tcW w:w="1336"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3.74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251" w:type="dxa"/>
            <w:vMerge w:val="continue"/>
            <w:vAlign w:val="center"/>
          </w:tcPr>
          <w:p>
            <w:pPr>
              <w:widowControl/>
              <w:spacing w:line="240" w:lineRule="auto"/>
              <w:ind w:firstLine="0" w:firstLineChars="0"/>
              <w:jc w:val="left"/>
              <w:rPr>
                <w:rFonts w:cs="Times New Roman"/>
                <w:b/>
                <w:bCs/>
                <w:color w:val="000000"/>
                <w:kern w:val="0"/>
                <w:sz w:val="21"/>
              </w:rPr>
            </w:pPr>
          </w:p>
        </w:tc>
        <w:tc>
          <w:tcPr>
            <w:tcW w:w="1848"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其他建设用地</w:t>
            </w:r>
          </w:p>
        </w:tc>
        <w:tc>
          <w:tcPr>
            <w:tcW w:w="2749"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风景名胜及特殊用地</w:t>
            </w:r>
          </w:p>
        </w:tc>
        <w:tc>
          <w:tcPr>
            <w:tcW w:w="1338"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60.05</w:t>
            </w:r>
          </w:p>
        </w:tc>
        <w:tc>
          <w:tcPr>
            <w:tcW w:w="1336"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0.14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251" w:type="dxa"/>
            <w:vMerge w:val="continue"/>
            <w:vAlign w:val="center"/>
          </w:tcPr>
          <w:p>
            <w:pPr>
              <w:widowControl/>
              <w:spacing w:line="240" w:lineRule="auto"/>
              <w:ind w:firstLine="0" w:firstLineChars="0"/>
              <w:jc w:val="left"/>
              <w:rPr>
                <w:rFonts w:cs="Times New Roman"/>
                <w:b/>
                <w:bCs/>
                <w:color w:val="000000"/>
                <w:kern w:val="0"/>
                <w:sz w:val="21"/>
              </w:rPr>
            </w:pPr>
          </w:p>
        </w:tc>
        <w:tc>
          <w:tcPr>
            <w:tcW w:w="4597" w:type="dxa"/>
            <w:gridSpan w:val="2"/>
            <w:shd w:val="clear" w:color="auto" w:fill="auto"/>
            <w:noWrap/>
            <w:vAlign w:val="center"/>
          </w:tcPr>
          <w:p>
            <w:pPr>
              <w:widowControl/>
              <w:spacing w:line="240" w:lineRule="auto"/>
              <w:ind w:firstLine="0" w:firstLineChars="0"/>
              <w:jc w:val="center"/>
              <w:rPr>
                <w:rFonts w:cs="Times New Roman"/>
                <w:b/>
                <w:bCs/>
                <w:color w:val="000000"/>
                <w:kern w:val="0"/>
                <w:sz w:val="21"/>
              </w:rPr>
            </w:pPr>
            <w:r>
              <w:rPr>
                <w:rFonts w:cs="Times New Roman"/>
                <w:b/>
                <w:bCs/>
                <w:color w:val="000000"/>
                <w:kern w:val="0"/>
                <w:sz w:val="21"/>
              </w:rPr>
              <w:t>合计</w:t>
            </w:r>
          </w:p>
        </w:tc>
        <w:tc>
          <w:tcPr>
            <w:tcW w:w="1338" w:type="dxa"/>
            <w:shd w:val="clear" w:color="auto" w:fill="auto"/>
            <w:noWrap/>
            <w:vAlign w:val="center"/>
          </w:tcPr>
          <w:p>
            <w:pPr>
              <w:widowControl/>
              <w:spacing w:line="240" w:lineRule="auto"/>
              <w:ind w:firstLine="0" w:firstLineChars="0"/>
              <w:jc w:val="center"/>
              <w:rPr>
                <w:rFonts w:cs="Times New Roman"/>
                <w:b/>
                <w:bCs/>
                <w:color w:val="000000"/>
                <w:kern w:val="0"/>
                <w:sz w:val="21"/>
              </w:rPr>
            </w:pPr>
            <w:r>
              <w:rPr>
                <w:rFonts w:cs="Times New Roman"/>
                <w:b/>
                <w:bCs/>
                <w:color w:val="000000"/>
                <w:kern w:val="0"/>
                <w:sz w:val="21"/>
              </w:rPr>
              <w:t>3385.72</w:t>
            </w:r>
          </w:p>
        </w:tc>
        <w:tc>
          <w:tcPr>
            <w:tcW w:w="1336" w:type="dxa"/>
            <w:shd w:val="clear" w:color="auto" w:fill="auto"/>
            <w:noWrap/>
            <w:vAlign w:val="center"/>
          </w:tcPr>
          <w:p>
            <w:pPr>
              <w:widowControl/>
              <w:spacing w:line="240" w:lineRule="auto"/>
              <w:ind w:firstLine="0" w:firstLineChars="0"/>
              <w:jc w:val="center"/>
              <w:rPr>
                <w:rFonts w:cs="Times New Roman"/>
                <w:b/>
                <w:bCs/>
                <w:color w:val="000000"/>
                <w:kern w:val="0"/>
                <w:sz w:val="21"/>
              </w:rPr>
            </w:pPr>
            <w:r>
              <w:rPr>
                <w:rFonts w:cs="Times New Roman"/>
                <w:b/>
                <w:bCs/>
                <w:color w:val="000000"/>
                <w:kern w:val="0"/>
                <w:sz w:val="21"/>
              </w:rPr>
              <w:t>8.02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099" w:type="dxa"/>
            <w:gridSpan w:val="2"/>
            <w:vMerge w:val="restart"/>
            <w:shd w:val="clear" w:color="auto" w:fill="auto"/>
            <w:noWrap/>
            <w:vAlign w:val="center"/>
          </w:tcPr>
          <w:p>
            <w:pPr>
              <w:widowControl/>
              <w:spacing w:line="240" w:lineRule="auto"/>
              <w:ind w:firstLine="0" w:firstLineChars="0"/>
              <w:jc w:val="center"/>
              <w:rPr>
                <w:rFonts w:cs="Times New Roman"/>
                <w:b/>
                <w:bCs/>
                <w:color w:val="000000"/>
                <w:kern w:val="0"/>
                <w:sz w:val="21"/>
              </w:rPr>
            </w:pPr>
            <w:r>
              <w:rPr>
                <w:rFonts w:cs="Times New Roman"/>
                <w:b/>
                <w:bCs/>
                <w:color w:val="000000"/>
                <w:kern w:val="0"/>
                <w:sz w:val="21"/>
              </w:rPr>
              <w:t>其他土地</w:t>
            </w:r>
          </w:p>
        </w:tc>
        <w:tc>
          <w:tcPr>
            <w:tcW w:w="2749"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水域</w:t>
            </w:r>
          </w:p>
        </w:tc>
        <w:tc>
          <w:tcPr>
            <w:tcW w:w="1338"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224.87</w:t>
            </w:r>
          </w:p>
        </w:tc>
        <w:tc>
          <w:tcPr>
            <w:tcW w:w="1336"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0.53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099" w:type="dxa"/>
            <w:gridSpan w:val="2"/>
            <w:vMerge w:val="continue"/>
            <w:vAlign w:val="center"/>
          </w:tcPr>
          <w:p>
            <w:pPr>
              <w:widowControl/>
              <w:spacing w:line="240" w:lineRule="auto"/>
              <w:ind w:firstLine="0" w:firstLineChars="0"/>
              <w:jc w:val="left"/>
              <w:rPr>
                <w:rFonts w:cs="Times New Roman"/>
                <w:b/>
                <w:bCs/>
                <w:color w:val="000000"/>
                <w:kern w:val="0"/>
                <w:sz w:val="21"/>
              </w:rPr>
            </w:pPr>
          </w:p>
        </w:tc>
        <w:tc>
          <w:tcPr>
            <w:tcW w:w="2749"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滩涂沼泽</w:t>
            </w:r>
          </w:p>
        </w:tc>
        <w:tc>
          <w:tcPr>
            <w:tcW w:w="1338"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0.00</w:t>
            </w:r>
          </w:p>
        </w:tc>
        <w:tc>
          <w:tcPr>
            <w:tcW w:w="1336"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0.00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099" w:type="dxa"/>
            <w:gridSpan w:val="2"/>
            <w:vMerge w:val="continue"/>
            <w:vAlign w:val="center"/>
          </w:tcPr>
          <w:p>
            <w:pPr>
              <w:widowControl/>
              <w:spacing w:line="240" w:lineRule="auto"/>
              <w:ind w:firstLine="0" w:firstLineChars="0"/>
              <w:jc w:val="left"/>
              <w:rPr>
                <w:rFonts w:cs="Times New Roman"/>
                <w:b/>
                <w:bCs/>
                <w:color w:val="000000"/>
                <w:kern w:val="0"/>
                <w:sz w:val="21"/>
              </w:rPr>
            </w:pPr>
          </w:p>
        </w:tc>
        <w:tc>
          <w:tcPr>
            <w:tcW w:w="2749"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未利用地</w:t>
            </w:r>
          </w:p>
        </w:tc>
        <w:tc>
          <w:tcPr>
            <w:tcW w:w="1338"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378.18</w:t>
            </w:r>
          </w:p>
        </w:tc>
        <w:tc>
          <w:tcPr>
            <w:tcW w:w="1336" w:type="dxa"/>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0.90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099" w:type="dxa"/>
            <w:gridSpan w:val="2"/>
            <w:vMerge w:val="continue"/>
            <w:vAlign w:val="center"/>
          </w:tcPr>
          <w:p>
            <w:pPr>
              <w:widowControl/>
              <w:spacing w:line="240" w:lineRule="auto"/>
              <w:ind w:firstLine="0" w:firstLineChars="0"/>
              <w:jc w:val="left"/>
              <w:rPr>
                <w:rFonts w:cs="Times New Roman"/>
                <w:b/>
                <w:bCs/>
                <w:color w:val="000000"/>
                <w:kern w:val="0"/>
                <w:sz w:val="21"/>
              </w:rPr>
            </w:pPr>
          </w:p>
        </w:tc>
        <w:tc>
          <w:tcPr>
            <w:tcW w:w="2749" w:type="dxa"/>
            <w:shd w:val="clear" w:color="auto" w:fill="auto"/>
            <w:noWrap/>
            <w:vAlign w:val="center"/>
          </w:tcPr>
          <w:p>
            <w:pPr>
              <w:widowControl/>
              <w:spacing w:line="240" w:lineRule="auto"/>
              <w:ind w:firstLine="0" w:firstLineChars="0"/>
              <w:jc w:val="center"/>
              <w:rPr>
                <w:rFonts w:cs="Times New Roman"/>
                <w:b/>
                <w:bCs/>
                <w:color w:val="000000"/>
                <w:kern w:val="0"/>
                <w:sz w:val="21"/>
              </w:rPr>
            </w:pPr>
            <w:r>
              <w:rPr>
                <w:rFonts w:cs="Times New Roman"/>
                <w:b/>
                <w:bCs/>
                <w:color w:val="000000"/>
                <w:kern w:val="0"/>
                <w:sz w:val="21"/>
              </w:rPr>
              <w:t>合计</w:t>
            </w:r>
          </w:p>
        </w:tc>
        <w:tc>
          <w:tcPr>
            <w:tcW w:w="1338" w:type="dxa"/>
            <w:shd w:val="clear" w:color="auto" w:fill="auto"/>
            <w:noWrap/>
            <w:vAlign w:val="center"/>
          </w:tcPr>
          <w:p>
            <w:pPr>
              <w:widowControl/>
              <w:spacing w:line="240" w:lineRule="auto"/>
              <w:ind w:firstLine="0" w:firstLineChars="0"/>
              <w:jc w:val="center"/>
              <w:rPr>
                <w:rFonts w:cs="Times New Roman"/>
                <w:b/>
                <w:bCs/>
                <w:color w:val="000000"/>
                <w:kern w:val="0"/>
                <w:sz w:val="21"/>
              </w:rPr>
            </w:pPr>
            <w:r>
              <w:rPr>
                <w:rFonts w:cs="Times New Roman"/>
                <w:b/>
                <w:bCs/>
                <w:color w:val="000000"/>
                <w:kern w:val="0"/>
                <w:sz w:val="21"/>
              </w:rPr>
              <w:t>603.05</w:t>
            </w:r>
          </w:p>
        </w:tc>
        <w:tc>
          <w:tcPr>
            <w:tcW w:w="1336" w:type="dxa"/>
            <w:shd w:val="clear" w:color="auto" w:fill="auto"/>
            <w:noWrap/>
            <w:vAlign w:val="center"/>
          </w:tcPr>
          <w:p>
            <w:pPr>
              <w:widowControl/>
              <w:spacing w:line="240" w:lineRule="auto"/>
              <w:ind w:firstLine="0" w:firstLineChars="0"/>
              <w:jc w:val="center"/>
              <w:rPr>
                <w:rFonts w:cs="Times New Roman"/>
                <w:b/>
                <w:bCs/>
                <w:color w:val="000000"/>
                <w:kern w:val="0"/>
                <w:sz w:val="21"/>
              </w:rPr>
            </w:pPr>
            <w:r>
              <w:rPr>
                <w:rFonts w:cs="Times New Roman"/>
                <w:b/>
                <w:bCs/>
                <w:color w:val="000000"/>
                <w:kern w:val="0"/>
                <w:sz w:val="21"/>
              </w:rPr>
              <w:t>1.43</w:t>
            </w:r>
          </w:p>
        </w:tc>
      </w:tr>
    </w:tbl>
    <w:p>
      <w:pPr>
        <w:ind w:firstLine="0" w:firstLineChars="0"/>
        <w:jc w:val="left"/>
        <w:rPr>
          <w:sz w:val="18"/>
          <w:szCs w:val="18"/>
        </w:rPr>
      </w:pPr>
      <w:r>
        <w:rPr>
          <w:sz w:val="18"/>
          <w:szCs w:val="18"/>
        </w:rPr>
        <w:t>注：数据来源于</w:t>
      </w:r>
      <w:r>
        <w:rPr>
          <w:rFonts w:hint="eastAsia"/>
          <w:sz w:val="18"/>
          <w:szCs w:val="18"/>
        </w:rPr>
        <w:t>永吉县</w:t>
      </w:r>
      <w:r>
        <w:rPr>
          <w:sz w:val="18"/>
          <w:szCs w:val="18"/>
        </w:rPr>
        <w:t>201</w:t>
      </w:r>
      <w:r>
        <w:rPr>
          <w:rFonts w:hint="eastAsia"/>
          <w:sz w:val="18"/>
          <w:szCs w:val="18"/>
        </w:rPr>
        <w:t>8</w:t>
      </w:r>
      <w:r>
        <w:rPr>
          <w:sz w:val="18"/>
          <w:szCs w:val="18"/>
        </w:rPr>
        <w:t>年土地利用变更调查成果。</w:t>
      </w:r>
    </w:p>
    <w:p>
      <w:pPr>
        <w:pStyle w:val="3"/>
        <w:ind w:firstLine="199" w:firstLineChars="62"/>
      </w:pPr>
      <w:bookmarkStart w:id="155" w:name="_Toc40116515"/>
      <w:bookmarkStart w:id="156" w:name="_Toc22716700"/>
      <w:r>
        <w:rPr>
          <w:rFonts w:hint="eastAsia"/>
        </w:rPr>
        <w:t>（四）土地利用现状特点</w:t>
      </w:r>
      <w:bookmarkEnd w:id="155"/>
      <w:bookmarkEnd w:id="156"/>
    </w:p>
    <w:p>
      <w:pPr>
        <w:ind w:firstLine="562"/>
        <w:rPr>
          <w:rFonts w:cs="Times New Roman"/>
          <w:b/>
        </w:rPr>
      </w:pPr>
      <w:r>
        <w:rPr>
          <w:rFonts w:cs="Times New Roman"/>
          <w:b/>
        </w:rPr>
        <w:t>1、农用地类型以耕地和林地为主体</w:t>
      </w:r>
    </w:p>
    <w:p>
      <w:pPr>
        <w:ind w:firstLine="560"/>
        <w:rPr>
          <w:rFonts w:cs="Times New Roman"/>
          <w:b/>
        </w:rPr>
      </w:pPr>
      <w:r>
        <w:rPr>
          <w:rFonts w:cs="Times New Roman"/>
        </w:rPr>
        <w:t>全镇土地利用类型以农用地为主，农用地占土地总面积的90.55%，其中，林地占农用地总面积的61.01%，西阳镇属于半山区，森林植被丰富，以柞树、落叶松为主，大面积的林地资源加上合理的开发利用，有利于林业生产和生态建设；耕地占农用地总面积的27.41%，今后西阳镇将大力发展葡萄、有机稻米等种植。</w:t>
      </w:r>
    </w:p>
    <w:p>
      <w:pPr>
        <w:ind w:firstLine="562"/>
        <w:rPr>
          <w:rFonts w:cs="Times New Roman"/>
          <w:b/>
        </w:rPr>
      </w:pPr>
      <w:r>
        <w:rPr>
          <w:rFonts w:cs="Times New Roman"/>
          <w:b/>
        </w:rPr>
        <w:t>2、整理潜力较大，矿业发展较好</w:t>
      </w:r>
    </w:p>
    <w:p>
      <w:pPr>
        <w:ind w:firstLine="560"/>
        <w:rPr>
          <w:rFonts w:cs="Times New Roman"/>
          <w:b/>
        </w:rPr>
      </w:pPr>
      <w:r>
        <w:rPr>
          <w:rFonts w:cs="Times New Roman"/>
        </w:rPr>
        <w:t>除水库水面外（水库为星星哨水库），全镇农村居民点用地占建设用地总规模比重最高，其次为采矿用地。2018年西阳镇农村居民点用地面积为879.34公顷，占建设用地总规模25.97%，占城乡建设用地规模58.27%；人均农村居民点用地为287平方米，高于2020年规划目标150平方米。2018年全镇采矿用地为448.54公顷，占建设用地总规模13.25%，占城乡建设用地规模29.72%，采矿业发展较好。</w:t>
      </w:r>
    </w:p>
    <w:p>
      <w:pPr>
        <w:ind w:firstLine="562"/>
        <w:rPr>
          <w:rFonts w:cs="Times New Roman"/>
          <w:b/>
        </w:rPr>
      </w:pPr>
      <w:r>
        <w:rPr>
          <w:rFonts w:cs="Times New Roman"/>
          <w:b/>
        </w:rPr>
        <w:t>3、土地利用类型比较丰富，土地利用率高</w:t>
      </w:r>
    </w:p>
    <w:p>
      <w:pPr>
        <w:ind w:firstLine="560"/>
        <w:jc w:val="left"/>
        <w:rPr>
          <w:rFonts w:cs="Times New Roman"/>
          <w:b/>
          <w:kern w:val="2"/>
          <w:sz w:val="24"/>
          <w:szCs w:val="24"/>
        </w:rPr>
      </w:pPr>
      <w:r>
        <w:rPr>
          <w:rFonts w:cs="Times New Roman"/>
        </w:rPr>
        <w:t>西阳镇土地总量不大，但土地利用类型基本齐全，土地资源丰富多样，全镇土地利用率达98.57％，土地利用率高。</w:t>
      </w:r>
    </w:p>
    <w:p>
      <w:pPr>
        <w:spacing w:line="312" w:lineRule="auto"/>
        <w:ind w:firstLine="0" w:firstLineChars="0"/>
        <w:jc w:val="center"/>
        <w:rPr>
          <w:rFonts w:cs="Times New Roman"/>
          <w:b/>
          <w:kern w:val="2"/>
          <w:sz w:val="24"/>
          <w:szCs w:val="24"/>
        </w:rPr>
        <w:sectPr>
          <w:pgSz w:w="11906" w:h="16838"/>
          <w:pgMar w:top="1440" w:right="1800" w:bottom="1440" w:left="1800" w:header="851" w:footer="992" w:gutter="0"/>
          <w:cols w:space="425" w:num="1"/>
          <w:docGrid w:type="lines" w:linePitch="312" w:charSpace="0"/>
        </w:sectPr>
      </w:pPr>
    </w:p>
    <w:p>
      <w:pPr>
        <w:pStyle w:val="29"/>
        <w:spacing w:before="156" w:after="156"/>
        <w:ind w:firstLine="0" w:firstLineChars="0"/>
      </w:pPr>
      <w:bookmarkStart w:id="157" w:name="_Toc405883863"/>
      <w:bookmarkStart w:id="158" w:name="_Toc405883026"/>
      <w:bookmarkStart w:id="159" w:name="_Toc40116516"/>
      <w:bookmarkStart w:id="160" w:name="_Toc416807072"/>
      <w:bookmarkStart w:id="161" w:name="_Toc405908866"/>
      <w:bookmarkStart w:id="162" w:name="_Toc405884112"/>
      <w:r>
        <w:t>二、规划评估情况</w:t>
      </w:r>
      <w:bookmarkEnd w:id="157"/>
      <w:bookmarkEnd w:id="158"/>
      <w:bookmarkEnd w:id="159"/>
      <w:bookmarkEnd w:id="160"/>
      <w:bookmarkEnd w:id="161"/>
      <w:bookmarkEnd w:id="162"/>
    </w:p>
    <w:p>
      <w:pPr>
        <w:pStyle w:val="31"/>
      </w:pPr>
      <w:bookmarkStart w:id="163" w:name="_Toc376014945"/>
      <w:bookmarkStart w:id="164" w:name="_Toc376959027"/>
      <w:bookmarkStart w:id="165" w:name="_Toc405883027"/>
      <w:bookmarkStart w:id="166" w:name="_Toc405883864"/>
      <w:bookmarkStart w:id="167" w:name="_Toc405884113"/>
      <w:bookmarkStart w:id="168" w:name="_Toc405908867"/>
      <w:bookmarkStart w:id="169" w:name="_Toc416807073"/>
      <w:bookmarkStart w:id="170" w:name="_Toc40116517"/>
      <w:r>
        <w:t>（一）</w:t>
      </w:r>
      <w:bookmarkEnd w:id="163"/>
      <w:bookmarkEnd w:id="164"/>
      <w:r>
        <w:t>规划评估主要内容</w:t>
      </w:r>
      <w:bookmarkEnd w:id="165"/>
      <w:bookmarkEnd w:id="166"/>
      <w:bookmarkEnd w:id="167"/>
      <w:bookmarkEnd w:id="168"/>
      <w:bookmarkEnd w:id="169"/>
      <w:bookmarkEnd w:id="170"/>
    </w:p>
    <w:p>
      <w:pPr>
        <w:ind w:firstLine="560"/>
        <w:jc w:val="left"/>
        <w:rPr>
          <w:rFonts w:cs="Times New Roman"/>
        </w:rPr>
      </w:pPr>
      <w:r>
        <w:rPr>
          <w:rFonts w:hint="eastAsia"/>
          <w:lang w:val="zh-CN"/>
        </w:rPr>
        <w:t>根据《评估报告》，土地利用总体规划实施定量评估综合评价分值为85.33分，规划实施总体状况良好。</w:t>
      </w:r>
      <w:r>
        <w:rPr>
          <w:rFonts w:hint="eastAsia" w:cs="Times New Roman"/>
        </w:rPr>
        <w:t>规划评估主要采用定性分析与定量评价相结合的方式。</w:t>
      </w:r>
      <w:r>
        <w:t>各项评估内容如下：</w:t>
      </w:r>
    </w:p>
    <w:p>
      <w:pPr>
        <w:ind w:firstLine="482"/>
        <w:jc w:val="center"/>
        <w:rPr>
          <w:rFonts w:cs="Times New Roman"/>
        </w:rPr>
      </w:pPr>
      <w:r>
        <w:rPr>
          <w:rFonts w:cs="Times New Roman"/>
          <w:b/>
          <w:sz w:val="24"/>
          <w:szCs w:val="24"/>
        </w:rPr>
        <w:t xml:space="preserve">表2-1  </w:t>
      </w:r>
      <w:r>
        <w:rPr>
          <w:rFonts w:hint="eastAsia" w:cs="Times New Roman"/>
          <w:b/>
          <w:sz w:val="24"/>
          <w:szCs w:val="24"/>
        </w:rPr>
        <w:t>西阳镇</w:t>
      </w:r>
      <w:r>
        <w:rPr>
          <w:rFonts w:cs="Times New Roman"/>
          <w:b/>
          <w:sz w:val="24"/>
          <w:szCs w:val="24"/>
        </w:rPr>
        <w:t>土地利用主要调控指标执行情况</w:t>
      </w:r>
    </w:p>
    <w:p>
      <w:pPr>
        <w:wordWrap w:val="0"/>
        <w:ind w:firstLine="420"/>
        <w:jc w:val="right"/>
        <w:rPr>
          <w:rFonts w:cs="Times New Roman"/>
          <w:sz w:val="21"/>
        </w:rPr>
      </w:pPr>
      <w:r>
        <w:rPr>
          <w:rFonts w:cs="Times New Roman"/>
          <w:sz w:val="21"/>
        </w:rPr>
        <w:t>单位：公顷</w:t>
      </w:r>
      <w:r>
        <w:rPr>
          <w:rFonts w:hint="eastAsia" w:cs="Times New Roman"/>
          <w:sz w:val="21"/>
        </w:rPr>
        <w:t>、平方米、%</w:t>
      </w:r>
    </w:p>
    <w:tbl>
      <w:tblPr>
        <w:tblStyle w:val="17"/>
        <w:tblW w:w="5000" w:type="pct"/>
        <w:tblInd w:w="0" w:type="dxa"/>
        <w:tblLayout w:type="autofit"/>
        <w:tblCellMar>
          <w:top w:w="0" w:type="dxa"/>
          <w:left w:w="108" w:type="dxa"/>
          <w:bottom w:w="0" w:type="dxa"/>
          <w:right w:w="108" w:type="dxa"/>
        </w:tblCellMar>
      </w:tblPr>
      <w:tblGrid>
        <w:gridCol w:w="3133"/>
        <w:gridCol w:w="1077"/>
        <w:gridCol w:w="1077"/>
        <w:gridCol w:w="1077"/>
        <w:gridCol w:w="1077"/>
        <w:gridCol w:w="1081"/>
      </w:tblGrid>
      <w:tr>
        <w:tblPrEx>
          <w:tblCellMar>
            <w:top w:w="0" w:type="dxa"/>
            <w:left w:w="108" w:type="dxa"/>
            <w:bottom w:w="0" w:type="dxa"/>
            <w:right w:w="108" w:type="dxa"/>
          </w:tblCellMar>
        </w:tblPrEx>
        <w:trPr>
          <w:trHeight w:val="312" w:hRule="atLeast"/>
        </w:trPr>
        <w:tc>
          <w:tcPr>
            <w:tcW w:w="1838" w:type="pct"/>
            <w:vMerge w:val="restart"/>
            <w:tcBorders>
              <w:top w:val="single" w:color="auto" w:sz="12" w:space="0"/>
              <w:left w:val="single" w:color="auto" w:sz="12" w:space="0"/>
              <w:bottom w:val="single" w:color="000000" w:sz="8" w:space="0"/>
              <w:right w:val="single" w:color="auto" w:sz="8" w:space="0"/>
            </w:tcBorders>
            <w:shd w:val="clear" w:color="auto" w:fill="auto"/>
            <w:noWrap/>
            <w:vAlign w:val="center"/>
          </w:tcPr>
          <w:p>
            <w:pPr>
              <w:widowControl/>
              <w:spacing w:line="240" w:lineRule="auto"/>
              <w:ind w:firstLine="0" w:firstLineChars="0"/>
              <w:jc w:val="center"/>
              <w:rPr>
                <w:rFonts w:ascii="仿宋_GB2312" w:hAnsi="宋体" w:cs="宋体"/>
                <w:b/>
                <w:bCs/>
                <w:color w:val="000000"/>
                <w:kern w:val="0"/>
                <w:sz w:val="21"/>
              </w:rPr>
            </w:pPr>
            <w:r>
              <w:rPr>
                <w:rFonts w:hint="eastAsia" w:ascii="仿宋_GB2312" w:hAnsi="宋体" w:cs="宋体"/>
                <w:b/>
                <w:bCs/>
                <w:color w:val="000000"/>
                <w:kern w:val="0"/>
                <w:sz w:val="21"/>
              </w:rPr>
              <w:t>指标名称</w:t>
            </w:r>
          </w:p>
        </w:tc>
        <w:tc>
          <w:tcPr>
            <w:tcW w:w="632" w:type="pct"/>
            <w:vMerge w:val="restart"/>
            <w:tcBorders>
              <w:top w:val="single" w:color="auto" w:sz="12" w:space="0"/>
              <w:left w:val="single" w:color="auto" w:sz="8" w:space="0"/>
              <w:bottom w:val="single" w:color="000000" w:sz="8" w:space="0"/>
              <w:right w:val="single" w:color="auto" w:sz="8" w:space="0"/>
            </w:tcBorders>
            <w:shd w:val="clear" w:color="auto" w:fill="auto"/>
            <w:vAlign w:val="center"/>
          </w:tcPr>
          <w:p>
            <w:pPr>
              <w:widowControl/>
              <w:spacing w:line="240" w:lineRule="auto"/>
              <w:ind w:firstLine="0" w:firstLineChars="0"/>
              <w:jc w:val="center"/>
              <w:rPr>
                <w:rFonts w:eastAsia="宋体" w:cs="Times New Roman"/>
                <w:b/>
                <w:bCs/>
                <w:color w:val="000000"/>
                <w:kern w:val="0"/>
                <w:sz w:val="21"/>
              </w:rPr>
            </w:pPr>
            <w:r>
              <w:rPr>
                <w:rFonts w:eastAsia="宋体" w:cs="Times New Roman"/>
                <w:b/>
                <w:bCs/>
                <w:color w:val="000000"/>
                <w:kern w:val="0"/>
                <w:sz w:val="21"/>
              </w:rPr>
              <w:t>2020</w:t>
            </w:r>
            <w:r>
              <w:rPr>
                <w:rFonts w:hint="eastAsia" w:ascii="仿宋_GB2312" w:cs="Times New Roman"/>
                <w:b/>
                <w:bCs/>
                <w:color w:val="000000"/>
                <w:kern w:val="0"/>
                <w:sz w:val="21"/>
              </w:rPr>
              <w:t>年规划目标</w:t>
            </w:r>
          </w:p>
        </w:tc>
        <w:tc>
          <w:tcPr>
            <w:tcW w:w="632" w:type="pct"/>
            <w:vMerge w:val="restart"/>
            <w:tcBorders>
              <w:top w:val="single" w:color="auto" w:sz="12" w:space="0"/>
              <w:left w:val="single" w:color="auto" w:sz="8" w:space="0"/>
              <w:bottom w:val="single" w:color="000000" w:sz="8" w:space="0"/>
              <w:right w:val="single" w:color="auto" w:sz="8" w:space="0"/>
            </w:tcBorders>
            <w:shd w:val="clear" w:color="auto" w:fill="auto"/>
            <w:vAlign w:val="center"/>
          </w:tcPr>
          <w:p>
            <w:pPr>
              <w:widowControl/>
              <w:spacing w:line="240" w:lineRule="auto"/>
              <w:ind w:firstLine="0" w:firstLineChars="0"/>
              <w:jc w:val="center"/>
              <w:rPr>
                <w:rFonts w:eastAsia="宋体" w:cs="Times New Roman"/>
                <w:b/>
                <w:bCs/>
                <w:color w:val="000000"/>
                <w:kern w:val="0"/>
                <w:sz w:val="21"/>
              </w:rPr>
            </w:pPr>
            <w:r>
              <w:rPr>
                <w:rFonts w:eastAsia="宋体" w:cs="Times New Roman"/>
                <w:b/>
                <w:bCs/>
                <w:color w:val="000000"/>
                <w:kern w:val="0"/>
                <w:sz w:val="21"/>
              </w:rPr>
              <w:t>2018</w:t>
            </w:r>
            <w:r>
              <w:rPr>
                <w:rFonts w:hint="eastAsia" w:ascii="仿宋_GB2312" w:cs="Times New Roman"/>
                <w:b/>
                <w:bCs/>
                <w:color w:val="000000"/>
                <w:kern w:val="0"/>
                <w:sz w:val="21"/>
              </w:rPr>
              <w:t>年面积</w:t>
            </w:r>
          </w:p>
        </w:tc>
        <w:tc>
          <w:tcPr>
            <w:tcW w:w="632" w:type="pct"/>
            <w:vMerge w:val="restart"/>
            <w:tcBorders>
              <w:top w:val="single" w:color="auto" w:sz="12" w:space="0"/>
              <w:left w:val="single" w:color="auto" w:sz="8" w:space="0"/>
              <w:bottom w:val="single" w:color="000000" w:sz="8" w:space="0"/>
              <w:right w:val="single" w:color="auto" w:sz="8" w:space="0"/>
            </w:tcBorders>
            <w:shd w:val="clear" w:color="auto" w:fill="auto"/>
            <w:vAlign w:val="center"/>
          </w:tcPr>
          <w:p>
            <w:pPr>
              <w:widowControl/>
              <w:spacing w:line="240" w:lineRule="auto"/>
              <w:ind w:firstLine="0" w:firstLineChars="0"/>
              <w:jc w:val="center"/>
              <w:rPr>
                <w:rFonts w:eastAsia="宋体" w:cs="Times New Roman"/>
                <w:b/>
                <w:bCs/>
                <w:color w:val="000000"/>
                <w:kern w:val="0"/>
                <w:sz w:val="21"/>
              </w:rPr>
            </w:pPr>
            <w:r>
              <w:rPr>
                <w:rFonts w:eastAsia="宋体" w:cs="Times New Roman"/>
                <w:b/>
                <w:bCs/>
                <w:color w:val="000000"/>
                <w:kern w:val="0"/>
                <w:sz w:val="21"/>
              </w:rPr>
              <w:t>2018</w:t>
            </w:r>
            <w:r>
              <w:rPr>
                <w:rFonts w:hint="eastAsia" w:ascii="仿宋_GB2312" w:cs="Times New Roman"/>
                <w:b/>
                <w:bCs/>
                <w:color w:val="000000"/>
                <w:kern w:val="0"/>
                <w:sz w:val="21"/>
              </w:rPr>
              <w:t>年阶段目标</w:t>
            </w:r>
          </w:p>
        </w:tc>
        <w:tc>
          <w:tcPr>
            <w:tcW w:w="632" w:type="pct"/>
            <w:vMerge w:val="restart"/>
            <w:tcBorders>
              <w:top w:val="single" w:color="auto" w:sz="12" w:space="0"/>
              <w:left w:val="single" w:color="auto" w:sz="8" w:space="0"/>
              <w:bottom w:val="single" w:color="000000" w:sz="8" w:space="0"/>
              <w:right w:val="single" w:color="auto" w:sz="8" w:space="0"/>
            </w:tcBorders>
            <w:shd w:val="clear" w:color="auto" w:fill="auto"/>
            <w:vAlign w:val="center"/>
          </w:tcPr>
          <w:p>
            <w:pPr>
              <w:widowControl/>
              <w:spacing w:line="240" w:lineRule="auto"/>
              <w:ind w:firstLine="0" w:firstLineChars="0"/>
              <w:jc w:val="center"/>
              <w:rPr>
                <w:rFonts w:ascii="仿宋_GB2312" w:hAnsi="宋体" w:cs="宋体"/>
                <w:b/>
                <w:bCs/>
                <w:color w:val="000000"/>
                <w:kern w:val="0"/>
                <w:sz w:val="21"/>
              </w:rPr>
            </w:pPr>
            <w:r>
              <w:rPr>
                <w:rFonts w:hint="eastAsia" w:ascii="仿宋_GB2312" w:hAnsi="宋体" w:cs="宋体"/>
                <w:b/>
                <w:bCs/>
                <w:color w:val="000000"/>
                <w:kern w:val="0"/>
                <w:sz w:val="21"/>
              </w:rPr>
              <w:t>规划目标完成情况</w:t>
            </w:r>
          </w:p>
        </w:tc>
        <w:tc>
          <w:tcPr>
            <w:tcW w:w="632" w:type="pct"/>
            <w:vMerge w:val="restart"/>
            <w:tcBorders>
              <w:top w:val="single" w:color="auto" w:sz="12" w:space="0"/>
              <w:left w:val="single" w:color="auto" w:sz="8" w:space="0"/>
              <w:bottom w:val="single" w:color="000000" w:sz="8" w:space="0"/>
              <w:right w:val="single" w:color="auto" w:sz="12" w:space="0"/>
            </w:tcBorders>
            <w:shd w:val="clear" w:color="auto" w:fill="auto"/>
            <w:vAlign w:val="center"/>
          </w:tcPr>
          <w:p>
            <w:pPr>
              <w:widowControl/>
              <w:spacing w:line="240" w:lineRule="auto"/>
              <w:ind w:firstLine="0" w:firstLineChars="0"/>
              <w:jc w:val="center"/>
              <w:rPr>
                <w:rFonts w:ascii="仿宋_GB2312" w:hAnsi="宋体" w:cs="宋体"/>
                <w:b/>
                <w:bCs/>
                <w:color w:val="000000"/>
                <w:kern w:val="0"/>
                <w:sz w:val="21"/>
              </w:rPr>
            </w:pPr>
            <w:r>
              <w:rPr>
                <w:rFonts w:hint="eastAsia" w:ascii="仿宋_GB2312" w:hAnsi="宋体" w:cs="宋体"/>
                <w:b/>
                <w:bCs/>
                <w:color w:val="000000"/>
                <w:kern w:val="0"/>
                <w:sz w:val="21"/>
              </w:rPr>
              <w:t>阶段目标完成情况</w:t>
            </w:r>
          </w:p>
        </w:tc>
      </w:tr>
      <w:tr>
        <w:tblPrEx>
          <w:tblCellMar>
            <w:top w:w="0" w:type="dxa"/>
            <w:left w:w="108" w:type="dxa"/>
            <w:bottom w:w="0" w:type="dxa"/>
            <w:right w:w="108" w:type="dxa"/>
          </w:tblCellMar>
        </w:tblPrEx>
        <w:trPr>
          <w:trHeight w:val="312" w:hRule="atLeast"/>
        </w:trPr>
        <w:tc>
          <w:tcPr>
            <w:tcW w:w="1838" w:type="pct"/>
            <w:vMerge w:val="continue"/>
            <w:tcBorders>
              <w:top w:val="single" w:color="auto" w:sz="12" w:space="0"/>
              <w:left w:val="single" w:color="auto" w:sz="12" w:space="0"/>
              <w:bottom w:val="single" w:color="000000" w:sz="8" w:space="0"/>
              <w:right w:val="single" w:color="auto" w:sz="8" w:space="0"/>
            </w:tcBorders>
            <w:vAlign w:val="center"/>
          </w:tcPr>
          <w:p>
            <w:pPr>
              <w:widowControl/>
              <w:spacing w:line="240" w:lineRule="auto"/>
              <w:ind w:firstLine="0" w:firstLineChars="0"/>
              <w:jc w:val="left"/>
              <w:rPr>
                <w:rFonts w:ascii="仿宋_GB2312" w:hAnsi="宋体" w:cs="宋体"/>
                <w:b/>
                <w:bCs/>
                <w:color w:val="000000"/>
                <w:kern w:val="0"/>
                <w:sz w:val="21"/>
              </w:rPr>
            </w:pPr>
          </w:p>
        </w:tc>
        <w:tc>
          <w:tcPr>
            <w:tcW w:w="632" w:type="pct"/>
            <w:vMerge w:val="continue"/>
            <w:tcBorders>
              <w:top w:val="single" w:color="auto" w:sz="12" w:space="0"/>
              <w:left w:val="single" w:color="auto" w:sz="8" w:space="0"/>
              <w:bottom w:val="single" w:color="000000" w:sz="8" w:space="0"/>
              <w:right w:val="single" w:color="auto" w:sz="8" w:space="0"/>
            </w:tcBorders>
            <w:vAlign w:val="center"/>
          </w:tcPr>
          <w:p>
            <w:pPr>
              <w:widowControl/>
              <w:spacing w:line="240" w:lineRule="auto"/>
              <w:ind w:firstLine="0" w:firstLineChars="0"/>
              <w:jc w:val="left"/>
              <w:rPr>
                <w:rFonts w:eastAsia="宋体" w:cs="Times New Roman"/>
                <w:b/>
                <w:bCs/>
                <w:color w:val="000000"/>
                <w:kern w:val="0"/>
                <w:sz w:val="21"/>
              </w:rPr>
            </w:pPr>
          </w:p>
        </w:tc>
        <w:tc>
          <w:tcPr>
            <w:tcW w:w="632" w:type="pct"/>
            <w:vMerge w:val="continue"/>
            <w:tcBorders>
              <w:top w:val="single" w:color="auto" w:sz="12" w:space="0"/>
              <w:left w:val="single" w:color="auto" w:sz="8" w:space="0"/>
              <w:bottom w:val="single" w:color="000000" w:sz="8" w:space="0"/>
              <w:right w:val="single" w:color="auto" w:sz="8" w:space="0"/>
            </w:tcBorders>
            <w:vAlign w:val="center"/>
          </w:tcPr>
          <w:p>
            <w:pPr>
              <w:widowControl/>
              <w:spacing w:line="240" w:lineRule="auto"/>
              <w:ind w:firstLine="0" w:firstLineChars="0"/>
              <w:jc w:val="left"/>
              <w:rPr>
                <w:rFonts w:eastAsia="宋体" w:cs="Times New Roman"/>
                <w:b/>
                <w:bCs/>
                <w:color w:val="000000"/>
                <w:kern w:val="0"/>
                <w:sz w:val="21"/>
              </w:rPr>
            </w:pPr>
          </w:p>
        </w:tc>
        <w:tc>
          <w:tcPr>
            <w:tcW w:w="632" w:type="pct"/>
            <w:vMerge w:val="continue"/>
            <w:tcBorders>
              <w:top w:val="single" w:color="auto" w:sz="12" w:space="0"/>
              <w:left w:val="single" w:color="auto" w:sz="8" w:space="0"/>
              <w:bottom w:val="single" w:color="000000" w:sz="8" w:space="0"/>
              <w:right w:val="single" w:color="auto" w:sz="8" w:space="0"/>
            </w:tcBorders>
            <w:vAlign w:val="center"/>
          </w:tcPr>
          <w:p>
            <w:pPr>
              <w:widowControl/>
              <w:spacing w:line="240" w:lineRule="auto"/>
              <w:ind w:firstLine="0" w:firstLineChars="0"/>
              <w:jc w:val="left"/>
              <w:rPr>
                <w:rFonts w:eastAsia="宋体" w:cs="Times New Roman"/>
                <w:b/>
                <w:bCs/>
                <w:color w:val="000000"/>
                <w:kern w:val="0"/>
                <w:sz w:val="21"/>
              </w:rPr>
            </w:pPr>
          </w:p>
        </w:tc>
        <w:tc>
          <w:tcPr>
            <w:tcW w:w="632" w:type="pct"/>
            <w:vMerge w:val="continue"/>
            <w:tcBorders>
              <w:top w:val="single" w:color="auto" w:sz="12" w:space="0"/>
              <w:left w:val="single" w:color="auto" w:sz="8" w:space="0"/>
              <w:bottom w:val="single" w:color="000000" w:sz="8" w:space="0"/>
              <w:right w:val="single" w:color="auto" w:sz="8" w:space="0"/>
            </w:tcBorders>
            <w:vAlign w:val="center"/>
          </w:tcPr>
          <w:p>
            <w:pPr>
              <w:widowControl/>
              <w:spacing w:line="240" w:lineRule="auto"/>
              <w:ind w:firstLine="0" w:firstLineChars="0"/>
              <w:jc w:val="left"/>
              <w:rPr>
                <w:rFonts w:ascii="仿宋_GB2312" w:hAnsi="宋体" w:cs="宋体"/>
                <w:b/>
                <w:bCs/>
                <w:color w:val="000000"/>
                <w:kern w:val="0"/>
                <w:sz w:val="21"/>
              </w:rPr>
            </w:pPr>
          </w:p>
        </w:tc>
        <w:tc>
          <w:tcPr>
            <w:tcW w:w="632" w:type="pct"/>
            <w:vMerge w:val="continue"/>
            <w:tcBorders>
              <w:top w:val="single" w:color="auto" w:sz="12" w:space="0"/>
              <w:left w:val="single" w:color="auto" w:sz="8" w:space="0"/>
              <w:bottom w:val="single" w:color="000000" w:sz="8" w:space="0"/>
              <w:right w:val="single" w:color="auto" w:sz="12" w:space="0"/>
            </w:tcBorders>
            <w:vAlign w:val="center"/>
          </w:tcPr>
          <w:p>
            <w:pPr>
              <w:widowControl/>
              <w:spacing w:line="240" w:lineRule="auto"/>
              <w:ind w:firstLine="0" w:firstLineChars="0"/>
              <w:jc w:val="left"/>
              <w:rPr>
                <w:rFonts w:ascii="仿宋_GB2312" w:hAnsi="宋体" w:cs="宋体"/>
                <w:b/>
                <w:bCs/>
                <w:color w:val="000000"/>
                <w:kern w:val="0"/>
                <w:sz w:val="21"/>
              </w:rPr>
            </w:pPr>
          </w:p>
        </w:tc>
      </w:tr>
      <w:tr>
        <w:tblPrEx>
          <w:tblCellMar>
            <w:top w:w="0" w:type="dxa"/>
            <w:left w:w="108" w:type="dxa"/>
            <w:bottom w:w="0" w:type="dxa"/>
            <w:right w:w="108" w:type="dxa"/>
          </w:tblCellMar>
        </w:tblPrEx>
        <w:trPr>
          <w:trHeight w:val="285" w:hRule="atLeast"/>
        </w:trPr>
        <w:tc>
          <w:tcPr>
            <w:tcW w:w="5000" w:type="pct"/>
            <w:gridSpan w:val="6"/>
            <w:tcBorders>
              <w:top w:val="single" w:color="auto" w:sz="8" w:space="0"/>
              <w:left w:val="single" w:color="auto" w:sz="12" w:space="0"/>
              <w:bottom w:val="single" w:color="auto" w:sz="8" w:space="0"/>
              <w:right w:val="single" w:color="000000" w:sz="12" w:space="0"/>
            </w:tcBorders>
            <w:shd w:val="clear" w:color="auto" w:fill="auto"/>
            <w:noWrap/>
            <w:vAlign w:val="center"/>
          </w:tcPr>
          <w:p>
            <w:pPr>
              <w:widowControl/>
              <w:spacing w:line="240" w:lineRule="auto"/>
              <w:ind w:firstLine="0" w:firstLineChars="0"/>
              <w:jc w:val="left"/>
              <w:rPr>
                <w:rFonts w:ascii="仿宋_GB2312" w:hAnsi="宋体" w:cs="宋体"/>
                <w:b/>
                <w:bCs/>
                <w:color w:val="000000"/>
                <w:kern w:val="0"/>
                <w:sz w:val="21"/>
              </w:rPr>
            </w:pPr>
            <w:r>
              <w:rPr>
                <w:rFonts w:hint="eastAsia" w:ascii="仿宋_GB2312" w:hAnsi="宋体" w:cs="宋体"/>
                <w:b/>
                <w:bCs/>
                <w:color w:val="000000"/>
                <w:kern w:val="0"/>
                <w:sz w:val="21"/>
              </w:rPr>
              <w:t>总量指标</w:t>
            </w:r>
          </w:p>
        </w:tc>
      </w:tr>
      <w:tr>
        <w:tblPrEx>
          <w:tblCellMar>
            <w:top w:w="0" w:type="dxa"/>
            <w:left w:w="108" w:type="dxa"/>
            <w:bottom w:w="0" w:type="dxa"/>
            <w:right w:w="108" w:type="dxa"/>
          </w:tblCellMar>
        </w:tblPrEx>
        <w:trPr>
          <w:trHeight w:val="285" w:hRule="atLeast"/>
        </w:trPr>
        <w:tc>
          <w:tcPr>
            <w:tcW w:w="1838" w:type="pct"/>
            <w:tcBorders>
              <w:top w:val="nil"/>
              <w:left w:val="single" w:color="auto" w:sz="12" w:space="0"/>
              <w:bottom w:val="single" w:color="auto" w:sz="8" w:space="0"/>
              <w:right w:val="single" w:color="auto" w:sz="8" w:space="0"/>
            </w:tcBorders>
            <w:shd w:val="clear" w:color="auto" w:fill="auto"/>
            <w:noWrap/>
            <w:vAlign w:val="center"/>
          </w:tcPr>
          <w:p>
            <w:pPr>
              <w:widowControl/>
              <w:spacing w:line="240" w:lineRule="auto"/>
              <w:ind w:firstLine="0" w:firstLineChars="0"/>
              <w:jc w:val="left"/>
              <w:rPr>
                <w:rFonts w:ascii="仿宋_GB2312" w:hAnsi="宋体" w:cs="宋体"/>
                <w:color w:val="000000"/>
                <w:kern w:val="0"/>
                <w:sz w:val="21"/>
              </w:rPr>
            </w:pPr>
            <w:r>
              <w:rPr>
                <w:rFonts w:hint="eastAsia" w:ascii="仿宋_GB2312" w:hAnsi="宋体" w:cs="宋体"/>
                <w:color w:val="000000"/>
                <w:kern w:val="0"/>
                <w:sz w:val="21"/>
              </w:rPr>
              <w:t>耕地面积</w:t>
            </w:r>
          </w:p>
        </w:tc>
        <w:tc>
          <w:tcPr>
            <w:tcW w:w="632" w:type="pct"/>
            <w:tcBorders>
              <w:top w:val="nil"/>
              <w:left w:val="nil"/>
              <w:bottom w:val="single" w:color="auto" w:sz="8" w:space="0"/>
              <w:right w:val="single" w:color="auto" w:sz="8" w:space="0"/>
            </w:tcBorders>
            <w:shd w:val="clear" w:color="auto" w:fill="auto"/>
            <w:vAlign w:val="center"/>
          </w:tcPr>
          <w:p>
            <w:pPr>
              <w:widowControl/>
              <w:spacing w:line="240" w:lineRule="auto"/>
              <w:ind w:firstLine="0" w:firstLineChars="0"/>
              <w:jc w:val="center"/>
              <w:rPr>
                <w:rFonts w:ascii="仿宋_GB2312" w:hAnsi="宋体" w:cs="宋体"/>
                <w:b/>
                <w:bCs/>
                <w:color w:val="000000"/>
                <w:kern w:val="0"/>
                <w:sz w:val="21"/>
              </w:rPr>
            </w:pPr>
            <w:r>
              <w:rPr>
                <w:rFonts w:hint="eastAsia" w:ascii="仿宋_GB2312" w:hAnsi="宋体" w:cs="宋体"/>
                <w:b/>
                <w:bCs/>
                <w:color w:val="000000"/>
                <w:kern w:val="0"/>
                <w:sz w:val="21"/>
              </w:rPr>
              <w:t>——</w:t>
            </w:r>
          </w:p>
        </w:tc>
        <w:tc>
          <w:tcPr>
            <w:tcW w:w="632" w:type="pct"/>
            <w:tcBorders>
              <w:top w:val="nil"/>
              <w:left w:val="nil"/>
              <w:bottom w:val="single" w:color="auto" w:sz="8" w:space="0"/>
              <w:right w:val="single" w:color="auto" w:sz="8" w:space="0"/>
            </w:tcBorders>
            <w:shd w:val="clear" w:color="auto" w:fill="auto"/>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10483.40 </w:t>
            </w:r>
          </w:p>
        </w:tc>
        <w:tc>
          <w:tcPr>
            <w:tcW w:w="632" w:type="pct"/>
            <w:tcBorders>
              <w:top w:val="nil"/>
              <w:left w:val="nil"/>
              <w:bottom w:val="single" w:color="auto" w:sz="8" w:space="0"/>
              <w:right w:val="single" w:color="auto" w:sz="8" w:space="0"/>
            </w:tcBorders>
            <w:shd w:val="clear" w:color="auto" w:fill="auto"/>
            <w:vAlign w:val="center"/>
          </w:tcPr>
          <w:p>
            <w:pPr>
              <w:widowControl/>
              <w:spacing w:line="240" w:lineRule="auto"/>
              <w:ind w:firstLine="0" w:firstLineChars="0"/>
              <w:jc w:val="center"/>
              <w:rPr>
                <w:rFonts w:ascii="仿宋_GB2312" w:hAnsi="宋体" w:cs="宋体"/>
                <w:b/>
                <w:bCs/>
                <w:color w:val="000000"/>
                <w:kern w:val="0"/>
                <w:sz w:val="21"/>
              </w:rPr>
            </w:pPr>
            <w:r>
              <w:rPr>
                <w:rFonts w:hint="eastAsia" w:ascii="仿宋_GB2312" w:hAnsi="宋体" w:cs="宋体"/>
                <w:b/>
                <w:bCs/>
                <w:color w:val="000000"/>
                <w:kern w:val="0"/>
                <w:sz w:val="21"/>
              </w:rPr>
              <w:t>——</w:t>
            </w:r>
          </w:p>
        </w:tc>
        <w:tc>
          <w:tcPr>
            <w:tcW w:w="632" w:type="pct"/>
            <w:tcBorders>
              <w:top w:val="nil"/>
              <w:left w:val="nil"/>
              <w:bottom w:val="single" w:color="auto" w:sz="8" w:space="0"/>
              <w:right w:val="single" w:color="auto" w:sz="8" w:space="0"/>
            </w:tcBorders>
            <w:shd w:val="clear" w:color="auto" w:fill="auto"/>
            <w:vAlign w:val="center"/>
          </w:tcPr>
          <w:p>
            <w:pPr>
              <w:widowControl/>
              <w:spacing w:line="240" w:lineRule="auto"/>
              <w:ind w:firstLine="0" w:firstLineChars="0"/>
              <w:jc w:val="center"/>
              <w:rPr>
                <w:rFonts w:ascii="仿宋_GB2312" w:hAnsi="宋体" w:cs="宋体"/>
                <w:b/>
                <w:bCs/>
                <w:color w:val="000000"/>
                <w:kern w:val="0"/>
                <w:sz w:val="21"/>
              </w:rPr>
            </w:pPr>
            <w:r>
              <w:rPr>
                <w:rFonts w:hint="eastAsia" w:ascii="仿宋_GB2312" w:hAnsi="宋体" w:cs="宋体"/>
                <w:b/>
                <w:bCs/>
                <w:color w:val="000000"/>
                <w:kern w:val="0"/>
                <w:sz w:val="21"/>
              </w:rPr>
              <w:t>——</w:t>
            </w:r>
          </w:p>
        </w:tc>
        <w:tc>
          <w:tcPr>
            <w:tcW w:w="632" w:type="pct"/>
            <w:tcBorders>
              <w:top w:val="nil"/>
              <w:left w:val="nil"/>
              <w:bottom w:val="single" w:color="auto" w:sz="8" w:space="0"/>
              <w:right w:val="single" w:color="auto" w:sz="12" w:space="0"/>
            </w:tcBorders>
            <w:shd w:val="clear" w:color="auto" w:fill="auto"/>
            <w:vAlign w:val="center"/>
          </w:tcPr>
          <w:p>
            <w:pPr>
              <w:widowControl/>
              <w:spacing w:line="240" w:lineRule="auto"/>
              <w:ind w:firstLine="0" w:firstLineChars="0"/>
              <w:jc w:val="center"/>
              <w:rPr>
                <w:rFonts w:ascii="仿宋_GB2312" w:hAnsi="宋体" w:cs="宋体"/>
                <w:b/>
                <w:bCs/>
                <w:color w:val="000000"/>
                <w:kern w:val="0"/>
                <w:sz w:val="21"/>
              </w:rPr>
            </w:pPr>
            <w:r>
              <w:rPr>
                <w:rFonts w:hint="eastAsia" w:ascii="仿宋_GB2312" w:hAnsi="宋体" w:cs="宋体"/>
                <w:b/>
                <w:bCs/>
                <w:color w:val="000000"/>
                <w:kern w:val="0"/>
                <w:sz w:val="21"/>
              </w:rPr>
              <w:t>——</w:t>
            </w:r>
          </w:p>
        </w:tc>
      </w:tr>
      <w:tr>
        <w:tblPrEx>
          <w:tblCellMar>
            <w:top w:w="0" w:type="dxa"/>
            <w:left w:w="108" w:type="dxa"/>
            <w:bottom w:w="0" w:type="dxa"/>
            <w:right w:w="108" w:type="dxa"/>
          </w:tblCellMar>
        </w:tblPrEx>
        <w:trPr>
          <w:trHeight w:val="285" w:hRule="atLeast"/>
        </w:trPr>
        <w:tc>
          <w:tcPr>
            <w:tcW w:w="1838" w:type="pct"/>
            <w:tcBorders>
              <w:top w:val="nil"/>
              <w:left w:val="single" w:color="auto" w:sz="12" w:space="0"/>
              <w:bottom w:val="single" w:color="auto" w:sz="8" w:space="0"/>
              <w:right w:val="single" w:color="auto" w:sz="8" w:space="0"/>
            </w:tcBorders>
            <w:shd w:val="clear" w:color="auto" w:fill="auto"/>
            <w:noWrap/>
            <w:vAlign w:val="center"/>
          </w:tcPr>
          <w:p>
            <w:pPr>
              <w:widowControl/>
              <w:spacing w:line="240" w:lineRule="auto"/>
              <w:ind w:firstLine="0" w:firstLineChars="0"/>
              <w:jc w:val="left"/>
              <w:rPr>
                <w:rFonts w:ascii="仿宋_GB2312" w:hAnsi="宋体" w:cs="宋体"/>
                <w:color w:val="000000"/>
                <w:kern w:val="0"/>
                <w:sz w:val="21"/>
              </w:rPr>
            </w:pPr>
            <w:r>
              <w:rPr>
                <w:rFonts w:hint="eastAsia" w:ascii="仿宋_GB2312" w:hAnsi="宋体" w:cs="宋体"/>
                <w:color w:val="000000"/>
                <w:kern w:val="0"/>
                <w:sz w:val="21"/>
              </w:rPr>
              <w:t>耕地保有量</w:t>
            </w:r>
          </w:p>
        </w:tc>
        <w:tc>
          <w:tcPr>
            <w:tcW w:w="632"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9290.00 </w:t>
            </w:r>
          </w:p>
        </w:tc>
        <w:tc>
          <w:tcPr>
            <w:tcW w:w="632" w:type="pct"/>
            <w:tcBorders>
              <w:top w:val="nil"/>
              <w:left w:val="nil"/>
              <w:bottom w:val="single" w:color="auto" w:sz="8" w:space="0"/>
              <w:right w:val="single" w:color="auto" w:sz="8" w:space="0"/>
            </w:tcBorders>
            <w:shd w:val="clear" w:color="auto" w:fill="auto"/>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9290.00 </w:t>
            </w:r>
          </w:p>
        </w:tc>
        <w:tc>
          <w:tcPr>
            <w:tcW w:w="632"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9290.00 </w:t>
            </w:r>
          </w:p>
        </w:tc>
        <w:tc>
          <w:tcPr>
            <w:tcW w:w="632"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112.85 </w:t>
            </w:r>
          </w:p>
        </w:tc>
        <w:tc>
          <w:tcPr>
            <w:tcW w:w="632"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112.85 </w:t>
            </w:r>
          </w:p>
        </w:tc>
      </w:tr>
      <w:tr>
        <w:tblPrEx>
          <w:tblCellMar>
            <w:top w:w="0" w:type="dxa"/>
            <w:left w:w="108" w:type="dxa"/>
            <w:bottom w:w="0" w:type="dxa"/>
            <w:right w:w="108" w:type="dxa"/>
          </w:tblCellMar>
        </w:tblPrEx>
        <w:trPr>
          <w:trHeight w:val="285" w:hRule="atLeast"/>
        </w:trPr>
        <w:tc>
          <w:tcPr>
            <w:tcW w:w="1838" w:type="pct"/>
            <w:tcBorders>
              <w:top w:val="nil"/>
              <w:left w:val="single" w:color="auto" w:sz="12" w:space="0"/>
              <w:bottom w:val="single" w:color="auto" w:sz="8" w:space="0"/>
              <w:right w:val="single" w:color="auto" w:sz="8" w:space="0"/>
            </w:tcBorders>
            <w:shd w:val="clear" w:color="auto" w:fill="auto"/>
            <w:noWrap/>
            <w:vAlign w:val="center"/>
          </w:tcPr>
          <w:p>
            <w:pPr>
              <w:widowControl/>
              <w:spacing w:line="240" w:lineRule="auto"/>
              <w:ind w:firstLine="210" w:firstLineChars="100"/>
              <w:jc w:val="left"/>
              <w:rPr>
                <w:rFonts w:ascii="仿宋_GB2312" w:hAnsi="宋体" w:cs="宋体"/>
                <w:color w:val="000000"/>
                <w:kern w:val="0"/>
                <w:sz w:val="21"/>
              </w:rPr>
            </w:pPr>
            <w:r>
              <w:rPr>
                <w:rFonts w:hint="eastAsia" w:ascii="仿宋_GB2312" w:hAnsi="宋体" w:cs="宋体"/>
                <w:color w:val="000000"/>
                <w:kern w:val="0"/>
                <w:sz w:val="21"/>
              </w:rPr>
              <w:t>基本农田保护面积</w:t>
            </w:r>
          </w:p>
        </w:tc>
        <w:tc>
          <w:tcPr>
            <w:tcW w:w="632"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7443.00 </w:t>
            </w:r>
          </w:p>
        </w:tc>
        <w:tc>
          <w:tcPr>
            <w:tcW w:w="632" w:type="pct"/>
            <w:tcBorders>
              <w:top w:val="nil"/>
              <w:left w:val="nil"/>
              <w:bottom w:val="single" w:color="auto" w:sz="8" w:space="0"/>
              <w:right w:val="single" w:color="auto" w:sz="8" w:space="0"/>
            </w:tcBorders>
            <w:shd w:val="clear" w:color="auto" w:fill="auto"/>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7443.00 </w:t>
            </w:r>
          </w:p>
        </w:tc>
        <w:tc>
          <w:tcPr>
            <w:tcW w:w="632" w:type="pct"/>
            <w:tcBorders>
              <w:top w:val="nil"/>
              <w:left w:val="nil"/>
              <w:bottom w:val="single" w:color="auto" w:sz="8" w:space="0"/>
              <w:right w:val="single" w:color="auto" w:sz="8" w:space="0"/>
            </w:tcBorders>
            <w:shd w:val="clear" w:color="auto" w:fill="auto"/>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7443.00 </w:t>
            </w:r>
          </w:p>
        </w:tc>
        <w:tc>
          <w:tcPr>
            <w:tcW w:w="632"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100.00 </w:t>
            </w:r>
          </w:p>
        </w:tc>
        <w:tc>
          <w:tcPr>
            <w:tcW w:w="632" w:type="pct"/>
            <w:tcBorders>
              <w:top w:val="nil"/>
              <w:left w:val="nil"/>
              <w:bottom w:val="single" w:color="auto" w:sz="8" w:space="0"/>
              <w:right w:val="single" w:color="auto" w:sz="12" w:space="0"/>
            </w:tcBorders>
            <w:shd w:val="clear" w:color="auto" w:fill="auto"/>
            <w:noWrap/>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100.00 </w:t>
            </w:r>
          </w:p>
        </w:tc>
      </w:tr>
      <w:tr>
        <w:tblPrEx>
          <w:tblCellMar>
            <w:top w:w="0" w:type="dxa"/>
            <w:left w:w="108" w:type="dxa"/>
            <w:bottom w:w="0" w:type="dxa"/>
            <w:right w:w="108" w:type="dxa"/>
          </w:tblCellMar>
        </w:tblPrEx>
        <w:trPr>
          <w:trHeight w:val="285" w:hRule="atLeast"/>
        </w:trPr>
        <w:tc>
          <w:tcPr>
            <w:tcW w:w="1838" w:type="pct"/>
            <w:tcBorders>
              <w:top w:val="nil"/>
              <w:left w:val="single" w:color="auto" w:sz="12" w:space="0"/>
              <w:bottom w:val="single" w:color="auto" w:sz="8" w:space="0"/>
              <w:right w:val="single" w:color="auto" w:sz="8" w:space="0"/>
            </w:tcBorders>
            <w:shd w:val="clear" w:color="auto" w:fill="auto"/>
            <w:noWrap/>
            <w:vAlign w:val="center"/>
          </w:tcPr>
          <w:p>
            <w:pPr>
              <w:widowControl/>
              <w:spacing w:line="240" w:lineRule="auto"/>
              <w:ind w:firstLine="0" w:firstLineChars="0"/>
              <w:jc w:val="left"/>
              <w:rPr>
                <w:rFonts w:ascii="仿宋_GB2312" w:hAnsi="宋体" w:cs="宋体"/>
                <w:color w:val="000000"/>
                <w:kern w:val="0"/>
                <w:sz w:val="21"/>
              </w:rPr>
            </w:pPr>
            <w:r>
              <w:rPr>
                <w:rFonts w:hint="eastAsia" w:ascii="仿宋_GB2312" w:hAnsi="宋体" w:cs="宋体"/>
                <w:color w:val="000000"/>
                <w:kern w:val="0"/>
                <w:sz w:val="21"/>
              </w:rPr>
              <w:t>建设用地总规模</w:t>
            </w:r>
          </w:p>
        </w:tc>
        <w:tc>
          <w:tcPr>
            <w:tcW w:w="632"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3412.00 </w:t>
            </w:r>
          </w:p>
        </w:tc>
        <w:tc>
          <w:tcPr>
            <w:tcW w:w="632" w:type="pct"/>
            <w:tcBorders>
              <w:top w:val="nil"/>
              <w:left w:val="nil"/>
              <w:bottom w:val="single" w:color="auto" w:sz="8" w:space="0"/>
              <w:right w:val="single" w:color="auto" w:sz="8" w:space="0"/>
            </w:tcBorders>
            <w:shd w:val="clear" w:color="auto" w:fill="auto"/>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3385.38 </w:t>
            </w:r>
          </w:p>
        </w:tc>
        <w:tc>
          <w:tcPr>
            <w:tcW w:w="632"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3402.90 </w:t>
            </w:r>
          </w:p>
        </w:tc>
        <w:tc>
          <w:tcPr>
            <w:tcW w:w="632"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99.22 </w:t>
            </w:r>
          </w:p>
        </w:tc>
        <w:tc>
          <w:tcPr>
            <w:tcW w:w="632" w:type="pct"/>
            <w:tcBorders>
              <w:top w:val="nil"/>
              <w:left w:val="nil"/>
              <w:bottom w:val="single" w:color="auto" w:sz="8" w:space="0"/>
              <w:right w:val="single" w:color="auto" w:sz="12" w:space="0"/>
            </w:tcBorders>
            <w:shd w:val="clear" w:color="auto" w:fill="auto"/>
            <w:noWrap/>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99.49 </w:t>
            </w:r>
          </w:p>
        </w:tc>
      </w:tr>
      <w:tr>
        <w:tblPrEx>
          <w:tblCellMar>
            <w:top w:w="0" w:type="dxa"/>
            <w:left w:w="108" w:type="dxa"/>
            <w:bottom w:w="0" w:type="dxa"/>
            <w:right w:w="108" w:type="dxa"/>
          </w:tblCellMar>
        </w:tblPrEx>
        <w:trPr>
          <w:trHeight w:val="285" w:hRule="atLeast"/>
        </w:trPr>
        <w:tc>
          <w:tcPr>
            <w:tcW w:w="1838" w:type="pct"/>
            <w:tcBorders>
              <w:top w:val="nil"/>
              <w:left w:val="single" w:color="auto" w:sz="12" w:space="0"/>
              <w:bottom w:val="single" w:color="auto" w:sz="8" w:space="0"/>
              <w:right w:val="single" w:color="auto" w:sz="8" w:space="0"/>
            </w:tcBorders>
            <w:shd w:val="clear" w:color="auto" w:fill="auto"/>
            <w:noWrap/>
            <w:vAlign w:val="center"/>
          </w:tcPr>
          <w:p>
            <w:pPr>
              <w:widowControl/>
              <w:spacing w:line="240" w:lineRule="auto"/>
              <w:ind w:firstLine="210" w:firstLineChars="100"/>
              <w:jc w:val="left"/>
              <w:rPr>
                <w:rFonts w:ascii="仿宋_GB2312" w:hAnsi="宋体" w:cs="宋体"/>
                <w:color w:val="000000"/>
                <w:kern w:val="0"/>
                <w:sz w:val="21"/>
              </w:rPr>
            </w:pPr>
            <w:r>
              <w:rPr>
                <w:rFonts w:hint="eastAsia" w:ascii="仿宋_GB2312" w:hAnsi="宋体" w:cs="宋体"/>
                <w:color w:val="000000"/>
                <w:kern w:val="0"/>
                <w:sz w:val="21"/>
              </w:rPr>
              <w:t>城乡建设用地规模</w:t>
            </w:r>
          </w:p>
        </w:tc>
        <w:tc>
          <w:tcPr>
            <w:tcW w:w="632"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1519.00 </w:t>
            </w:r>
          </w:p>
        </w:tc>
        <w:tc>
          <w:tcPr>
            <w:tcW w:w="632" w:type="pct"/>
            <w:tcBorders>
              <w:top w:val="nil"/>
              <w:left w:val="nil"/>
              <w:bottom w:val="single" w:color="auto" w:sz="8" w:space="0"/>
              <w:right w:val="single" w:color="auto" w:sz="8" w:space="0"/>
            </w:tcBorders>
            <w:shd w:val="clear" w:color="auto" w:fill="auto"/>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1509.15 </w:t>
            </w:r>
          </w:p>
        </w:tc>
        <w:tc>
          <w:tcPr>
            <w:tcW w:w="632"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1515.38 </w:t>
            </w:r>
          </w:p>
        </w:tc>
        <w:tc>
          <w:tcPr>
            <w:tcW w:w="632"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99.35 </w:t>
            </w:r>
          </w:p>
        </w:tc>
        <w:tc>
          <w:tcPr>
            <w:tcW w:w="632" w:type="pct"/>
            <w:tcBorders>
              <w:top w:val="nil"/>
              <w:left w:val="nil"/>
              <w:bottom w:val="single" w:color="auto" w:sz="8" w:space="0"/>
              <w:right w:val="single" w:color="auto" w:sz="12" w:space="0"/>
            </w:tcBorders>
            <w:shd w:val="clear" w:color="auto" w:fill="auto"/>
            <w:noWrap/>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99.59 </w:t>
            </w:r>
          </w:p>
        </w:tc>
      </w:tr>
      <w:tr>
        <w:tblPrEx>
          <w:tblCellMar>
            <w:top w:w="0" w:type="dxa"/>
            <w:left w:w="108" w:type="dxa"/>
            <w:bottom w:w="0" w:type="dxa"/>
            <w:right w:w="108" w:type="dxa"/>
          </w:tblCellMar>
        </w:tblPrEx>
        <w:trPr>
          <w:trHeight w:val="285" w:hRule="atLeast"/>
        </w:trPr>
        <w:tc>
          <w:tcPr>
            <w:tcW w:w="1838" w:type="pct"/>
            <w:tcBorders>
              <w:top w:val="nil"/>
              <w:left w:val="single" w:color="auto" w:sz="12" w:space="0"/>
              <w:bottom w:val="single" w:color="auto" w:sz="8" w:space="0"/>
              <w:right w:val="single" w:color="auto" w:sz="8" w:space="0"/>
            </w:tcBorders>
            <w:shd w:val="clear" w:color="auto" w:fill="auto"/>
            <w:noWrap/>
            <w:vAlign w:val="center"/>
          </w:tcPr>
          <w:p>
            <w:pPr>
              <w:widowControl/>
              <w:spacing w:line="240" w:lineRule="auto"/>
              <w:ind w:firstLine="420"/>
              <w:jc w:val="left"/>
              <w:rPr>
                <w:rFonts w:ascii="仿宋_GB2312" w:hAnsi="宋体" w:cs="宋体"/>
                <w:color w:val="000000"/>
                <w:kern w:val="0"/>
                <w:sz w:val="21"/>
              </w:rPr>
            </w:pPr>
            <w:r>
              <w:rPr>
                <w:rFonts w:hint="eastAsia" w:ascii="仿宋_GB2312" w:hAnsi="宋体" w:cs="宋体"/>
                <w:color w:val="000000"/>
                <w:kern w:val="0"/>
                <w:sz w:val="21"/>
              </w:rPr>
              <w:t>城镇工矿用地规模</w:t>
            </w:r>
          </w:p>
        </w:tc>
        <w:tc>
          <w:tcPr>
            <w:tcW w:w="632"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679.00 </w:t>
            </w:r>
          </w:p>
        </w:tc>
        <w:tc>
          <w:tcPr>
            <w:tcW w:w="632" w:type="pct"/>
            <w:tcBorders>
              <w:top w:val="nil"/>
              <w:left w:val="nil"/>
              <w:bottom w:val="single" w:color="auto" w:sz="8" w:space="0"/>
              <w:right w:val="single" w:color="auto" w:sz="8" w:space="0"/>
            </w:tcBorders>
            <w:shd w:val="clear" w:color="auto" w:fill="auto"/>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629.81 </w:t>
            </w:r>
          </w:p>
        </w:tc>
        <w:tc>
          <w:tcPr>
            <w:tcW w:w="632"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662.56 </w:t>
            </w:r>
          </w:p>
        </w:tc>
        <w:tc>
          <w:tcPr>
            <w:tcW w:w="632"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92.76 </w:t>
            </w:r>
          </w:p>
        </w:tc>
        <w:tc>
          <w:tcPr>
            <w:tcW w:w="632" w:type="pct"/>
            <w:tcBorders>
              <w:top w:val="nil"/>
              <w:left w:val="nil"/>
              <w:bottom w:val="single" w:color="auto" w:sz="8" w:space="0"/>
              <w:right w:val="single" w:color="auto" w:sz="12" w:space="0"/>
            </w:tcBorders>
            <w:shd w:val="clear" w:color="auto" w:fill="auto"/>
            <w:noWrap/>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 xml:space="preserve">95.06 </w:t>
            </w:r>
          </w:p>
        </w:tc>
      </w:tr>
      <w:tr>
        <w:tblPrEx>
          <w:tblCellMar>
            <w:top w:w="0" w:type="dxa"/>
            <w:left w:w="108" w:type="dxa"/>
            <w:bottom w:w="0" w:type="dxa"/>
            <w:right w:w="108" w:type="dxa"/>
          </w:tblCellMar>
        </w:tblPrEx>
        <w:trPr>
          <w:trHeight w:val="285" w:hRule="atLeast"/>
        </w:trPr>
        <w:tc>
          <w:tcPr>
            <w:tcW w:w="5000" w:type="pct"/>
            <w:gridSpan w:val="6"/>
            <w:tcBorders>
              <w:top w:val="single" w:color="auto" w:sz="8" w:space="0"/>
              <w:left w:val="single" w:color="auto" w:sz="12" w:space="0"/>
              <w:bottom w:val="single" w:color="auto" w:sz="8" w:space="0"/>
              <w:right w:val="single" w:color="000000" w:sz="12" w:space="0"/>
            </w:tcBorders>
            <w:shd w:val="clear" w:color="auto" w:fill="auto"/>
            <w:noWrap/>
            <w:vAlign w:val="center"/>
          </w:tcPr>
          <w:p>
            <w:pPr>
              <w:widowControl/>
              <w:spacing w:line="240" w:lineRule="auto"/>
              <w:ind w:firstLine="0" w:firstLineChars="0"/>
              <w:jc w:val="left"/>
              <w:rPr>
                <w:rFonts w:ascii="仿宋_GB2312" w:hAnsi="宋体" w:cs="宋体"/>
                <w:b/>
                <w:bCs/>
                <w:color w:val="000000"/>
                <w:kern w:val="0"/>
                <w:sz w:val="21"/>
              </w:rPr>
            </w:pPr>
            <w:r>
              <w:rPr>
                <w:rFonts w:hint="eastAsia" w:ascii="仿宋_GB2312" w:hAnsi="宋体" w:cs="宋体"/>
                <w:b/>
                <w:bCs/>
                <w:color w:val="000000"/>
                <w:kern w:val="0"/>
                <w:sz w:val="21"/>
              </w:rPr>
              <w:t>效率指标</w:t>
            </w:r>
          </w:p>
        </w:tc>
      </w:tr>
      <w:tr>
        <w:tblPrEx>
          <w:tblCellMar>
            <w:top w:w="0" w:type="dxa"/>
            <w:left w:w="108" w:type="dxa"/>
            <w:bottom w:w="0" w:type="dxa"/>
            <w:right w:w="108" w:type="dxa"/>
          </w:tblCellMar>
        </w:tblPrEx>
        <w:trPr>
          <w:trHeight w:val="285" w:hRule="atLeast"/>
        </w:trPr>
        <w:tc>
          <w:tcPr>
            <w:tcW w:w="1838" w:type="pct"/>
            <w:tcBorders>
              <w:top w:val="nil"/>
              <w:left w:val="single" w:color="auto" w:sz="12" w:space="0"/>
              <w:bottom w:val="single" w:color="auto" w:sz="12" w:space="0"/>
              <w:right w:val="single" w:color="auto" w:sz="8" w:space="0"/>
            </w:tcBorders>
            <w:shd w:val="clear" w:color="auto" w:fill="auto"/>
            <w:vAlign w:val="center"/>
          </w:tcPr>
          <w:p>
            <w:pPr>
              <w:widowControl/>
              <w:spacing w:line="240" w:lineRule="auto"/>
              <w:ind w:firstLine="0" w:firstLineChars="0"/>
              <w:jc w:val="left"/>
              <w:rPr>
                <w:rFonts w:ascii="仿宋_GB2312" w:hAnsi="宋体" w:cs="宋体"/>
                <w:color w:val="000000"/>
                <w:kern w:val="0"/>
                <w:sz w:val="21"/>
              </w:rPr>
            </w:pPr>
            <w:r>
              <w:rPr>
                <w:rFonts w:hint="eastAsia" w:ascii="仿宋_GB2312" w:hAnsi="宋体" w:cs="宋体"/>
                <w:color w:val="000000"/>
                <w:kern w:val="0"/>
                <w:sz w:val="21"/>
              </w:rPr>
              <w:t>人均城镇工矿用地（平方米）</w:t>
            </w:r>
          </w:p>
        </w:tc>
        <w:tc>
          <w:tcPr>
            <w:tcW w:w="632" w:type="pct"/>
            <w:tcBorders>
              <w:top w:val="nil"/>
              <w:left w:val="nil"/>
              <w:bottom w:val="single" w:color="auto" w:sz="12" w:space="0"/>
              <w:right w:val="single" w:color="auto" w:sz="8" w:space="0"/>
            </w:tcBorders>
            <w:shd w:val="clear" w:color="auto" w:fill="auto"/>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1</w:t>
            </w:r>
            <w:r>
              <w:rPr>
                <w:rFonts w:hint="eastAsia" w:eastAsia="宋体" w:cs="Times New Roman"/>
                <w:color w:val="000000"/>
                <w:kern w:val="0"/>
                <w:sz w:val="21"/>
              </w:rPr>
              <w:t>84</w:t>
            </w:r>
          </w:p>
        </w:tc>
        <w:tc>
          <w:tcPr>
            <w:tcW w:w="632" w:type="pct"/>
            <w:tcBorders>
              <w:top w:val="nil"/>
              <w:left w:val="nil"/>
              <w:bottom w:val="single" w:color="auto" w:sz="12" w:space="0"/>
              <w:right w:val="single" w:color="auto" w:sz="8" w:space="0"/>
            </w:tcBorders>
            <w:shd w:val="clear" w:color="auto" w:fill="auto"/>
            <w:noWrap/>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1079</w:t>
            </w:r>
          </w:p>
        </w:tc>
        <w:tc>
          <w:tcPr>
            <w:tcW w:w="632" w:type="pct"/>
            <w:tcBorders>
              <w:top w:val="nil"/>
              <w:left w:val="nil"/>
              <w:bottom w:val="single" w:color="auto" w:sz="12" w:space="0"/>
              <w:right w:val="single" w:color="auto" w:sz="8" w:space="0"/>
            </w:tcBorders>
            <w:shd w:val="clear" w:color="auto" w:fill="auto"/>
            <w:vAlign w:val="center"/>
          </w:tcPr>
          <w:p>
            <w:pPr>
              <w:widowControl/>
              <w:spacing w:line="240" w:lineRule="auto"/>
              <w:ind w:firstLine="0" w:firstLineChars="0"/>
              <w:jc w:val="center"/>
              <w:rPr>
                <w:rFonts w:eastAsia="宋体" w:cs="Times New Roman"/>
                <w:color w:val="000000"/>
                <w:kern w:val="0"/>
                <w:sz w:val="21"/>
              </w:rPr>
            </w:pPr>
            <w:r>
              <w:rPr>
                <w:rFonts w:eastAsia="宋体" w:cs="Times New Roman"/>
                <w:color w:val="000000"/>
                <w:kern w:val="0"/>
                <w:sz w:val="21"/>
              </w:rPr>
              <w:t>337</w:t>
            </w:r>
          </w:p>
        </w:tc>
        <w:tc>
          <w:tcPr>
            <w:tcW w:w="632" w:type="pct"/>
            <w:tcBorders>
              <w:top w:val="nil"/>
              <w:left w:val="nil"/>
              <w:bottom w:val="single" w:color="auto" w:sz="12" w:space="0"/>
              <w:right w:val="single" w:color="auto" w:sz="8" w:space="0"/>
            </w:tcBorders>
            <w:shd w:val="clear" w:color="auto" w:fill="auto"/>
            <w:noWrap/>
            <w:vAlign w:val="center"/>
          </w:tcPr>
          <w:p>
            <w:pPr>
              <w:widowControl/>
              <w:spacing w:line="240" w:lineRule="auto"/>
              <w:ind w:firstLine="0" w:firstLineChars="0"/>
              <w:jc w:val="center"/>
              <w:rPr>
                <w:rFonts w:eastAsia="宋体" w:cs="Times New Roman"/>
                <w:color w:val="000000"/>
                <w:kern w:val="0"/>
                <w:sz w:val="21"/>
              </w:rPr>
            </w:pPr>
            <w:r>
              <w:rPr>
                <w:rFonts w:hint="eastAsia" w:ascii="仿宋_GB2312" w:hAnsi="宋体" w:cs="宋体"/>
                <w:b/>
                <w:bCs/>
                <w:color w:val="000000"/>
                <w:kern w:val="0"/>
                <w:sz w:val="21"/>
              </w:rPr>
              <w:t>——</w:t>
            </w:r>
          </w:p>
        </w:tc>
        <w:tc>
          <w:tcPr>
            <w:tcW w:w="632" w:type="pct"/>
            <w:tcBorders>
              <w:top w:val="nil"/>
              <w:left w:val="nil"/>
              <w:bottom w:val="single" w:color="auto" w:sz="12" w:space="0"/>
              <w:right w:val="single" w:color="auto" w:sz="12" w:space="0"/>
            </w:tcBorders>
            <w:shd w:val="clear" w:color="auto" w:fill="auto"/>
            <w:noWrap/>
            <w:vAlign w:val="center"/>
          </w:tcPr>
          <w:p>
            <w:pPr>
              <w:widowControl/>
              <w:spacing w:line="240" w:lineRule="auto"/>
              <w:ind w:firstLine="0" w:firstLineChars="0"/>
              <w:jc w:val="center"/>
              <w:rPr>
                <w:rFonts w:eastAsia="宋体" w:cs="Times New Roman"/>
                <w:color w:val="000000"/>
                <w:kern w:val="0"/>
                <w:sz w:val="21"/>
              </w:rPr>
            </w:pPr>
            <w:r>
              <w:rPr>
                <w:rFonts w:hint="eastAsia" w:ascii="仿宋_GB2312" w:hAnsi="宋体" w:cs="宋体"/>
                <w:b/>
                <w:bCs/>
                <w:color w:val="000000"/>
                <w:kern w:val="0"/>
                <w:sz w:val="21"/>
              </w:rPr>
              <w:t>——</w:t>
            </w:r>
          </w:p>
        </w:tc>
      </w:tr>
    </w:tbl>
    <w:p>
      <w:pPr>
        <w:ind w:firstLine="0" w:firstLineChars="0"/>
        <w:rPr>
          <w:rFonts w:cs="Times New Roman"/>
          <w:color w:val="000000" w:themeColor="text1"/>
          <w:sz w:val="18"/>
          <w:szCs w:val="18"/>
          <w14:textFill>
            <w14:solidFill>
              <w14:schemeClr w14:val="tx1"/>
            </w14:solidFill>
          </w14:textFill>
        </w:rPr>
      </w:pPr>
      <w:r>
        <w:rPr>
          <w:rFonts w:hint="eastAsia" w:cs="Times New Roman"/>
          <w:color w:val="000000" w:themeColor="text1"/>
          <w:sz w:val="18"/>
          <w:szCs w:val="18"/>
          <w14:textFill>
            <w14:solidFill>
              <w14:schemeClr w14:val="tx1"/>
            </w14:solidFill>
          </w14:textFill>
        </w:rPr>
        <w:t>注：[1]阶段目标＝2014年数据+（2020年规划目标-2014年数据）/6*（2018-2014）；</w:t>
      </w:r>
    </w:p>
    <w:p>
      <w:pPr>
        <w:ind w:firstLine="360"/>
        <w:rPr>
          <w:rFonts w:cs="Times New Roman"/>
          <w:color w:val="000000" w:themeColor="text1"/>
          <w:sz w:val="18"/>
          <w:szCs w:val="18"/>
          <w14:textFill>
            <w14:solidFill>
              <w14:schemeClr w14:val="tx1"/>
            </w14:solidFill>
          </w14:textFill>
        </w:rPr>
      </w:pPr>
      <w:r>
        <w:rPr>
          <w:rFonts w:hint="eastAsia" w:cs="Times New Roman"/>
          <w:color w:val="000000" w:themeColor="text1"/>
          <w:sz w:val="18"/>
          <w:szCs w:val="18"/>
          <w14:textFill>
            <w14:solidFill>
              <w14:schemeClr w14:val="tx1"/>
            </w14:solidFill>
          </w14:textFill>
        </w:rPr>
        <w:t>[2]2018年执行情况中耕地保有量、城乡建设用地规模、建设用地规模、城镇工矿用地规模采用2018年永吉县土地利用变更调查数据；</w:t>
      </w:r>
    </w:p>
    <w:p>
      <w:pPr>
        <w:ind w:firstLine="360"/>
        <w:rPr>
          <w:rFonts w:cs="Times New Roman"/>
          <w:color w:val="000000" w:themeColor="text1"/>
          <w:sz w:val="18"/>
          <w:szCs w:val="18"/>
          <w14:textFill>
            <w14:solidFill>
              <w14:schemeClr w14:val="tx1"/>
            </w14:solidFill>
          </w14:textFill>
        </w:rPr>
      </w:pPr>
      <w:r>
        <w:rPr>
          <w:rFonts w:hint="eastAsia" w:cs="Times New Roman"/>
          <w:color w:val="000000" w:themeColor="text1"/>
          <w:sz w:val="18"/>
          <w:szCs w:val="18"/>
          <w14:textFill>
            <w14:solidFill>
              <w14:schemeClr w14:val="tx1"/>
            </w14:solidFill>
          </w14:textFill>
        </w:rPr>
        <w:t>[3]2020年规划目标采用西阳镇土地利用总体规划调整完善方案中确定的各项指标数据；</w:t>
      </w:r>
    </w:p>
    <w:p>
      <w:pPr>
        <w:ind w:firstLine="360"/>
      </w:pPr>
      <w:r>
        <w:rPr>
          <w:rFonts w:hint="eastAsia" w:cs="Times New Roman"/>
          <w:color w:val="000000" w:themeColor="text1"/>
          <w:sz w:val="18"/>
          <w:szCs w:val="18"/>
          <w14:textFill>
            <w14:solidFill>
              <w14:schemeClr w14:val="tx1"/>
            </w14:solidFill>
          </w14:textFill>
        </w:rPr>
        <w:t>[4]规划目标完成情况为2018年现状与规划目标的比值，阶段目标完成情况为2018年现状与阶段目标的比值。</w:t>
      </w:r>
    </w:p>
    <w:p>
      <w:pPr>
        <w:pStyle w:val="33"/>
      </w:pPr>
      <w:r>
        <w:t>1</w:t>
      </w:r>
      <w:r>
        <w:rPr>
          <w:rFonts w:hint="eastAsia"/>
        </w:rPr>
        <w:t>、</w:t>
      </w:r>
      <w:r>
        <w:t>规划主要调控指标执行情况</w:t>
      </w:r>
    </w:p>
    <w:p>
      <w:pPr>
        <w:ind w:firstLine="562"/>
        <w:rPr>
          <w:rFonts w:cs="Times New Roman"/>
          <w:b/>
        </w:rPr>
      </w:pPr>
      <w:r>
        <w:rPr>
          <w:rFonts w:hint="eastAsia" w:cs="Times New Roman"/>
          <w:b/>
        </w:rPr>
        <w:t>（</w:t>
      </w:r>
      <w:r>
        <w:rPr>
          <w:rFonts w:cs="Times New Roman"/>
          <w:b/>
        </w:rPr>
        <w:t>1）耕地保有量</w:t>
      </w:r>
    </w:p>
    <w:p>
      <w:pPr>
        <w:ind w:firstLine="560"/>
        <w:rPr>
          <w:rFonts w:cs="Times New Roman"/>
        </w:rPr>
      </w:pPr>
      <w:r>
        <w:rPr>
          <w:rFonts w:cs="Times New Roman"/>
        </w:rPr>
        <w:t>规划实施至20</w:t>
      </w:r>
      <w:r>
        <w:rPr>
          <w:rFonts w:hint="eastAsia" w:cs="Times New Roman"/>
        </w:rPr>
        <w:t>18</w:t>
      </w:r>
      <w:r>
        <w:rPr>
          <w:rFonts w:cs="Times New Roman"/>
        </w:rPr>
        <w:t>年，</w:t>
      </w:r>
      <w:r>
        <w:rPr>
          <w:rFonts w:hint="eastAsia" w:cs="Times New Roman"/>
        </w:rPr>
        <w:t>西阳镇耕地面积为</w:t>
      </w:r>
      <w:r>
        <w:rPr>
          <w:rFonts w:cs="Times New Roman"/>
        </w:rPr>
        <w:t>10483.40</w:t>
      </w:r>
      <w:r>
        <w:rPr>
          <w:rFonts w:hint="eastAsia" w:cs="Times New Roman"/>
        </w:rPr>
        <w:t>公顷，与2020年规划目标</w:t>
      </w:r>
      <w:r>
        <w:rPr>
          <w:rFonts w:cs="Times New Roman"/>
        </w:rPr>
        <w:t>9290.00</w:t>
      </w:r>
      <w:r>
        <w:rPr>
          <w:rFonts w:hint="eastAsia" w:cs="Times New Roman"/>
        </w:rPr>
        <w:t>公顷相比，超出规划目标</w:t>
      </w:r>
      <w:r>
        <w:rPr>
          <w:rFonts w:cs="Times New Roman"/>
        </w:rPr>
        <w:t>1193.40</w:t>
      </w:r>
      <w:r>
        <w:rPr>
          <w:rFonts w:hint="eastAsia" w:cs="Times New Roman"/>
        </w:rPr>
        <w:t>公顷，完成了耕地保护任务。</w:t>
      </w:r>
    </w:p>
    <w:p>
      <w:pPr>
        <w:ind w:firstLine="562"/>
        <w:rPr>
          <w:rFonts w:cs="Times New Roman"/>
          <w:b/>
        </w:rPr>
      </w:pPr>
      <w:r>
        <w:rPr>
          <w:rFonts w:hint="eastAsia" w:cs="Times New Roman"/>
          <w:b/>
        </w:rPr>
        <w:t>（</w:t>
      </w:r>
      <w:r>
        <w:rPr>
          <w:rFonts w:cs="Times New Roman"/>
          <w:b/>
        </w:rPr>
        <w:t>2）</w:t>
      </w:r>
      <w:r>
        <w:rPr>
          <w:rFonts w:hint="eastAsia" w:cs="Times New Roman"/>
          <w:b/>
        </w:rPr>
        <w:t>永久</w:t>
      </w:r>
      <w:r>
        <w:rPr>
          <w:rFonts w:cs="Times New Roman"/>
          <w:b/>
        </w:rPr>
        <w:t>基本农田</w:t>
      </w:r>
      <w:r>
        <w:rPr>
          <w:rFonts w:hint="eastAsia" w:cs="Times New Roman"/>
          <w:b/>
        </w:rPr>
        <w:t>保护</w:t>
      </w:r>
      <w:r>
        <w:rPr>
          <w:rFonts w:cs="Times New Roman"/>
          <w:b/>
        </w:rPr>
        <w:t>面积</w:t>
      </w:r>
    </w:p>
    <w:p>
      <w:pPr>
        <w:ind w:firstLine="560"/>
        <w:rPr>
          <w:rFonts w:cs="Times New Roman"/>
        </w:rPr>
      </w:pPr>
      <w:r>
        <w:rPr>
          <w:rFonts w:cs="Times New Roman"/>
        </w:rPr>
        <w:t>规划实施至201</w:t>
      </w:r>
      <w:r>
        <w:rPr>
          <w:rFonts w:hint="eastAsia" w:cs="Times New Roman"/>
        </w:rPr>
        <w:t>8</w:t>
      </w:r>
      <w:r>
        <w:rPr>
          <w:rFonts w:cs="Times New Roman"/>
        </w:rPr>
        <w:t>年，</w:t>
      </w:r>
      <w:r>
        <w:rPr>
          <w:rFonts w:hint="eastAsia" w:cs="Times New Roman"/>
        </w:rPr>
        <w:t>西阳镇</w:t>
      </w:r>
      <w:r>
        <w:rPr>
          <w:rFonts w:cs="Times New Roman"/>
        </w:rPr>
        <w:t>严格按照《土地管理法》和《基本农田保护条例》，采取强有力的</w:t>
      </w:r>
      <w:r>
        <w:rPr>
          <w:rFonts w:hint="eastAsia" w:cs="Times New Roman"/>
        </w:rPr>
        <w:t>永久</w:t>
      </w:r>
      <w:r>
        <w:rPr>
          <w:rFonts w:cs="Times New Roman"/>
        </w:rPr>
        <w:t>基本农田保护措施，强化土地用途管制，加强</w:t>
      </w:r>
      <w:r>
        <w:rPr>
          <w:rFonts w:hint="eastAsia" w:cs="Times New Roman"/>
        </w:rPr>
        <w:t>永久</w:t>
      </w:r>
      <w:r>
        <w:rPr>
          <w:rFonts w:cs="Times New Roman"/>
        </w:rPr>
        <w:t>基本农田保护和建设，严格控制非农建设占用</w:t>
      </w:r>
      <w:r>
        <w:rPr>
          <w:rFonts w:hint="eastAsia" w:cs="Times New Roman"/>
        </w:rPr>
        <w:t>永久</w:t>
      </w:r>
      <w:r>
        <w:rPr>
          <w:rFonts w:cs="Times New Roman"/>
        </w:rPr>
        <w:t>基本农田，落实</w:t>
      </w:r>
      <w:r>
        <w:rPr>
          <w:rFonts w:hint="eastAsia" w:cs="Times New Roman"/>
        </w:rPr>
        <w:t>永久</w:t>
      </w:r>
      <w:r>
        <w:rPr>
          <w:rFonts w:cs="Times New Roman"/>
        </w:rPr>
        <w:t>基本农田保护目标，</w:t>
      </w:r>
      <w:r>
        <w:rPr>
          <w:rFonts w:hint="eastAsia" w:cs="Times New Roman"/>
        </w:rPr>
        <w:t>永久</w:t>
      </w:r>
      <w:r>
        <w:rPr>
          <w:rFonts w:cs="Times New Roman"/>
        </w:rPr>
        <w:t>基本农田保护面积保持在</w:t>
      </w:r>
      <w:r>
        <w:rPr>
          <w:rFonts w:cs="Times New Roman"/>
          <w:color w:val="000000" w:themeColor="text1"/>
          <w14:textFill>
            <w14:solidFill>
              <w14:schemeClr w14:val="tx1"/>
            </w14:solidFill>
          </w14:textFill>
        </w:rPr>
        <w:t>7443.00</w:t>
      </w:r>
      <w:r>
        <w:rPr>
          <w:rFonts w:cs="Times New Roman"/>
        </w:rPr>
        <w:t>公顷，完成了</w:t>
      </w:r>
      <w:r>
        <w:rPr>
          <w:rFonts w:hint="eastAsia" w:cs="Times New Roman"/>
        </w:rPr>
        <w:t>永久</w:t>
      </w:r>
      <w:r>
        <w:rPr>
          <w:rFonts w:cs="Times New Roman"/>
        </w:rPr>
        <w:t>基本农田保护任务。</w:t>
      </w:r>
    </w:p>
    <w:p>
      <w:pPr>
        <w:ind w:firstLine="562"/>
        <w:rPr>
          <w:rFonts w:cs="Times New Roman"/>
          <w:b/>
        </w:rPr>
      </w:pPr>
      <w:r>
        <w:rPr>
          <w:rFonts w:hint="eastAsia" w:cs="Times New Roman"/>
          <w:b/>
        </w:rPr>
        <w:t>（3</w:t>
      </w:r>
      <w:r>
        <w:rPr>
          <w:rFonts w:cs="Times New Roman"/>
          <w:b/>
        </w:rPr>
        <w:t>）建设用地总规模</w:t>
      </w:r>
    </w:p>
    <w:p>
      <w:pPr>
        <w:ind w:firstLine="560"/>
        <w:rPr>
          <w:rFonts w:cs="Times New Roman"/>
          <w:color w:val="000000" w:themeColor="text1"/>
          <w14:textFill>
            <w14:solidFill>
              <w14:schemeClr w14:val="tx1"/>
            </w14:solidFill>
          </w14:textFill>
        </w:rPr>
      </w:pPr>
      <w:r>
        <w:rPr>
          <w:rFonts w:hint="eastAsia" w:cs="Times New Roman"/>
        </w:rPr>
        <w:t>规划实施至2018年，西阳镇建设用地面积为</w:t>
      </w:r>
      <w:r>
        <w:rPr>
          <w:rFonts w:cs="Times New Roman"/>
        </w:rPr>
        <w:t>3385.72</w:t>
      </w:r>
      <w:r>
        <w:rPr>
          <w:rFonts w:hint="eastAsia" w:cs="Times New Roman"/>
        </w:rPr>
        <w:t>公顷，达到2020规划目标</w:t>
      </w:r>
      <w:r>
        <w:rPr>
          <w:rFonts w:cs="Times New Roman"/>
        </w:rPr>
        <w:t>3412.00</w:t>
      </w:r>
      <w:r>
        <w:rPr>
          <w:rFonts w:hint="eastAsia" w:cs="Times New Roman"/>
        </w:rPr>
        <w:t>公顷的</w:t>
      </w:r>
      <w:r>
        <w:rPr>
          <w:rFonts w:cs="Times New Roman"/>
        </w:rPr>
        <w:t>99.23%</w:t>
      </w:r>
      <w:r>
        <w:rPr>
          <w:rFonts w:hint="eastAsia" w:cs="Times New Roman"/>
        </w:rPr>
        <w:t>，剩余指标</w:t>
      </w:r>
      <w:r>
        <w:rPr>
          <w:rFonts w:cs="Times New Roman"/>
        </w:rPr>
        <w:t>26.62</w:t>
      </w:r>
      <w:r>
        <w:rPr>
          <w:rFonts w:hint="eastAsia" w:cs="Times New Roman"/>
        </w:rPr>
        <w:t>公顷，控制在2020年规划目标范围内。西阳镇现状建设用地总规模虽未突破规划目标，但是已接近规划目标，存量使用数量较多，挖潜力度不够。因此，为缓解经济社会发展对建设用地的需求，西阳镇在以后的用地过程中，应该更加注重内涵挖潜，以保障规划后期经济社会持续健康的发展。</w:t>
      </w:r>
    </w:p>
    <w:p>
      <w:pPr>
        <w:ind w:firstLine="562"/>
        <w:rPr>
          <w:rFonts w:cs="Times New Roman"/>
          <w:b/>
        </w:rPr>
      </w:pPr>
      <w:r>
        <w:rPr>
          <w:rFonts w:hint="eastAsia" w:cs="Times New Roman"/>
          <w:b/>
        </w:rPr>
        <w:t>（4</w:t>
      </w:r>
      <w:r>
        <w:rPr>
          <w:rFonts w:cs="Times New Roman"/>
          <w:b/>
        </w:rPr>
        <w:t>）城乡建设用地规模</w:t>
      </w:r>
    </w:p>
    <w:p>
      <w:pPr>
        <w:widowControl/>
        <w:spacing w:line="240" w:lineRule="auto"/>
        <w:ind w:firstLine="560"/>
        <w:rPr>
          <w:rFonts w:cs="Times New Roman"/>
        </w:rPr>
      </w:pPr>
      <w:r>
        <w:rPr>
          <w:rFonts w:cs="Times New Roman"/>
        </w:rPr>
        <w:t>规划实施至201</w:t>
      </w:r>
      <w:r>
        <w:rPr>
          <w:rFonts w:hint="eastAsia" w:cs="Times New Roman"/>
        </w:rPr>
        <w:t>8</w:t>
      </w:r>
      <w:r>
        <w:rPr>
          <w:rFonts w:cs="Times New Roman"/>
        </w:rPr>
        <w:t>年，</w:t>
      </w:r>
      <w:r>
        <w:rPr>
          <w:rFonts w:hint="eastAsia" w:cs="Times New Roman"/>
        </w:rPr>
        <w:t>西阳镇城乡建设用地面积为</w:t>
      </w:r>
      <w:r>
        <w:rPr>
          <w:rFonts w:cs="Times New Roman"/>
        </w:rPr>
        <w:t>1509.15</w:t>
      </w:r>
      <w:r>
        <w:rPr>
          <w:rFonts w:hint="eastAsia" w:cs="Times New Roman"/>
        </w:rPr>
        <w:t>公顷，达到2020年规划目标</w:t>
      </w:r>
      <w:r>
        <w:rPr>
          <w:rFonts w:cs="Times New Roman"/>
        </w:rPr>
        <w:t>1519.00</w:t>
      </w:r>
      <w:r>
        <w:rPr>
          <w:rFonts w:hint="eastAsia" w:cs="Times New Roman"/>
        </w:rPr>
        <w:t>公顷的</w:t>
      </w:r>
      <w:r>
        <w:rPr>
          <w:rFonts w:cs="Times New Roman"/>
        </w:rPr>
        <w:t>99.35 %</w:t>
      </w:r>
      <w:r>
        <w:rPr>
          <w:rFonts w:hint="eastAsia" w:cs="Times New Roman"/>
        </w:rPr>
        <w:t>，剩余指标</w:t>
      </w:r>
      <w:r>
        <w:rPr>
          <w:rFonts w:cs="Times New Roman"/>
        </w:rPr>
        <w:t>9.85</w:t>
      </w:r>
      <w:r>
        <w:rPr>
          <w:rFonts w:hint="eastAsia" w:cs="Times New Roman"/>
        </w:rPr>
        <w:t>公顷，控制在2020年规划目标范围内。</w:t>
      </w:r>
    </w:p>
    <w:p>
      <w:pPr>
        <w:ind w:firstLine="562"/>
        <w:rPr>
          <w:rFonts w:cs="Times New Roman"/>
          <w:b/>
        </w:rPr>
      </w:pPr>
      <w:r>
        <w:rPr>
          <w:rFonts w:hint="eastAsia" w:cs="Times New Roman"/>
          <w:b/>
        </w:rPr>
        <w:t>（5</w:t>
      </w:r>
      <w:r>
        <w:rPr>
          <w:rFonts w:cs="Times New Roman"/>
          <w:b/>
        </w:rPr>
        <w:t>）城镇工矿用地规模</w:t>
      </w:r>
    </w:p>
    <w:p>
      <w:pPr>
        <w:ind w:firstLine="560"/>
        <w:rPr>
          <w:rFonts w:cs="Times New Roman"/>
        </w:rPr>
      </w:pPr>
      <w:r>
        <w:rPr>
          <w:rFonts w:hint="eastAsia" w:cs="Times New Roman"/>
        </w:rPr>
        <w:t>截至2018年末，西阳镇城镇工矿用地面积为629.81公顷，达到2020年规划目标679.00公顷的92.76 %，剩余指标49.19公顷，控制在2020年规划目标范围内。</w:t>
      </w:r>
    </w:p>
    <w:p>
      <w:pPr>
        <w:ind w:firstLine="562"/>
        <w:rPr>
          <w:rFonts w:cs="Times New Roman"/>
          <w:b/>
        </w:rPr>
      </w:pPr>
      <w:r>
        <w:rPr>
          <w:rFonts w:hint="eastAsia" w:cs="Times New Roman"/>
          <w:b/>
        </w:rPr>
        <w:t>（6</w:t>
      </w:r>
      <w:r>
        <w:rPr>
          <w:rFonts w:cs="Times New Roman"/>
          <w:b/>
        </w:rPr>
        <w:t>）人均城镇工矿用地规模</w:t>
      </w:r>
    </w:p>
    <w:p>
      <w:pPr>
        <w:ind w:firstLine="560"/>
        <w:rPr>
          <w:rFonts w:cs="Times New Roman"/>
        </w:rPr>
      </w:pPr>
      <w:r>
        <w:rPr>
          <w:rFonts w:hint="eastAsia" w:cs="Times New Roman"/>
        </w:rPr>
        <w:t>规划至2020年，西阳镇</w:t>
      </w:r>
      <w:r>
        <w:rPr>
          <w:rFonts w:cs="Times New Roman"/>
        </w:rPr>
        <w:t>人均城镇工矿用地</w:t>
      </w:r>
      <w:r>
        <w:rPr>
          <w:rFonts w:hint="eastAsia" w:cs="Times New Roman"/>
        </w:rPr>
        <w:t>面积</w:t>
      </w:r>
      <w:r>
        <w:rPr>
          <w:rFonts w:cs="Times New Roman"/>
        </w:rPr>
        <w:t>为</w:t>
      </w:r>
      <w:r>
        <w:rPr>
          <w:rFonts w:hint="eastAsia" w:cs="Times New Roman"/>
        </w:rPr>
        <w:t>184</w:t>
      </w:r>
      <w:r>
        <w:rPr>
          <w:rFonts w:cs="Times New Roman"/>
        </w:rPr>
        <w:t>平方米</w:t>
      </w:r>
      <w:r>
        <w:rPr>
          <w:rFonts w:hint="eastAsia" w:cs="Times New Roman"/>
        </w:rPr>
        <w:t>。规划实施至</w:t>
      </w:r>
      <w:r>
        <w:rPr>
          <w:rFonts w:cs="Times New Roman"/>
        </w:rPr>
        <w:t>201</w:t>
      </w:r>
      <w:r>
        <w:rPr>
          <w:rFonts w:hint="eastAsia" w:cs="Times New Roman"/>
        </w:rPr>
        <w:t>8</w:t>
      </w:r>
      <w:r>
        <w:rPr>
          <w:rFonts w:cs="Times New Roman"/>
        </w:rPr>
        <w:t>年</w:t>
      </w:r>
      <w:r>
        <w:rPr>
          <w:rFonts w:hint="eastAsia" w:cs="Times New Roman"/>
        </w:rPr>
        <w:t>，西阳镇</w:t>
      </w:r>
      <w:r>
        <w:rPr>
          <w:rFonts w:cs="Times New Roman"/>
        </w:rPr>
        <w:t>人均城镇工矿用地</w:t>
      </w:r>
      <w:r>
        <w:rPr>
          <w:rFonts w:hint="eastAsia" w:cs="Times New Roman"/>
        </w:rPr>
        <w:t>面积为1079</w:t>
      </w:r>
      <w:r>
        <w:rPr>
          <w:rFonts w:cs="Times New Roman"/>
        </w:rPr>
        <w:t>平方米</w:t>
      </w:r>
      <w:r>
        <w:rPr>
          <w:rFonts w:hint="eastAsia" w:cs="Times New Roman"/>
        </w:rPr>
        <w:t>，远高于</w:t>
      </w:r>
      <w:r>
        <w:rPr>
          <w:rFonts w:cs="Times New Roman"/>
        </w:rPr>
        <w:t>2020年</w:t>
      </w:r>
      <w:r>
        <w:rPr>
          <w:rFonts w:hint="eastAsia" w:cs="Times New Roman"/>
        </w:rPr>
        <w:t>规划目标人均城镇工矿用地，主要由于城镇人口呈逐年降低的趋势，而全镇建设用地逐年增长，导致人均城镇工矿用地较大</w:t>
      </w:r>
      <w:r>
        <w:rPr>
          <w:rFonts w:cs="Times New Roman"/>
        </w:rPr>
        <w:t>。</w:t>
      </w:r>
      <w:r>
        <w:rPr>
          <w:rFonts w:hint="eastAsia" w:cs="仿宋_GB2312"/>
          <w:szCs w:val="28"/>
        </w:rPr>
        <w:t>规划实施后期，全镇节约集约化程度仍需加强，在建设用地规模需求逐渐增大的背景下，严格按照节约集约用地方式进一步管理，尽快实现城镇工矿用地集约化。</w:t>
      </w:r>
    </w:p>
    <w:p>
      <w:pPr>
        <w:pStyle w:val="33"/>
      </w:pPr>
      <w:r>
        <w:t>2</w:t>
      </w:r>
      <w:r>
        <w:rPr>
          <w:rFonts w:hint="eastAsia"/>
        </w:rPr>
        <w:t>、土地利用结构和空间管制执行情况</w:t>
      </w:r>
    </w:p>
    <w:p>
      <w:pPr>
        <w:ind w:firstLine="562"/>
      </w:pPr>
      <w:r>
        <w:rPr>
          <w:rFonts w:hint="eastAsia"/>
          <w:b/>
        </w:rPr>
        <w:t>土地利用结构：</w:t>
      </w:r>
      <w:r>
        <w:t>在规划实施期间，</w:t>
      </w:r>
      <w:r>
        <w:rPr>
          <w:rFonts w:hint="eastAsia"/>
        </w:rPr>
        <w:t>西阳镇</w:t>
      </w:r>
      <w:r>
        <w:t>在保护生态环境的前提下合理利用</w:t>
      </w:r>
      <w:r>
        <w:rPr>
          <w:rFonts w:hint="eastAsia"/>
        </w:rPr>
        <w:t>土地资源</w:t>
      </w:r>
      <w:r>
        <w:t>。</w:t>
      </w:r>
      <w:r>
        <w:rPr>
          <w:rFonts w:hint="eastAsia" w:cs="Times New Roman"/>
        </w:rPr>
        <w:t>从农用地、建设用地和其他土地三大类比例来看，2009年三大地类比例分别为91.57：7.71：0.72，2018年三大地类比例分别为</w:t>
      </w:r>
      <w:r>
        <w:rPr>
          <w:rFonts w:hint="eastAsia"/>
        </w:rPr>
        <w:t>90.55：8.02：1.43</w:t>
      </w:r>
      <w:r>
        <w:rPr>
          <w:rFonts w:hint="eastAsia" w:cs="Times New Roman"/>
        </w:rPr>
        <w:t>，规划实施期间，农用地比例呈降低趋势，建设用地比例和其他土地比例呈升高趋势。2020年规划目标三大地类比例分别为</w:t>
      </w:r>
      <w:r>
        <w:rPr>
          <w:rFonts w:hint="eastAsia"/>
        </w:rPr>
        <w:t>90.54：8.08：1.38</w:t>
      </w:r>
      <w:r>
        <w:rPr>
          <w:rFonts w:hint="eastAsia" w:cs="Times New Roman"/>
        </w:rPr>
        <w:t>，与规划同类用地主导方向一致，与实际发展方向匹配。</w:t>
      </w:r>
      <w:r>
        <w:rPr>
          <w:rFonts w:hint="eastAsia"/>
        </w:rPr>
        <w:t>规划实施期间，西阳镇土地利用结构变化趋势总体上与规划用地主导方向一致。</w:t>
      </w:r>
    </w:p>
    <w:p>
      <w:pPr>
        <w:ind w:firstLine="562"/>
        <w:rPr>
          <w:szCs w:val="24"/>
        </w:rPr>
      </w:pPr>
      <w:r>
        <w:rPr>
          <w:rFonts w:hint="eastAsia"/>
          <w:b/>
        </w:rPr>
        <w:t>空间管制执行情况：</w:t>
      </w:r>
      <w:r>
        <w:rPr>
          <w:rFonts w:cs="Times New Roman"/>
        </w:rPr>
        <w:t>规划实施期间，</w:t>
      </w:r>
      <w:r>
        <w:rPr>
          <w:rFonts w:hint="eastAsia" w:cs="Times New Roman"/>
        </w:rPr>
        <w:t>西阳镇</w:t>
      </w:r>
      <w:r>
        <w:rPr>
          <w:rFonts w:cs="Times New Roman"/>
        </w:rPr>
        <w:t>严格按照《规划》确定的建设用地空间管制分区要求，严格执行各分区管制规则。</w:t>
      </w:r>
      <w:r>
        <w:rPr>
          <w:rFonts w:hint="eastAsia" w:cs="Times New Roman"/>
        </w:rPr>
        <w:t>西阳镇允许建设区规划面积为</w:t>
      </w:r>
      <w:r>
        <w:t>1519.00</w:t>
      </w:r>
      <w:r>
        <w:rPr>
          <w:rFonts w:hint="eastAsia" w:cs="Times New Roman"/>
        </w:rPr>
        <w:t>公顷，规划实施至</w:t>
      </w:r>
      <w:r>
        <w:rPr>
          <w:rFonts w:cs="Times New Roman"/>
        </w:rPr>
        <w:t>201</w:t>
      </w:r>
      <w:r>
        <w:rPr>
          <w:rFonts w:hint="eastAsia" w:cs="Times New Roman"/>
        </w:rPr>
        <w:t>8</w:t>
      </w:r>
      <w:r>
        <w:rPr>
          <w:rFonts w:cs="Times New Roman"/>
        </w:rPr>
        <w:t>年，</w:t>
      </w:r>
      <w:r>
        <w:rPr>
          <w:rFonts w:hint="eastAsia" w:cs="Times New Roman"/>
        </w:rPr>
        <w:t>西阳镇允许建设区</w:t>
      </w:r>
      <w:r>
        <w:rPr>
          <w:rFonts w:cs="Times New Roman"/>
        </w:rPr>
        <w:t>已使用面积1509.15公顷</w:t>
      </w:r>
      <w:r>
        <w:rPr>
          <w:rFonts w:hint="eastAsia" w:cs="Times New Roman"/>
        </w:rPr>
        <w:t>，已使用比例达到99.35</w:t>
      </w:r>
      <w:r>
        <w:rPr>
          <w:rFonts w:cs="Times New Roman"/>
        </w:rPr>
        <w:t>%。按照有条件建设用地区使用要求，未对土地利用总体规划的规模边界进行调整</w:t>
      </w:r>
      <w:r>
        <w:rPr>
          <w:rFonts w:hint="eastAsia" w:cs="Times New Roman"/>
        </w:rPr>
        <w:t>，也未对规划进行修改，土地资源利用得到优化配置</w:t>
      </w:r>
      <w:r>
        <w:rPr>
          <w:rFonts w:cs="Times New Roman"/>
        </w:rPr>
        <w:t>。</w:t>
      </w:r>
    </w:p>
    <w:p>
      <w:pPr>
        <w:pStyle w:val="33"/>
      </w:pPr>
      <w:r>
        <w:t>3</w:t>
      </w:r>
      <w:r>
        <w:rPr>
          <w:rFonts w:hint="eastAsia"/>
        </w:rPr>
        <w:t>、建设用地</w:t>
      </w:r>
      <w:r>
        <w:t>节约集约</w:t>
      </w:r>
      <w:r>
        <w:rPr>
          <w:rFonts w:hint="eastAsia"/>
        </w:rPr>
        <w:t>利用</w:t>
      </w:r>
      <w:r>
        <w:t>情况</w:t>
      </w:r>
    </w:p>
    <w:p>
      <w:pPr>
        <w:ind w:firstLine="560"/>
        <w:rPr>
          <w:rFonts w:cs="Times New Roman"/>
        </w:rPr>
      </w:pPr>
      <w:r>
        <w:rPr>
          <w:rFonts w:cs="Times New Roman"/>
        </w:rPr>
        <w:t>规划实施至201</w:t>
      </w:r>
      <w:r>
        <w:rPr>
          <w:rFonts w:hint="eastAsia" w:cs="Times New Roman"/>
        </w:rPr>
        <w:t>8</w:t>
      </w:r>
      <w:r>
        <w:rPr>
          <w:rFonts w:cs="Times New Roman"/>
        </w:rPr>
        <w:t>年，</w:t>
      </w:r>
      <w:r>
        <w:rPr>
          <w:rFonts w:hint="eastAsia" w:cs="Times New Roman"/>
        </w:rPr>
        <w:t>西阳镇</w:t>
      </w:r>
      <w:r>
        <w:rPr>
          <w:rFonts w:cs="Times New Roman"/>
        </w:rPr>
        <w:t>建设用地地均GDP为</w:t>
      </w:r>
      <w:r>
        <w:rPr>
          <w:rFonts w:cs="Times New Roman"/>
          <w:szCs w:val="28"/>
        </w:rPr>
        <w:t>24.14</w:t>
      </w:r>
      <w:r>
        <w:rPr>
          <w:rFonts w:cs="Times New Roman"/>
        </w:rPr>
        <w:t>万元/公顷，年均增长</w:t>
      </w:r>
      <w:r>
        <w:rPr>
          <w:rFonts w:hint="eastAsia" w:cs="Times New Roman"/>
        </w:rPr>
        <w:t>率为</w:t>
      </w:r>
      <w:r>
        <w:rPr>
          <w:rFonts w:cs="Times New Roman"/>
        </w:rPr>
        <w:t>0.02%；</w:t>
      </w:r>
      <w:r>
        <w:rPr>
          <w:rFonts w:hint="eastAsia"/>
        </w:rPr>
        <w:t>单位建设用地社会固定资产投资为</w:t>
      </w:r>
      <w:r>
        <w:t>14.78</w:t>
      </w:r>
      <w:r>
        <w:rPr>
          <w:rFonts w:hint="eastAsia"/>
        </w:rPr>
        <w:t>万元/公顷，年均增长率为1.42%。</w:t>
      </w:r>
      <w:r>
        <w:rPr>
          <w:rFonts w:hint="eastAsia" w:cs="Times New Roman"/>
        </w:rPr>
        <w:t>西阳镇</w:t>
      </w:r>
      <w:r>
        <w:rPr>
          <w:rFonts w:cs="Times New Roman"/>
        </w:rPr>
        <w:t>严控建设用地总规模和新增建设用地增长速度，着力调整建设用地结构，保障重点建设项目必要用地，在保证合理用地的情况下建设用地地均GDP、</w:t>
      </w:r>
      <w:r>
        <w:rPr>
          <w:rFonts w:hint="eastAsia" w:cs="Times New Roman"/>
        </w:rPr>
        <w:t>单位建设用地社会固定资产投资</w:t>
      </w:r>
      <w:r>
        <w:rPr>
          <w:rFonts w:cs="Times New Roman"/>
        </w:rPr>
        <w:t>快速增长。</w:t>
      </w:r>
    </w:p>
    <w:p>
      <w:pPr>
        <w:ind w:firstLine="560"/>
        <w:rPr>
          <w:rFonts w:cs="Times New Roman"/>
        </w:rPr>
      </w:pPr>
      <w:r>
        <w:rPr>
          <w:rFonts w:cs="Times New Roman"/>
        </w:rPr>
        <w:t>201</w:t>
      </w:r>
      <w:r>
        <w:rPr>
          <w:rFonts w:hint="eastAsia" w:cs="Times New Roman"/>
        </w:rPr>
        <w:t>8</w:t>
      </w:r>
      <w:r>
        <w:rPr>
          <w:rFonts w:cs="Times New Roman"/>
        </w:rPr>
        <w:t>年</w:t>
      </w:r>
      <w:r>
        <w:rPr>
          <w:rFonts w:hint="eastAsia" w:cs="Times New Roman"/>
        </w:rPr>
        <w:t>西阳镇</w:t>
      </w:r>
      <w:r>
        <w:rPr>
          <w:rFonts w:cs="Times New Roman"/>
        </w:rPr>
        <w:t>人均城镇工矿用地</w:t>
      </w:r>
      <w:r>
        <w:rPr>
          <w:rFonts w:hint="eastAsia" w:cs="Times New Roman"/>
        </w:rPr>
        <w:t>面积1079</w:t>
      </w:r>
      <w:r>
        <w:rPr>
          <w:rFonts w:cs="Times New Roman"/>
        </w:rPr>
        <w:t>平方米，</w:t>
      </w:r>
      <w:r>
        <w:rPr>
          <w:rFonts w:hint="eastAsia" w:cs="Times New Roman"/>
        </w:rPr>
        <w:t>人均农村居民点用地面积337平方米。规划实施期间，西阳镇</w:t>
      </w:r>
      <w:r>
        <w:rPr>
          <w:rFonts w:cs="Times New Roman"/>
        </w:rPr>
        <w:t>人均农村居民点用地和人均城镇工矿用地粗放，节约集约水平有待进一步提高。</w:t>
      </w:r>
    </w:p>
    <w:p>
      <w:pPr>
        <w:pStyle w:val="33"/>
      </w:pPr>
      <w:r>
        <w:rPr>
          <w:rFonts w:hint="eastAsia"/>
        </w:rPr>
        <w:t>4、生态环境保护情况</w:t>
      </w:r>
    </w:p>
    <w:p>
      <w:pPr>
        <w:ind w:firstLine="560"/>
        <w:rPr>
          <w:rFonts w:cs="Times New Roman"/>
          <w:color w:val="000000" w:themeColor="text1"/>
          <w:szCs w:val="28"/>
          <w14:textFill>
            <w14:solidFill>
              <w14:schemeClr w14:val="tx1"/>
            </w14:solidFill>
          </w14:textFill>
        </w:rPr>
      </w:pPr>
      <w:r>
        <w:rPr>
          <w:rFonts w:cs="Times New Roman"/>
        </w:rPr>
        <w:t>规划实施至2018年末，西阳镇生态用地</w:t>
      </w:r>
      <w:r>
        <w:rPr>
          <w:rStyle w:val="23"/>
          <w:color w:val="000000" w:themeColor="text1"/>
          <w:szCs w:val="28"/>
          <w14:textFill>
            <w14:solidFill>
              <w14:schemeClr w14:val="tx1"/>
            </w14:solidFill>
          </w14:textFill>
        </w:rPr>
        <w:footnoteReference w:id="0"/>
      </w:r>
      <w:r>
        <w:rPr>
          <w:rFonts w:cs="Times New Roman"/>
        </w:rPr>
        <w:t>面积为38688.39公顷，占土地总面积的91.60%</w:t>
      </w:r>
      <w:r>
        <w:rPr>
          <w:rFonts w:cs="Times New Roman"/>
          <w:color w:val="000000" w:themeColor="text1"/>
          <w:szCs w:val="28"/>
          <w14:textFill>
            <w14:solidFill>
              <w14:schemeClr w14:val="tx1"/>
            </w14:solidFill>
          </w14:textFill>
        </w:rPr>
        <w:t>，高于2020年</w:t>
      </w:r>
      <w:r>
        <w:rPr>
          <w:rFonts w:cs="Times New Roman"/>
        </w:rPr>
        <w:t>西阳镇生态用地面积38223.85公顷，生态环境保护情况较好。</w:t>
      </w:r>
      <w:r>
        <w:rPr>
          <w:rFonts w:cs="Times New Roman"/>
          <w:color w:val="000000" w:themeColor="text1"/>
          <w:szCs w:val="28"/>
          <w14:textFill>
            <w14:solidFill>
              <w14:schemeClr w14:val="tx1"/>
            </w14:solidFill>
          </w14:textFill>
        </w:rPr>
        <w:t>规划实施后期，西阳镇应继续维护西阳镇生态安全和可持续发展，保护生态系统的完整性和增强生态服务功能，加大力度进行生态环境保护，在矿产资源开发、畜牧养殖以及项目建设中尽量减少对森林资源的破坏，合理引导退耕还林，并采取措施提高耕地质量，保证农作物产量不减少，保障西阳镇粮食生产与生态安全双丰收，促进西阳镇的生态环境建设。</w:t>
      </w:r>
    </w:p>
    <w:p>
      <w:pPr>
        <w:pStyle w:val="33"/>
      </w:pPr>
      <w:r>
        <w:rPr>
          <w:rFonts w:hint="eastAsia"/>
        </w:rPr>
        <w:t>5、重点建设项目实施情况</w:t>
      </w:r>
    </w:p>
    <w:p>
      <w:pPr>
        <w:ind w:firstLine="560"/>
      </w:pPr>
      <w:r>
        <w:rPr>
          <w:rFonts w:hint="eastAsia" w:cs="Times New Roman"/>
          <w:color w:val="000000" w:themeColor="text1"/>
          <w:szCs w:val="28"/>
          <w14:textFill>
            <w14:solidFill>
              <w14:schemeClr w14:val="tx1"/>
            </w14:solidFill>
          </w14:textFill>
        </w:rPr>
        <w:t>根据《西阳镇土地利用总体规划（2006-2020年）调整方案》中重点建设项目用地规划表，西阳镇共安排21个重点建设项目。其中，交通类8个，水利类2个，环保类4个，电力类7个。截至2018年底，规划安排的重点建设项目交通类已实施1个，水利类项目已实施1个。项目建设缓慢，主要原因一是为了适应未来发展和建设的不确定性，在规划安排重点建设项目时尽量列入重点项目清单；二是由于项目资金未如期到位，导致项目暂未实施；三是部分重点建设项目已在规划安排上落位，按批次征地，未体现在重点建设项目实施中。</w:t>
      </w:r>
    </w:p>
    <w:p>
      <w:pPr>
        <w:pStyle w:val="33"/>
      </w:pPr>
      <w:r>
        <w:rPr>
          <w:rFonts w:hint="eastAsia"/>
        </w:rPr>
        <w:t>6、</w:t>
      </w:r>
      <w:r>
        <w:t>规划实施保障措施执行情况</w:t>
      </w:r>
    </w:p>
    <w:p>
      <w:pPr>
        <w:ind w:firstLine="560"/>
        <w:rPr>
          <w:rFonts w:cs="Times New Roman"/>
        </w:rPr>
      </w:pPr>
      <w:r>
        <w:rPr>
          <w:rFonts w:cs="Times New Roman"/>
        </w:rPr>
        <w:t>规划实施至201</w:t>
      </w:r>
      <w:r>
        <w:rPr>
          <w:rFonts w:hint="eastAsia" w:cs="Times New Roman"/>
        </w:rPr>
        <w:t>8</w:t>
      </w:r>
      <w:r>
        <w:rPr>
          <w:rFonts w:cs="Times New Roman"/>
        </w:rPr>
        <w:t>年，</w:t>
      </w:r>
      <w:r>
        <w:rPr>
          <w:rFonts w:hint="eastAsia" w:cs="Times New Roman"/>
        </w:rPr>
        <w:t>西阳镇的规划</w:t>
      </w:r>
      <w:r>
        <w:rPr>
          <w:rFonts w:cs="Times New Roman"/>
        </w:rPr>
        <w:t>实施保障措施逐步得到落实，土地利用总体规划实施管理配套措施日趋完善。签订耕地保护目标责任书，不断完善耕地与</w:t>
      </w:r>
      <w:r>
        <w:rPr>
          <w:rFonts w:hint="eastAsia" w:cs="Times New Roman"/>
        </w:rPr>
        <w:t>永久</w:t>
      </w:r>
      <w:r>
        <w:rPr>
          <w:rFonts w:cs="Times New Roman"/>
        </w:rPr>
        <w:t>基本农田保护措施；</w:t>
      </w:r>
      <w:r>
        <w:rPr>
          <w:rFonts w:hint="eastAsia" w:cs="Times New Roman"/>
        </w:rPr>
        <w:t>严格执行土地管理法律规定，全面落实土地用途管制制度；</w:t>
      </w:r>
      <w:r>
        <w:rPr>
          <w:rFonts w:cs="Times New Roman"/>
        </w:rPr>
        <w:t>完善公示和宣传制度，加强土地执法监察力度。</w:t>
      </w:r>
    </w:p>
    <w:p>
      <w:pPr>
        <w:pStyle w:val="31"/>
        <w:ind w:left="250" w:firstLine="307" w:firstLineChars="102"/>
      </w:pPr>
      <w:bookmarkStart w:id="171" w:name="_Toc357438725"/>
      <w:bookmarkStart w:id="172" w:name="_Toc416807074"/>
      <w:bookmarkStart w:id="173" w:name="_Toc405884114"/>
      <w:bookmarkStart w:id="174" w:name="_Toc40116518"/>
      <w:bookmarkStart w:id="175" w:name="_Toc405883028"/>
      <w:bookmarkStart w:id="176" w:name="_Toc405908868"/>
      <w:bookmarkStart w:id="177" w:name="_Toc405883865"/>
      <w:r>
        <w:t>（二）规划评估结论</w:t>
      </w:r>
      <w:bookmarkEnd w:id="171"/>
      <w:bookmarkEnd w:id="172"/>
      <w:bookmarkEnd w:id="173"/>
      <w:bookmarkEnd w:id="174"/>
      <w:bookmarkEnd w:id="175"/>
      <w:bookmarkEnd w:id="176"/>
      <w:bookmarkEnd w:id="177"/>
    </w:p>
    <w:p>
      <w:pPr>
        <w:ind w:firstLine="560"/>
      </w:pPr>
      <w:r>
        <w:t>通过对</w:t>
      </w:r>
      <w:r>
        <w:rPr>
          <w:rFonts w:hint="eastAsia"/>
        </w:rPr>
        <w:t>规划</w:t>
      </w:r>
      <w:r>
        <w:t>实施情况的分析，2006-201</w:t>
      </w:r>
      <w:r>
        <w:rPr>
          <w:rFonts w:hint="eastAsia"/>
        </w:rPr>
        <w:t>8</w:t>
      </w:r>
      <w:r>
        <w:t>年规划实施期间，</w:t>
      </w:r>
      <w:r>
        <w:rPr>
          <w:rFonts w:hint="eastAsia"/>
        </w:rPr>
        <w:t>西阳镇</w:t>
      </w:r>
      <w:r>
        <w:t>完成了耕地与</w:t>
      </w:r>
      <w:r>
        <w:rPr>
          <w:rFonts w:hint="eastAsia"/>
        </w:rPr>
        <w:t>永久</w:t>
      </w:r>
      <w:r>
        <w:t>基本农田保护任务，在规划控制范围内有效地促进了全镇经济发展，充分保障了经济发展建设的用地需求，土地资源利用得到了优化配置，总体来看，</w:t>
      </w:r>
      <w:r>
        <w:rPr>
          <w:rFonts w:hint="eastAsia"/>
        </w:rPr>
        <w:t>规划</w:t>
      </w:r>
      <w:r>
        <w:t>实施效果良好。</w:t>
      </w:r>
    </w:p>
    <w:p>
      <w:pPr>
        <w:ind w:firstLine="560"/>
        <w:rPr>
          <w:rFonts w:cs="Times New Roman"/>
        </w:rPr>
        <w:sectPr>
          <w:pgSz w:w="11906" w:h="16838"/>
          <w:pgMar w:top="1440" w:right="1800" w:bottom="1440" w:left="1800" w:header="851" w:footer="992" w:gutter="0"/>
          <w:cols w:space="425" w:num="1"/>
          <w:docGrid w:type="lines" w:linePitch="312" w:charSpace="0"/>
        </w:sectPr>
      </w:pPr>
      <w:r>
        <w:rPr>
          <w:rFonts w:hint="eastAsia"/>
        </w:rPr>
        <w:t>随着西阳镇</w:t>
      </w:r>
      <w:r>
        <w:t>整体经济水平</w:t>
      </w:r>
      <w:r>
        <w:rPr>
          <w:rFonts w:hint="eastAsia"/>
        </w:rPr>
        <w:t>的</w:t>
      </w:r>
      <w:r>
        <w:t>提升</w:t>
      </w:r>
      <w:r>
        <w:rPr>
          <w:rFonts w:hint="eastAsia"/>
        </w:rPr>
        <w:t>以及深加工产业的持续发展对建设用地布局的需求，其未来发展方向与现行规划确定的局部用地布局存在一定矛盾，</w:t>
      </w:r>
      <w:r>
        <w:t>为保证全镇经济更好更快发展，保障</w:t>
      </w:r>
      <w:r>
        <w:rPr>
          <w:rFonts w:hint="eastAsia"/>
        </w:rPr>
        <w:t>规划</w:t>
      </w:r>
      <w:r>
        <w:t>顺利科学地实施，</w:t>
      </w:r>
      <w:r>
        <w:rPr>
          <w:rFonts w:hint="eastAsia"/>
        </w:rPr>
        <w:t>需要</w:t>
      </w:r>
      <w:r>
        <w:t>通过调整</w:t>
      </w:r>
      <w:r>
        <w:rPr>
          <w:rFonts w:hint="eastAsia"/>
        </w:rPr>
        <w:t>局部</w:t>
      </w:r>
      <w:r>
        <w:t>建设用地空间布局，以满足</w:t>
      </w:r>
      <w:r>
        <w:rPr>
          <w:rFonts w:hint="eastAsia"/>
        </w:rPr>
        <w:t>西阳镇</w:t>
      </w:r>
      <w:r>
        <w:t>经济社会</w:t>
      </w:r>
      <w:r>
        <w:rPr>
          <w:rFonts w:hint="eastAsia"/>
        </w:rPr>
        <w:t>稳定健康持续</w:t>
      </w:r>
      <w:r>
        <w:t>发展的用地需求。</w:t>
      </w:r>
    </w:p>
    <w:p>
      <w:pPr>
        <w:pStyle w:val="29"/>
        <w:spacing w:before="156" w:after="156"/>
        <w:ind w:firstLine="0" w:firstLineChars="0"/>
      </w:pPr>
      <w:bookmarkStart w:id="178" w:name="_Toc405908869"/>
      <w:bookmarkStart w:id="179" w:name="_Toc394830172"/>
      <w:bookmarkStart w:id="180" w:name="_Toc416807075"/>
      <w:bookmarkStart w:id="181" w:name="_Toc405884115"/>
      <w:bookmarkStart w:id="182" w:name="_Toc405883029"/>
      <w:bookmarkStart w:id="183" w:name="_Toc405883866"/>
      <w:bookmarkStart w:id="184" w:name="_Toc40116519"/>
      <w:r>
        <w:t>三、规划修改的原因</w:t>
      </w:r>
      <w:bookmarkEnd w:id="178"/>
      <w:bookmarkEnd w:id="179"/>
      <w:bookmarkEnd w:id="180"/>
      <w:bookmarkEnd w:id="181"/>
      <w:bookmarkEnd w:id="182"/>
      <w:bookmarkEnd w:id="183"/>
      <w:bookmarkEnd w:id="184"/>
    </w:p>
    <w:p>
      <w:pPr>
        <w:pStyle w:val="31"/>
      </w:pPr>
      <w:bookmarkStart w:id="185" w:name="_Toc416807076"/>
      <w:bookmarkStart w:id="186" w:name="_Toc40116520"/>
      <w:bookmarkStart w:id="187" w:name="_Toc405908870"/>
      <w:r>
        <w:t>（一）规划修改的必要性</w:t>
      </w:r>
      <w:bookmarkEnd w:id="185"/>
      <w:bookmarkEnd w:id="186"/>
      <w:bookmarkEnd w:id="187"/>
    </w:p>
    <w:p>
      <w:pPr>
        <w:pStyle w:val="33"/>
      </w:pPr>
      <w:bookmarkStart w:id="188" w:name="_Toc405883031"/>
      <w:bookmarkStart w:id="189" w:name="_Toc405883868"/>
      <w:bookmarkStart w:id="190" w:name="_Toc405884117"/>
      <w:bookmarkStart w:id="191" w:name="_Toc405908874"/>
      <w:bookmarkStart w:id="192" w:name="_Toc376959030"/>
      <w:bookmarkStart w:id="193" w:name="_Toc405883030"/>
      <w:bookmarkStart w:id="194" w:name="_Toc405883867"/>
      <w:bookmarkStart w:id="195" w:name="_Toc405884116"/>
      <w:bookmarkStart w:id="196" w:name="_Toc405908873"/>
      <w:bookmarkStart w:id="197" w:name="_Toc405908871"/>
      <w:r>
        <w:rPr>
          <w:rFonts w:hint="eastAsia"/>
        </w:rPr>
        <w:t>1、适应“长春一小时城市经济圈”建设的需要</w:t>
      </w:r>
    </w:p>
    <w:p>
      <w:pPr>
        <w:ind w:firstLine="560"/>
      </w:pPr>
      <w:r>
        <w:rPr>
          <w:rFonts w:hint="eastAsia"/>
        </w:rPr>
        <w:t>建设长春一小时经济圈环线高速，将使长春、九台、农安、永吉、公主岭等地高速公路网相通相连，利用现有已通高速的资源进行建设后，长春周边的外县市1小时内都可到达长春，同时可以逐步畅通与伊通、公主岭交通联系，持续推进长吉一体化，强化中心城市集聚扩散能力。</w:t>
      </w:r>
    </w:p>
    <w:p>
      <w:pPr>
        <w:ind w:firstLine="560"/>
      </w:pPr>
      <w:r>
        <w:rPr>
          <w:rFonts w:hint="eastAsia"/>
        </w:rPr>
        <w:t>永吉县依托县域全面突显的区位和交通优势，积极融入长春一小时经济圈，着力与周边区域发展战略相融合，进一步加强与相邻县市的合作，上引下联、内外驱动，统筹推进全县工业化、城镇化和农业现代化；积极融入吉林都市区，发挥比较优势，重点参与产业的专业化分工，提升产业集群，推进经济增长模式转变，实现与吉林市在功能上的错位发展；大力实施工业立县、农业强县、商贸兴县和城市化战略，全面提升综合竞争力，加快全面建设小康社会步伐。</w:t>
      </w:r>
    </w:p>
    <w:p>
      <w:pPr>
        <w:ind w:firstLine="560"/>
      </w:pPr>
      <w:r>
        <w:rPr>
          <w:rFonts w:hint="eastAsia"/>
        </w:rPr>
        <w:t>西阳镇努力承接省会的辐射带动作用，依托自身资源及区位优势，深入壮大工业发展带，促进新型工业化与特色城镇化融合发展，形成支撑全县工业发展的增长极。</w:t>
      </w:r>
    </w:p>
    <w:bookmarkEnd w:id="188"/>
    <w:bookmarkEnd w:id="189"/>
    <w:bookmarkEnd w:id="190"/>
    <w:bookmarkEnd w:id="191"/>
    <w:p>
      <w:pPr>
        <w:pStyle w:val="33"/>
      </w:pPr>
      <w:r>
        <w:rPr>
          <w:rFonts w:hint="eastAsia"/>
        </w:rPr>
        <w:t>2、</w:t>
      </w:r>
      <w:bookmarkEnd w:id="192"/>
      <w:bookmarkEnd w:id="193"/>
      <w:bookmarkEnd w:id="194"/>
      <w:bookmarkEnd w:id="195"/>
      <w:bookmarkEnd w:id="196"/>
      <w:r>
        <w:rPr>
          <w:rFonts w:hint="eastAsia"/>
        </w:rPr>
        <w:t>推进西阳镇经济社会发展建设的要求</w:t>
      </w:r>
    </w:p>
    <w:p>
      <w:pPr>
        <w:ind w:firstLine="560"/>
        <w:rPr>
          <w:rFonts w:cs="Times New Roman"/>
        </w:rPr>
      </w:pPr>
      <w:r>
        <w:rPr>
          <w:rFonts w:hint="eastAsia" w:cs="Times New Roman"/>
        </w:rPr>
        <w:t>西阳镇借助区位、政策和资源优势，着力与口前-西阳-双河镇工业发展带，依托国道202、吉草高速永吉南段和部分县道，借助大黑山钼业、冀东水泥等企业的带动，构筑永吉县南部东西向工业发展区域，促进新型工业化与特色城镇化融合发展，形成支撑全县工业发展的增长极。</w:t>
      </w:r>
    </w:p>
    <w:p>
      <w:pPr>
        <w:ind w:firstLine="560"/>
        <w:rPr>
          <w:rFonts w:cs="Times New Roman"/>
        </w:rPr>
      </w:pPr>
      <w:r>
        <w:rPr>
          <w:rFonts w:hint="eastAsia" w:cs="Times New Roman"/>
        </w:rPr>
        <w:t>全镇将围绕钼、水泥产品精深加工，不断延长产业链条，为镇域经济发展培育新的增长点，建设工业强镇。发挥葡萄、山黑猪、柞蚕、食用菌等特色产业优势，实现产业兴村、特色富民。随着特色产业的快速发展，</w:t>
      </w:r>
      <w:r>
        <w:rPr>
          <w:rFonts w:cs="Times New Roman"/>
        </w:rPr>
        <w:t>对建设用地</w:t>
      </w:r>
      <w:r>
        <w:rPr>
          <w:rFonts w:hint="eastAsia" w:cs="Times New Roman"/>
        </w:rPr>
        <w:t>的需求</w:t>
      </w:r>
      <w:r>
        <w:rPr>
          <w:rFonts w:cs="Times New Roman"/>
        </w:rPr>
        <w:t>进一步提高，因此</w:t>
      </w:r>
      <w:r>
        <w:rPr>
          <w:rFonts w:hint="eastAsia" w:cs="Times New Roman"/>
        </w:rPr>
        <w:t>，</w:t>
      </w:r>
      <w:r>
        <w:rPr>
          <w:rFonts w:cs="Times New Roman"/>
        </w:rPr>
        <w:t>为满足</w:t>
      </w:r>
      <w:r>
        <w:rPr>
          <w:rFonts w:hint="eastAsia" w:cs="Times New Roman"/>
        </w:rPr>
        <w:t>西阳镇</w:t>
      </w:r>
      <w:r>
        <w:rPr>
          <w:rFonts w:cs="Times New Roman"/>
        </w:rPr>
        <w:t>整体发展</w:t>
      </w:r>
      <w:r>
        <w:rPr>
          <w:rFonts w:hint="eastAsia" w:cs="Times New Roman"/>
        </w:rPr>
        <w:t>对建设用地的需求，需</w:t>
      </w:r>
      <w:r>
        <w:rPr>
          <w:rFonts w:cs="Times New Roman"/>
        </w:rPr>
        <w:t>通过对</w:t>
      </w:r>
      <w:r>
        <w:rPr>
          <w:rFonts w:hint="eastAsia" w:cs="Times New Roman"/>
        </w:rPr>
        <w:t>局部</w:t>
      </w:r>
      <w:r>
        <w:rPr>
          <w:rFonts w:cs="Times New Roman"/>
        </w:rPr>
        <w:t>建设用地布局的调整，实现经济社会健康稳步快速发展。</w:t>
      </w:r>
    </w:p>
    <w:p>
      <w:pPr>
        <w:pStyle w:val="31"/>
      </w:pPr>
      <w:bookmarkStart w:id="198" w:name="_Toc40116521"/>
      <w:bookmarkStart w:id="199" w:name="_Toc416807078"/>
      <w:bookmarkStart w:id="200" w:name="_Toc405908872"/>
      <w:bookmarkStart w:id="201" w:name="_Toc416807077"/>
      <w:r>
        <w:t>（</w:t>
      </w:r>
      <w:r>
        <w:rPr>
          <w:rFonts w:hint="eastAsia"/>
        </w:rPr>
        <w:t>二</w:t>
      </w:r>
      <w:r>
        <w:t>）规划修改的合法性</w:t>
      </w:r>
      <w:bookmarkEnd w:id="198"/>
      <w:bookmarkEnd w:id="199"/>
      <w:bookmarkEnd w:id="200"/>
    </w:p>
    <w:p>
      <w:pPr>
        <w:ind w:firstLine="560"/>
        <w:rPr>
          <w:lang w:val="zh-CN"/>
        </w:rPr>
      </w:pPr>
      <w:r>
        <w:rPr>
          <w:rFonts w:hint="eastAsia"/>
        </w:rPr>
        <w:t>根据</w:t>
      </w:r>
      <w:r>
        <w:t>《土地管理法》第2</w:t>
      </w:r>
      <w:r>
        <w:rPr>
          <w:rFonts w:hint="eastAsia"/>
        </w:rPr>
        <w:t>5</w:t>
      </w:r>
      <w:r>
        <w:t>条</w:t>
      </w:r>
      <w:r>
        <w:rPr>
          <w:rFonts w:hint="eastAsia"/>
        </w:rPr>
        <w:t>和</w:t>
      </w:r>
      <w:r>
        <w:t>《国土资源部关于严格土地利用总体规划实施管理的通知》（国土资发〔2012〕2号）</w:t>
      </w:r>
      <w:r>
        <w:rPr>
          <w:rFonts w:hint="eastAsia"/>
        </w:rPr>
        <w:t>，以及</w:t>
      </w:r>
      <w:r>
        <w:t>《吉林省土地利用总体规划调整和修改工作规则》（吉国土资规发〔2013〕47号）</w:t>
      </w:r>
      <w:r>
        <w:rPr>
          <w:rFonts w:hint="eastAsia"/>
        </w:rPr>
        <w:t>中明确指</w:t>
      </w:r>
      <w:r>
        <w:t>出：“因经济、社会、生态发展形势发生重大变化，经评估，确需改变土地利用约束性指标、建设用地扩展边界、调整重大空间布局等，需进行规划修改的，按照规定的权限和程序进行规划修改”等有关土地利用总体规划的修改工作规则，</w:t>
      </w:r>
      <w:r>
        <w:rPr>
          <w:lang w:val="zh-CN"/>
        </w:rPr>
        <w:t>本次规划修改以《评估</w:t>
      </w:r>
      <w:r>
        <w:rPr>
          <w:rFonts w:hint="eastAsia"/>
          <w:lang w:val="zh-CN"/>
        </w:rPr>
        <w:t>报告</w:t>
      </w:r>
      <w:r>
        <w:rPr>
          <w:lang w:val="zh-CN"/>
        </w:rPr>
        <w:t>》为基础，</w:t>
      </w:r>
      <w:r>
        <w:rPr>
          <w:szCs w:val="28"/>
        </w:rPr>
        <w:t>切实保护耕地特别是</w:t>
      </w:r>
      <w:r>
        <w:rPr>
          <w:rFonts w:hint="eastAsia"/>
          <w:szCs w:val="28"/>
        </w:rPr>
        <w:t>永久</w:t>
      </w:r>
      <w:r>
        <w:rPr>
          <w:szCs w:val="28"/>
        </w:rPr>
        <w:t>基本农田，</w:t>
      </w:r>
      <w:r>
        <w:rPr>
          <w:rFonts w:hint="eastAsia"/>
          <w:szCs w:val="28"/>
        </w:rPr>
        <w:t>合法、合规地</w:t>
      </w:r>
      <w:r>
        <w:t>进行本次规划修改。</w:t>
      </w:r>
    </w:p>
    <w:p>
      <w:pPr>
        <w:pStyle w:val="31"/>
      </w:pPr>
      <w:bookmarkStart w:id="202" w:name="_Toc40116522"/>
      <w:r>
        <w:t>（</w:t>
      </w:r>
      <w:r>
        <w:rPr>
          <w:rFonts w:hint="eastAsia"/>
        </w:rPr>
        <w:t>三</w:t>
      </w:r>
      <w:r>
        <w:t>）规划修改的合理性</w:t>
      </w:r>
      <w:bookmarkEnd w:id="197"/>
      <w:bookmarkEnd w:id="201"/>
      <w:bookmarkEnd w:id="202"/>
    </w:p>
    <w:p>
      <w:pPr>
        <w:ind w:firstLine="560"/>
      </w:pPr>
      <w:r>
        <w:t>本次规划修改，是在有利于保护耕地、节约集约用地的原则上，</w:t>
      </w:r>
      <w:r>
        <w:rPr>
          <w:rFonts w:hint="eastAsia"/>
        </w:rPr>
        <w:t>通过与吉林省资源环境承载能力和国土空间开发适宜性评价成果、永吉县永久基本农田保护红线、永吉县生态保护红线、永吉县土地整治项目以及永吉县矿产资源规划等成果叠加分析，合理的确定建设用地调整地块，</w:t>
      </w:r>
      <w:r>
        <w:t>对</w:t>
      </w:r>
      <w:r>
        <w:rPr>
          <w:rFonts w:hint="eastAsia"/>
        </w:rPr>
        <w:t>西阳镇局部</w:t>
      </w:r>
      <w:r>
        <w:t>建设用地布局进行适当修改，</w:t>
      </w:r>
      <w:r>
        <w:rPr>
          <w:rFonts w:hint="eastAsia"/>
        </w:rPr>
        <w:t>并确保建设用地总规模、城乡建设用地规模等各项指标不突破，</w:t>
      </w:r>
      <w:r>
        <w:t>保证耕地保有量不减少和</w:t>
      </w:r>
      <w:r>
        <w:rPr>
          <w:rFonts w:hint="eastAsia"/>
        </w:rPr>
        <w:t>永久</w:t>
      </w:r>
      <w:r>
        <w:t>基本农田保护面积不变。通过规划修改，土地利用结构和布局得到优化，建设用地</w:t>
      </w:r>
      <w:r>
        <w:rPr>
          <w:rFonts w:hint="eastAsia"/>
        </w:rPr>
        <w:t>布局更加合理，集中连片</w:t>
      </w:r>
      <w:r>
        <w:t>，</w:t>
      </w:r>
      <w:r>
        <w:rPr>
          <w:rFonts w:hint="eastAsia"/>
        </w:rPr>
        <w:t>与西阳镇未来经济社会发展的矛盾得到缓解，</w:t>
      </w:r>
      <w:r>
        <w:t>有效促进了</w:t>
      </w:r>
      <w:r>
        <w:rPr>
          <w:rFonts w:hint="eastAsia"/>
        </w:rPr>
        <w:t>西阳镇深加工产业的</w:t>
      </w:r>
      <w:r>
        <w:t>发展</w:t>
      </w:r>
      <w:r>
        <w:rPr>
          <w:rFonts w:hint="eastAsia"/>
        </w:rPr>
        <w:t>，提高了规划的科学性和现势性</w:t>
      </w:r>
      <w:r>
        <w:t>。</w:t>
      </w:r>
    </w:p>
    <w:p>
      <w:pPr>
        <w:ind w:firstLine="560"/>
        <w:rPr>
          <w:rFonts w:cs="Times New Roman"/>
        </w:rPr>
      </w:pPr>
    </w:p>
    <w:p>
      <w:pPr>
        <w:pStyle w:val="29"/>
        <w:spacing w:before="156" w:after="156"/>
        <w:sectPr>
          <w:headerReference r:id="rId16" w:type="first"/>
          <w:footerReference r:id="rId19" w:type="first"/>
          <w:footerReference r:id="rId17" w:type="default"/>
          <w:headerReference r:id="rId15" w:type="even"/>
          <w:footerReference r:id="rId18" w:type="even"/>
          <w:pgSz w:w="11906" w:h="16838"/>
          <w:pgMar w:top="1440" w:right="1800" w:bottom="1440" w:left="1800" w:header="851" w:footer="992" w:gutter="0"/>
          <w:cols w:space="425" w:num="1"/>
          <w:docGrid w:type="lines" w:linePitch="312" w:charSpace="0"/>
        </w:sectPr>
      </w:pPr>
      <w:bookmarkStart w:id="203" w:name="_Toc405883033"/>
      <w:bookmarkStart w:id="204" w:name="_Toc405908876"/>
      <w:bookmarkStart w:id="205" w:name="_Toc405884119"/>
      <w:bookmarkStart w:id="206" w:name="_Toc405883870"/>
      <w:bookmarkStart w:id="207" w:name="_Toc416807079"/>
    </w:p>
    <w:p>
      <w:pPr>
        <w:pStyle w:val="29"/>
        <w:spacing w:before="190" w:after="190"/>
        <w:ind w:firstLine="0" w:firstLineChars="0"/>
      </w:pPr>
      <w:bookmarkStart w:id="208" w:name="_Toc40116523"/>
      <w:r>
        <w:t>四、规划修改</w:t>
      </w:r>
      <w:bookmarkEnd w:id="203"/>
      <w:bookmarkEnd w:id="204"/>
      <w:bookmarkEnd w:id="205"/>
      <w:bookmarkEnd w:id="206"/>
      <w:r>
        <w:t>总体要求</w:t>
      </w:r>
      <w:bookmarkEnd w:id="207"/>
      <w:bookmarkEnd w:id="208"/>
    </w:p>
    <w:p>
      <w:pPr>
        <w:pStyle w:val="31"/>
      </w:pPr>
      <w:bookmarkStart w:id="209" w:name="_Toc405883034"/>
      <w:bookmarkStart w:id="210" w:name="_Toc416807080"/>
      <w:bookmarkStart w:id="211" w:name="_Toc405884120"/>
      <w:bookmarkStart w:id="212" w:name="_Toc40116524"/>
      <w:bookmarkStart w:id="213" w:name="_Toc405883871"/>
      <w:bookmarkStart w:id="214" w:name="_Toc405908877"/>
      <w:r>
        <w:t>（一）规划修改指导思想</w:t>
      </w:r>
      <w:bookmarkEnd w:id="209"/>
      <w:bookmarkEnd w:id="210"/>
      <w:bookmarkEnd w:id="211"/>
      <w:bookmarkEnd w:id="212"/>
      <w:bookmarkEnd w:id="213"/>
      <w:bookmarkEnd w:id="214"/>
    </w:p>
    <w:p>
      <w:pPr>
        <w:ind w:firstLine="560"/>
        <w:rPr>
          <w:lang w:val="zh-CN"/>
        </w:rPr>
      </w:pPr>
      <w:r>
        <w:rPr>
          <w:rFonts w:hint="eastAsia"/>
          <w:lang w:val="zh-CN"/>
        </w:rPr>
        <w:t>土地利用总体规划修改工作以习近平新时代中国特色社会主义思想为统领，围绕保护资源与保障发展目标，坚持实行最严格的耕地保护制度和最严格的节约用地制度，强化土地用途管制，促进节约集约用地，保护并改善生态环境，有效参与宏观调控，提高土地规划的科学性与权威性。全面贯彻落实党的十九大</w:t>
      </w:r>
      <w:bookmarkStart w:id="318" w:name="_GoBack"/>
      <w:bookmarkEnd w:id="318"/>
      <w:r>
        <w:rPr>
          <w:rFonts w:hint="eastAsia"/>
          <w:lang w:val="zh-CN"/>
        </w:rPr>
        <w:t>精神，统筹推进“五位一体”总体布局和协调推进“四个全面”战略布局，牢固树立新时代空间均衡、绿色发展、乡村振兴、区域协同等新的发展理念。坚持发展第一要务，突出“一城一区三带”建设，巩固提升工业支柱产业，积极发展现代服务业，培育扶持新兴产业，力争在全省率先基本实现农业现代化，着力构建具有永吉特色的现代产业新体系。</w:t>
      </w:r>
    </w:p>
    <w:p>
      <w:pPr>
        <w:pStyle w:val="31"/>
      </w:pPr>
      <w:bookmarkStart w:id="215" w:name="_Toc40116525"/>
      <w:bookmarkStart w:id="216" w:name="_Toc405884121"/>
      <w:bookmarkStart w:id="217" w:name="_Toc405908878"/>
      <w:bookmarkStart w:id="218" w:name="_Toc416807081"/>
      <w:bookmarkStart w:id="219" w:name="_Toc405883872"/>
      <w:bookmarkStart w:id="220" w:name="_Toc405883035"/>
      <w:r>
        <w:t>（二）规划修改原则</w:t>
      </w:r>
      <w:bookmarkEnd w:id="215"/>
      <w:bookmarkEnd w:id="216"/>
      <w:bookmarkEnd w:id="217"/>
      <w:bookmarkEnd w:id="218"/>
      <w:bookmarkEnd w:id="219"/>
      <w:bookmarkEnd w:id="220"/>
    </w:p>
    <w:p>
      <w:pPr>
        <w:pStyle w:val="33"/>
      </w:pPr>
      <w:r>
        <w:t>1</w:t>
      </w:r>
      <w:r>
        <w:rPr>
          <w:rFonts w:hint="eastAsia"/>
        </w:rPr>
        <w:t>、</w:t>
      </w:r>
      <w:r>
        <w:t>依法依规原则</w:t>
      </w:r>
    </w:p>
    <w:p>
      <w:pPr>
        <w:ind w:firstLine="560"/>
        <w:rPr>
          <w:rFonts w:cs="Times New Roman"/>
        </w:rPr>
      </w:pPr>
      <w:r>
        <w:rPr>
          <w:rFonts w:cs="Times New Roman"/>
        </w:rPr>
        <w:t>依法修改土地利用总体规划，严格按照法律规定的土地利用总体规划修改程序和审批权限修改土地利用总体规划。</w:t>
      </w:r>
    </w:p>
    <w:p>
      <w:pPr>
        <w:pStyle w:val="33"/>
      </w:pPr>
      <w:r>
        <w:t>2</w:t>
      </w:r>
      <w:r>
        <w:rPr>
          <w:rFonts w:hint="eastAsia"/>
        </w:rPr>
        <w:t>、</w:t>
      </w:r>
      <w:r>
        <w:t>评估前置原则</w:t>
      </w:r>
    </w:p>
    <w:p>
      <w:pPr>
        <w:ind w:firstLine="560"/>
        <w:rPr>
          <w:rFonts w:cs="Times New Roman"/>
        </w:rPr>
      </w:pPr>
      <w:r>
        <w:rPr>
          <w:rFonts w:cs="Times New Roman"/>
        </w:rPr>
        <w:t>规划实施评估是规划修改的前提和基础，如需修改规划，则须前期进行规划的实施评估。</w:t>
      </w:r>
    </w:p>
    <w:p>
      <w:pPr>
        <w:pStyle w:val="33"/>
      </w:pPr>
      <w:r>
        <w:rPr>
          <w:rFonts w:hint="eastAsia"/>
        </w:rPr>
        <w:t>3、优先保护耕地原则</w:t>
      </w:r>
    </w:p>
    <w:p>
      <w:pPr>
        <w:ind w:firstLine="560"/>
      </w:pPr>
      <w:r>
        <w:rPr>
          <w:rFonts w:hint="eastAsia"/>
        </w:rPr>
        <w:t>坚持“十分珍惜、合理利用土地和切实保护耕地”的基本国策，以保护耕地为前提，确保规划修改后耕地和基本农田保护面积不减少，质量有提高。</w:t>
      </w:r>
    </w:p>
    <w:p>
      <w:pPr>
        <w:pStyle w:val="33"/>
      </w:pPr>
      <w:r>
        <w:rPr>
          <w:rFonts w:hint="eastAsia"/>
        </w:rPr>
        <w:t>4、</w:t>
      </w:r>
      <w:r>
        <w:t>公众参与原则</w:t>
      </w:r>
    </w:p>
    <w:p>
      <w:pPr>
        <w:ind w:firstLine="560"/>
        <w:rPr>
          <w:rFonts w:cs="Times New Roman"/>
        </w:rPr>
      </w:pPr>
      <w:r>
        <w:rPr>
          <w:rFonts w:cs="Times New Roman"/>
          <w:szCs w:val="28"/>
        </w:rPr>
        <w:t>规划修改应在相关部门的共同参与下开展，广泛听取规划修改涉及区域社会各界的意见，采纳合理性建议，并对规划修改方案进行充分论证、听证，努力提高规划修改的可行性与可操作性。</w:t>
      </w:r>
    </w:p>
    <w:p>
      <w:pPr>
        <w:pStyle w:val="33"/>
      </w:pPr>
      <w:r>
        <w:rPr>
          <w:rFonts w:hint="eastAsia"/>
        </w:rPr>
        <w:t>5、</w:t>
      </w:r>
      <w:r>
        <w:t>节约集约用地原则</w:t>
      </w:r>
    </w:p>
    <w:p>
      <w:pPr>
        <w:ind w:firstLine="537" w:firstLineChars="192"/>
        <w:rPr>
          <w:rFonts w:cs="Times New Roman"/>
          <w:szCs w:val="28"/>
        </w:rPr>
      </w:pPr>
      <w:r>
        <w:rPr>
          <w:rFonts w:cs="Times New Roman"/>
          <w:szCs w:val="28"/>
        </w:rPr>
        <w:t>规划修改应本着节约和集约用地，充分体现促进集中布局和集聚建设的基本原则，根据土地供应能力和产业结构调整、经济协调发展的实际需要，合理调整和优化土地利用结构与总体布局，使土地资源与产业布局达到最优配置。</w:t>
      </w:r>
    </w:p>
    <w:p>
      <w:pPr>
        <w:pStyle w:val="33"/>
      </w:pPr>
      <w:r>
        <w:rPr>
          <w:rFonts w:hint="eastAsia"/>
        </w:rPr>
        <w:t>6、</w:t>
      </w:r>
      <w:r>
        <w:t>保护生态环境的原则</w:t>
      </w:r>
    </w:p>
    <w:p>
      <w:pPr>
        <w:ind w:firstLine="560"/>
        <w:rPr>
          <w:rFonts w:cs="Times New Roman"/>
          <w:szCs w:val="28"/>
        </w:rPr>
      </w:pPr>
      <w:r>
        <w:rPr>
          <w:rFonts w:cs="Times New Roman"/>
          <w:szCs w:val="28"/>
        </w:rPr>
        <w:t>尊重自然山水生态格局，充分利用现状地形，保护生态环境良好基底。充分考虑与周边区域的协调与衔接，细化用地功能布局与分区；注重生态环境的保护，协调保护与开发建设的矛盾。</w:t>
      </w:r>
      <w:bookmarkStart w:id="221" w:name="_Toc376014940"/>
      <w:bookmarkStart w:id="222" w:name="_Toc405883873"/>
      <w:bookmarkStart w:id="223" w:name="_Toc376959035"/>
      <w:bookmarkStart w:id="224" w:name="_Toc405883036"/>
      <w:bookmarkStart w:id="225" w:name="_Toc405908879"/>
      <w:bookmarkStart w:id="226" w:name="_Toc405884122"/>
    </w:p>
    <w:p>
      <w:pPr>
        <w:pStyle w:val="33"/>
      </w:pPr>
      <w:r>
        <w:rPr>
          <w:rFonts w:hint="eastAsia"/>
        </w:rPr>
        <w:t>7、</w:t>
      </w:r>
      <w:r>
        <w:t>图</w:t>
      </w:r>
      <w:r>
        <w:rPr>
          <w:rFonts w:hint="eastAsia"/>
        </w:rPr>
        <w:t>、</w:t>
      </w:r>
      <w:r>
        <w:t>表</w:t>
      </w:r>
      <w:r>
        <w:rPr>
          <w:rFonts w:hint="eastAsia"/>
        </w:rPr>
        <w:t>、</w:t>
      </w:r>
      <w:r>
        <w:t>数</w:t>
      </w:r>
      <w:r>
        <w:rPr>
          <w:rFonts w:hint="eastAsia"/>
        </w:rPr>
        <w:t>及实地</w:t>
      </w:r>
      <w:r>
        <w:t>一致性原则</w:t>
      </w:r>
    </w:p>
    <w:p>
      <w:pPr>
        <w:ind w:firstLine="560"/>
        <w:rPr>
          <w:rFonts w:cs="Times New Roman"/>
          <w:szCs w:val="28"/>
        </w:rPr>
      </w:pPr>
      <w:r>
        <w:rPr>
          <w:rFonts w:cs="Times New Roman"/>
          <w:szCs w:val="28"/>
        </w:rPr>
        <w:t>规划修改应健全相关图表册，并做到图、表</w:t>
      </w:r>
      <w:r>
        <w:rPr>
          <w:rFonts w:hint="eastAsia" w:cs="Times New Roman"/>
          <w:szCs w:val="28"/>
        </w:rPr>
        <w:t>、数</w:t>
      </w:r>
      <w:r>
        <w:rPr>
          <w:rFonts w:cs="Times New Roman"/>
          <w:szCs w:val="28"/>
        </w:rPr>
        <w:t>及实地一致，保证规划修改的真实性和准确性。</w:t>
      </w:r>
    </w:p>
    <w:p>
      <w:pPr>
        <w:pStyle w:val="31"/>
      </w:pPr>
      <w:bookmarkStart w:id="227" w:name="_Toc40116526"/>
      <w:bookmarkStart w:id="228" w:name="_Toc416807082"/>
      <w:r>
        <w:t>（三）规划修改依据</w:t>
      </w:r>
      <w:bookmarkEnd w:id="221"/>
      <w:bookmarkEnd w:id="222"/>
      <w:bookmarkEnd w:id="223"/>
      <w:bookmarkEnd w:id="224"/>
      <w:bookmarkEnd w:id="225"/>
      <w:bookmarkEnd w:id="226"/>
      <w:bookmarkEnd w:id="227"/>
      <w:bookmarkEnd w:id="228"/>
    </w:p>
    <w:p>
      <w:pPr>
        <w:pStyle w:val="33"/>
      </w:pPr>
      <w:bookmarkStart w:id="229" w:name="_Toc376959036"/>
      <w:bookmarkStart w:id="230" w:name="_Toc376014941"/>
      <w:r>
        <w:t>1</w:t>
      </w:r>
      <w:r>
        <w:rPr>
          <w:rFonts w:hint="eastAsia"/>
        </w:rPr>
        <w:t>、</w:t>
      </w:r>
      <w:r>
        <w:t>相关法律、法规</w:t>
      </w:r>
      <w:bookmarkEnd w:id="229"/>
      <w:bookmarkEnd w:id="230"/>
    </w:p>
    <w:p>
      <w:pPr>
        <w:ind w:firstLine="560"/>
        <w:rPr>
          <w:rFonts w:cs="Times New Roman"/>
        </w:rPr>
      </w:pPr>
      <w:bookmarkStart w:id="231" w:name="_Toc376014942"/>
      <w:bookmarkStart w:id="232" w:name="_Toc376959037"/>
      <w:r>
        <w:rPr>
          <w:rFonts w:cs="Times New Roman"/>
        </w:rPr>
        <w:t>（1）《中华人民共和国环境保护法》（2014年修订）；</w:t>
      </w:r>
    </w:p>
    <w:p>
      <w:pPr>
        <w:ind w:firstLine="560"/>
        <w:rPr>
          <w:rFonts w:cs="Times New Roman"/>
        </w:rPr>
      </w:pPr>
      <w:r>
        <w:rPr>
          <w:rFonts w:cs="Times New Roman"/>
        </w:rPr>
        <w:t>（2）《中华人民共和国土地管理法》（2019年修正）；</w:t>
      </w:r>
    </w:p>
    <w:p>
      <w:pPr>
        <w:ind w:firstLine="560"/>
        <w:rPr>
          <w:rFonts w:cs="Times New Roman"/>
        </w:rPr>
      </w:pPr>
      <w:r>
        <w:rPr>
          <w:rFonts w:cs="Times New Roman"/>
        </w:rPr>
        <w:t>（3）《中华人民共和国城乡规划法》（2019年修正）；</w:t>
      </w:r>
    </w:p>
    <w:p>
      <w:pPr>
        <w:ind w:firstLine="560"/>
        <w:rPr>
          <w:rFonts w:cs="Times New Roman"/>
        </w:rPr>
      </w:pPr>
      <w:r>
        <w:rPr>
          <w:rFonts w:cs="Times New Roman"/>
        </w:rPr>
        <w:t>（4）《中华人民共和国土地管理法实施条例》（2014年修正）；</w:t>
      </w:r>
    </w:p>
    <w:p>
      <w:pPr>
        <w:ind w:firstLine="560"/>
        <w:rPr>
          <w:rFonts w:cs="Times New Roman"/>
        </w:rPr>
      </w:pPr>
      <w:r>
        <w:rPr>
          <w:rFonts w:cs="Times New Roman"/>
        </w:rPr>
        <w:t>（5）《基本农田保护条例》（2011年修正）；</w:t>
      </w:r>
    </w:p>
    <w:p>
      <w:pPr>
        <w:ind w:firstLine="560"/>
        <w:rPr>
          <w:rFonts w:cs="Times New Roman"/>
        </w:rPr>
      </w:pPr>
      <w:r>
        <w:rPr>
          <w:rFonts w:cs="Times New Roman"/>
        </w:rPr>
        <w:t>（6）《吉林省土地管理条例》(2015年修正)。</w:t>
      </w:r>
    </w:p>
    <w:p>
      <w:pPr>
        <w:pStyle w:val="33"/>
      </w:pPr>
      <w:r>
        <w:t>2</w:t>
      </w:r>
      <w:r>
        <w:rPr>
          <w:rFonts w:hint="eastAsia"/>
        </w:rPr>
        <w:t>、</w:t>
      </w:r>
      <w:r>
        <w:t>相关文件</w:t>
      </w:r>
      <w:bookmarkEnd w:id="231"/>
      <w:bookmarkEnd w:id="232"/>
    </w:p>
    <w:p>
      <w:pPr>
        <w:ind w:firstLine="560"/>
        <w:rPr>
          <w:rFonts w:cs="Times New Roman"/>
        </w:rPr>
      </w:pPr>
      <w:r>
        <w:rPr>
          <w:rFonts w:cs="Times New Roman"/>
        </w:rPr>
        <w:t>（1）《国土资源部办公厅关于规范土地利用总体规划评估修改试点工作的通知》（国土资厅</w:t>
      </w:r>
      <w:r>
        <w:rPr>
          <w:rFonts w:cs="Times New Roman"/>
          <w:kern w:val="0"/>
        </w:rPr>
        <w:t>〔2011〕41号）;</w:t>
      </w:r>
    </w:p>
    <w:p>
      <w:pPr>
        <w:ind w:firstLine="560"/>
        <w:rPr>
          <w:rFonts w:cs="Times New Roman"/>
          <w:kern w:val="0"/>
        </w:rPr>
      </w:pPr>
      <w:r>
        <w:rPr>
          <w:rFonts w:cs="Times New Roman"/>
        </w:rPr>
        <w:t>（2）</w:t>
      </w:r>
      <w:r>
        <w:rPr>
          <w:rFonts w:cs="Times New Roman"/>
          <w:kern w:val="0"/>
        </w:rPr>
        <w:t>《国土资源部关于严格土地利用总体规划实施管理的通知》（国土资发〔2012〕2号）；</w:t>
      </w:r>
    </w:p>
    <w:p>
      <w:pPr>
        <w:ind w:firstLine="560"/>
        <w:rPr>
          <w:rFonts w:cs="Times New Roman"/>
        </w:rPr>
      </w:pPr>
      <w:r>
        <w:rPr>
          <w:rFonts w:cs="Times New Roman"/>
        </w:rPr>
        <w:t>（3）</w:t>
      </w:r>
      <w:r>
        <w:rPr>
          <w:rFonts w:cs="Times New Roman"/>
          <w:kern w:val="0"/>
        </w:rPr>
        <w:t>《吉林省土地利用总体规划调整和修改工作规则》（吉国土资规发〔2013〕47号）；</w:t>
      </w:r>
    </w:p>
    <w:p>
      <w:pPr>
        <w:ind w:firstLine="560"/>
        <w:rPr>
          <w:rFonts w:cs="Times New Roman"/>
          <w:kern w:val="0"/>
        </w:rPr>
      </w:pPr>
      <w:r>
        <w:rPr>
          <w:rFonts w:cs="Times New Roman"/>
        </w:rPr>
        <w:t>（4）</w:t>
      </w:r>
      <w:r>
        <w:rPr>
          <w:rFonts w:cs="Times New Roman"/>
          <w:kern w:val="0"/>
        </w:rPr>
        <w:t>《关于强化管控落实最严格耕地保护制度的通知》（国土资发〔2014〕18号）；</w:t>
      </w:r>
    </w:p>
    <w:p>
      <w:pPr>
        <w:ind w:firstLine="560"/>
        <w:rPr>
          <w:rFonts w:cs="Times New Roman"/>
          <w:kern w:val="0"/>
        </w:rPr>
      </w:pPr>
      <w:r>
        <w:rPr>
          <w:rFonts w:cs="Times New Roman"/>
        </w:rPr>
        <w:t>（5）</w:t>
      </w:r>
      <w:r>
        <w:rPr>
          <w:rFonts w:cs="Times New Roman"/>
          <w:kern w:val="0"/>
        </w:rPr>
        <w:t>《国务院关于深入推进新型城镇化建设的若干意见》（国发〔2016〕8号）；</w:t>
      </w:r>
    </w:p>
    <w:p>
      <w:pPr>
        <w:ind w:firstLine="560"/>
        <w:rPr>
          <w:rFonts w:cs="Times New Roman"/>
          <w:kern w:val="0"/>
        </w:rPr>
      </w:pPr>
      <w:r>
        <w:rPr>
          <w:rFonts w:cs="Times New Roman"/>
          <w:color w:val="000000"/>
          <w:szCs w:val="28"/>
        </w:rPr>
        <w:t>（6）《吉林省国土资源厅关于做好土地利用总体规划调整完善工作的通知》（吉国土资规发〔2016〕189号）；</w:t>
      </w:r>
    </w:p>
    <w:p>
      <w:pPr>
        <w:ind w:firstLine="560"/>
        <w:rPr>
          <w:rFonts w:cs="Times New Roman"/>
          <w:kern w:val="0"/>
        </w:rPr>
      </w:pPr>
      <w:r>
        <w:rPr>
          <w:rFonts w:cs="Times New Roman"/>
          <w:kern w:val="0"/>
        </w:rPr>
        <w:t>（7）</w:t>
      </w:r>
      <w:r>
        <w:rPr>
          <w:rFonts w:cs="Times New Roman"/>
          <w:szCs w:val="28"/>
        </w:rPr>
        <w:t>《自然资源部 农业农村部关于加强和改进永久基本农田保护工作的通知》（自然资规〔2019〕1号）</w:t>
      </w:r>
      <w:r>
        <w:rPr>
          <w:rFonts w:cs="Times New Roman"/>
          <w:kern w:val="0"/>
        </w:rPr>
        <w:t>；</w:t>
      </w:r>
    </w:p>
    <w:p>
      <w:pPr>
        <w:ind w:firstLine="560"/>
        <w:rPr>
          <w:rFonts w:cs="Times New Roman"/>
        </w:rPr>
      </w:pPr>
      <w:r>
        <w:rPr>
          <w:rFonts w:cs="Times New Roman"/>
          <w:kern w:val="0"/>
        </w:rPr>
        <w:t>（8）《吉林省自然资源厅关于加强过渡期“多规合一”管理工作的通知》</w:t>
      </w:r>
      <w:r>
        <w:rPr>
          <w:rFonts w:cs="Times New Roman"/>
          <w:szCs w:val="28"/>
        </w:rPr>
        <w:t>（吉自然资办法〔2019〕514号）；</w:t>
      </w:r>
    </w:p>
    <w:p>
      <w:pPr>
        <w:ind w:firstLine="560"/>
        <w:rPr>
          <w:rFonts w:cs="Times New Roman"/>
        </w:rPr>
      </w:pPr>
      <w:r>
        <w:rPr>
          <w:rFonts w:cs="Times New Roman"/>
        </w:rPr>
        <w:t>（9）《土地利用总体规划评估修改指导意见》。</w:t>
      </w:r>
    </w:p>
    <w:p>
      <w:pPr>
        <w:pStyle w:val="33"/>
      </w:pPr>
      <w:bookmarkStart w:id="233" w:name="_Toc376959038"/>
      <w:bookmarkStart w:id="234" w:name="_Toc376014943"/>
      <w:r>
        <w:t>3</w:t>
      </w:r>
      <w:bookmarkEnd w:id="233"/>
      <w:bookmarkEnd w:id="234"/>
      <w:r>
        <w:rPr>
          <w:rFonts w:hint="eastAsia"/>
        </w:rPr>
        <w:t>、</w:t>
      </w:r>
      <w:r>
        <w:t>相关规划</w:t>
      </w:r>
    </w:p>
    <w:p>
      <w:pPr>
        <w:ind w:firstLine="560"/>
      </w:pPr>
      <w:r>
        <w:rPr>
          <w:rFonts w:hint="eastAsia"/>
        </w:rPr>
        <w:t>（1）</w:t>
      </w:r>
      <w:r>
        <w:t>《</w:t>
      </w:r>
      <w:r>
        <w:rPr>
          <w:rFonts w:hint="eastAsia"/>
        </w:rPr>
        <w:t>永吉县</w:t>
      </w:r>
      <w:r>
        <w:t>国民经济与社会发展第十</w:t>
      </w:r>
      <w:r>
        <w:rPr>
          <w:rFonts w:hint="eastAsia"/>
        </w:rPr>
        <w:t>三</w:t>
      </w:r>
      <w:r>
        <w:t>个五年规划纲要》；</w:t>
      </w:r>
    </w:p>
    <w:p>
      <w:pPr>
        <w:ind w:firstLine="560"/>
      </w:pPr>
      <w:r>
        <w:t>（</w:t>
      </w:r>
      <w:r>
        <w:rPr>
          <w:rFonts w:hint="eastAsia"/>
        </w:rPr>
        <w:t>2）《永吉县土地利用总体规划（2</w:t>
      </w:r>
      <w:r>
        <w:t>006-2020</w:t>
      </w:r>
      <w:r>
        <w:rPr>
          <w:rFonts w:hint="eastAsia"/>
        </w:rPr>
        <w:t>年）调整方案》；</w:t>
      </w:r>
    </w:p>
    <w:p>
      <w:pPr>
        <w:ind w:firstLine="560"/>
      </w:pPr>
      <w:r>
        <w:rPr>
          <w:rFonts w:hint="eastAsia"/>
        </w:rPr>
        <w:t>（3</w:t>
      </w:r>
      <w:r>
        <w:t>）《</w:t>
      </w:r>
      <w:r>
        <w:rPr>
          <w:rFonts w:hint="eastAsia"/>
        </w:rPr>
        <w:t>永吉县城市</w:t>
      </w:r>
      <w:r>
        <w:t>总体规划（201</w:t>
      </w:r>
      <w:r>
        <w:rPr>
          <w:rFonts w:hint="eastAsia"/>
        </w:rPr>
        <w:t>0</w:t>
      </w:r>
      <w:r>
        <w:t>-20</w:t>
      </w:r>
      <w:r>
        <w:rPr>
          <w:rFonts w:hint="eastAsia"/>
        </w:rPr>
        <w:t>30</w:t>
      </w:r>
      <w:r>
        <w:t>年）》</w:t>
      </w:r>
      <w:r>
        <w:rPr>
          <w:rFonts w:hint="eastAsia"/>
        </w:rPr>
        <w:t>；</w:t>
      </w:r>
    </w:p>
    <w:p>
      <w:pPr>
        <w:ind w:firstLine="560"/>
      </w:pPr>
      <w:r>
        <w:rPr>
          <w:rFonts w:hint="eastAsia"/>
        </w:rPr>
        <w:t>（4）</w:t>
      </w:r>
      <w:r>
        <w:t>《</w:t>
      </w:r>
      <w:r>
        <w:rPr>
          <w:rFonts w:hint="eastAsia"/>
        </w:rPr>
        <w:t>永吉县土地整治规划（2</w:t>
      </w:r>
      <w:r>
        <w:t>016-2020</w:t>
      </w:r>
      <w:r>
        <w:rPr>
          <w:rFonts w:hint="eastAsia"/>
        </w:rPr>
        <w:t>年）》</w:t>
      </w:r>
      <w:r>
        <w:t>；</w:t>
      </w:r>
    </w:p>
    <w:p>
      <w:pPr>
        <w:ind w:firstLine="560"/>
      </w:pPr>
      <w:r>
        <w:rPr>
          <w:rFonts w:hint="eastAsia"/>
        </w:rPr>
        <w:t>（5）《永吉县矿产资源规划（2</w:t>
      </w:r>
      <w:r>
        <w:t>016-2020</w:t>
      </w:r>
      <w:r>
        <w:rPr>
          <w:rFonts w:hint="eastAsia"/>
        </w:rPr>
        <w:t>年）》</w:t>
      </w:r>
      <w:r>
        <w:t>；</w:t>
      </w:r>
    </w:p>
    <w:p>
      <w:pPr>
        <w:ind w:firstLine="560"/>
        <w:rPr>
          <w:rFonts w:cs="Times New Roman"/>
        </w:rPr>
      </w:pPr>
      <w:r>
        <w:rPr>
          <w:rFonts w:hint="eastAsia"/>
        </w:rPr>
        <w:t>（6）</w:t>
      </w:r>
      <w:r>
        <w:t>《</w:t>
      </w:r>
      <w:r>
        <w:rPr>
          <w:rFonts w:hint="eastAsia"/>
        </w:rPr>
        <w:t>永吉县西阳镇</w:t>
      </w:r>
      <w:r>
        <w:t>土地利用总体规划（2006-2020年）</w:t>
      </w:r>
      <w:r>
        <w:rPr>
          <w:rFonts w:hint="eastAsia"/>
        </w:rPr>
        <w:t>调整方案</w:t>
      </w:r>
      <w:r>
        <w:t>》</w:t>
      </w:r>
      <w:r>
        <w:rPr>
          <w:rFonts w:hint="eastAsia"/>
        </w:rPr>
        <w:t>。</w:t>
      </w:r>
    </w:p>
    <w:p>
      <w:pPr>
        <w:pStyle w:val="33"/>
      </w:pPr>
      <w:r>
        <w:t>4</w:t>
      </w:r>
      <w:r>
        <w:rPr>
          <w:rFonts w:hint="eastAsia"/>
        </w:rPr>
        <w:t>、</w:t>
      </w:r>
      <w:r>
        <w:t>相关规程</w:t>
      </w:r>
    </w:p>
    <w:p>
      <w:pPr>
        <w:ind w:firstLine="560"/>
        <w:rPr>
          <w:szCs w:val="28"/>
        </w:rPr>
      </w:pPr>
      <w:r>
        <w:rPr>
          <w:szCs w:val="28"/>
        </w:rPr>
        <w:t>（1）《乡（镇）土地利用总体规划编制规程》（TD/T1025-2010）；</w:t>
      </w:r>
    </w:p>
    <w:p>
      <w:pPr>
        <w:ind w:firstLine="560"/>
        <w:rPr>
          <w:szCs w:val="28"/>
        </w:rPr>
      </w:pPr>
      <w:r>
        <w:rPr>
          <w:szCs w:val="28"/>
        </w:rPr>
        <w:t>（2）《乡（镇）土地利用总体规划制图规范》（TD/T1022-2009）；</w:t>
      </w:r>
    </w:p>
    <w:p>
      <w:pPr>
        <w:ind w:firstLine="560"/>
        <w:rPr>
          <w:szCs w:val="28"/>
        </w:rPr>
      </w:pPr>
      <w:r>
        <w:rPr>
          <w:szCs w:val="28"/>
        </w:rPr>
        <w:t>（3）《乡（镇）土地利用总体规划数据库标准》（TD/T1028-2010）</w:t>
      </w:r>
      <w:r>
        <w:rPr>
          <w:rFonts w:hint="eastAsia"/>
          <w:szCs w:val="28"/>
        </w:rPr>
        <w:t>。</w:t>
      </w:r>
    </w:p>
    <w:p>
      <w:pPr>
        <w:pStyle w:val="33"/>
      </w:pPr>
      <w:r>
        <w:rPr>
          <w:rFonts w:hint="eastAsia"/>
        </w:rPr>
        <w:t>5、其他</w:t>
      </w:r>
    </w:p>
    <w:p>
      <w:pPr>
        <w:ind w:firstLine="560"/>
        <w:rPr>
          <w:szCs w:val="28"/>
        </w:rPr>
      </w:pPr>
      <w:r>
        <w:rPr>
          <w:szCs w:val="28"/>
        </w:rPr>
        <w:t>（</w:t>
      </w:r>
      <w:r>
        <w:rPr>
          <w:rFonts w:hint="eastAsia"/>
          <w:szCs w:val="28"/>
        </w:rPr>
        <w:t>1</w:t>
      </w:r>
      <w:r>
        <w:rPr>
          <w:szCs w:val="28"/>
        </w:rPr>
        <w:t>）</w:t>
      </w:r>
      <w:r>
        <w:rPr>
          <w:rFonts w:hint="eastAsia"/>
          <w:szCs w:val="28"/>
        </w:rPr>
        <w:t>《吉林省资源环境承载能力和国土空间开发适宜性评价成果》；</w:t>
      </w:r>
    </w:p>
    <w:p>
      <w:pPr>
        <w:ind w:firstLine="560"/>
        <w:rPr>
          <w:color w:val="000000"/>
        </w:rPr>
      </w:pPr>
      <w:r>
        <w:rPr>
          <w:rFonts w:hint="eastAsia"/>
          <w:szCs w:val="28"/>
        </w:rPr>
        <w:t>（2）</w:t>
      </w:r>
      <w:r>
        <w:rPr>
          <w:szCs w:val="28"/>
        </w:rPr>
        <w:t>《</w:t>
      </w:r>
      <w:r>
        <w:rPr>
          <w:rFonts w:hint="eastAsia"/>
          <w:color w:val="000000"/>
        </w:rPr>
        <w:t>永吉县西阳镇</w:t>
      </w:r>
      <w:r>
        <w:rPr>
          <w:color w:val="000000"/>
        </w:rPr>
        <w:t>土地利用总体规划（2006-2020年）</w:t>
      </w:r>
      <w:r>
        <w:rPr>
          <w:rFonts w:hint="eastAsia"/>
          <w:color w:val="000000"/>
        </w:rPr>
        <w:t>实施</w:t>
      </w:r>
      <w:r>
        <w:rPr>
          <w:color w:val="000000"/>
        </w:rPr>
        <w:t>评估报告》</w:t>
      </w:r>
      <w:r>
        <w:rPr>
          <w:rFonts w:hint="eastAsia"/>
          <w:color w:val="000000"/>
        </w:rPr>
        <w:t>；</w:t>
      </w:r>
    </w:p>
    <w:p>
      <w:pPr>
        <w:ind w:firstLine="560"/>
      </w:pPr>
      <w:r>
        <w:rPr>
          <w:rFonts w:hint="eastAsia"/>
        </w:rPr>
        <w:t>（3）永吉县永久基本农田划定成果；</w:t>
      </w:r>
    </w:p>
    <w:p>
      <w:pPr>
        <w:ind w:firstLine="560"/>
      </w:pPr>
      <w:r>
        <w:rPr>
          <w:rFonts w:hint="eastAsia"/>
        </w:rPr>
        <w:t>（4）永吉县生态保护红线划定成果；</w:t>
      </w:r>
    </w:p>
    <w:p>
      <w:pPr>
        <w:ind w:firstLine="560"/>
      </w:pPr>
      <w:r>
        <w:rPr>
          <w:rFonts w:hint="eastAsia"/>
        </w:rPr>
        <w:t>（5）永吉县耕地质量等别年度更新评价成果（2018年）。</w:t>
      </w:r>
    </w:p>
    <w:p>
      <w:pPr>
        <w:pStyle w:val="29"/>
        <w:spacing w:before="190" w:after="190"/>
        <w:ind w:firstLine="0" w:firstLineChars="0"/>
      </w:pPr>
      <w:bookmarkStart w:id="235" w:name="_Toc416807084"/>
      <w:bookmarkStart w:id="236" w:name="_Toc376014950"/>
      <w:bookmarkStart w:id="237" w:name="_Toc405883875"/>
      <w:bookmarkStart w:id="238" w:name="_Toc389213895"/>
      <w:bookmarkStart w:id="239" w:name="_Toc376959039"/>
      <w:bookmarkStart w:id="240" w:name="_Toc405883038"/>
      <w:bookmarkStart w:id="241" w:name="_Toc405908881"/>
      <w:bookmarkStart w:id="242" w:name="_Toc405884124"/>
      <w:bookmarkStart w:id="243" w:name="_Toc40116527"/>
      <w:r>
        <w:t>五、</w:t>
      </w:r>
      <w:bookmarkEnd w:id="235"/>
      <w:bookmarkEnd w:id="236"/>
      <w:bookmarkEnd w:id="237"/>
      <w:bookmarkEnd w:id="238"/>
      <w:bookmarkEnd w:id="239"/>
      <w:bookmarkEnd w:id="240"/>
      <w:bookmarkEnd w:id="241"/>
      <w:bookmarkEnd w:id="242"/>
      <w:r>
        <w:t>规划修改</w:t>
      </w:r>
      <w:r>
        <w:rPr>
          <w:rFonts w:hint="eastAsia"/>
        </w:rPr>
        <w:t>方案</w:t>
      </w:r>
      <w:bookmarkEnd w:id="243"/>
    </w:p>
    <w:p>
      <w:pPr>
        <w:ind w:firstLine="560"/>
        <w:rPr>
          <w:rFonts w:cs="Times New Roman"/>
        </w:rPr>
      </w:pPr>
      <w:r>
        <w:rPr>
          <w:rFonts w:hint="eastAsia" w:cs="Times New Roman"/>
        </w:rPr>
        <w:t>通过对西阳镇城乡建设用地布局的调整，来满足西阳镇未来经济社会发展和产业用地布局的需求。本次规划修改地块共7块，总面积46.6970公顷，其中，调入地块6块，面积</w:t>
      </w:r>
      <w:r>
        <w:rPr>
          <w:rFonts w:cs="Times New Roman"/>
        </w:rPr>
        <w:t>23</w:t>
      </w:r>
      <w:r>
        <w:rPr>
          <w:rFonts w:hint="eastAsia" w:cs="Times New Roman"/>
        </w:rPr>
        <w:t>.</w:t>
      </w:r>
      <w:r>
        <w:rPr>
          <w:rFonts w:cs="Times New Roman"/>
        </w:rPr>
        <w:t>348</w:t>
      </w:r>
      <w:r>
        <w:rPr>
          <w:rFonts w:hint="eastAsia" w:cs="Times New Roman"/>
        </w:rPr>
        <w:t>5公顷；调出地块1块，为镇域内调出新增建设用地指标</w:t>
      </w:r>
      <w:r>
        <w:rPr>
          <w:rFonts w:cs="Times New Roman"/>
        </w:rPr>
        <w:t>7</w:t>
      </w:r>
      <w:r>
        <w:rPr>
          <w:rFonts w:hint="eastAsia" w:cs="Times New Roman"/>
        </w:rPr>
        <w:t>.</w:t>
      </w:r>
      <w:r>
        <w:rPr>
          <w:rFonts w:cs="Times New Roman"/>
        </w:rPr>
        <w:t>116</w:t>
      </w:r>
      <w:r>
        <w:rPr>
          <w:rFonts w:hint="eastAsia" w:cs="Times New Roman"/>
        </w:rPr>
        <w:t>3公顷，</w:t>
      </w:r>
      <w:r>
        <w:rPr>
          <w:rFonts w:hint="eastAsia"/>
        </w:rPr>
        <w:t>有偿调剂通榆县城乡建设用地增减挂钩结余指标16.2322公顷</w:t>
      </w:r>
      <w:r>
        <w:rPr>
          <w:rFonts w:hint="eastAsia" w:cs="Times New Roman"/>
        </w:rPr>
        <w:t>。</w:t>
      </w:r>
    </w:p>
    <w:p>
      <w:pPr>
        <w:pStyle w:val="31"/>
      </w:pPr>
      <w:bookmarkStart w:id="244" w:name="_Toc409166163"/>
      <w:bookmarkStart w:id="245" w:name="_Toc416807086"/>
      <w:bookmarkStart w:id="246" w:name="_Toc40116528"/>
      <w:r>
        <w:t>（</w:t>
      </w:r>
      <w:r>
        <w:rPr>
          <w:rFonts w:hint="eastAsia"/>
        </w:rPr>
        <w:t>一</w:t>
      </w:r>
      <w:r>
        <w:t>）</w:t>
      </w:r>
      <w:bookmarkEnd w:id="244"/>
      <w:bookmarkEnd w:id="245"/>
      <w:r>
        <w:rPr>
          <w:rFonts w:hint="eastAsia"/>
        </w:rPr>
        <w:t>调入情况</w:t>
      </w:r>
      <w:bookmarkEnd w:id="246"/>
    </w:p>
    <w:p>
      <w:pPr>
        <w:pStyle w:val="4"/>
        <w:ind w:firstLine="562"/>
        <w:rPr>
          <w:sz w:val="28"/>
          <w:szCs w:val="28"/>
        </w:rPr>
      </w:pPr>
      <w:r>
        <w:rPr>
          <w:rFonts w:hint="eastAsia"/>
          <w:sz w:val="28"/>
          <w:szCs w:val="28"/>
        </w:rPr>
        <w:t>1、调入新增建设用地指标</w:t>
      </w:r>
    </w:p>
    <w:p>
      <w:pPr>
        <w:ind w:firstLine="560"/>
      </w:pPr>
      <w:r>
        <w:rPr>
          <w:rFonts w:hint="eastAsia"/>
        </w:rPr>
        <w:t>TRXZ01：位于撮落村，面积</w:t>
      </w:r>
      <w:r>
        <w:t>3.0007</w:t>
      </w:r>
      <w:r>
        <w:rPr>
          <w:rFonts w:hint="eastAsia"/>
        </w:rPr>
        <w:t>公顷，现状地类分别为耕地</w:t>
      </w:r>
      <w:r>
        <w:t>0.1054</w:t>
      </w:r>
      <w:r>
        <w:rPr>
          <w:rFonts w:hint="eastAsia"/>
        </w:rPr>
        <w:t>公顷（国家利用等为11等）、林地</w:t>
      </w:r>
      <w:r>
        <w:t>1.7303</w:t>
      </w:r>
      <w:r>
        <w:rPr>
          <w:rFonts w:hint="eastAsia"/>
        </w:rPr>
        <w:t>公顷和其他农用地</w:t>
      </w:r>
      <w:r>
        <w:t>0.0308</w:t>
      </w:r>
      <w:r>
        <w:rPr>
          <w:rFonts w:hint="eastAsia"/>
        </w:rPr>
        <w:t>公顷。修改前土地规划地类分别为耕地、林地和其他农用地，修改后土地规划地类为其他独立建设用地。建设用地管制分区由限制建设区变为允许建设区。</w:t>
      </w:r>
    </w:p>
    <w:p>
      <w:pPr>
        <w:ind w:firstLine="560"/>
      </w:pPr>
      <w:r>
        <w:rPr>
          <w:rFonts w:hint="eastAsia"/>
        </w:rPr>
        <w:t>TRXZ02：位于撮落村，面积</w:t>
      </w:r>
      <w:r>
        <w:t>2.545</w:t>
      </w:r>
      <w:r>
        <w:rPr>
          <w:rFonts w:hint="eastAsia"/>
        </w:rPr>
        <w:t>3公顷，现状地类分别为林地</w:t>
      </w:r>
      <w:r>
        <w:t>2.476</w:t>
      </w:r>
      <w:r>
        <w:rPr>
          <w:rFonts w:hint="eastAsia"/>
        </w:rPr>
        <w:t>1公顷和城乡建设用地</w:t>
      </w:r>
      <w:r>
        <w:t>0.0692</w:t>
      </w:r>
      <w:r>
        <w:rPr>
          <w:rFonts w:hint="eastAsia"/>
        </w:rPr>
        <w:t>公顷。修改前土地规划地类为耕地和林地，修改后土地规划地类为其他独立建设用地。建设用地管制分区由限制建设区变为允许建设区。</w:t>
      </w:r>
    </w:p>
    <w:p>
      <w:pPr>
        <w:ind w:firstLine="560"/>
      </w:pPr>
      <w:r>
        <w:rPr>
          <w:rFonts w:hint="eastAsia"/>
        </w:rPr>
        <w:t>TRXZ03：位于东响水村，面积</w:t>
      </w:r>
      <w:r>
        <w:t>0.0017</w:t>
      </w:r>
      <w:r>
        <w:rPr>
          <w:rFonts w:hint="eastAsia"/>
        </w:rPr>
        <w:t>公顷，现状地类均为林地。修改前土地规划地类为林地，修改后土地规划地类为其他独立建设用地。建设用地管制分区由限制建设区变为允许建设区。</w:t>
      </w:r>
    </w:p>
    <w:p>
      <w:pPr>
        <w:ind w:firstLine="560"/>
      </w:pPr>
      <w:r>
        <w:rPr>
          <w:rFonts w:hint="eastAsia"/>
        </w:rPr>
        <w:t>TRXZ04：位于东响水村，面积</w:t>
      </w:r>
      <w:r>
        <w:t>0.5362</w:t>
      </w:r>
      <w:r>
        <w:rPr>
          <w:rFonts w:hint="eastAsia"/>
        </w:rPr>
        <w:t>公顷，现状地类全部为林地。修改前土地规划地类为林地，修改后土地规划地类为其他独立建设用地。建设用地管制分区由限制建设区变为允许建设区。</w:t>
      </w:r>
    </w:p>
    <w:p>
      <w:pPr>
        <w:ind w:firstLine="560"/>
      </w:pPr>
      <w:r>
        <w:rPr>
          <w:rFonts w:hint="eastAsia"/>
        </w:rPr>
        <w:t>TRXZ05：位于东响水村，面积</w:t>
      </w:r>
      <w:r>
        <w:t>0.6905</w:t>
      </w:r>
      <w:r>
        <w:rPr>
          <w:rFonts w:hint="eastAsia"/>
        </w:rPr>
        <w:t>公顷，现状地类为林地</w:t>
      </w:r>
      <w:r>
        <w:t>0.6685</w:t>
      </w:r>
      <w:r>
        <w:rPr>
          <w:rFonts w:hint="eastAsia"/>
        </w:rPr>
        <w:t>公顷和城乡建设用地</w:t>
      </w:r>
      <w:r>
        <w:t>0.0220</w:t>
      </w:r>
      <w:r>
        <w:rPr>
          <w:rFonts w:hint="eastAsia"/>
        </w:rPr>
        <w:t>公顷。修改前土地规划地类为林地，修改后土地规划地类为其他独立建设用地。建设用地管制分区由限制建设区变为允许建设区。</w:t>
      </w:r>
    </w:p>
    <w:p>
      <w:pPr>
        <w:ind w:firstLine="560"/>
      </w:pPr>
      <w:r>
        <w:rPr>
          <w:rFonts w:hint="eastAsia"/>
        </w:rPr>
        <w:t>TRXZ06：位于西阳村，面积</w:t>
      </w:r>
      <w:r>
        <w:t>0.3419</w:t>
      </w:r>
      <w:r>
        <w:rPr>
          <w:rFonts w:hint="eastAsia"/>
        </w:rPr>
        <w:t>公顷，现状地类分别为林地</w:t>
      </w:r>
      <w:r>
        <w:t>0.3234</w:t>
      </w:r>
      <w:r>
        <w:rPr>
          <w:rFonts w:hint="eastAsia"/>
        </w:rPr>
        <w:t>公顷和城乡建设用地</w:t>
      </w:r>
      <w:r>
        <w:t>0.0185</w:t>
      </w:r>
      <w:r>
        <w:rPr>
          <w:rFonts w:hint="eastAsia"/>
        </w:rPr>
        <w:t>公顷。修改前土地规划地类为林地，修改后土地规划地类为其他独立建设用地。建设用地管制分区由限制建设区变为允许建设区。</w:t>
      </w:r>
    </w:p>
    <w:p>
      <w:pPr>
        <w:pStyle w:val="4"/>
        <w:ind w:firstLine="562"/>
        <w:rPr>
          <w:sz w:val="28"/>
          <w:szCs w:val="28"/>
        </w:rPr>
      </w:pPr>
      <w:r>
        <w:rPr>
          <w:rFonts w:hint="eastAsia"/>
          <w:sz w:val="28"/>
          <w:szCs w:val="28"/>
        </w:rPr>
        <w:t>2、调入城乡建设用地增减挂钩建新指标</w:t>
      </w:r>
    </w:p>
    <w:p>
      <w:pPr>
        <w:ind w:firstLine="560"/>
      </w:pPr>
      <w:r>
        <w:t>TR</w:t>
      </w:r>
      <w:r>
        <w:rPr>
          <w:rFonts w:hint="eastAsia"/>
        </w:rPr>
        <w:t>JX01：</w:t>
      </w:r>
      <w:r>
        <w:t>位于</w:t>
      </w:r>
      <w:r>
        <w:rPr>
          <w:rFonts w:hint="eastAsia"/>
        </w:rPr>
        <w:t>撮落村</w:t>
      </w:r>
      <w:r>
        <w:t>，面积为</w:t>
      </w:r>
      <w:r>
        <w:rPr>
          <w:rFonts w:cs="Times New Roman"/>
        </w:rPr>
        <w:t>16.2322</w:t>
      </w:r>
      <w:r>
        <w:t>公顷</w:t>
      </w:r>
      <w:r>
        <w:rPr>
          <w:rFonts w:hint="eastAsia"/>
        </w:rPr>
        <w:t>。现状地类中</w:t>
      </w:r>
      <w:r>
        <w:t>耕地4.4926</w:t>
      </w:r>
      <w:r>
        <w:rPr>
          <w:rFonts w:hint="eastAsia"/>
        </w:rPr>
        <w:t>公顷（国家利用等为11等）和城乡建设用地</w:t>
      </w:r>
      <w:r>
        <w:t>11.7396</w:t>
      </w:r>
      <w:r>
        <w:rPr>
          <w:rFonts w:hint="eastAsia"/>
        </w:rPr>
        <w:t>公顷。修改前土地规划地类为耕地，修改后土地规划地类为城镇用地。建设用地管制分区由限制建设区变为允许建设区。</w:t>
      </w:r>
    </w:p>
    <w:p>
      <w:pPr>
        <w:pStyle w:val="31"/>
      </w:pPr>
      <w:bookmarkStart w:id="247" w:name="_Toc416807087"/>
      <w:bookmarkStart w:id="248" w:name="_Toc40116529"/>
      <w:r>
        <w:t>（</w:t>
      </w:r>
      <w:r>
        <w:rPr>
          <w:rFonts w:hint="eastAsia"/>
        </w:rPr>
        <w:t>二</w:t>
      </w:r>
      <w:r>
        <w:t>）调</w:t>
      </w:r>
      <w:r>
        <w:rPr>
          <w:rFonts w:hint="eastAsia"/>
        </w:rPr>
        <w:t>出</w:t>
      </w:r>
      <w:r>
        <w:t>情况</w:t>
      </w:r>
      <w:bookmarkEnd w:id="247"/>
      <w:bookmarkEnd w:id="248"/>
    </w:p>
    <w:p>
      <w:pPr>
        <w:pStyle w:val="4"/>
        <w:ind w:firstLine="562"/>
        <w:rPr>
          <w:sz w:val="28"/>
          <w:szCs w:val="28"/>
        </w:rPr>
      </w:pPr>
      <w:r>
        <w:rPr>
          <w:rFonts w:hint="eastAsia"/>
          <w:sz w:val="28"/>
          <w:szCs w:val="28"/>
        </w:rPr>
        <w:t>1、</w:t>
      </w:r>
      <w:r>
        <w:rPr>
          <w:sz w:val="28"/>
          <w:szCs w:val="28"/>
        </w:rPr>
        <w:t>调出</w:t>
      </w:r>
      <w:r>
        <w:rPr>
          <w:rFonts w:hint="eastAsia"/>
          <w:sz w:val="28"/>
          <w:szCs w:val="28"/>
        </w:rPr>
        <w:t>新增建设用地指标</w:t>
      </w:r>
      <w:r>
        <w:rPr>
          <w:sz w:val="28"/>
          <w:szCs w:val="28"/>
        </w:rPr>
        <w:t>情况</w:t>
      </w:r>
    </w:p>
    <w:p>
      <w:pPr>
        <w:ind w:firstLine="560"/>
      </w:pPr>
      <w:r>
        <w:rPr>
          <w:rFonts w:hint="eastAsia"/>
        </w:rPr>
        <w:t>TC01：</w:t>
      </w:r>
      <w:r>
        <w:t>位于</w:t>
      </w:r>
      <w:r>
        <w:rPr>
          <w:rFonts w:hint="eastAsia"/>
        </w:rPr>
        <w:t>撮落村</w:t>
      </w:r>
      <w:r>
        <w:t>，面积</w:t>
      </w:r>
      <w:r>
        <w:rPr>
          <w:rFonts w:hint="eastAsia"/>
        </w:rPr>
        <w:t>7.1163</w:t>
      </w:r>
      <w:r>
        <w:t>公顷，现状地类</w:t>
      </w:r>
      <w:r>
        <w:rPr>
          <w:rFonts w:hint="eastAsia"/>
        </w:rPr>
        <w:t>全部为林地。修改前土地规划地类为其他独立建设用地，</w:t>
      </w:r>
      <w:r>
        <w:t>修改后</w:t>
      </w:r>
      <w:r>
        <w:rPr>
          <w:rFonts w:hint="eastAsia"/>
        </w:rPr>
        <w:t>土地</w:t>
      </w:r>
      <w:r>
        <w:t>规划地类为</w:t>
      </w:r>
      <w:r>
        <w:rPr>
          <w:rFonts w:hint="eastAsia"/>
        </w:rPr>
        <w:t>林地，建设用地</w:t>
      </w:r>
      <w:r>
        <w:t>管制分区由</w:t>
      </w:r>
      <w:r>
        <w:rPr>
          <w:rFonts w:hint="eastAsia"/>
        </w:rPr>
        <w:t>允许</w:t>
      </w:r>
      <w:r>
        <w:t>建设区变为</w:t>
      </w:r>
      <w:r>
        <w:rPr>
          <w:rFonts w:hint="eastAsia"/>
        </w:rPr>
        <w:t>限制</w:t>
      </w:r>
      <w:r>
        <w:t>建设区。</w:t>
      </w:r>
    </w:p>
    <w:p>
      <w:pPr>
        <w:pStyle w:val="4"/>
        <w:ind w:firstLine="562"/>
        <w:rPr>
          <w:sz w:val="28"/>
          <w:szCs w:val="28"/>
        </w:rPr>
      </w:pPr>
      <w:r>
        <w:rPr>
          <w:rFonts w:hint="eastAsia"/>
          <w:sz w:val="28"/>
          <w:szCs w:val="28"/>
        </w:rPr>
        <w:t>2、有偿调剂城乡建设用地增减挂钩结余指标情况</w:t>
      </w:r>
    </w:p>
    <w:p>
      <w:pPr>
        <w:ind w:firstLine="560"/>
      </w:pPr>
      <w:r>
        <w:rPr>
          <w:rFonts w:hint="eastAsia"/>
        </w:rPr>
        <w:t>严格按照《吉林省人民政府办公厅关于印发吉林省城乡建设用地增减挂钩试点管理办法的通知》（吉政办发</w:t>
      </w:r>
      <w:r>
        <w:t>〔</w:t>
      </w:r>
      <w:r>
        <w:rPr>
          <w:rFonts w:hint="eastAsia"/>
        </w:rPr>
        <w:t>2015</w:t>
      </w:r>
      <w:r>
        <w:t>〕</w:t>
      </w:r>
      <w:r>
        <w:rPr>
          <w:rFonts w:hint="eastAsia"/>
        </w:rPr>
        <w:t>59号）和《吉林省运用城乡建设用地增减挂钩政策支持脱贫攻坚实施办法的通知》（吉国土资规</w:t>
      </w:r>
      <w:r>
        <w:t>〔</w:t>
      </w:r>
      <w:r>
        <w:rPr>
          <w:rFonts w:hint="eastAsia"/>
        </w:rPr>
        <w:t>2017</w:t>
      </w:r>
      <w:r>
        <w:t>〕</w:t>
      </w:r>
      <w:r>
        <w:rPr>
          <w:rFonts w:hint="eastAsia"/>
        </w:rPr>
        <w:t>5号）等文件要求，有序开展城乡建设用地增减挂钩试点工作，调整优化城乡用地结构和布局，实现土地资源的集约高效和可持续利用，促进城乡统筹发展和社会主义新农村建设。</w:t>
      </w:r>
    </w:p>
    <w:p>
      <w:pPr>
        <w:ind w:firstLine="560"/>
        <w:sectPr>
          <w:headerReference r:id="rId21" w:type="first"/>
          <w:footerReference r:id="rId23" w:type="first"/>
          <w:headerReference r:id="rId20" w:type="even"/>
          <w:footerReference r:id="rId22" w:type="even"/>
          <w:pgSz w:w="11906" w:h="16838"/>
          <w:pgMar w:top="1440" w:right="1800" w:bottom="1440" w:left="1800" w:header="851" w:footer="992" w:gutter="0"/>
          <w:cols w:space="425" w:num="1"/>
          <w:docGrid w:type="lines" w:linePitch="381" w:charSpace="0"/>
        </w:sectPr>
      </w:pPr>
      <w:r>
        <w:rPr>
          <w:rFonts w:hint="eastAsia"/>
        </w:rPr>
        <w:t>本《修改方案》中，通过有偿调剂通榆县城乡建设用地增减挂钩结余指标16.2322公顷用于西阳镇项目建设。根据协议要求，通榆县拆旧区复垦的耕地数量和质量应满足西阳镇城乡建设用地增减挂钩建新区占用的耕地数量、质量和产能等指标要求。</w:t>
      </w:r>
    </w:p>
    <w:p>
      <w:pPr>
        <w:pStyle w:val="29"/>
        <w:spacing w:before="190" w:after="190"/>
        <w:ind w:firstLine="0" w:firstLineChars="0"/>
      </w:pPr>
      <w:bookmarkStart w:id="249" w:name="_Toc405883877"/>
      <w:bookmarkStart w:id="250" w:name="_Toc416807089"/>
      <w:bookmarkStart w:id="251" w:name="_Toc405884126"/>
      <w:bookmarkStart w:id="252" w:name="_Toc405883040"/>
      <w:bookmarkStart w:id="253" w:name="_Toc405908883"/>
      <w:bookmarkStart w:id="254" w:name="_Toc40116530"/>
      <w:r>
        <w:t>六、</w:t>
      </w:r>
      <w:bookmarkEnd w:id="249"/>
      <w:bookmarkEnd w:id="250"/>
      <w:bookmarkEnd w:id="251"/>
      <w:bookmarkEnd w:id="252"/>
      <w:bookmarkEnd w:id="253"/>
      <w:bookmarkStart w:id="255" w:name="_Toc26418"/>
      <w:bookmarkStart w:id="256" w:name="_Toc405883878"/>
      <w:bookmarkStart w:id="257" w:name="_Toc356894951"/>
      <w:bookmarkStart w:id="258" w:name="_Toc375754611"/>
      <w:bookmarkStart w:id="259" w:name="_Toc405908884"/>
      <w:bookmarkStart w:id="260" w:name="_Toc405883041"/>
      <w:bookmarkStart w:id="261" w:name="_Toc405884127"/>
      <w:r>
        <w:rPr>
          <w:rFonts w:hint="eastAsia"/>
        </w:rPr>
        <w:t>规划修改可行性分析</w:t>
      </w:r>
      <w:bookmarkEnd w:id="254"/>
    </w:p>
    <w:p>
      <w:pPr>
        <w:pStyle w:val="31"/>
      </w:pPr>
      <w:bookmarkStart w:id="262" w:name="_Toc403330931"/>
      <w:bookmarkStart w:id="263" w:name="_Toc416807090"/>
      <w:bookmarkStart w:id="264" w:name="_Toc40116531"/>
      <w:r>
        <w:t>（一）</w:t>
      </w:r>
      <w:bookmarkEnd w:id="262"/>
      <w:bookmarkEnd w:id="263"/>
      <w:r>
        <w:t>对现行土地利用总体规划主要控制目标的影响</w:t>
      </w:r>
      <w:bookmarkEnd w:id="264"/>
    </w:p>
    <w:p>
      <w:pPr>
        <w:ind w:firstLine="560"/>
        <w:rPr>
          <w:szCs w:val="28"/>
        </w:rPr>
      </w:pPr>
      <w:r>
        <w:t>《修改方案》是在</w:t>
      </w:r>
      <w:r>
        <w:rPr>
          <w:rFonts w:hint="eastAsia"/>
        </w:rPr>
        <w:t>镇域</w:t>
      </w:r>
      <w:r>
        <w:t>范围内保持</w:t>
      </w:r>
      <w:r>
        <w:rPr>
          <w:rFonts w:hint="eastAsia"/>
        </w:rPr>
        <w:t>永久</w:t>
      </w:r>
      <w:r>
        <w:t>基本农田数量不减少，耕地质量不降低</w:t>
      </w:r>
      <w:r>
        <w:rPr>
          <w:rFonts w:hint="eastAsia"/>
        </w:rPr>
        <w:t>，</w:t>
      </w:r>
      <w:r>
        <w:rPr>
          <w:szCs w:val="28"/>
        </w:rPr>
        <w:t>严格按照控制建设用地总规模和新增建设用地指标的基础上，对土地利用布局进行的适当修改。</w:t>
      </w:r>
      <w:r>
        <w:rPr>
          <w:rFonts w:hint="eastAsia"/>
          <w:szCs w:val="28"/>
        </w:rPr>
        <w:t>西阳镇</w:t>
      </w:r>
      <w:r>
        <w:rPr>
          <w:szCs w:val="28"/>
        </w:rPr>
        <w:t>坚持“总量平衡、节约集约用地、保护和改善生态环境”原则，规划修改前后对耕地保有量、</w:t>
      </w:r>
      <w:r>
        <w:rPr>
          <w:rFonts w:hint="eastAsia"/>
          <w:szCs w:val="28"/>
        </w:rPr>
        <w:t>永久基本农田保护面积均未产生影响，建设用地总规模、城乡建设用地规模和城镇工矿用地规模分别增加了16.23公顷</w:t>
      </w:r>
      <w:r>
        <w:rPr>
          <w:szCs w:val="28"/>
        </w:rPr>
        <w:t>。</w:t>
      </w:r>
    </w:p>
    <w:p>
      <w:pPr>
        <w:pStyle w:val="4"/>
        <w:ind w:firstLine="562"/>
        <w:rPr>
          <w:sz w:val="28"/>
          <w:szCs w:val="28"/>
        </w:rPr>
      </w:pPr>
      <w:r>
        <w:rPr>
          <w:sz w:val="28"/>
          <w:szCs w:val="28"/>
        </w:rPr>
        <w:t>1、</w:t>
      </w:r>
      <w:r>
        <w:rPr>
          <w:rFonts w:hint="eastAsia" w:ascii="仿宋_GB2312"/>
          <w:sz w:val="28"/>
          <w:szCs w:val="28"/>
        </w:rPr>
        <w:t>对耕地保有量的影响</w:t>
      </w:r>
    </w:p>
    <w:p>
      <w:pPr>
        <w:ind w:firstLine="560"/>
      </w:pPr>
      <w:r>
        <w:rPr>
          <w:szCs w:val="28"/>
        </w:rPr>
        <w:t>本次规划修改方案坚持“十分珍惜、合理利用土地和切实保护耕地”的基本国策，坚持少占用耕地。</w:t>
      </w:r>
      <w:r>
        <w:t>本次规划修改调入地块拟占</w:t>
      </w:r>
      <w:r>
        <w:rPr>
          <w:rFonts w:hint="eastAsia"/>
        </w:rPr>
        <w:t>用现状</w:t>
      </w:r>
      <w:r>
        <w:t>耕地</w:t>
      </w:r>
      <w:r>
        <w:rPr>
          <w:rFonts w:hint="eastAsia"/>
        </w:rPr>
        <w:t>面积</w:t>
      </w:r>
      <w:r>
        <w:t>4.</w:t>
      </w:r>
      <w:r>
        <w:rPr>
          <w:rFonts w:hint="eastAsia"/>
        </w:rPr>
        <w:t>60公顷。2018年西阳镇现状耕地面积</w:t>
      </w:r>
      <w:r>
        <w:t>10483.40</w:t>
      </w:r>
      <w:r>
        <w:rPr>
          <w:rFonts w:hint="eastAsia"/>
        </w:rPr>
        <w:t>公顷，比2020年规划目标多</w:t>
      </w:r>
      <w:r>
        <w:t>1193.40</w:t>
      </w:r>
      <w:r>
        <w:rPr>
          <w:rFonts w:hint="eastAsia"/>
        </w:rPr>
        <w:t>公顷。规划修改后，调入地块占用的耕地随着后期项目的施工建设，在历年的土地利用现状变更调查中，逐年变更为建设用地，但现状耕地面积仍远高于2020年规划目标耕地保有量。</w:t>
      </w:r>
    </w:p>
    <w:p>
      <w:pPr>
        <w:ind w:firstLine="560"/>
      </w:pPr>
      <w:r>
        <w:rPr>
          <w:rFonts w:hint="eastAsia"/>
        </w:rPr>
        <w:t>从土地规划角度分析，</w:t>
      </w:r>
      <w:r>
        <w:t>本次规划修改调入地块</w:t>
      </w:r>
      <w:r>
        <w:rPr>
          <w:rFonts w:hint="eastAsia"/>
        </w:rPr>
        <w:t>占用规划耕地面积</w:t>
      </w:r>
      <w:r>
        <w:t>17</w:t>
      </w:r>
      <w:r>
        <w:rPr>
          <w:rFonts w:hint="eastAsia"/>
        </w:rPr>
        <w:t>.</w:t>
      </w:r>
      <w:r>
        <w:t>4</w:t>
      </w:r>
      <w:r>
        <w:rPr>
          <w:rFonts w:hint="eastAsia"/>
        </w:rPr>
        <w:t>6公顷，修改后，西阳镇2020年规划耕地面积为</w:t>
      </w:r>
      <w:r>
        <w:t>9749.64</w:t>
      </w:r>
      <w:r>
        <w:rPr>
          <w:rFonts w:hint="eastAsia"/>
        </w:rPr>
        <w:t>公顷，减少了17.46公顷，但高于2020年耕地保有量（</w:t>
      </w:r>
      <w:r>
        <w:t>9290.00</w:t>
      </w:r>
      <w:r>
        <w:rPr>
          <w:rFonts w:hint="eastAsia"/>
        </w:rPr>
        <w:t>公顷）。</w:t>
      </w:r>
      <w:r>
        <w:t>因此，</w:t>
      </w:r>
      <w:r>
        <w:rPr>
          <w:rFonts w:hint="eastAsia"/>
        </w:rPr>
        <w:t>本次</w:t>
      </w:r>
      <w:r>
        <w:t>规划修改不影响</w:t>
      </w:r>
      <w:r>
        <w:rPr>
          <w:rFonts w:hint="eastAsia"/>
        </w:rPr>
        <w:t>西阳镇</w:t>
      </w:r>
      <w:r>
        <w:t>耕地保有量目标的实现。</w:t>
      </w:r>
    </w:p>
    <w:p>
      <w:pPr>
        <w:pStyle w:val="4"/>
        <w:ind w:firstLine="562"/>
        <w:rPr>
          <w:sz w:val="28"/>
          <w:szCs w:val="28"/>
        </w:rPr>
      </w:pPr>
      <w:r>
        <w:rPr>
          <w:rFonts w:hint="eastAsia"/>
          <w:sz w:val="28"/>
          <w:szCs w:val="28"/>
        </w:rPr>
        <w:t>2、</w:t>
      </w:r>
      <w:r>
        <w:rPr>
          <w:sz w:val="28"/>
          <w:szCs w:val="28"/>
        </w:rPr>
        <w:t>规划修改对</w:t>
      </w:r>
      <w:r>
        <w:rPr>
          <w:rFonts w:hint="eastAsia"/>
          <w:sz w:val="28"/>
          <w:szCs w:val="28"/>
        </w:rPr>
        <w:t>永久</w:t>
      </w:r>
      <w:r>
        <w:rPr>
          <w:sz w:val="28"/>
          <w:szCs w:val="28"/>
        </w:rPr>
        <w:t>基本农田保护目标的影响</w:t>
      </w:r>
    </w:p>
    <w:p>
      <w:pPr>
        <w:ind w:firstLine="560"/>
        <w:rPr>
          <w:sz w:val="18"/>
          <w:szCs w:val="18"/>
        </w:rPr>
      </w:pPr>
      <w:r>
        <w:rPr>
          <w:rFonts w:hint="eastAsia"/>
        </w:rPr>
        <w:t>永久</w:t>
      </w:r>
      <w:r>
        <w:t>基本农田保护目标是土地利用总体规划控制指标体系中重要组成部分，本次规划修改中调入和调出地块均不涉及</w:t>
      </w:r>
      <w:r>
        <w:rPr>
          <w:rFonts w:hint="eastAsia"/>
        </w:rPr>
        <w:t>永久</w:t>
      </w:r>
      <w:r>
        <w:t>基本农田调整，因此，规划修改不会对</w:t>
      </w:r>
      <w:r>
        <w:rPr>
          <w:rFonts w:hint="eastAsia"/>
        </w:rPr>
        <w:t>西阳镇永久</w:t>
      </w:r>
      <w:r>
        <w:t>基本农田保护目标的实现产生影响。</w:t>
      </w:r>
    </w:p>
    <w:p>
      <w:pPr>
        <w:pStyle w:val="4"/>
        <w:ind w:firstLine="562"/>
        <w:rPr>
          <w:sz w:val="28"/>
          <w:szCs w:val="28"/>
        </w:rPr>
      </w:pPr>
      <w:r>
        <w:rPr>
          <w:rFonts w:hint="eastAsia"/>
          <w:sz w:val="28"/>
          <w:szCs w:val="28"/>
        </w:rPr>
        <w:t>3、</w:t>
      </w:r>
      <w:r>
        <w:rPr>
          <w:sz w:val="28"/>
          <w:szCs w:val="28"/>
        </w:rPr>
        <w:t>规划修改对建设用地</w:t>
      </w:r>
      <w:r>
        <w:rPr>
          <w:rFonts w:hint="eastAsia"/>
          <w:sz w:val="28"/>
          <w:szCs w:val="28"/>
        </w:rPr>
        <w:t>总量指标</w:t>
      </w:r>
      <w:r>
        <w:rPr>
          <w:sz w:val="28"/>
          <w:szCs w:val="28"/>
        </w:rPr>
        <w:t>的影响</w:t>
      </w:r>
    </w:p>
    <w:p>
      <w:pPr>
        <w:ind w:firstLine="560"/>
        <w:rPr>
          <w:b/>
        </w:rPr>
      </w:pPr>
      <w:r>
        <w:rPr>
          <w:rFonts w:hint="eastAsia"/>
        </w:rPr>
        <w:t>本次规划修改调入地块共6个，总面积</w:t>
      </w:r>
      <w:r>
        <w:t>23.348</w:t>
      </w:r>
      <w:r>
        <w:rPr>
          <w:rFonts w:hint="eastAsia"/>
        </w:rPr>
        <w:t>5公顷，修改后土地规划地类为城镇用地和其他独立建设用地。西阳镇内部调出新增建设用地面积</w:t>
      </w:r>
      <w:r>
        <w:t>7.1163</w:t>
      </w:r>
      <w:r>
        <w:rPr>
          <w:rFonts w:hint="eastAsia"/>
        </w:rPr>
        <w:t>公顷，通过有偿调剂通榆县城乡建设用地增减挂钩结余指标16.2322公顷。因此，规划修改后，西阳镇建设用地总规模、城乡建设用地规模和城镇工矿用地规模分别增加了16.2322公顷。</w:t>
      </w:r>
    </w:p>
    <w:p>
      <w:pPr>
        <w:pStyle w:val="31"/>
      </w:pPr>
      <w:bookmarkStart w:id="265" w:name="_Toc531619361"/>
      <w:bookmarkStart w:id="266" w:name="_Toc40116532"/>
      <w:r>
        <w:rPr>
          <w:rFonts w:hint="eastAsia"/>
        </w:rPr>
        <w:t>（二）</w:t>
      </w:r>
      <w:r>
        <w:t>对</w:t>
      </w:r>
      <w:r>
        <w:rPr>
          <w:rFonts w:hint="eastAsia"/>
        </w:rPr>
        <w:t>建设用地</w:t>
      </w:r>
      <w:r>
        <w:t>管制分区执行情况的影响</w:t>
      </w:r>
      <w:bookmarkEnd w:id="265"/>
      <w:bookmarkEnd w:id="266"/>
    </w:p>
    <w:p>
      <w:pPr>
        <w:ind w:firstLine="560"/>
        <w:rPr>
          <w:b/>
        </w:rPr>
      </w:pPr>
      <w:r>
        <w:t>本次规划修改中，调入地块23.348</w:t>
      </w:r>
      <w:r>
        <w:rPr>
          <w:rFonts w:hint="eastAsia"/>
        </w:rPr>
        <w:t>5</w:t>
      </w:r>
      <w:r>
        <w:t>公顷，由限制建设区修改为允许建设区</w:t>
      </w:r>
      <w:r>
        <w:rPr>
          <w:rFonts w:hint="eastAsia"/>
        </w:rPr>
        <w:t>，西阳镇内部调出新增建设用地面积</w:t>
      </w:r>
      <w:r>
        <w:t>7.1163</w:t>
      </w:r>
      <w:r>
        <w:rPr>
          <w:rFonts w:hint="eastAsia"/>
        </w:rPr>
        <w:t>公顷，由允许建设区修改为限制建设区。因此，规划</w:t>
      </w:r>
      <w:r>
        <w:t>修改后</w:t>
      </w:r>
      <w:r>
        <w:rPr>
          <w:rFonts w:hint="eastAsia"/>
        </w:rPr>
        <w:t>西阳镇允许建设区增加了16.2322公顷，限制建设区减少了16.2322公顷。</w:t>
      </w:r>
    </w:p>
    <w:p>
      <w:pPr>
        <w:pStyle w:val="31"/>
      </w:pPr>
      <w:bookmarkStart w:id="267" w:name="_Toc531619362"/>
      <w:bookmarkStart w:id="268" w:name="_Toc40116533"/>
      <w:r>
        <w:rPr>
          <w:rFonts w:hint="eastAsia"/>
        </w:rPr>
        <w:t>（三）对土地利用结构和布局的影响</w:t>
      </w:r>
      <w:bookmarkEnd w:id="267"/>
      <w:bookmarkEnd w:id="268"/>
    </w:p>
    <w:p>
      <w:pPr>
        <w:ind w:firstLine="560"/>
        <w:rPr>
          <w:b/>
        </w:rPr>
      </w:pPr>
      <w:r>
        <w:rPr>
          <w:szCs w:val="28"/>
        </w:rPr>
        <w:t>本次规划修改贯彻落实节约集约用地理念，将</w:t>
      </w:r>
      <w:r>
        <w:rPr>
          <w:rFonts w:hint="eastAsia"/>
          <w:szCs w:val="28"/>
        </w:rPr>
        <w:t>局部</w:t>
      </w:r>
      <w:r>
        <w:rPr>
          <w:szCs w:val="28"/>
        </w:rPr>
        <w:t>建设</w:t>
      </w:r>
      <w:r>
        <w:rPr>
          <w:rFonts w:hint="eastAsia"/>
          <w:szCs w:val="28"/>
        </w:rPr>
        <w:t>用地布局进行调整，使其趋于合理，更能够满足西阳镇未来发展。</w:t>
      </w:r>
      <w:r>
        <w:rPr>
          <w:szCs w:val="28"/>
        </w:rPr>
        <w:t>规划修改后，土地利用空间布局更加合理，土地利用结构得到进一步优化。对建设用地布局进行调整</w:t>
      </w:r>
      <w:r>
        <w:rPr>
          <w:rFonts w:hint="eastAsia"/>
          <w:szCs w:val="28"/>
        </w:rPr>
        <w:t>和</w:t>
      </w:r>
      <w:r>
        <w:rPr>
          <w:szCs w:val="28"/>
        </w:rPr>
        <w:t>在分析土地利用现状的基础上，按照节约集约用地的原则，对</w:t>
      </w:r>
      <w:r>
        <w:rPr>
          <w:rFonts w:hint="eastAsia"/>
          <w:szCs w:val="28"/>
        </w:rPr>
        <w:t>西阳镇</w:t>
      </w:r>
      <w:r>
        <w:rPr>
          <w:szCs w:val="28"/>
        </w:rPr>
        <w:t>土地利用结构和布局进行调整，</w:t>
      </w:r>
      <w:r>
        <w:rPr>
          <w:rFonts w:hint="eastAsia"/>
          <w:szCs w:val="28"/>
        </w:rPr>
        <w:t>提高镇域内土地利用节约集约水平。</w:t>
      </w:r>
    </w:p>
    <w:p>
      <w:pPr>
        <w:pStyle w:val="31"/>
      </w:pPr>
      <w:bookmarkStart w:id="269" w:name="_Toc40116534"/>
      <w:bookmarkStart w:id="270" w:name="_Toc531619365"/>
      <w:r>
        <w:rPr>
          <w:rFonts w:hint="eastAsia"/>
        </w:rPr>
        <w:t>（四）</w:t>
      </w:r>
      <w:r>
        <w:t>压覆矿产资源情况</w:t>
      </w:r>
      <w:bookmarkEnd w:id="269"/>
      <w:bookmarkEnd w:id="270"/>
    </w:p>
    <w:p>
      <w:pPr>
        <w:ind w:firstLine="560"/>
        <w:rPr>
          <w:szCs w:val="28"/>
        </w:rPr>
      </w:pPr>
      <w:r>
        <w:rPr>
          <w:lang w:val="zh-CN"/>
        </w:rPr>
        <w:t>依据</w:t>
      </w:r>
      <w:r>
        <w:rPr>
          <w:rFonts w:hint="eastAsia"/>
          <w:szCs w:val="28"/>
        </w:rPr>
        <w:t>《永吉县矿产资源规划（2016-2020年）》</w:t>
      </w:r>
      <w:r>
        <w:rPr>
          <w:lang w:val="zh-CN"/>
        </w:rPr>
        <w:t>，</w:t>
      </w:r>
      <w:r>
        <w:rPr>
          <w:rFonts w:hint="eastAsia"/>
          <w:lang w:val="zh-CN"/>
        </w:rPr>
        <w:t>通过将修改地块与永吉县矿产资源分布地块进行分析，</w:t>
      </w:r>
      <w:r>
        <w:rPr>
          <w:lang w:val="zh-CN"/>
        </w:rPr>
        <w:t>本次规划修改地块</w:t>
      </w:r>
      <w:r>
        <w:rPr>
          <w:rFonts w:hint="eastAsia"/>
          <w:lang w:val="zh-CN"/>
        </w:rPr>
        <w:t>在矿产资源分布范围以外，</w:t>
      </w:r>
      <w:r>
        <w:rPr>
          <w:lang w:val="zh-CN"/>
        </w:rPr>
        <w:t>不涉及压覆</w:t>
      </w:r>
      <w:r>
        <w:rPr>
          <w:rFonts w:hint="eastAsia"/>
          <w:lang w:val="zh-CN"/>
        </w:rPr>
        <w:t>重要</w:t>
      </w:r>
      <w:r>
        <w:rPr>
          <w:lang w:val="zh-CN"/>
        </w:rPr>
        <w:t>矿产资源</w:t>
      </w:r>
      <w:r>
        <w:rPr>
          <w:rFonts w:hint="eastAsia"/>
          <w:lang w:val="zh-CN"/>
        </w:rPr>
        <w:t>。因此，本次规划修改对</w:t>
      </w:r>
      <w:r>
        <w:rPr>
          <w:rFonts w:hint="eastAsia"/>
          <w:szCs w:val="28"/>
        </w:rPr>
        <w:t>矿产资源无影响。</w:t>
      </w:r>
    </w:p>
    <w:p>
      <w:pPr>
        <w:pStyle w:val="31"/>
      </w:pPr>
      <w:bookmarkStart w:id="271" w:name="_Toc40116535"/>
      <w:bookmarkStart w:id="272" w:name="_Toc531619366"/>
      <w:r>
        <w:t>（</w:t>
      </w:r>
      <w:r>
        <w:rPr>
          <w:rFonts w:hint="eastAsia"/>
        </w:rPr>
        <w:t>五</w:t>
      </w:r>
      <w:r>
        <w:t>）</w:t>
      </w:r>
      <w:r>
        <w:rPr>
          <w:rFonts w:hint="eastAsia"/>
        </w:rPr>
        <w:t>对区域经济社会发展的影响</w:t>
      </w:r>
      <w:bookmarkEnd w:id="271"/>
      <w:bookmarkEnd w:id="272"/>
    </w:p>
    <w:p>
      <w:pPr>
        <w:ind w:firstLine="560"/>
        <w:rPr>
          <w:szCs w:val="28"/>
        </w:rPr>
      </w:pPr>
      <w:r>
        <w:rPr>
          <w:rFonts w:hint="eastAsia"/>
          <w:szCs w:val="28"/>
        </w:rPr>
        <w:t>在</w:t>
      </w:r>
      <w:r>
        <w:rPr>
          <w:szCs w:val="28"/>
        </w:rPr>
        <w:t>满足</w:t>
      </w:r>
      <w:r>
        <w:rPr>
          <w:rFonts w:hint="eastAsia"/>
          <w:szCs w:val="28"/>
        </w:rPr>
        <w:t>西阳镇</w:t>
      </w:r>
      <w:r>
        <w:rPr>
          <w:szCs w:val="28"/>
        </w:rPr>
        <w:t>未来经济社会发展的用地需求</w:t>
      </w:r>
      <w:r>
        <w:rPr>
          <w:rFonts w:hint="eastAsia"/>
          <w:szCs w:val="28"/>
        </w:rPr>
        <w:t>的同时，</w:t>
      </w:r>
      <w:r>
        <w:t>凭借</w:t>
      </w:r>
      <w:r>
        <w:rPr>
          <w:rFonts w:hint="eastAsia"/>
        </w:rPr>
        <w:t>着</w:t>
      </w:r>
      <w:r>
        <w:t>优越的区位条件、良好的自然禀赋和多重叠加的优惠政策，</w:t>
      </w:r>
      <w:r>
        <w:rPr>
          <w:rFonts w:hint="eastAsia"/>
        </w:rPr>
        <w:t>冰雪旅游产业基础日益雄厚，</w:t>
      </w:r>
      <w:r>
        <w:t>产业规模逐年提高，有效促进了经济社会的迅速发展。</w:t>
      </w:r>
      <w:r>
        <w:rPr>
          <w:rFonts w:hint="eastAsia"/>
          <w:szCs w:val="28"/>
        </w:rPr>
        <w:t>进而对镇域的经济社会发展形成强而有力的推动力，对区域经济社会的快速发展起着重要支撑作用</w:t>
      </w:r>
      <w:r>
        <w:rPr>
          <w:szCs w:val="28"/>
        </w:rPr>
        <w:t>。</w:t>
      </w:r>
    </w:p>
    <w:p>
      <w:pPr>
        <w:pStyle w:val="31"/>
      </w:pPr>
      <w:bookmarkStart w:id="273" w:name="_Toc531619367"/>
      <w:bookmarkStart w:id="274" w:name="_Toc40116536"/>
      <w:r>
        <w:t>（</w:t>
      </w:r>
      <w:r>
        <w:rPr>
          <w:rFonts w:hint="eastAsia"/>
        </w:rPr>
        <w:t>六</w:t>
      </w:r>
      <w:r>
        <w:t>）</w:t>
      </w:r>
      <w:r>
        <w:rPr>
          <w:rFonts w:hint="eastAsia"/>
        </w:rPr>
        <w:t>对生态环境的影响</w:t>
      </w:r>
      <w:bookmarkEnd w:id="273"/>
      <w:bookmarkEnd w:id="274"/>
    </w:p>
    <w:p>
      <w:pPr>
        <w:ind w:firstLine="560"/>
        <w:rPr>
          <w:szCs w:val="28"/>
        </w:rPr>
      </w:pPr>
      <w:r>
        <w:rPr>
          <w:szCs w:val="28"/>
        </w:rPr>
        <w:t>保护和改善生态环境是土地利用总体规划原则之一。对土地利用总体规划进行修改而产生的各项资源配置的变化，会对修改区域内的生态环境产生影响。本次规划修改地块不位于生态环境安全控制区</w:t>
      </w:r>
      <w:r>
        <w:rPr>
          <w:rFonts w:hint="eastAsia"/>
          <w:szCs w:val="28"/>
        </w:rPr>
        <w:t>、不涉及生态保护红线。</w:t>
      </w:r>
    </w:p>
    <w:p>
      <w:pPr>
        <w:ind w:firstLine="560"/>
        <w:rPr>
          <w:szCs w:val="28"/>
        </w:rPr>
      </w:pPr>
      <w:r>
        <w:rPr>
          <w:rFonts w:hint="eastAsia"/>
          <w:szCs w:val="28"/>
        </w:rPr>
        <w:t>本次规划修改，调入地块占用耕地</w:t>
      </w:r>
      <w:r>
        <w:rPr>
          <w:szCs w:val="28"/>
        </w:rPr>
        <w:t>4.</w:t>
      </w:r>
      <w:r>
        <w:rPr>
          <w:rFonts w:hint="eastAsia"/>
          <w:szCs w:val="28"/>
        </w:rPr>
        <w:t>60公顷、林地</w:t>
      </w:r>
      <w:r>
        <w:rPr>
          <w:szCs w:val="28"/>
        </w:rPr>
        <w:t>5.7</w:t>
      </w:r>
      <w:r>
        <w:rPr>
          <w:rFonts w:hint="eastAsia"/>
          <w:szCs w:val="28"/>
        </w:rPr>
        <w:t>4公顷，调出地块恢复林地</w:t>
      </w:r>
      <w:r>
        <w:rPr>
          <w:szCs w:val="28"/>
        </w:rPr>
        <w:t>7.1</w:t>
      </w:r>
      <w:r>
        <w:rPr>
          <w:rFonts w:hint="eastAsia"/>
          <w:szCs w:val="28"/>
        </w:rPr>
        <w:t>2公顷，修改前后，生态用地面积减少了</w:t>
      </w:r>
      <w:r>
        <w:rPr>
          <w:szCs w:val="28"/>
        </w:rPr>
        <w:t>3.2</w:t>
      </w:r>
      <w:r>
        <w:rPr>
          <w:rFonts w:hint="eastAsia"/>
          <w:szCs w:val="28"/>
        </w:rPr>
        <w:t>2公顷。在规划实施后期，为维护西阳镇生态安全和可持续发展，保护生态系统的完整性和增强生态服务功能，西阳镇将加大力度进行生态环境保护，采取有效措施提高耕地质量，保证农作物产量不减少，保障西阳镇粮食生产与生态安全双丰收，促进西阳镇的生态环境建设。</w:t>
      </w:r>
    </w:p>
    <w:bookmarkEnd w:id="255"/>
    <w:bookmarkEnd w:id="256"/>
    <w:bookmarkEnd w:id="257"/>
    <w:bookmarkEnd w:id="258"/>
    <w:bookmarkEnd w:id="259"/>
    <w:bookmarkEnd w:id="260"/>
    <w:bookmarkEnd w:id="261"/>
    <w:p>
      <w:pPr>
        <w:pStyle w:val="29"/>
        <w:spacing w:before="190" w:after="190"/>
        <w:ind w:firstLine="0" w:firstLineChars="0"/>
      </w:pPr>
      <w:bookmarkStart w:id="275" w:name="_Toc403330936"/>
      <w:bookmarkStart w:id="276" w:name="_Toc416807097"/>
      <w:bookmarkStart w:id="277" w:name="_Toc40116537"/>
      <w:r>
        <w:rPr>
          <w:rFonts w:hint="eastAsia"/>
        </w:rPr>
        <w:t>七</w:t>
      </w:r>
      <w:r>
        <w:t>、规划修改后实施保障措施</w:t>
      </w:r>
      <w:bookmarkEnd w:id="275"/>
      <w:bookmarkEnd w:id="276"/>
      <w:bookmarkEnd w:id="277"/>
    </w:p>
    <w:p>
      <w:pPr>
        <w:ind w:firstLine="560"/>
      </w:pPr>
      <w:r>
        <w:t>为了使土地利用总体规划顺利实施，既充分发挥建设用地对区域土地利用的积极作用，又尽量降低新增建设用地对区域土地利用的负面影响，</w:t>
      </w:r>
      <w:r>
        <w:rPr>
          <w:rFonts w:hint="eastAsia"/>
        </w:rPr>
        <w:t>应</w:t>
      </w:r>
      <w:r>
        <w:t>采取以下措施保障规划方案的实施：</w:t>
      </w:r>
    </w:p>
    <w:p>
      <w:pPr>
        <w:pStyle w:val="31"/>
      </w:pPr>
      <w:bookmarkStart w:id="278" w:name="_Toc531619369"/>
      <w:bookmarkStart w:id="279" w:name="_Toc40116538"/>
      <w:r>
        <w:rPr>
          <w:rFonts w:hint="eastAsia"/>
        </w:rPr>
        <w:t>（一）强化用地管制，严格保护耕地和永久基本农田</w:t>
      </w:r>
      <w:bookmarkEnd w:id="278"/>
      <w:bookmarkEnd w:id="279"/>
    </w:p>
    <w:p>
      <w:pPr>
        <w:ind w:firstLine="560"/>
      </w:pPr>
      <w:r>
        <w:rPr>
          <w:rFonts w:hint="eastAsia"/>
        </w:rPr>
        <w:t>落实《中华人民共和国土地管理法》、《基本农田保护条例》，严厉打击各种土地违法违纪的行为。严格土地用途管制，严格控制农地转用，合理安排各项用地，进一步强化耕地保护和永久基本农田保护，严防死守耕地保护红线，把最严格的耕地保护制度落实到实处。寻求既保护耕地和永久基本农田，又保障非农建设用地的合理需求，提高土地资源配置效率，实现土地资源可持续利用的目的。本次规划修改涉及耕地的调整，规划修改为耕地的地块要加强用途管制，切实保护好耕地。</w:t>
      </w:r>
    </w:p>
    <w:p>
      <w:pPr>
        <w:pStyle w:val="31"/>
      </w:pPr>
      <w:bookmarkStart w:id="280" w:name="_Toc531619370"/>
      <w:bookmarkStart w:id="281" w:name="_Toc40116539"/>
      <w:r>
        <w:rPr>
          <w:rFonts w:hint="eastAsia"/>
        </w:rPr>
        <w:t>（二）拓展建设用地空间，促进土地节约集约利用</w:t>
      </w:r>
      <w:bookmarkEnd w:id="280"/>
      <w:bookmarkEnd w:id="281"/>
    </w:p>
    <w:p>
      <w:pPr>
        <w:ind w:firstLine="560"/>
      </w:pPr>
      <w:bookmarkStart w:id="282" w:name="_Toc376014962"/>
      <w:bookmarkStart w:id="283" w:name="_Toc376015061"/>
      <w:r>
        <w:rPr>
          <w:rFonts w:hint="eastAsia"/>
        </w:rPr>
        <w:t>规划实施后期</w:t>
      </w:r>
      <w:r>
        <w:t>，</w:t>
      </w:r>
      <w:r>
        <w:rPr>
          <w:rFonts w:hint="eastAsia"/>
        </w:rPr>
        <w:t>西阳镇坚持最严格的土地管理制度和节约集约用地制度，优化配置增量，深入挖掘盘活存量建设用地。同时，加大农村建设用地整理力度，推进城乡建设用地增减挂钩工作，对农村居民点的数量、布局和内部结构进行综合调整。积极制定配套优惠政策和保障措施，引导农民集中居住，优化城乡土地利用结构和居住环境，痛死，对废弃的工矿用地进行及时复垦、复绿或者复耕工作，有效拓展建设空间，推进城镇化发展进程</w:t>
      </w:r>
      <w:r>
        <w:t>。</w:t>
      </w:r>
    </w:p>
    <w:bookmarkEnd w:id="282"/>
    <w:bookmarkEnd w:id="283"/>
    <w:p>
      <w:pPr>
        <w:pStyle w:val="31"/>
      </w:pPr>
      <w:bookmarkStart w:id="284" w:name="_Toc108745518"/>
      <w:bookmarkStart w:id="285" w:name="_Toc109115067"/>
      <w:bookmarkStart w:id="286" w:name="_Toc152651123"/>
      <w:bookmarkStart w:id="287" w:name="_Toc156877583"/>
      <w:bookmarkStart w:id="288" w:name="_Toc156877845"/>
      <w:bookmarkStart w:id="289" w:name="_Toc156878122"/>
      <w:bookmarkStart w:id="290" w:name="_Toc162064426"/>
      <w:bookmarkStart w:id="291" w:name="_Toc531619371"/>
      <w:bookmarkStart w:id="292" w:name="_Toc40116540"/>
      <w:r>
        <w:rPr>
          <w:rFonts w:hint="eastAsia"/>
        </w:rPr>
        <w:t>（三）</w:t>
      </w:r>
      <w:bookmarkEnd w:id="284"/>
      <w:bookmarkEnd w:id="285"/>
      <w:bookmarkEnd w:id="286"/>
      <w:bookmarkEnd w:id="287"/>
      <w:bookmarkEnd w:id="288"/>
      <w:bookmarkEnd w:id="289"/>
      <w:bookmarkEnd w:id="290"/>
      <w:bookmarkEnd w:id="291"/>
      <w:r>
        <w:rPr>
          <w:rFonts w:hint="eastAsia"/>
        </w:rPr>
        <w:t>加强生态环境建设，坚守生态保护红线</w:t>
      </w:r>
      <w:bookmarkEnd w:id="292"/>
    </w:p>
    <w:p>
      <w:pPr>
        <w:ind w:firstLine="560"/>
      </w:pPr>
      <w:r>
        <w:rPr>
          <w:rFonts w:hint="eastAsia"/>
        </w:rPr>
        <w:t>正确处理好土地开发建设与生态环境保护的关系，坚持“在保护中开发、在开发中保护”的原则。加强生态保护管理体系的建立，成立工作小组，整合社会资源，在保证耕地保护任务顺利完成的前提下，适度开展退耕还林、退耕还草等工作。加强生态环境保护宣传，提高群众的生态保护法律意识，树立正确的生态保护价值观。加大农业科技资金投入，促进农业集约化生产以增加产出效益，进而增加农民收入，降低农民乱开发、乱开垦的自发性。</w:t>
      </w:r>
    </w:p>
    <w:p>
      <w:pPr>
        <w:pStyle w:val="31"/>
      </w:pPr>
      <w:bookmarkStart w:id="293" w:name="_Toc476768089"/>
      <w:bookmarkStart w:id="294" w:name="_Toc470097945"/>
      <w:bookmarkStart w:id="295" w:name="_Toc470091220"/>
      <w:bookmarkStart w:id="296" w:name="_Toc470091514"/>
      <w:bookmarkStart w:id="297" w:name="_Toc520289637"/>
      <w:bookmarkStart w:id="298" w:name="_Toc524962453"/>
      <w:bookmarkStart w:id="299" w:name="_Toc531619373"/>
      <w:bookmarkStart w:id="300" w:name="_Toc40116541"/>
      <w:r>
        <w:rPr>
          <w:rFonts w:hint="eastAsia"/>
        </w:rPr>
        <w:t>（四）</w:t>
      </w:r>
      <w:bookmarkEnd w:id="293"/>
      <w:bookmarkEnd w:id="294"/>
      <w:bookmarkEnd w:id="295"/>
      <w:bookmarkEnd w:id="296"/>
      <w:bookmarkEnd w:id="297"/>
      <w:r>
        <w:rPr>
          <w:rFonts w:hint="eastAsia"/>
        </w:rPr>
        <w:t>加强公示宣传，提高修改方案的科学性和可操作性</w:t>
      </w:r>
      <w:bookmarkEnd w:id="298"/>
      <w:bookmarkEnd w:id="299"/>
      <w:bookmarkEnd w:id="300"/>
    </w:p>
    <w:p>
      <w:pPr>
        <w:ind w:firstLine="560"/>
        <w:rPr>
          <w:rFonts w:cs="Times New Roman"/>
          <w:szCs w:val="28"/>
        </w:rPr>
        <w:sectPr>
          <w:headerReference r:id="rId25" w:type="first"/>
          <w:footerReference r:id="rId27" w:type="first"/>
          <w:headerReference r:id="rId24" w:type="even"/>
          <w:footerReference r:id="rId26" w:type="even"/>
          <w:pgSz w:w="11906" w:h="16838"/>
          <w:pgMar w:top="1440" w:right="1800" w:bottom="1440" w:left="1800" w:header="851" w:footer="992" w:gutter="0"/>
          <w:cols w:space="425" w:num="1"/>
          <w:docGrid w:type="lines" w:linePitch="381" w:charSpace="0"/>
        </w:sectPr>
      </w:pPr>
      <w:r>
        <w:rPr>
          <w:rFonts w:hint="eastAsia"/>
        </w:rPr>
        <w:t>《方案》经批准后要进行公示，提高公众对规划实施的认识，取得公众的理解和支持，为实施规划布局修改方案，落实有关措施奠定广泛的公众基础。充分利用各种媒体，对规划主要内容进行广泛宣传，提高全社会依法用地意识，增强对科学用地、节约用地、保护资源重要性的认识，促进公众监督规划的实施。</w:t>
      </w:r>
    </w:p>
    <w:p>
      <w:pPr>
        <w:pStyle w:val="29"/>
        <w:spacing w:before="156" w:after="156"/>
        <w:ind w:firstLine="0" w:firstLineChars="0"/>
      </w:pPr>
      <w:bookmarkStart w:id="301" w:name="_Toc406932681"/>
      <w:bookmarkStart w:id="302" w:name="_Toc416807104"/>
      <w:bookmarkStart w:id="303" w:name="_Toc40116542"/>
      <w:r>
        <w:t>附表</w:t>
      </w:r>
      <w:bookmarkEnd w:id="301"/>
      <w:bookmarkEnd w:id="302"/>
      <w:r>
        <w:rPr>
          <w:rFonts w:hint="eastAsia"/>
        </w:rPr>
        <w:t>：</w:t>
      </w:r>
      <w:bookmarkEnd w:id="303"/>
    </w:p>
    <w:p>
      <w:pPr>
        <w:pStyle w:val="31"/>
        <w:jc w:val="center"/>
      </w:pPr>
      <w:bookmarkStart w:id="304" w:name="_Toc433892503"/>
      <w:bookmarkStart w:id="305" w:name="_Toc40116543"/>
      <w:bookmarkStart w:id="306" w:name="_Toc407780915"/>
      <w:r>
        <w:rPr>
          <w:rFonts w:hint="eastAsia"/>
        </w:rPr>
        <w:t>附表1  西阳镇土地利用总体规划（2006-2020年）修改调入地块情况</w:t>
      </w:r>
      <w:bookmarkEnd w:id="304"/>
      <w:bookmarkEnd w:id="305"/>
    </w:p>
    <w:p>
      <w:pPr>
        <w:wordWrap w:val="0"/>
        <w:spacing w:line="240" w:lineRule="auto"/>
        <w:ind w:firstLine="0" w:firstLineChars="0"/>
        <w:jc w:val="right"/>
        <w:rPr>
          <w:sz w:val="21"/>
        </w:rPr>
      </w:pPr>
      <w:r>
        <w:rPr>
          <w:rFonts w:hint="eastAsia"/>
          <w:sz w:val="21"/>
        </w:rPr>
        <w:t xml:space="preserve">     </w:t>
      </w:r>
      <w:r>
        <w:rPr>
          <w:sz w:val="21"/>
        </w:rPr>
        <w:t>单位：公顷</w:t>
      </w:r>
    </w:p>
    <w:tbl>
      <w:tblPr>
        <w:tblStyle w:val="17"/>
        <w:tblW w:w="5000"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062"/>
        <w:gridCol w:w="1062"/>
        <w:gridCol w:w="1063"/>
        <w:gridCol w:w="1032"/>
        <w:gridCol w:w="992"/>
        <w:gridCol w:w="1134"/>
        <w:gridCol w:w="1366"/>
        <w:gridCol w:w="2234"/>
        <w:gridCol w:w="1996"/>
        <w:gridCol w:w="1117"/>
        <w:gridCol w:w="111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5" w:type="pct"/>
            <w:vMerge w:val="restart"/>
            <w:shd w:val="clear" w:color="auto" w:fill="auto"/>
            <w:noWrap/>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编号</w:t>
            </w:r>
          </w:p>
        </w:tc>
        <w:tc>
          <w:tcPr>
            <w:tcW w:w="375" w:type="pct"/>
            <w:vMerge w:val="restart"/>
            <w:shd w:val="clear" w:color="auto" w:fill="auto"/>
            <w:noWrap/>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所在位置</w:t>
            </w:r>
          </w:p>
        </w:tc>
        <w:tc>
          <w:tcPr>
            <w:tcW w:w="375" w:type="pct"/>
            <w:vMerge w:val="restart"/>
            <w:shd w:val="clear" w:color="auto" w:fill="auto"/>
            <w:noWrap/>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地块面积</w:t>
            </w:r>
          </w:p>
        </w:tc>
        <w:tc>
          <w:tcPr>
            <w:tcW w:w="1596" w:type="pct"/>
            <w:gridSpan w:val="4"/>
            <w:shd w:val="clear" w:color="auto" w:fill="auto"/>
            <w:noWrap/>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现状地类</w:t>
            </w:r>
          </w:p>
        </w:tc>
        <w:tc>
          <w:tcPr>
            <w:tcW w:w="788" w:type="pct"/>
            <w:vMerge w:val="restart"/>
            <w:shd w:val="clear" w:color="auto" w:fill="auto"/>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修改前土地规划地类</w:t>
            </w:r>
          </w:p>
        </w:tc>
        <w:tc>
          <w:tcPr>
            <w:tcW w:w="704" w:type="pct"/>
            <w:vMerge w:val="restart"/>
            <w:shd w:val="clear" w:color="auto" w:fill="auto"/>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修改后土地规划地类</w:t>
            </w:r>
          </w:p>
        </w:tc>
        <w:tc>
          <w:tcPr>
            <w:tcW w:w="394" w:type="pct"/>
            <w:vMerge w:val="restart"/>
            <w:shd w:val="clear" w:color="auto" w:fill="auto"/>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修改前建设用地管制分区</w:t>
            </w:r>
          </w:p>
        </w:tc>
        <w:tc>
          <w:tcPr>
            <w:tcW w:w="394" w:type="pct"/>
            <w:vMerge w:val="restart"/>
            <w:shd w:val="clear" w:color="auto" w:fill="auto"/>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修改后建设用地管制分区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5" w:type="pct"/>
            <w:vMerge w:val="continue"/>
            <w:vAlign w:val="center"/>
          </w:tcPr>
          <w:p>
            <w:pPr>
              <w:widowControl/>
              <w:spacing w:line="240" w:lineRule="auto"/>
              <w:ind w:firstLine="0" w:firstLineChars="0"/>
              <w:jc w:val="center"/>
              <w:rPr>
                <w:rFonts w:ascii="仿宋_GB2312" w:hAnsi="宋体" w:cs="宋体"/>
                <w:b/>
                <w:bCs/>
                <w:color w:val="000000"/>
                <w:kern w:val="0"/>
                <w:sz w:val="18"/>
                <w:szCs w:val="18"/>
              </w:rPr>
            </w:pPr>
          </w:p>
        </w:tc>
        <w:tc>
          <w:tcPr>
            <w:tcW w:w="375" w:type="pct"/>
            <w:vMerge w:val="continue"/>
            <w:vAlign w:val="center"/>
          </w:tcPr>
          <w:p>
            <w:pPr>
              <w:widowControl/>
              <w:spacing w:line="240" w:lineRule="auto"/>
              <w:ind w:firstLine="0" w:firstLineChars="0"/>
              <w:jc w:val="center"/>
              <w:rPr>
                <w:rFonts w:ascii="仿宋_GB2312" w:hAnsi="宋体" w:cs="宋体"/>
                <w:b/>
                <w:bCs/>
                <w:color w:val="000000"/>
                <w:kern w:val="0"/>
                <w:sz w:val="18"/>
                <w:szCs w:val="18"/>
              </w:rPr>
            </w:pPr>
          </w:p>
        </w:tc>
        <w:tc>
          <w:tcPr>
            <w:tcW w:w="375" w:type="pct"/>
            <w:vMerge w:val="continue"/>
            <w:vAlign w:val="center"/>
          </w:tcPr>
          <w:p>
            <w:pPr>
              <w:widowControl/>
              <w:spacing w:line="240" w:lineRule="auto"/>
              <w:ind w:firstLine="0" w:firstLineChars="0"/>
              <w:jc w:val="center"/>
              <w:rPr>
                <w:rFonts w:ascii="仿宋_GB2312" w:hAnsi="宋体" w:cs="宋体"/>
                <w:b/>
                <w:bCs/>
                <w:color w:val="000000"/>
                <w:kern w:val="0"/>
                <w:sz w:val="18"/>
                <w:szCs w:val="18"/>
              </w:rPr>
            </w:pPr>
          </w:p>
        </w:tc>
        <w:tc>
          <w:tcPr>
            <w:tcW w:w="1114" w:type="pct"/>
            <w:gridSpan w:val="3"/>
            <w:shd w:val="clear" w:color="auto" w:fill="auto"/>
            <w:noWrap/>
            <w:vAlign w:val="center"/>
          </w:tcPr>
          <w:p>
            <w:pPr>
              <w:widowControl/>
              <w:spacing w:line="240" w:lineRule="auto"/>
              <w:ind w:firstLine="0" w:firstLineChars="0"/>
              <w:jc w:val="center"/>
              <w:rPr>
                <w:rFonts w:ascii="仿宋_GB2312" w:hAnsi="宋体" w:cs="宋体"/>
                <w:b/>
                <w:bCs/>
                <w:color w:val="000000"/>
                <w:kern w:val="0"/>
                <w:sz w:val="20"/>
                <w:szCs w:val="20"/>
              </w:rPr>
            </w:pPr>
            <w:r>
              <w:rPr>
                <w:rFonts w:hint="eastAsia" w:ascii="仿宋_GB2312" w:hAnsi="宋体" w:cs="宋体"/>
                <w:b/>
                <w:bCs/>
                <w:color w:val="000000"/>
                <w:kern w:val="0"/>
                <w:sz w:val="20"/>
                <w:szCs w:val="20"/>
              </w:rPr>
              <w:t>农用地</w:t>
            </w:r>
          </w:p>
        </w:tc>
        <w:tc>
          <w:tcPr>
            <w:tcW w:w="482" w:type="pct"/>
            <w:shd w:val="clear" w:color="auto" w:fill="auto"/>
            <w:noWrap/>
            <w:vAlign w:val="center"/>
          </w:tcPr>
          <w:p>
            <w:pPr>
              <w:widowControl/>
              <w:spacing w:line="240" w:lineRule="auto"/>
              <w:ind w:firstLine="0" w:firstLineChars="0"/>
              <w:jc w:val="center"/>
              <w:rPr>
                <w:rFonts w:ascii="仿宋_GB2312" w:hAnsi="宋体" w:cs="宋体"/>
                <w:b/>
                <w:bCs/>
                <w:color w:val="000000"/>
                <w:kern w:val="0"/>
                <w:sz w:val="20"/>
                <w:szCs w:val="20"/>
              </w:rPr>
            </w:pPr>
            <w:r>
              <w:rPr>
                <w:rFonts w:hint="eastAsia" w:ascii="仿宋_GB2312" w:hAnsi="宋体" w:cs="宋体"/>
                <w:b/>
                <w:bCs/>
                <w:color w:val="000000"/>
                <w:kern w:val="0"/>
                <w:sz w:val="20"/>
                <w:szCs w:val="20"/>
              </w:rPr>
              <w:t>建设用地</w:t>
            </w:r>
          </w:p>
        </w:tc>
        <w:tc>
          <w:tcPr>
            <w:tcW w:w="788" w:type="pct"/>
            <w:vMerge w:val="continue"/>
            <w:vAlign w:val="center"/>
          </w:tcPr>
          <w:p>
            <w:pPr>
              <w:widowControl/>
              <w:spacing w:line="240" w:lineRule="auto"/>
              <w:ind w:firstLine="0" w:firstLineChars="0"/>
              <w:jc w:val="center"/>
              <w:rPr>
                <w:rFonts w:ascii="仿宋_GB2312" w:hAnsi="宋体" w:cs="宋体"/>
                <w:b/>
                <w:bCs/>
                <w:color w:val="000000"/>
                <w:kern w:val="0"/>
                <w:sz w:val="18"/>
                <w:szCs w:val="18"/>
              </w:rPr>
            </w:pPr>
          </w:p>
        </w:tc>
        <w:tc>
          <w:tcPr>
            <w:tcW w:w="704" w:type="pct"/>
            <w:vMerge w:val="continue"/>
            <w:vAlign w:val="center"/>
          </w:tcPr>
          <w:p>
            <w:pPr>
              <w:widowControl/>
              <w:spacing w:line="240" w:lineRule="auto"/>
              <w:ind w:firstLine="0" w:firstLineChars="0"/>
              <w:jc w:val="center"/>
              <w:rPr>
                <w:rFonts w:ascii="仿宋_GB2312" w:hAnsi="宋体" w:cs="宋体"/>
                <w:b/>
                <w:bCs/>
                <w:color w:val="000000"/>
                <w:kern w:val="0"/>
                <w:sz w:val="18"/>
                <w:szCs w:val="18"/>
              </w:rPr>
            </w:pPr>
          </w:p>
        </w:tc>
        <w:tc>
          <w:tcPr>
            <w:tcW w:w="394" w:type="pct"/>
            <w:vMerge w:val="continue"/>
            <w:vAlign w:val="center"/>
          </w:tcPr>
          <w:p>
            <w:pPr>
              <w:widowControl/>
              <w:spacing w:line="240" w:lineRule="auto"/>
              <w:ind w:firstLine="0" w:firstLineChars="0"/>
              <w:jc w:val="center"/>
              <w:rPr>
                <w:rFonts w:ascii="仿宋_GB2312" w:hAnsi="宋体" w:cs="宋体"/>
                <w:b/>
                <w:bCs/>
                <w:color w:val="000000"/>
                <w:kern w:val="0"/>
                <w:sz w:val="18"/>
                <w:szCs w:val="18"/>
              </w:rPr>
            </w:pPr>
          </w:p>
        </w:tc>
        <w:tc>
          <w:tcPr>
            <w:tcW w:w="394" w:type="pct"/>
            <w:vMerge w:val="continue"/>
            <w:vAlign w:val="center"/>
          </w:tcPr>
          <w:p>
            <w:pPr>
              <w:widowControl/>
              <w:spacing w:line="240" w:lineRule="auto"/>
              <w:ind w:firstLine="0" w:firstLineChars="0"/>
              <w:jc w:val="center"/>
              <w:rPr>
                <w:rFonts w:ascii="仿宋_GB2312" w:hAnsi="宋体" w:cs="宋体"/>
                <w:b/>
                <w:bCs/>
                <w:color w:val="000000"/>
                <w:kern w:val="0"/>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5" w:type="pct"/>
            <w:vMerge w:val="continue"/>
            <w:vAlign w:val="center"/>
          </w:tcPr>
          <w:p>
            <w:pPr>
              <w:widowControl/>
              <w:spacing w:line="240" w:lineRule="auto"/>
              <w:ind w:firstLine="0" w:firstLineChars="0"/>
              <w:jc w:val="center"/>
              <w:rPr>
                <w:rFonts w:ascii="仿宋_GB2312" w:hAnsi="宋体" w:cs="宋体"/>
                <w:b/>
                <w:bCs/>
                <w:color w:val="000000"/>
                <w:kern w:val="0"/>
                <w:sz w:val="18"/>
                <w:szCs w:val="18"/>
              </w:rPr>
            </w:pPr>
          </w:p>
        </w:tc>
        <w:tc>
          <w:tcPr>
            <w:tcW w:w="375" w:type="pct"/>
            <w:vMerge w:val="continue"/>
            <w:vAlign w:val="center"/>
          </w:tcPr>
          <w:p>
            <w:pPr>
              <w:widowControl/>
              <w:spacing w:line="240" w:lineRule="auto"/>
              <w:ind w:firstLine="0" w:firstLineChars="0"/>
              <w:jc w:val="center"/>
              <w:rPr>
                <w:rFonts w:ascii="仿宋_GB2312" w:hAnsi="宋体" w:cs="宋体"/>
                <w:b/>
                <w:bCs/>
                <w:color w:val="000000"/>
                <w:kern w:val="0"/>
                <w:sz w:val="18"/>
                <w:szCs w:val="18"/>
              </w:rPr>
            </w:pPr>
          </w:p>
        </w:tc>
        <w:tc>
          <w:tcPr>
            <w:tcW w:w="375" w:type="pct"/>
            <w:vMerge w:val="continue"/>
            <w:vAlign w:val="center"/>
          </w:tcPr>
          <w:p>
            <w:pPr>
              <w:widowControl/>
              <w:spacing w:line="240" w:lineRule="auto"/>
              <w:ind w:firstLine="0" w:firstLineChars="0"/>
              <w:jc w:val="center"/>
              <w:rPr>
                <w:rFonts w:ascii="仿宋_GB2312" w:hAnsi="宋体" w:cs="宋体"/>
                <w:b/>
                <w:bCs/>
                <w:color w:val="000000"/>
                <w:kern w:val="0"/>
                <w:sz w:val="18"/>
                <w:szCs w:val="18"/>
              </w:rPr>
            </w:pPr>
          </w:p>
        </w:tc>
        <w:tc>
          <w:tcPr>
            <w:tcW w:w="364" w:type="pct"/>
            <w:shd w:val="clear" w:color="auto" w:fill="auto"/>
            <w:noWrap/>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耕地</w:t>
            </w:r>
          </w:p>
        </w:tc>
        <w:tc>
          <w:tcPr>
            <w:tcW w:w="350" w:type="pct"/>
            <w:shd w:val="clear" w:color="auto" w:fill="auto"/>
            <w:noWrap/>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林地</w:t>
            </w:r>
          </w:p>
        </w:tc>
        <w:tc>
          <w:tcPr>
            <w:tcW w:w="400" w:type="pct"/>
            <w:shd w:val="clear" w:color="auto" w:fill="auto"/>
            <w:noWrap/>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其他农用地</w:t>
            </w:r>
          </w:p>
        </w:tc>
        <w:tc>
          <w:tcPr>
            <w:tcW w:w="482" w:type="pct"/>
            <w:shd w:val="clear" w:color="auto" w:fill="auto"/>
            <w:noWrap/>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城乡建设用地</w:t>
            </w:r>
          </w:p>
        </w:tc>
        <w:tc>
          <w:tcPr>
            <w:tcW w:w="788" w:type="pct"/>
            <w:vMerge w:val="continue"/>
            <w:vAlign w:val="center"/>
          </w:tcPr>
          <w:p>
            <w:pPr>
              <w:widowControl/>
              <w:spacing w:line="240" w:lineRule="auto"/>
              <w:ind w:firstLine="0" w:firstLineChars="0"/>
              <w:jc w:val="center"/>
              <w:rPr>
                <w:rFonts w:ascii="仿宋_GB2312" w:hAnsi="宋体" w:cs="宋体"/>
                <w:b/>
                <w:bCs/>
                <w:color w:val="000000"/>
                <w:kern w:val="0"/>
                <w:sz w:val="18"/>
                <w:szCs w:val="18"/>
              </w:rPr>
            </w:pPr>
          </w:p>
        </w:tc>
        <w:tc>
          <w:tcPr>
            <w:tcW w:w="704" w:type="pct"/>
            <w:vMerge w:val="continue"/>
            <w:vAlign w:val="center"/>
          </w:tcPr>
          <w:p>
            <w:pPr>
              <w:widowControl/>
              <w:spacing w:line="240" w:lineRule="auto"/>
              <w:ind w:firstLine="0" w:firstLineChars="0"/>
              <w:jc w:val="center"/>
              <w:rPr>
                <w:rFonts w:ascii="仿宋_GB2312" w:hAnsi="宋体" w:cs="宋体"/>
                <w:b/>
                <w:bCs/>
                <w:color w:val="000000"/>
                <w:kern w:val="0"/>
                <w:sz w:val="18"/>
                <w:szCs w:val="18"/>
              </w:rPr>
            </w:pPr>
          </w:p>
        </w:tc>
        <w:tc>
          <w:tcPr>
            <w:tcW w:w="394" w:type="pct"/>
            <w:vMerge w:val="continue"/>
            <w:vAlign w:val="center"/>
          </w:tcPr>
          <w:p>
            <w:pPr>
              <w:widowControl/>
              <w:spacing w:line="240" w:lineRule="auto"/>
              <w:ind w:firstLine="0" w:firstLineChars="0"/>
              <w:jc w:val="center"/>
              <w:rPr>
                <w:rFonts w:ascii="仿宋_GB2312" w:hAnsi="宋体" w:cs="宋体"/>
                <w:b/>
                <w:bCs/>
                <w:color w:val="000000"/>
                <w:kern w:val="0"/>
                <w:sz w:val="18"/>
                <w:szCs w:val="18"/>
              </w:rPr>
            </w:pPr>
          </w:p>
        </w:tc>
        <w:tc>
          <w:tcPr>
            <w:tcW w:w="394" w:type="pct"/>
            <w:vMerge w:val="continue"/>
            <w:vAlign w:val="center"/>
          </w:tcPr>
          <w:p>
            <w:pPr>
              <w:widowControl/>
              <w:spacing w:line="240" w:lineRule="auto"/>
              <w:ind w:firstLine="0" w:firstLineChars="0"/>
              <w:jc w:val="center"/>
              <w:rPr>
                <w:rFonts w:ascii="仿宋_GB2312" w:hAnsi="宋体" w:cs="宋体"/>
                <w:b/>
                <w:bCs/>
                <w:color w:val="000000"/>
                <w:kern w:val="0"/>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5"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TRXZ01</w:t>
            </w:r>
          </w:p>
        </w:tc>
        <w:tc>
          <w:tcPr>
            <w:tcW w:w="375"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撮落村</w:t>
            </w:r>
          </w:p>
        </w:tc>
        <w:tc>
          <w:tcPr>
            <w:tcW w:w="375"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3.0007</w:t>
            </w:r>
          </w:p>
        </w:tc>
        <w:tc>
          <w:tcPr>
            <w:tcW w:w="364"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0.1054</w:t>
            </w:r>
          </w:p>
        </w:tc>
        <w:tc>
          <w:tcPr>
            <w:tcW w:w="350"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1.7303</w:t>
            </w:r>
          </w:p>
        </w:tc>
        <w:tc>
          <w:tcPr>
            <w:tcW w:w="400"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0.0308</w:t>
            </w:r>
          </w:p>
        </w:tc>
        <w:tc>
          <w:tcPr>
            <w:tcW w:w="482"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1.1342</w:t>
            </w:r>
          </w:p>
        </w:tc>
        <w:tc>
          <w:tcPr>
            <w:tcW w:w="788"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耕地、林地、其他农用地</w:t>
            </w:r>
          </w:p>
        </w:tc>
        <w:tc>
          <w:tcPr>
            <w:tcW w:w="704"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其他独立建设用地</w:t>
            </w:r>
          </w:p>
        </w:tc>
        <w:tc>
          <w:tcPr>
            <w:tcW w:w="394"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限制建设区</w:t>
            </w:r>
          </w:p>
        </w:tc>
        <w:tc>
          <w:tcPr>
            <w:tcW w:w="394"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允许建设区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5"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TRXZ02</w:t>
            </w:r>
          </w:p>
        </w:tc>
        <w:tc>
          <w:tcPr>
            <w:tcW w:w="375"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撮落村</w:t>
            </w:r>
          </w:p>
        </w:tc>
        <w:tc>
          <w:tcPr>
            <w:tcW w:w="375"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2.545</w:t>
            </w:r>
            <w:r>
              <w:rPr>
                <w:rFonts w:hint="eastAsia" w:eastAsia="宋体" w:cs="Times New Roman"/>
                <w:color w:val="000000"/>
                <w:kern w:val="0"/>
                <w:sz w:val="18"/>
                <w:szCs w:val="18"/>
              </w:rPr>
              <w:t>3</w:t>
            </w:r>
          </w:p>
        </w:tc>
        <w:tc>
          <w:tcPr>
            <w:tcW w:w="364"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0.0000</w:t>
            </w:r>
          </w:p>
        </w:tc>
        <w:tc>
          <w:tcPr>
            <w:tcW w:w="350"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2.476</w:t>
            </w:r>
            <w:r>
              <w:rPr>
                <w:rFonts w:hint="eastAsia" w:eastAsia="宋体" w:cs="Times New Roman"/>
                <w:color w:val="000000"/>
                <w:kern w:val="0"/>
                <w:sz w:val="18"/>
                <w:szCs w:val="18"/>
              </w:rPr>
              <w:t>1</w:t>
            </w:r>
          </w:p>
        </w:tc>
        <w:tc>
          <w:tcPr>
            <w:tcW w:w="400"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0.0000</w:t>
            </w:r>
          </w:p>
        </w:tc>
        <w:tc>
          <w:tcPr>
            <w:tcW w:w="482"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0.0692</w:t>
            </w:r>
          </w:p>
        </w:tc>
        <w:tc>
          <w:tcPr>
            <w:tcW w:w="788"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耕地、林地</w:t>
            </w:r>
          </w:p>
        </w:tc>
        <w:tc>
          <w:tcPr>
            <w:tcW w:w="704"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其他独立建设用地</w:t>
            </w:r>
          </w:p>
        </w:tc>
        <w:tc>
          <w:tcPr>
            <w:tcW w:w="394"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限制建设区</w:t>
            </w:r>
          </w:p>
        </w:tc>
        <w:tc>
          <w:tcPr>
            <w:tcW w:w="394"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允许建设区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5"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TRXZ03</w:t>
            </w:r>
          </w:p>
        </w:tc>
        <w:tc>
          <w:tcPr>
            <w:tcW w:w="375"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东响水村</w:t>
            </w:r>
          </w:p>
        </w:tc>
        <w:tc>
          <w:tcPr>
            <w:tcW w:w="375"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0.0017</w:t>
            </w:r>
          </w:p>
        </w:tc>
        <w:tc>
          <w:tcPr>
            <w:tcW w:w="364"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0.0000</w:t>
            </w:r>
          </w:p>
        </w:tc>
        <w:tc>
          <w:tcPr>
            <w:tcW w:w="350"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0.0017</w:t>
            </w:r>
          </w:p>
        </w:tc>
        <w:tc>
          <w:tcPr>
            <w:tcW w:w="400"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0.0000</w:t>
            </w:r>
          </w:p>
        </w:tc>
        <w:tc>
          <w:tcPr>
            <w:tcW w:w="482"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0.0000</w:t>
            </w:r>
          </w:p>
        </w:tc>
        <w:tc>
          <w:tcPr>
            <w:tcW w:w="788"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林地</w:t>
            </w:r>
          </w:p>
        </w:tc>
        <w:tc>
          <w:tcPr>
            <w:tcW w:w="704"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其他独立建设用地</w:t>
            </w:r>
          </w:p>
        </w:tc>
        <w:tc>
          <w:tcPr>
            <w:tcW w:w="394"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限制建设区</w:t>
            </w:r>
          </w:p>
        </w:tc>
        <w:tc>
          <w:tcPr>
            <w:tcW w:w="394"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允许建设区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5"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TRXZ04</w:t>
            </w:r>
          </w:p>
        </w:tc>
        <w:tc>
          <w:tcPr>
            <w:tcW w:w="375"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东响水村</w:t>
            </w:r>
          </w:p>
        </w:tc>
        <w:tc>
          <w:tcPr>
            <w:tcW w:w="375"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0.5362</w:t>
            </w:r>
          </w:p>
        </w:tc>
        <w:tc>
          <w:tcPr>
            <w:tcW w:w="364"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0.0000</w:t>
            </w:r>
          </w:p>
        </w:tc>
        <w:tc>
          <w:tcPr>
            <w:tcW w:w="350"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0.5362</w:t>
            </w:r>
          </w:p>
        </w:tc>
        <w:tc>
          <w:tcPr>
            <w:tcW w:w="400"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0.0000</w:t>
            </w:r>
          </w:p>
        </w:tc>
        <w:tc>
          <w:tcPr>
            <w:tcW w:w="482"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0.0000</w:t>
            </w:r>
          </w:p>
        </w:tc>
        <w:tc>
          <w:tcPr>
            <w:tcW w:w="788"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林地</w:t>
            </w:r>
          </w:p>
        </w:tc>
        <w:tc>
          <w:tcPr>
            <w:tcW w:w="704"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其他独立建设用地</w:t>
            </w:r>
          </w:p>
        </w:tc>
        <w:tc>
          <w:tcPr>
            <w:tcW w:w="394"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限制建设区</w:t>
            </w:r>
          </w:p>
        </w:tc>
        <w:tc>
          <w:tcPr>
            <w:tcW w:w="394"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允许建设区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5"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TRXZ05</w:t>
            </w:r>
          </w:p>
        </w:tc>
        <w:tc>
          <w:tcPr>
            <w:tcW w:w="375"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东响水村</w:t>
            </w:r>
          </w:p>
        </w:tc>
        <w:tc>
          <w:tcPr>
            <w:tcW w:w="375"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0.6905</w:t>
            </w:r>
          </w:p>
        </w:tc>
        <w:tc>
          <w:tcPr>
            <w:tcW w:w="364"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0.0000</w:t>
            </w:r>
          </w:p>
        </w:tc>
        <w:tc>
          <w:tcPr>
            <w:tcW w:w="350"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0.6685</w:t>
            </w:r>
          </w:p>
        </w:tc>
        <w:tc>
          <w:tcPr>
            <w:tcW w:w="400"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0.0000</w:t>
            </w:r>
          </w:p>
        </w:tc>
        <w:tc>
          <w:tcPr>
            <w:tcW w:w="482"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0.0220</w:t>
            </w:r>
          </w:p>
        </w:tc>
        <w:tc>
          <w:tcPr>
            <w:tcW w:w="788"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林地</w:t>
            </w:r>
          </w:p>
        </w:tc>
        <w:tc>
          <w:tcPr>
            <w:tcW w:w="704"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其他独立建设用地</w:t>
            </w:r>
          </w:p>
        </w:tc>
        <w:tc>
          <w:tcPr>
            <w:tcW w:w="394"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限制建设区</w:t>
            </w:r>
          </w:p>
        </w:tc>
        <w:tc>
          <w:tcPr>
            <w:tcW w:w="394"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允许建设区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5"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TRXZ06</w:t>
            </w:r>
          </w:p>
        </w:tc>
        <w:tc>
          <w:tcPr>
            <w:tcW w:w="375"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西阳村</w:t>
            </w:r>
          </w:p>
        </w:tc>
        <w:tc>
          <w:tcPr>
            <w:tcW w:w="375"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0.3419</w:t>
            </w:r>
          </w:p>
        </w:tc>
        <w:tc>
          <w:tcPr>
            <w:tcW w:w="364"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0.0000</w:t>
            </w:r>
          </w:p>
        </w:tc>
        <w:tc>
          <w:tcPr>
            <w:tcW w:w="350"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0.3234</w:t>
            </w:r>
          </w:p>
        </w:tc>
        <w:tc>
          <w:tcPr>
            <w:tcW w:w="400"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0.0000</w:t>
            </w:r>
          </w:p>
        </w:tc>
        <w:tc>
          <w:tcPr>
            <w:tcW w:w="482"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0.0185</w:t>
            </w:r>
          </w:p>
        </w:tc>
        <w:tc>
          <w:tcPr>
            <w:tcW w:w="788"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林地</w:t>
            </w:r>
          </w:p>
        </w:tc>
        <w:tc>
          <w:tcPr>
            <w:tcW w:w="704"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其他独立建设用地</w:t>
            </w:r>
          </w:p>
        </w:tc>
        <w:tc>
          <w:tcPr>
            <w:tcW w:w="394"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限制建设区</w:t>
            </w:r>
          </w:p>
        </w:tc>
        <w:tc>
          <w:tcPr>
            <w:tcW w:w="394"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允许建设区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5"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TRJX01</w:t>
            </w:r>
          </w:p>
        </w:tc>
        <w:tc>
          <w:tcPr>
            <w:tcW w:w="375"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撮落村</w:t>
            </w:r>
          </w:p>
        </w:tc>
        <w:tc>
          <w:tcPr>
            <w:tcW w:w="375"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16.2322</w:t>
            </w:r>
          </w:p>
        </w:tc>
        <w:tc>
          <w:tcPr>
            <w:tcW w:w="364"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4.4926</w:t>
            </w:r>
          </w:p>
        </w:tc>
        <w:tc>
          <w:tcPr>
            <w:tcW w:w="350"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0.0000</w:t>
            </w:r>
          </w:p>
        </w:tc>
        <w:tc>
          <w:tcPr>
            <w:tcW w:w="400"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0.0000</w:t>
            </w:r>
          </w:p>
        </w:tc>
        <w:tc>
          <w:tcPr>
            <w:tcW w:w="482"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11.7396</w:t>
            </w:r>
          </w:p>
        </w:tc>
        <w:tc>
          <w:tcPr>
            <w:tcW w:w="788"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耕地</w:t>
            </w:r>
          </w:p>
        </w:tc>
        <w:tc>
          <w:tcPr>
            <w:tcW w:w="704"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城镇用地</w:t>
            </w:r>
          </w:p>
        </w:tc>
        <w:tc>
          <w:tcPr>
            <w:tcW w:w="394"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限制建设区</w:t>
            </w:r>
          </w:p>
        </w:tc>
        <w:tc>
          <w:tcPr>
            <w:tcW w:w="394" w:type="pct"/>
            <w:shd w:val="clear" w:color="auto" w:fill="auto"/>
            <w:noWrap/>
            <w:vAlign w:val="center"/>
          </w:tcPr>
          <w:p>
            <w:pPr>
              <w:widowControl/>
              <w:spacing w:line="240" w:lineRule="auto"/>
              <w:ind w:firstLine="0" w:firstLineChars="0"/>
              <w:jc w:val="center"/>
              <w:rPr>
                <w:rFonts w:ascii="仿宋_GB2312" w:hAnsi="宋体" w:cs="宋体"/>
                <w:color w:val="000000"/>
                <w:kern w:val="0"/>
                <w:sz w:val="18"/>
                <w:szCs w:val="18"/>
              </w:rPr>
            </w:pPr>
            <w:r>
              <w:rPr>
                <w:rFonts w:hint="eastAsia" w:ascii="仿宋_GB2312" w:hAnsi="宋体" w:cs="宋体"/>
                <w:color w:val="000000"/>
                <w:kern w:val="0"/>
                <w:sz w:val="18"/>
                <w:szCs w:val="18"/>
              </w:rPr>
              <w:t>允许建设区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749" w:type="pct"/>
            <w:gridSpan w:val="2"/>
            <w:shd w:val="clear" w:color="auto" w:fill="auto"/>
            <w:noWrap/>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合计</w:t>
            </w:r>
          </w:p>
        </w:tc>
        <w:tc>
          <w:tcPr>
            <w:tcW w:w="375" w:type="pct"/>
            <w:shd w:val="clear" w:color="auto" w:fill="auto"/>
            <w:noWrap/>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23.348</w:t>
            </w:r>
            <w:r>
              <w:rPr>
                <w:rFonts w:hint="eastAsia" w:eastAsia="宋体" w:cs="Times New Roman"/>
                <w:b/>
                <w:bCs/>
                <w:color w:val="000000"/>
                <w:kern w:val="0"/>
                <w:sz w:val="18"/>
                <w:szCs w:val="18"/>
              </w:rPr>
              <w:t>5</w:t>
            </w:r>
          </w:p>
        </w:tc>
        <w:tc>
          <w:tcPr>
            <w:tcW w:w="364" w:type="pct"/>
            <w:shd w:val="clear" w:color="auto" w:fill="auto"/>
            <w:noWrap/>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4.5980</w:t>
            </w:r>
          </w:p>
        </w:tc>
        <w:tc>
          <w:tcPr>
            <w:tcW w:w="350" w:type="pct"/>
            <w:shd w:val="clear" w:color="auto" w:fill="auto"/>
            <w:noWrap/>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5.736</w:t>
            </w:r>
            <w:r>
              <w:rPr>
                <w:rFonts w:hint="eastAsia" w:eastAsia="宋体" w:cs="Times New Roman"/>
                <w:b/>
                <w:bCs/>
                <w:color w:val="000000"/>
                <w:kern w:val="0"/>
                <w:sz w:val="18"/>
                <w:szCs w:val="18"/>
              </w:rPr>
              <w:t>2</w:t>
            </w:r>
          </w:p>
        </w:tc>
        <w:tc>
          <w:tcPr>
            <w:tcW w:w="400" w:type="pct"/>
            <w:shd w:val="clear" w:color="auto" w:fill="auto"/>
            <w:noWrap/>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0.0308</w:t>
            </w:r>
          </w:p>
        </w:tc>
        <w:tc>
          <w:tcPr>
            <w:tcW w:w="482" w:type="pct"/>
            <w:shd w:val="clear" w:color="auto" w:fill="auto"/>
            <w:noWrap/>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12.9835</w:t>
            </w:r>
          </w:p>
        </w:tc>
        <w:tc>
          <w:tcPr>
            <w:tcW w:w="788" w:type="pct"/>
            <w:shd w:val="clear" w:color="auto" w:fill="auto"/>
            <w:noWrap/>
            <w:vAlign w:val="center"/>
          </w:tcPr>
          <w:p>
            <w:pPr>
              <w:widowControl/>
              <w:spacing w:line="240" w:lineRule="auto"/>
              <w:ind w:firstLine="0" w:firstLineChars="0"/>
              <w:jc w:val="center"/>
              <w:rPr>
                <w:rFonts w:ascii="Calibri" w:hAnsi="Calibri" w:eastAsia="宋体" w:cs="宋体"/>
                <w:color w:val="000000"/>
                <w:kern w:val="0"/>
                <w:sz w:val="20"/>
                <w:szCs w:val="20"/>
              </w:rPr>
            </w:pPr>
            <w:r>
              <w:rPr>
                <w:rFonts w:ascii="Calibri" w:hAnsi="Calibri" w:eastAsia="宋体" w:cs="宋体"/>
                <w:color w:val="000000"/>
                <w:kern w:val="0"/>
                <w:sz w:val="20"/>
                <w:szCs w:val="20"/>
              </w:rPr>
              <w:t>——</w:t>
            </w:r>
          </w:p>
        </w:tc>
        <w:tc>
          <w:tcPr>
            <w:tcW w:w="704" w:type="pct"/>
            <w:shd w:val="clear" w:color="auto" w:fill="auto"/>
            <w:noWrap/>
            <w:vAlign w:val="center"/>
          </w:tcPr>
          <w:p>
            <w:pPr>
              <w:widowControl/>
              <w:spacing w:line="240" w:lineRule="auto"/>
              <w:ind w:firstLine="0" w:firstLineChars="0"/>
              <w:jc w:val="center"/>
              <w:rPr>
                <w:rFonts w:ascii="Calibri" w:hAnsi="Calibri" w:eastAsia="宋体" w:cs="宋体"/>
                <w:color w:val="000000"/>
                <w:kern w:val="0"/>
                <w:sz w:val="20"/>
                <w:szCs w:val="20"/>
              </w:rPr>
            </w:pPr>
            <w:r>
              <w:rPr>
                <w:rFonts w:ascii="Calibri" w:hAnsi="Calibri" w:eastAsia="宋体" w:cs="宋体"/>
                <w:color w:val="000000"/>
                <w:kern w:val="0"/>
                <w:sz w:val="20"/>
                <w:szCs w:val="20"/>
              </w:rPr>
              <w:t>——</w:t>
            </w:r>
          </w:p>
        </w:tc>
        <w:tc>
          <w:tcPr>
            <w:tcW w:w="394" w:type="pct"/>
            <w:shd w:val="clear" w:color="auto" w:fill="auto"/>
            <w:noWrap/>
            <w:vAlign w:val="center"/>
          </w:tcPr>
          <w:p>
            <w:pPr>
              <w:widowControl/>
              <w:spacing w:line="240" w:lineRule="auto"/>
              <w:ind w:firstLine="0" w:firstLineChars="0"/>
              <w:jc w:val="center"/>
              <w:rPr>
                <w:rFonts w:ascii="Calibri" w:hAnsi="Calibri" w:eastAsia="宋体" w:cs="宋体"/>
                <w:color w:val="000000"/>
                <w:kern w:val="0"/>
                <w:sz w:val="20"/>
                <w:szCs w:val="20"/>
              </w:rPr>
            </w:pPr>
            <w:r>
              <w:rPr>
                <w:rFonts w:ascii="Calibri" w:hAnsi="Calibri" w:eastAsia="宋体" w:cs="宋体"/>
                <w:color w:val="000000"/>
                <w:kern w:val="0"/>
                <w:sz w:val="20"/>
                <w:szCs w:val="20"/>
              </w:rPr>
              <w:t>——</w:t>
            </w:r>
          </w:p>
        </w:tc>
        <w:tc>
          <w:tcPr>
            <w:tcW w:w="394" w:type="pct"/>
            <w:shd w:val="clear" w:color="auto" w:fill="auto"/>
            <w:noWrap/>
            <w:vAlign w:val="center"/>
          </w:tcPr>
          <w:p>
            <w:pPr>
              <w:widowControl/>
              <w:spacing w:line="240" w:lineRule="auto"/>
              <w:ind w:firstLine="0" w:firstLineChars="0"/>
              <w:jc w:val="center"/>
              <w:rPr>
                <w:rFonts w:ascii="Calibri" w:hAnsi="Calibri" w:eastAsia="宋体" w:cs="宋体"/>
                <w:color w:val="000000"/>
                <w:kern w:val="0"/>
                <w:sz w:val="20"/>
                <w:szCs w:val="20"/>
              </w:rPr>
            </w:pPr>
            <w:r>
              <w:rPr>
                <w:rFonts w:ascii="Calibri" w:hAnsi="Calibri" w:eastAsia="宋体" w:cs="宋体"/>
                <w:color w:val="000000"/>
                <w:kern w:val="0"/>
                <w:sz w:val="20"/>
                <w:szCs w:val="20"/>
              </w:rPr>
              <w:t>——</w:t>
            </w:r>
          </w:p>
        </w:tc>
      </w:tr>
    </w:tbl>
    <w:p>
      <w:pPr>
        <w:spacing w:line="240" w:lineRule="auto"/>
        <w:ind w:firstLine="0" w:firstLineChars="0"/>
        <w:rPr>
          <w:sz w:val="18"/>
          <w:szCs w:val="18"/>
        </w:rPr>
      </w:pPr>
      <w:r>
        <w:rPr>
          <w:sz w:val="18"/>
          <w:szCs w:val="18"/>
        </w:rPr>
        <w:t>注：1</w:t>
      </w:r>
      <w:r>
        <w:rPr>
          <w:rFonts w:hint="eastAsia"/>
          <w:sz w:val="18"/>
          <w:szCs w:val="18"/>
        </w:rPr>
        <w:t>、</w:t>
      </w:r>
      <w:r>
        <w:rPr>
          <w:sz w:val="18"/>
          <w:szCs w:val="18"/>
        </w:rPr>
        <w:t>“TR+顺序编码”代表建设用地调入地块</w:t>
      </w:r>
      <w:r>
        <w:rPr>
          <w:rFonts w:hint="eastAsia"/>
          <w:sz w:val="18"/>
          <w:szCs w:val="18"/>
        </w:rPr>
        <w:t>；</w:t>
      </w:r>
      <w:r>
        <w:rPr>
          <w:sz w:val="18"/>
          <w:szCs w:val="18"/>
        </w:rPr>
        <w:t xml:space="preserve"> </w:t>
      </w:r>
    </w:p>
    <w:p>
      <w:pPr>
        <w:spacing w:line="240" w:lineRule="auto"/>
        <w:ind w:firstLine="360"/>
        <w:rPr>
          <w:sz w:val="18"/>
          <w:szCs w:val="18"/>
        </w:rPr>
        <w:sectPr>
          <w:pgSz w:w="16838" w:h="11906" w:orient="landscape"/>
          <w:pgMar w:top="1701" w:right="1440" w:bottom="1701" w:left="1440" w:header="1134" w:footer="1134" w:gutter="0"/>
          <w:cols w:space="425" w:num="1"/>
          <w:docGrid w:type="linesAndChars" w:linePitch="312" w:charSpace="0"/>
        </w:sectPr>
      </w:pPr>
      <w:r>
        <w:rPr>
          <w:rFonts w:hint="eastAsia"/>
          <w:sz w:val="18"/>
          <w:szCs w:val="18"/>
        </w:rPr>
        <w:t>2</w:t>
      </w:r>
      <w:r>
        <w:rPr>
          <w:sz w:val="18"/>
          <w:szCs w:val="18"/>
        </w:rPr>
        <w:t>、现状地类面积</w:t>
      </w:r>
      <w:r>
        <w:rPr>
          <w:rFonts w:hint="eastAsia"/>
          <w:sz w:val="18"/>
          <w:szCs w:val="18"/>
        </w:rPr>
        <w:t>采用</w:t>
      </w:r>
      <w:r>
        <w:rPr>
          <w:sz w:val="18"/>
          <w:szCs w:val="18"/>
        </w:rPr>
        <w:t>201</w:t>
      </w:r>
      <w:r>
        <w:rPr>
          <w:rFonts w:hint="eastAsia"/>
          <w:sz w:val="18"/>
          <w:szCs w:val="18"/>
        </w:rPr>
        <w:t>8</w:t>
      </w:r>
      <w:r>
        <w:rPr>
          <w:sz w:val="18"/>
          <w:szCs w:val="18"/>
        </w:rPr>
        <w:t>年</w:t>
      </w:r>
      <w:r>
        <w:rPr>
          <w:rFonts w:hint="eastAsia"/>
          <w:sz w:val="18"/>
          <w:szCs w:val="18"/>
        </w:rPr>
        <w:t>永吉县</w:t>
      </w:r>
      <w:r>
        <w:rPr>
          <w:sz w:val="18"/>
          <w:szCs w:val="18"/>
        </w:rPr>
        <w:t>土地</w:t>
      </w:r>
      <w:r>
        <w:rPr>
          <w:rFonts w:hint="eastAsia"/>
          <w:sz w:val="18"/>
          <w:szCs w:val="18"/>
        </w:rPr>
        <w:t>利用</w:t>
      </w:r>
      <w:r>
        <w:rPr>
          <w:sz w:val="18"/>
          <w:szCs w:val="18"/>
        </w:rPr>
        <w:t>变更调查数据。</w:t>
      </w:r>
    </w:p>
    <w:p>
      <w:pPr>
        <w:pStyle w:val="31"/>
        <w:jc w:val="center"/>
      </w:pPr>
      <w:bookmarkStart w:id="307" w:name="_Toc40116544"/>
      <w:bookmarkStart w:id="308" w:name="_Toc433892504"/>
      <w:r>
        <w:rPr>
          <w:rFonts w:hint="eastAsia"/>
        </w:rPr>
        <w:t>附表2  西阳镇土地利用总体规划（2006-2020年）修改调出地块情况</w:t>
      </w:r>
      <w:bookmarkEnd w:id="307"/>
      <w:bookmarkEnd w:id="308"/>
    </w:p>
    <w:p>
      <w:pPr>
        <w:spacing w:line="240" w:lineRule="auto"/>
        <w:ind w:firstLine="0" w:firstLineChars="0"/>
        <w:jc w:val="right"/>
        <w:rPr>
          <w:sz w:val="21"/>
        </w:rPr>
      </w:pPr>
      <w:r>
        <w:rPr>
          <w:sz w:val="21"/>
        </w:rPr>
        <w:t>单位：公顷</w:t>
      </w:r>
    </w:p>
    <w:tbl>
      <w:tblPr>
        <w:tblStyle w:val="17"/>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550"/>
        <w:gridCol w:w="1550"/>
        <w:gridCol w:w="1551"/>
        <w:gridCol w:w="1551"/>
        <w:gridCol w:w="3328"/>
        <w:gridCol w:w="1551"/>
        <w:gridCol w:w="1551"/>
        <w:gridCol w:w="154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547" w:type="pct"/>
            <w:vMerge w:val="restart"/>
            <w:shd w:val="clear" w:color="auto" w:fill="auto"/>
            <w:noWrap/>
            <w:vAlign w:val="center"/>
          </w:tcPr>
          <w:p>
            <w:pPr>
              <w:widowControl/>
              <w:spacing w:line="240" w:lineRule="auto"/>
              <w:ind w:firstLine="0" w:firstLineChars="0"/>
              <w:jc w:val="center"/>
              <w:rPr>
                <w:rFonts w:ascii="仿宋_GB2312" w:hAnsi="宋体" w:cs="宋体"/>
                <w:b/>
                <w:bCs/>
                <w:color w:val="000000"/>
                <w:kern w:val="0"/>
                <w:sz w:val="20"/>
                <w:szCs w:val="20"/>
              </w:rPr>
            </w:pPr>
            <w:r>
              <w:rPr>
                <w:rFonts w:hint="eastAsia" w:ascii="仿宋_GB2312" w:hAnsi="宋体" w:cs="宋体"/>
                <w:b/>
                <w:bCs/>
                <w:color w:val="000000"/>
                <w:kern w:val="0"/>
                <w:sz w:val="20"/>
                <w:szCs w:val="20"/>
              </w:rPr>
              <w:t>编号</w:t>
            </w:r>
          </w:p>
        </w:tc>
        <w:tc>
          <w:tcPr>
            <w:tcW w:w="547" w:type="pct"/>
            <w:vMerge w:val="restart"/>
            <w:shd w:val="clear" w:color="auto" w:fill="auto"/>
            <w:noWrap/>
            <w:vAlign w:val="center"/>
          </w:tcPr>
          <w:p>
            <w:pPr>
              <w:widowControl/>
              <w:spacing w:line="240" w:lineRule="auto"/>
              <w:ind w:firstLine="0" w:firstLineChars="0"/>
              <w:jc w:val="center"/>
              <w:rPr>
                <w:rFonts w:ascii="仿宋_GB2312" w:hAnsi="宋体" w:cs="宋体"/>
                <w:b/>
                <w:bCs/>
                <w:color w:val="000000"/>
                <w:kern w:val="0"/>
                <w:sz w:val="20"/>
                <w:szCs w:val="20"/>
              </w:rPr>
            </w:pPr>
            <w:r>
              <w:rPr>
                <w:rFonts w:hint="eastAsia" w:ascii="仿宋_GB2312" w:hAnsi="宋体" w:cs="宋体"/>
                <w:b/>
                <w:bCs/>
                <w:color w:val="000000"/>
                <w:kern w:val="0"/>
                <w:sz w:val="20"/>
                <w:szCs w:val="20"/>
              </w:rPr>
              <w:t>所在位置</w:t>
            </w:r>
          </w:p>
        </w:tc>
        <w:tc>
          <w:tcPr>
            <w:tcW w:w="547" w:type="pct"/>
            <w:vMerge w:val="restart"/>
            <w:shd w:val="clear" w:color="auto" w:fill="auto"/>
            <w:noWrap/>
            <w:vAlign w:val="center"/>
          </w:tcPr>
          <w:p>
            <w:pPr>
              <w:widowControl/>
              <w:spacing w:line="240" w:lineRule="auto"/>
              <w:ind w:firstLine="0" w:firstLineChars="0"/>
              <w:jc w:val="center"/>
              <w:rPr>
                <w:rFonts w:ascii="仿宋_GB2312" w:hAnsi="宋体" w:cs="宋体"/>
                <w:b/>
                <w:bCs/>
                <w:color w:val="000000"/>
                <w:kern w:val="0"/>
                <w:sz w:val="20"/>
                <w:szCs w:val="20"/>
              </w:rPr>
            </w:pPr>
            <w:r>
              <w:rPr>
                <w:rFonts w:hint="eastAsia" w:ascii="仿宋_GB2312" w:hAnsi="宋体" w:cs="宋体"/>
                <w:b/>
                <w:bCs/>
                <w:color w:val="000000"/>
                <w:kern w:val="0"/>
                <w:sz w:val="20"/>
                <w:szCs w:val="20"/>
              </w:rPr>
              <w:t>地块面积</w:t>
            </w:r>
          </w:p>
        </w:tc>
        <w:tc>
          <w:tcPr>
            <w:tcW w:w="547" w:type="pct"/>
            <w:shd w:val="clear" w:color="auto" w:fill="auto"/>
            <w:noWrap/>
            <w:vAlign w:val="center"/>
          </w:tcPr>
          <w:p>
            <w:pPr>
              <w:widowControl/>
              <w:spacing w:line="240" w:lineRule="auto"/>
              <w:ind w:firstLine="0" w:firstLineChars="0"/>
              <w:jc w:val="center"/>
              <w:rPr>
                <w:rFonts w:ascii="仿宋_GB2312" w:hAnsi="宋体" w:cs="宋体"/>
                <w:b/>
                <w:bCs/>
                <w:color w:val="000000"/>
                <w:kern w:val="0"/>
                <w:sz w:val="20"/>
                <w:szCs w:val="20"/>
              </w:rPr>
            </w:pPr>
            <w:r>
              <w:rPr>
                <w:rFonts w:hint="eastAsia" w:ascii="仿宋_GB2312" w:hAnsi="宋体" w:cs="宋体"/>
                <w:b/>
                <w:bCs/>
                <w:color w:val="000000"/>
                <w:kern w:val="0"/>
                <w:sz w:val="20"/>
                <w:szCs w:val="20"/>
              </w:rPr>
              <w:t>现状地类</w:t>
            </w:r>
          </w:p>
        </w:tc>
        <w:tc>
          <w:tcPr>
            <w:tcW w:w="1174" w:type="pct"/>
            <w:vMerge w:val="restart"/>
            <w:shd w:val="clear" w:color="auto" w:fill="auto"/>
            <w:vAlign w:val="center"/>
          </w:tcPr>
          <w:p>
            <w:pPr>
              <w:widowControl/>
              <w:spacing w:line="240" w:lineRule="auto"/>
              <w:ind w:firstLine="0" w:firstLineChars="0"/>
              <w:jc w:val="center"/>
              <w:rPr>
                <w:rFonts w:ascii="仿宋_GB2312" w:hAnsi="宋体" w:cs="宋体"/>
                <w:b/>
                <w:bCs/>
                <w:color w:val="000000"/>
                <w:kern w:val="0"/>
                <w:sz w:val="20"/>
                <w:szCs w:val="20"/>
              </w:rPr>
            </w:pPr>
            <w:r>
              <w:rPr>
                <w:rFonts w:hint="eastAsia" w:ascii="仿宋_GB2312" w:hAnsi="宋体" w:cs="宋体"/>
                <w:b/>
                <w:bCs/>
                <w:color w:val="000000"/>
                <w:kern w:val="0"/>
                <w:sz w:val="20"/>
                <w:szCs w:val="20"/>
              </w:rPr>
              <w:t>修改前土地规划地类</w:t>
            </w:r>
          </w:p>
        </w:tc>
        <w:tc>
          <w:tcPr>
            <w:tcW w:w="547" w:type="pct"/>
            <w:vMerge w:val="restart"/>
            <w:shd w:val="clear" w:color="auto" w:fill="auto"/>
            <w:vAlign w:val="center"/>
          </w:tcPr>
          <w:p>
            <w:pPr>
              <w:widowControl/>
              <w:spacing w:line="240" w:lineRule="auto"/>
              <w:ind w:firstLine="0" w:firstLineChars="0"/>
              <w:jc w:val="center"/>
              <w:rPr>
                <w:rFonts w:ascii="仿宋_GB2312" w:hAnsi="宋体" w:cs="宋体"/>
                <w:b/>
                <w:bCs/>
                <w:color w:val="000000"/>
                <w:kern w:val="0"/>
                <w:sz w:val="20"/>
                <w:szCs w:val="20"/>
              </w:rPr>
            </w:pPr>
            <w:r>
              <w:rPr>
                <w:rFonts w:hint="eastAsia" w:ascii="仿宋_GB2312" w:hAnsi="宋体" w:cs="宋体"/>
                <w:b/>
                <w:bCs/>
                <w:color w:val="000000"/>
                <w:kern w:val="0"/>
                <w:sz w:val="20"/>
                <w:szCs w:val="20"/>
              </w:rPr>
              <w:t>修改后土地规划地类</w:t>
            </w:r>
          </w:p>
        </w:tc>
        <w:tc>
          <w:tcPr>
            <w:tcW w:w="547" w:type="pct"/>
            <w:vMerge w:val="restart"/>
            <w:shd w:val="clear" w:color="auto" w:fill="auto"/>
            <w:vAlign w:val="center"/>
          </w:tcPr>
          <w:p>
            <w:pPr>
              <w:widowControl/>
              <w:spacing w:line="240" w:lineRule="auto"/>
              <w:ind w:firstLine="0" w:firstLineChars="0"/>
              <w:jc w:val="center"/>
              <w:rPr>
                <w:rFonts w:ascii="仿宋_GB2312" w:hAnsi="宋体" w:cs="宋体"/>
                <w:b/>
                <w:bCs/>
                <w:color w:val="000000"/>
                <w:kern w:val="0"/>
                <w:sz w:val="20"/>
                <w:szCs w:val="20"/>
              </w:rPr>
            </w:pPr>
            <w:r>
              <w:rPr>
                <w:rFonts w:hint="eastAsia" w:ascii="仿宋_GB2312" w:hAnsi="宋体" w:cs="宋体"/>
                <w:b/>
                <w:bCs/>
                <w:color w:val="000000"/>
                <w:kern w:val="0"/>
                <w:sz w:val="20"/>
                <w:szCs w:val="20"/>
              </w:rPr>
              <w:t>修改前建设用地管制分区</w:t>
            </w:r>
          </w:p>
        </w:tc>
        <w:tc>
          <w:tcPr>
            <w:tcW w:w="547" w:type="pct"/>
            <w:vMerge w:val="restart"/>
            <w:shd w:val="clear" w:color="auto" w:fill="auto"/>
            <w:vAlign w:val="center"/>
          </w:tcPr>
          <w:p>
            <w:pPr>
              <w:widowControl/>
              <w:spacing w:line="240" w:lineRule="auto"/>
              <w:ind w:firstLine="0" w:firstLineChars="0"/>
              <w:jc w:val="center"/>
              <w:rPr>
                <w:rFonts w:ascii="仿宋_GB2312" w:hAnsi="宋体" w:cs="宋体"/>
                <w:b/>
                <w:bCs/>
                <w:color w:val="000000"/>
                <w:kern w:val="0"/>
                <w:sz w:val="20"/>
                <w:szCs w:val="20"/>
              </w:rPr>
            </w:pPr>
            <w:r>
              <w:rPr>
                <w:rFonts w:hint="eastAsia" w:ascii="仿宋_GB2312" w:hAnsi="宋体" w:cs="宋体"/>
                <w:b/>
                <w:bCs/>
                <w:color w:val="000000"/>
                <w:kern w:val="0"/>
                <w:sz w:val="20"/>
                <w:szCs w:val="20"/>
              </w:rPr>
              <w:t>修改后建设用地管制分区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547" w:type="pct"/>
            <w:vMerge w:val="continue"/>
            <w:vAlign w:val="center"/>
          </w:tcPr>
          <w:p>
            <w:pPr>
              <w:widowControl/>
              <w:spacing w:line="240" w:lineRule="auto"/>
              <w:ind w:firstLine="0" w:firstLineChars="0"/>
              <w:jc w:val="left"/>
              <w:rPr>
                <w:rFonts w:ascii="仿宋_GB2312" w:hAnsi="宋体" w:cs="宋体"/>
                <w:b/>
                <w:bCs/>
                <w:color w:val="000000"/>
                <w:kern w:val="0"/>
                <w:sz w:val="20"/>
                <w:szCs w:val="20"/>
              </w:rPr>
            </w:pPr>
          </w:p>
        </w:tc>
        <w:tc>
          <w:tcPr>
            <w:tcW w:w="547" w:type="pct"/>
            <w:vMerge w:val="continue"/>
            <w:vAlign w:val="center"/>
          </w:tcPr>
          <w:p>
            <w:pPr>
              <w:widowControl/>
              <w:spacing w:line="240" w:lineRule="auto"/>
              <w:ind w:firstLine="0" w:firstLineChars="0"/>
              <w:jc w:val="left"/>
              <w:rPr>
                <w:rFonts w:ascii="仿宋_GB2312" w:hAnsi="宋体" w:cs="宋体"/>
                <w:b/>
                <w:bCs/>
                <w:color w:val="000000"/>
                <w:kern w:val="0"/>
                <w:sz w:val="20"/>
                <w:szCs w:val="20"/>
              </w:rPr>
            </w:pPr>
          </w:p>
        </w:tc>
        <w:tc>
          <w:tcPr>
            <w:tcW w:w="547" w:type="pct"/>
            <w:vMerge w:val="continue"/>
            <w:vAlign w:val="center"/>
          </w:tcPr>
          <w:p>
            <w:pPr>
              <w:widowControl/>
              <w:spacing w:line="240" w:lineRule="auto"/>
              <w:ind w:firstLine="0" w:firstLineChars="0"/>
              <w:jc w:val="left"/>
              <w:rPr>
                <w:rFonts w:ascii="仿宋_GB2312" w:hAnsi="宋体" w:cs="宋体"/>
                <w:b/>
                <w:bCs/>
                <w:color w:val="000000"/>
                <w:kern w:val="0"/>
                <w:sz w:val="20"/>
                <w:szCs w:val="20"/>
              </w:rPr>
            </w:pPr>
          </w:p>
        </w:tc>
        <w:tc>
          <w:tcPr>
            <w:tcW w:w="547" w:type="pct"/>
            <w:shd w:val="clear" w:color="auto" w:fill="auto"/>
            <w:noWrap/>
            <w:vAlign w:val="center"/>
          </w:tcPr>
          <w:p>
            <w:pPr>
              <w:widowControl/>
              <w:spacing w:line="240" w:lineRule="auto"/>
              <w:ind w:firstLine="0" w:firstLineChars="0"/>
              <w:jc w:val="center"/>
              <w:rPr>
                <w:rFonts w:ascii="仿宋_GB2312" w:hAnsi="宋体" w:cs="宋体"/>
                <w:b/>
                <w:bCs/>
                <w:color w:val="000000"/>
                <w:kern w:val="0"/>
                <w:sz w:val="20"/>
                <w:szCs w:val="20"/>
              </w:rPr>
            </w:pPr>
            <w:r>
              <w:rPr>
                <w:rFonts w:hint="eastAsia" w:ascii="仿宋_GB2312" w:hAnsi="宋体" w:cs="宋体"/>
                <w:b/>
                <w:bCs/>
                <w:color w:val="000000"/>
                <w:kern w:val="0"/>
                <w:sz w:val="20"/>
                <w:szCs w:val="20"/>
              </w:rPr>
              <w:t>农用地</w:t>
            </w:r>
          </w:p>
        </w:tc>
        <w:tc>
          <w:tcPr>
            <w:tcW w:w="1174" w:type="pct"/>
            <w:vMerge w:val="continue"/>
            <w:vAlign w:val="center"/>
          </w:tcPr>
          <w:p>
            <w:pPr>
              <w:widowControl/>
              <w:spacing w:line="240" w:lineRule="auto"/>
              <w:ind w:firstLine="0" w:firstLineChars="0"/>
              <w:jc w:val="left"/>
              <w:rPr>
                <w:rFonts w:ascii="仿宋_GB2312" w:hAnsi="宋体" w:cs="宋体"/>
                <w:b/>
                <w:bCs/>
                <w:color w:val="000000"/>
                <w:kern w:val="0"/>
                <w:sz w:val="20"/>
                <w:szCs w:val="20"/>
              </w:rPr>
            </w:pPr>
          </w:p>
        </w:tc>
        <w:tc>
          <w:tcPr>
            <w:tcW w:w="547" w:type="pct"/>
            <w:vMerge w:val="continue"/>
            <w:vAlign w:val="center"/>
          </w:tcPr>
          <w:p>
            <w:pPr>
              <w:widowControl/>
              <w:spacing w:line="240" w:lineRule="auto"/>
              <w:ind w:firstLine="0" w:firstLineChars="0"/>
              <w:jc w:val="left"/>
              <w:rPr>
                <w:rFonts w:ascii="仿宋_GB2312" w:hAnsi="宋体" w:cs="宋体"/>
                <w:b/>
                <w:bCs/>
                <w:color w:val="000000"/>
                <w:kern w:val="0"/>
                <w:sz w:val="20"/>
                <w:szCs w:val="20"/>
              </w:rPr>
            </w:pPr>
          </w:p>
        </w:tc>
        <w:tc>
          <w:tcPr>
            <w:tcW w:w="547" w:type="pct"/>
            <w:vMerge w:val="continue"/>
            <w:vAlign w:val="center"/>
          </w:tcPr>
          <w:p>
            <w:pPr>
              <w:widowControl/>
              <w:spacing w:line="240" w:lineRule="auto"/>
              <w:ind w:firstLine="0" w:firstLineChars="0"/>
              <w:jc w:val="left"/>
              <w:rPr>
                <w:rFonts w:ascii="仿宋_GB2312" w:hAnsi="宋体" w:cs="宋体"/>
                <w:b/>
                <w:bCs/>
                <w:color w:val="000000"/>
                <w:kern w:val="0"/>
                <w:sz w:val="20"/>
                <w:szCs w:val="20"/>
              </w:rPr>
            </w:pPr>
          </w:p>
        </w:tc>
        <w:tc>
          <w:tcPr>
            <w:tcW w:w="547" w:type="pct"/>
            <w:vMerge w:val="continue"/>
            <w:vAlign w:val="center"/>
          </w:tcPr>
          <w:p>
            <w:pPr>
              <w:widowControl/>
              <w:spacing w:line="240" w:lineRule="auto"/>
              <w:ind w:firstLine="0" w:firstLineChars="0"/>
              <w:jc w:val="left"/>
              <w:rPr>
                <w:rFonts w:ascii="仿宋_GB2312" w:hAnsi="宋体" w:cs="宋体"/>
                <w:b/>
                <w:bCs/>
                <w:color w:val="000000"/>
                <w:kern w:val="0"/>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547" w:type="pct"/>
            <w:vMerge w:val="continue"/>
            <w:vAlign w:val="center"/>
          </w:tcPr>
          <w:p>
            <w:pPr>
              <w:widowControl/>
              <w:spacing w:line="240" w:lineRule="auto"/>
              <w:ind w:firstLine="0" w:firstLineChars="0"/>
              <w:jc w:val="left"/>
              <w:rPr>
                <w:rFonts w:ascii="仿宋_GB2312" w:hAnsi="宋体" w:cs="宋体"/>
                <w:b/>
                <w:bCs/>
                <w:color w:val="000000"/>
                <w:kern w:val="0"/>
                <w:sz w:val="20"/>
                <w:szCs w:val="20"/>
              </w:rPr>
            </w:pPr>
          </w:p>
        </w:tc>
        <w:tc>
          <w:tcPr>
            <w:tcW w:w="547" w:type="pct"/>
            <w:vMerge w:val="continue"/>
            <w:vAlign w:val="center"/>
          </w:tcPr>
          <w:p>
            <w:pPr>
              <w:widowControl/>
              <w:spacing w:line="240" w:lineRule="auto"/>
              <w:ind w:firstLine="0" w:firstLineChars="0"/>
              <w:jc w:val="left"/>
              <w:rPr>
                <w:rFonts w:ascii="仿宋_GB2312" w:hAnsi="宋体" w:cs="宋体"/>
                <w:b/>
                <w:bCs/>
                <w:color w:val="000000"/>
                <w:kern w:val="0"/>
                <w:sz w:val="20"/>
                <w:szCs w:val="20"/>
              </w:rPr>
            </w:pPr>
          </w:p>
        </w:tc>
        <w:tc>
          <w:tcPr>
            <w:tcW w:w="547" w:type="pct"/>
            <w:vMerge w:val="continue"/>
            <w:vAlign w:val="center"/>
          </w:tcPr>
          <w:p>
            <w:pPr>
              <w:widowControl/>
              <w:spacing w:line="240" w:lineRule="auto"/>
              <w:ind w:firstLine="0" w:firstLineChars="0"/>
              <w:jc w:val="left"/>
              <w:rPr>
                <w:rFonts w:ascii="仿宋_GB2312" w:hAnsi="宋体" w:cs="宋体"/>
                <w:b/>
                <w:bCs/>
                <w:color w:val="000000"/>
                <w:kern w:val="0"/>
                <w:sz w:val="20"/>
                <w:szCs w:val="20"/>
              </w:rPr>
            </w:pPr>
          </w:p>
        </w:tc>
        <w:tc>
          <w:tcPr>
            <w:tcW w:w="547" w:type="pct"/>
            <w:shd w:val="clear" w:color="auto" w:fill="auto"/>
            <w:noWrap/>
            <w:vAlign w:val="center"/>
          </w:tcPr>
          <w:p>
            <w:pPr>
              <w:widowControl/>
              <w:spacing w:line="240" w:lineRule="auto"/>
              <w:ind w:firstLine="0" w:firstLineChars="0"/>
              <w:jc w:val="center"/>
              <w:rPr>
                <w:rFonts w:ascii="仿宋_GB2312" w:hAnsi="宋体" w:cs="宋体"/>
                <w:b/>
                <w:bCs/>
                <w:color w:val="000000"/>
                <w:kern w:val="0"/>
                <w:sz w:val="20"/>
                <w:szCs w:val="20"/>
              </w:rPr>
            </w:pPr>
            <w:r>
              <w:rPr>
                <w:rFonts w:hint="eastAsia" w:ascii="仿宋_GB2312" w:hAnsi="宋体" w:cs="宋体"/>
                <w:b/>
                <w:bCs/>
                <w:color w:val="000000"/>
                <w:kern w:val="0"/>
                <w:sz w:val="20"/>
                <w:szCs w:val="20"/>
              </w:rPr>
              <w:t>林地</w:t>
            </w:r>
          </w:p>
        </w:tc>
        <w:tc>
          <w:tcPr>
            <w:tcW w:w="1174" w:type="pct"/>
            <w:vMerge w:val="continue"/>
            <w:vAlign w:val="center"/>
          </w:tcPr>
          <w:p>
            <w:pPr>
              <w:widowControl/>
              <w:spacing w:line="240" w:lineRule="auto"/>
              <w:ind w:firstLine="0" w:firstLineChars="0"/>
              <w:jc w:val="left"/>
              <w:rPr>
                <w:rFonts w:ascii="仿宋_GB2312" w:hAnsi="宋体" w:cs="宋体"/>
                <w:b/>
                <w:bCs/>
                <w:color w:val="000000"/>
                <w:kern w:val="0"/>
                <w:sz w:val="20"/>
                <w:szCs w:val="20"/>
              </w:rPr>
            </w:pPr>
          </w:p>
        </w:tc>
        <w:tc>
          <w:tcPr>
            <w:tcW w:w="547" w:type="pct"/>
            <w:vMerge w:val="continue"/>
            <w:vAlign w:val="center"/>
          </w:tcPr>
          <w:p>
            <w:pPr>
              <w:widowControl/>
              <w:spacing w:line="240" w:lineRule="auto"/>
              <w:ind w:firstLine="0" w:firstLineChars="0"/>
              <w:jc w:val="left"/>
              <w:rPr>
                <w:rFonts w:ascii="仿宋_GB2312" w:hAnsi="宋体" w:cs="宋体"/>
                <w:b/>
                <w:bCs/>
                <w:color w:val="000000"/>
                <w:kern w:val="0"/>
                <w:sz w:val="20"/>
                <w:szCs w:val="20"/>
              </w:rPr>
            </w:pPr>
          </w:p>
        </w:tc>
        <w:tc>
          <w:tcPr>
            <w:tcW w:w="547" w:type="pct"/>
            <w:vMerge w:val="continue"/>
            <w:vAlign w:val="center"/>
          </w:tcPr>
          <w:p>
            <w:pPr>
              <w:widowControl/>
              <w:spacing w:line="240" w:lineRule="auto"/>
              <w:ind w:firstLine="0" w:firstLineChars="0"/>
              <w:jc w:val="left"/>
              <w:rPr>
                <w:rFonts w:ascii="仿宋_GB2312" w:hAnsi="宋体" w:cs="宋体"/>
                <w:b/>
                <w:bCs/>
                <w:color w:val="000000"/>
                <w:kern w:val="0"/>
                <w:sz w:val="20"/>
                <w:szCs w:val="20"/>
              </w:rPr>
            </w:pPr>
          </w:p>
        </w:tc>
        <w:tc>
          <w:tcPr>
            <w:tcW w:w="547" w:type="pct"/>
            <w:vMerge w:val="continue"/>
            <w:vAlign w:val="center"/>
          </w:tcPr>
          <w:p>
            <w:pPr>
              <w:widowControl/>
              <w:spacing w:line="240" w:lineRule="auto"/>
              <w:ind w:firstLine="0" w:firstLineChars="0"/>
              <w:jc w:val="left"/>
              <w:rPr>
                <w:rFonts w:ascii="仿宋_GB2312" w:hAnsi="宋体" w:cs="宋体"/>
                <w:b/>
                <w:bCs/>
                <w:color w:val="000000"/>
                <w:kern w:val="0"/>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0" w:hRule="atLeast"/>
          <w:jc w:val="center"/>
        </w:trPr>
        <w:tc>
          <w:tcPr>
            <w:tcW w:w="547" w:type="pct"/>
            <w:shd w:val="clear" w:color="auto" w:fill="auto"/>
            <w:noWrap/>
            <w:vAlign w:val="center"/>
          </w:tcPr>
          <w:p>
            <w:pPr>
              <w:widowControl/>
              <w:spacing w:line="240" w:lineRule="auto"/>
              <w:ind w:firstLine="0" w:firstLineChars="0"/>
              <w:jc w:val="center"/>
              <w:rPr>
                <w:rFonts w:eastAsia="宋体" w:cs="Times New Roman"/>
                <w:b/>
                <w:bCs/>
                <w:color w:val="000000"/>
                <w:kern w:val="0"/>
                <w:sz w:val="22"/>
                <w:szCs w:val="22"/>
              </w:rPr>
            </w:pPr>
            <w:r>
              <w:rPr>
                <w:rFonts w:eastAsia="宋体" w:cs="Times New Roman"/>
                <w:b/>
                <w:bCs/>
                <w:color w:val="000000"/>
                <w:kern w:val="0"/>
                <w:sz w:val="22"/>
                <w:szCs w:val="22"/>
              </w:rPr>
              <w:t>TC01</w:t>
            </w:r>
          </w:p>
        </w:tc>
        <w:tc>
          <w:tcPr>
            <w:tcW w:w="547" w:type="pct"/>
            <w:shd w:val="clear" w:color="auto" w:fill="auto"/>
            <w:noWrap/>
            <w:vAlign w:val="center"/>
          </w:tcPr>
          <w:p>
            <w:pPr>
              <w:widowControl/>
              <w:spacing w:line="240" w:lineRule="auto"/>
              <w:ind w:firstLine="0" w:firstLineChars="0"/>
              <w:jc w:val="center"/>
              <w:rPr>
                <w:rFonts w:ascii="仿宋_GB2312" w:hAnsi="宋体" w:cs="宋体"/>
                <w:color w:val="000000"/>
                <w:kern w:val="0"/>
                <w:sz w:val="22"/>
                <w:szCs w:val="22"/>
              </w:rPr>
            </w:pPr>
            <w:r>
              <w:rPr>
                <w:rFonts w:hint="eastAsia" w:ascii="仿宋_GB2312" w:hAnsi="宋体" w:cs="宋体"/>
                <w:color w:val="000000"/>
                <w:kern w:val="0"/>
                <w:sz w:val="22"/>
                <w:szCs w:val="22"/>
              </w:rPr>
              <w:t>撮落村</w:t>
            </w:r>
          </w:p>
        </w:tc>
        <w:tc>
          <w:tcPr>
            <w:tcW w:w="547" w:type="pct"/>
            <w:shd w:val="clear" w:color="auto" w:fill="auto"/>
            <w:noWrap/>
            <w:vAlign w:val="center"/>
          </w:tcPr>
          <w:p>
            <w:pPr>
              <w:widowControl/>
              <w:spacing w:line="240" w:lineRule="auto"/>
              <w:ind w:firstLine="0" w:firstLineChars="0"/>
              <w:jc w:val="center"/>
              <w:rPr>
                <w:rFonts w:eastAsia="宋体" w:cs="Times New Roman"/>
                <w:color w:val="000000"/>
                <w:kern w:val="0"/>
                <w:sz w:val="20"/>
                <w:szCs w:val="20"/>
              </w:rPr>
            </w:pPr>
            <w:r>
              <w:rPr>
                <w:rFonts w:eastAsia="宋体" w:cs="Times New Roman"/>
                <w:color w:val="000000"/>
                <w:kern w:val="0"/>
                <w:sz w:val="20"/>
                <w:szCs w:val="20"/>
              </w:rPr>
              <w:t>7.1163</w:t>
            </w:r>
          </w:p>
        </w:tc>
        <w:tc>
          <w:tcPr>
            <w:tcW w:w="547" w:type="pct"/>
            <w:shd w:val="clear" w:color="auto" w:fill="auto"/>
            <w:noWrap/>
            <w:vAlign w:val="center"/>
          </w:tcPr>
          <w:p>
            <w:pPr>
              <w:widowControl/>
              <w:spacing w:line="240" w:lineRule="auto"/>
              <w:ind w:firstLine="0" w:firstLineChars="0"/>
              <w:jc w:val="center"/>
              <w:rPr>
                <w:rFonts w:eastAsia="宋体" w:cs="Times New Roman"/>
                <w:color w:val="000000"/>
                <w:kern w:val="0"/>
                <w:sz w:val="20"/>
                <w:szCs w:val="20"/>
              </w:rPr>
            </w:pPr>
            <w:r>
              <w:rPr>
                <w:rFonts w:eastAsia="宋体" w:cs="Times New Roman"/>
                <w:color w:val="000000"/>
                <w:kern w:val="0"/>
                <w:sz w:val="20"/>
                <w:szCs w:val="20"/>
              </w:rPr>
              <w:t>7.1163</w:t>
            </w:r>
          </w:p>
        </w:tc>
        <w:tc>
          <w:tcPr>
            <w:tcW w:w="1174" w:type="pct"/>
            <w:shd w:val="clear" w:color="auto" w:fill="auto"/>
            <w:noWrap/>
            <w:vAlign w:val="center"/>
          </w:tcPr>
          <w:p>
            <w:pPr>
              <w:widowControl/>
              <w:spacing w:line="240" w:lineRule="auto"/>
              <w:ind w:firstLine="0" w:firstLineChars="0"/>
              <w:jc w:val="center"/>
              <w:rPr>
                <w:rFonts w:ascii="仿宋_GB2312" w:hAnsi="宋体" w:cs="宋体"/>
                <w:color w:val="000000"/>
                <w:kern w:val="0"/>
                <w:sz w:val="20"/>
                <w:szCs w:val="20"/>
              </w:rPr>
            </w:pPr>
            <w:r>
              <w:rPr>
                <w:rFonts w:hint="eastAsia" w:ascii="仿宋_GB2312" w:hAnsi="宋体" w:cs="宋体"/>
                <w:color w:val="000000"/>
                <w:kern w:val="0"/>
                <w:sz w:val="20"/>
                <w:szCs w:val="20"/>
              </w:rPr>
              <w:t>其他独立建设用地</w:t>
            </w:r>
          </w:p>
        </w:tc>
        <w:tc>
          <w:tcPr>
            <w:tcW w:w="547" w:type="pct"/>
            <w:shd w:val="clear" w:color="auto" w:fill="auto"/>
            <w:noWrap/>
            <w:vAlign w:val="center"/>
          </w:tcPr>
          <w:p>
            <w:pPr>
              <w:widowControl/>
              <w:spacing w:line="240" w:lineRule="auto"/>
              <w:ind w:firstLine="0" w:firstLineChars="0"/>
              <w:jc w:val="center"/>
              <w:rPr>
                <w:rFonts w:ascii="仿宋_GB2312" w:hAnsi="宋体" w:cs="宋体"/>
                <w:color w:val="000000"/>
                <w:kern w:val="0"/>
                <w:sz w:val="20"/>
                <w:szCs w:val="20"/>
              </w:rPr>
            </w:pPr>
            <w:r>
              <w:rPr>
                <w:rFonts w:hint="eastAsia" w:ascii="仿宋_GB2312" w:hAnsi="宋体" w:cs="宋体"/>
                <w:color w:val="000000"/>
                <w:kern w:val="0"/>
                <w:sz w:val="20"/>
                <w:szCs w:val="20"/>
              </w:rPr>
              <w:t>林地</w:t>
            </w:r>
          </w:p>
        </w:tc>
        <w:tc>
          <w:tcPr>
            <w:tcW w:w="547" w:type="pct"/>
            <w:shd w:val="clear" w:color="auto" w:fill="auto"/>
            <w:noWrap/>
            <w:vAlign w:val="center"/>
          </w:tcPr>
          <w:p>
            <w:pPr>
              <w:widowControl/>
              <w:spacing w:line="240" w:lineRule="auto"/>
              <w:ind w:firstLine="0" w:firstLineChars="0"/>
              <w:jc w:val="center"/>
              <w:rPr>
                <w:rFonts w:ascii="仿宋_GB2312" w:hAnsi="宋体" w:cs="宋体"/>
                <w:color w:val="000000"/>
                <w:kern w:val="0"/>
                <w:sz w:val="20"/>
                <w:szCs w:val="20"/>
              </w:rPr>
            </w:pPr>
            <w:r>
              <w:rPr>
                <w:rFonts w:hint="eastAsia" w:ascii="仿宋_GB2312" w:hAnsi="宋体" w:cs="宋体"/>
                <w:color w:val="000000"/>
                <w:kern w:val="0"/>
                <w:sz w:val="20"/>
                <w:szCs w:val="20"/>
              </w:rPr>
              <w:t>允许建设区</w:t>
            </w:r>
          </w:p>
        </w:tc>
        <w:tc>
          <w:tcPr>
            <w:tcW w:w="547" w:type="pct"/>
            <w:shd w:val="clear" w:color="auto" w:fill="auto"/>
            <w:noWrap/>
            <w:vAlign w:val="center"/>
          </w:tcPr>
          <w:p>
            <w:pPr>
              <w:widowControl/>
              <w:spacing w:line="240" w:lineRule="auto"/>
              <w:ind w:firstLine="0" w:firstLineChars="0"/>
              <w:jc w:val="center"/>
              <w:rPr>
                <w:rFonts w:ascii="仿宋_GB2312" w:hAnsi="宋体" w:cs="宋体"/>
                <w:color w:val="000000"/>
                <w:kern w:val="0"/>
                <w:sz w:val="20"/>
                <w:szCs w:val="20"/>
              </w:rPr>
            </w:pPr>
            <w:r>
              <w:rPr>
                <w:rFonts w:hint="eastAsia" w:ascii="仿宋_GB2312" w:hAnsi="宋体" w:cs="宋体"/>
                <w:color w:val="000000"/>
                <w:kern w:val="0"/>
                <w:sz w:val="20"/>
                <w:szCs w:val="20"/>
              </w:rPr>
              <w:t>限制建设区</w:t>
            </w:r>
          </w:p>
        </w:tc>
      </w:tr>
    </w:tbl>
    <w:p>
      <w:pPr>
        <w:spacing w:line="240" w:lineRule="auto"/>
        <w:ind w:firstLine="0" w:firstLineChars="0"/>
        <w:rPr>
          <w:sz w:val="18"/>
          <w:szCs w:val="18"/>
        </w:rPr>
      </w:pPr>
      <w:r>
        <w:rPr>
          <w:sz w:val="18"/>
          <w:szCs w:val="18"/>
        </w:rPr>
        <w:t xml:space="preserve">注：1、“TC+顺序编码”代表建设用地调出地块； </w:t>
      </w:r>
    </w:p>
    <w:p>
      <w:pPr>
        <w:spacing w:line="240" w:lineRule="auto"/>
        <w:ind w:firstLine="360"/>
        <w:rPr>
          <w:sz w:val="18"/>
          <w:szCs w:val="18"/>
        </w:rPr>
        <w:sectPr>
          <w:pgSz w:w="16838" w:h="11906" w:orient="landscape"/>
          <w:pgMar w:top="1701" w:right="1440" w:bottom="1701" w:left="1440" w:header="1134" w:footer="1134" w:gutter="0"/>
          <w:cols w:space="425" w:num="1"/>
          <w:docGrid w:type="linesAndChars" w:linePitch="312" w:charSpace="0"/>
        </w:sectPr>
      </w:pPr>
      <w:r>
        <w:rPr>
          <w:rFonts w:hint="eastAsia"/>
          <w:sz w:val="18"/>
          <w:szCs w:val="18"/>
        </w:rPr>
        <w:t>2</w:t>
      </w:r>
      <w:r>
        <w:rPr>
          <w:sz w:val="18"/>
          <w:szCs w:val="18"/>
        </w:rPr>
        <w:t>、现状地类面积</w:t>
      </w:r>
      <w:r>
        <w:rPr>
          <w:rFonts w:hint="eastAsia"/>
          <w:sz w:val="18"/>
          <w:szCs w:val="18"/>
        </w:rPr>
        <w:t>采用</w:t>
      </w:r>
      <w:r>
        <w:rPr>
          <w:sz w:val="18"/>
          <w:szCs w:val="18"/>
        </w:rPr>
        <w:t>201</w:t>
      </w:r>
      <w:r>
        <w:rPr>
          <w:rFonts w:hint="eastAsia"/>
          <w:sz w:val="18"/>
          <w:szCs w:val="18"/>
        </w:rPr>
        <w:t>8</w:t>
      </w:r>
      <w:r>
        <w:rPr>
          <w:sz w:val="18"/>
          <w:szCs w:val="18"/>
        </w:rPr>
        <w:t>年</w:t>
      </w:r>
      <w:r>
        <w:rPr>
          <w:rFonts w:hint="eastAsia"/>
          <w:sz w:val="18"/>
          <w:szCs w:val="18"/>
        </w:rPr>
        <w:t>永吉县</w:t>
      </w:r>
      <w:r>
        <w:rPr>
          <w:sz w:val="18"/>
          <w:szCs w:val="18"/>
        </w:rPr>
        <w:t>土地</w:t>
      </w:r>
      <w:r>
        <w:rPr>
          <w:rFonts w:hint="eastAsia"/>
          <w:sz w:val="18"/>
          <w:szCs w:val="18"/>
        </w:rPr>
        <w:t>利用</w:t>
      </w:r>
      <w:r>
        <w:rPr>
          <w:sz w:val="18"/>
          <w:szCs w:val="18"/>
        </w:rPr>
        <w:t>变更调查数据。</w:t>
      </w:r>
    </w:p>
    <w:p>
      <w:pPr>
        <w:pStyle w:val="31"/>
        <w:spacing w:after="0" w:afterAutospacing="0"/>
        <w:jc w:val="center"/>
      </w:pPr>
      <w:bookmarkStart w:id="309" w:name="_Toc433892505"/>
      <w:bookmarkStart w:id="310" w:name="_Toc40116545"/>
      <w:r>
        <w:t>附表</w:t>
      </w:r>
      <w:r>
        <w:rPr>
          <w:rFonts w:hint="eastAsia"/>
        </w:rPr>
        <w:t>3</w:t>
      </w:r>
      <w:r>
        <w:t xml:space="preserve">  </w:t>
      </w:r>
      <w:r>
        <w:rPr>
          <w:rFonts w:hint="eastAsia"/>
        </w:rPr>
        <w:t>西阳镇修改前后</w:t>
      </w:r>
      <w:r>
        <w:t>土地利用结构变化</w:t>
      </w:r>
      <w:r>
        <w:rPr>
          <w:rFonts w:hint="eastAsia"/>
        </w:rPr>
        <w:t>表</w:t>
      </w:r>
      <w:bookmarkEnd w:id="309"/>
      <w:bookmarkEnd w:id="310"/>
    </w:p>
    <w:p>
      <w:pPr>
        <w:wordWrap w:val="0"/>
        <w:spacing w:line="240" w:lineRule="auto"/>
        <w:ind w:firstLine="0" w:firstLineChars="0"/>
        <w:jc w:val="right"/>
        <w:rPr>
          <w:sz w:val="21"/>
        </w:rPr>
      </w:pPr>
      <w:r>
        <w:rPr>
          <w:rFonts w:hint="eastAsia"/>
          <w:sz w:val="21"/>
        </w:rPr>
        <w:t xml:space="preserve">   </w:t>
      </w:r>
      <w:r>
        <w:rPr>
          <w:sz w:val="21"/>
        </w:rPr>
        <w:t>单位：公顷、%</w:t>
      </w:r>
    </w:p>
    <w:tbl>
      <w:tblPr>
        <w:tblStyle w:val="17"/>
        <w:tblW w:w="5000"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818"/>
        <w:gridCol w:w="2977"/>
        <w:gridCol w:w="1415"/>
        <w:gridCol w:w="1420"/>
        <w:gridCol w:w="1415"/>
        <w:gridCol w:w="1701"/>
        <w:gridCol w:w="1418"/>
        <w:gridCol w:w="1418"/>
        <w:gridCol w:w="159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339" w:type="pct"/>
            <w:gridSpan w:val="2"/>
            <w:vMerge w:val="restart"/>
            <w:shd w:val="clear" w:color="auto" w:fill="auto"/>
            <w:noWrap/>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地</w:t>
            </w:r>
            <w:r>
              <w:rPr>
                <w:rFonts w:cs="Times New Roman"/>
                <w:b/>
                <w:bCs/>
                <w:color w:val="000000"/>
                <w:kern w:val="0"/>
                <w:sz w:val="18"/>
                <w:szCs w:val="18"/>
              </w:rPr>
              <w:t xml:space="preserve">  </w:t>
            </w:r>
            <w:r>
              <w:rPr>
                <w:rFonts w:hint="eastAsia" w:ascii="仿宋_GB2312" w:hAnsi="宋体" w:cs="宋体"/>
                <w:b/>
                <w:bCs/>
                <w:color w:val="000000"/>
                <w:kern w:val="0"/>
                <w:sz w:val="18"/>
                <w:szCs w:val="18"/>
              </w:rPr>
              <w:t>类</w:t>
            </w:r>
          </w:p>
        </w:tc>
        <w:tc>
          <w:tcPr>
            <w:tcW w:w="1000" w:type="pct"/>
            <w:gridSpan w:val="2"/>
            <w:shd w:val="clear" w:color="auto" w:fill="auto"/>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评估时点（</w:t>
            </w:r>
            <w:r>
              <w:rPr>
                <w:rFonts w:cs="Times New Roman"/>
                <w:b/>
                <w:bCs/>
                <w:color w:val="000000"/>
                <w:kern w:val="0"/>
                <w:sz w:val="18"/>
                <w:szCs w:val="18"/>
              </w:rPr>
              <w:t>2018</w:t>
            </w:r>
            <w:r>
              <w:rPr>
                <w:rFonts w:hint="eastAsia" w:ascii="仿宋_GB2312" w:hAnsi="宋体" w:cs="宋体"/>
                <w:b/>
                <w:bCs/>
                <w:color w:val="000000"/>
                <w:kern w:val="0"/>
                <w:sz w:val="18"/>
                <w:szCs w:val="18"/>
              </w:rPr>
              <w:t>年）</w:t>
            </w:r>
          </w:p>
        </w:tc>
        <w:tc>
          <w:tcPr>
            <w:tcW w:w="1099" w:type="pct"/>
            <w:gridSpan w:val="2"/>
            <w:shd w:val="clear" w:color="auto" w:fill="auto"/>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修改前规划目标（</w:t>
            </w:r>
            <w:r>
              <w:rPr>
                <w:rFonts w:cs="Times New Roman"/>
                <w:b/>
                <w:bCs/>
                <w:color w:val="000000"/>
                <w:kern w:val="0"/>
                <w:sz w:val="18"/>
                <w:szCs w:val="18"/>
              </w:rPr>
              <w:t>2020</w:t>
            </w:r>
            <w:r>
              <w:rPr>
                <w:rFonts w:hint="eastAsia" w:ascii="仿宋_GB2312" w:hAnsi="宋体" w:cs="宋体"/>
                <w:b/>
                <w:bCs/>
                <w:color w:val="000000"/>
                <w:kern w:val="0"/>
                <w:sz w:val="18"/>
                <w:szCs w:val="18"/>
              </w:rPr>
              <w:t>年）</w:t>
            </w:r>
          </w:p>
        </w:tc>
        <w:tc>
          <w:tcPr>
            <w:tcW w:w="1000" w:type="pct"/>
            <w:gridSpan w:val="2"/>
            <w:shd w:val="clear" w:color="auto" w:fill="auto"/>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修改后规划目标（</w:t>
            </w:r>
            <w:r>
              <w:rPr>
                <w:rFonts w:cs="Times New Roman"/>
                <w:b/>
                <w:bCs/>
                <w:color w:val="000000"/>
                <w:kern w:val="0"/>
                <w:sz w:val="18"/>
                <w:szCs w:val="18"/>
              </w:rPr>
              <w:t>2020</w:t>
            </w:r>
            <w:r>
              <w:rPr>
                <w:rFonts w:hint="eastAsia" w:ascii="仿宋_GB2312" w:hAnsi="宋体" w:cs="宋体"/>
                <w:b/>
                <w:bCs/>
                <w:color w:val="000000"/>
                <w:kern w:val="0"/>
                <w:sz w:val="18"/>
                <w:szCs w:val="18"/>
              </w:rPr>
              <w:t>年）</w:t>
            </w:r>
          </w:p>
        </w:tc>
        <w:tc>
          <w:tcPr>
            <w:tcW w:w="562" w:type="pct"/>
            <w:vMerge w:val="restart"/>
            <w:shd w:val="clear" w:color="auto" w:fill="auto"/>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修改后</w:t>
            </w:r>
            <w:r>
              <w:rPr>
                <w:rFonts w:cs="Times New Roman"/>
                <w:b/>
                <w:bCs/>
                <w:color w:val="000000"/>
                <w:kern w:val="0"/>
                <w:sz w:val="18"/>
                <w:szCs w:val="18"/>
              </w:rPr>
              <w:t>-</w:t>
            </w:r>
            <w:r>
              <w:rPr>
                <w:rFonts w:hint="eastAsia" w:ascii="仿宋_GB2312" w:hAnsi="宋体" w:cs="宋体"/>
                <w:b/>
                <w:bCs/>
                <w:color w:val="000000"/>
                <w:kern w:val="0"/>
                <w:sz w:val="18"/>
                <w:szCs w:val="18"/>
              </w:rPr>
              <w:t>修改前</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05" w:hRule="atLeast"/>
        </w:trPr>
        <w:tc>
          <w:tcPr>
            <w:tcW w:w="1339" w:type="pct"/>
            <w:gridSpan w:val="2"/>
            <w:vMerge w:val="continue"/>
            <w:vAlign w:val="center"/>
          </w:tcPr>
          <w:p>
            <w:pPr>
              <w:widowControl/>
              <w:spacing w:line="240" w:lineRule="auto"/>
              <w:ind w:firstLine="0" w:firstLineChars="0"/>
              <w:jc w:val="left"/>
              <w:rPr>
                <w:rFonts w:ascii="仿宋_GB2312" w:hAnsi="宋体" w:cs="宋体"/>
                <w:b/>
                <w:bCs/>
                <w:color w:val="000000"/>
                <w:kern w:val="0"/>
                <w:sz w:val="18"/>
                <w:szCs w:val="18"/>
              </w:rPr>
            </w:pPr>
          </w:p>
        </w:tc>
        <w:tc>
          <w:tcPr>
            <w:tcW w:w="499" w:type="pct"/>
            <w:shd w:val="clear" w:color="auto" w:fill="auto"/>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面积</w:t>
            </w:r>
          </w:p>
        </w:tc>
        <w:tc>
          <w:tcPr>
            <w:tcW w:w="501" w:type="pct"/>
            <w:shd w:val="clear" w:color="auto" w:fill="auto"/>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占土地总面积比例（</w:t>
            </w:r>
            <w:r>
              <w:rPr>
                <w:rFonts w:cs="Times New Roman"/>
                <w:b/>
                <w:bCs/>
                <w:color w:val="000000"/>
                <w:kern w:val="0"/>
                <w:sz w:val="18"/>
                <w:szCs w:val="18"/>
              </w:rPr>
              <w:t>%</w:t>
            </w:r>
            <w:r>
              <w:rPr>
                <w:rFonts w:hint="eastAsia" w:ascii="仿宋_GB2312" w:hAnsi="宋体" w:cs="宋体"/>
                <w:b/>
                <w:bCs/>
                <w:color w:val="000000"/>
                <w:kern w:val="0"/>
                <w:sz w:val="18"/>
                <w:szCs w:val="18"/>
              </w:rPr>
              <w:t>）</w:t>
            </w:r>
          </w:p>
        </w:tc>
        <w:tc>
          <w:tcPr>
            <w:tcW w:w="499" w:type="pct"/>
            <w:shd w:val="clear" w:color="auto" w:fill="auto"/>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面积</w:t>
            </w:r>
          </w:p>
        </w:tc>
        <w:tc>
          <w:tcPr>
            <w:tcW w:w="600" w:type="pct"/>
            <w:shd w:val="clear" w:color="auto" w:fill="auto"/>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占土地总面积比例（</w:t>
            </w:r>
            <w:r>
              <w:rPr>
                <w:rFonts w:cs="Times New Roman"/>
                <w:b/>
                <w:bCs/>
                <w:color w:val="000000"/>
                <w:kern w:val="0"/>
                <w:sz w:val="18"/>
                <w:szCs w:val="18"/>
              </w:rPr>
              <w:t>%</w:t>
            </w:r>
            <w:r>
              <w:rPr>
                <w:rFonts w:hint="eastAsia" w:ascii="仿宋_GB2312" w:hAnsi="宋体" w:cs="宋体"/>
                <w:b/>
                <w:bCs/>
                <w:color w:val="000000"/>
                <w:kern w:val="0"/>
                <w:sz w:val="18"/>
                <w:szCs w:val="18"/>
              </w:rPr>
              <w:t>）</w:t>
            </w:r>
          </w:p>
        </w:tc>
        <w:tc>
          <w:tcPr>
            <w:tcW w:w="500" w:type="pct"/>
            <w:shd w:val="clear" w:color="auto" w:fill="auto"/>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面积</w:t>
            </w:r>
          </w:p>
        </w:tc>
        <w:tc>
          <w:tcPr>
            <w:tcW w:w="500" w:type="pct"/>
            <w:shd w:val="clear" w:color="auto" w:fill="auto"/>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占土地总面积比例（</w:t>
            </w:r>
            <w:r>
              <w:rPr>
                <w:rFonts w:cs="Times New Roman"/>
                <w:b/>
                <w:bCs/>
                <w:color w:val="000000"/>
                <w:kern w:val="0"/>
                <w:sz w:val="18"/>
                <w:szCs w:val="18"/>
              </w:rPr>
              <w:t>%</w:t>
            </w:r>
            <w:r>
              <w:rPr>
                <w:rFonts w:hint="eastAsia" w:ascii="仿宋_GB2312" w:hAnsi="宋体" w:cs="宋体"/>
                <w:b/>
                <w:bCs/>
                <w:color w:val="000000"/>
                <w:kern w:val="0"/>
                <w:sz w:val="18"/>
                <w:szCs w:val="18"/>
              </w:rPr>
              <w:t>）</w:t>
            </w:r>
          </w:p>
        </w:tc>
        <w:tc>
          <w:tcPr>
            <w:tcW w:w="562" w:type="pct"/>
            <w:vMerge w:val="continue"/>
            <w:vAlign w:val="center"/>
          </w:tcPr>
          <w:p>
            <w:pPr>
              <w:widowControl/>
              <w:spacing w:line="240" w:lineRule="auto"/>
              <w:ind w:firstLine="0" w:firstLineChars="0"/>
              <w:jc w:val="left"/>
              <w:rPr>
                <w:rFonts w:ascii="仿宋_GB2312" w:hAnsi="宋体" w:cs="宋体"/>
                <w:b/>
                <w:bCs/>
                <w:color w:val="000000"/>
                <w:kern w:val="0"/>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289" w:type="pct"/>
            <w:vMerge w:val="restart"/>
            <w:shd w:val="clear" w:color="auto" w:fill="auto"/>
            <w:noWrap/>
            <w:textDirection w:val="tbRlV"/>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农用地</w:t>
            </w:r>
          </w:p>
        </w:tc>
        <w:tc>
          <w:tcPr>
            <w:tcW w:w="1050" w:type="pct"/>
            <w:shd w:val="clear" w:color="auto" w:fill="auto"/>
            <w:noWrap/>
            <w:vAlign w:val="center"/>
          </w:tcPr>
          <w:p>
            <w:pPr>
              <w:widowControl/>
              <w:spacing w:line="240" w:lineRule="auto"/>
              <w:ind w:firstLine="0" w:firstLineChars="0"/>
              <w:jc w:val="left"/>
              <w:rPr>
                <w:rFonts w:ascii="仿宋_GB2312" w:hAnsi="宋体" w:cs="宋体"/>
                <w:b/>
                <w:bCs/>
                <w:color w:val="000000"/>
                <w:kern w:val="0"/>
                <w:sz w:val="18"/>
                <w:szCs w:val="18"/>
              </w:rPr>
            </w:pPr>
            <w:r>
              <w:rPr>
                <w:rFonts w:hint="eastAsia" w:ascii="仿宋_GB2312" w:hAnsi="宋体" w:cs="宋体"/>
                <w:b/>
                <w:bCs/>
                <w:color w:val="000000"/>
                <w:kern w:val="0"/>
                <w:sz w:val="18"/>
                <w:szCs w:val="18"/>
              </w:rPr>
              <w:t>农用地合计</w:t>
            </w:r>
          </w:p>
        </w:tc>
        <w:tc>
          <w:tcPr>
            <w:tcW w:w="499" w:type="pct"/>
            <w:shd w:val="clear" w:color="auto" w:fill="auto"/>
            <w:noWrap/>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38247.13 </w:t>
            </w:r>
          </w:p>
        </w:tc>
        <w:tc>
          <w:tcPr>
            <w:tcW w:w="501" w:type="pct"/>
            <w:shd w:val="clear" w:color="auto" w:fill="auto"/>
            <w:noWrap/>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90.55 </w:t>
            </w:r>
          </w:p>
        </w:tc>
        <w:tc>
          <w:tcPr>
            <w:tcW w:w="499" w:type="pct"/>
            <w:shd w:val="clear" w:color="auto" w:fill="auto"/>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38241.05 </w:t>
            </w:r>
          </w:p>
        </w:tc>
        <w:tc>
          <w:tcPr>
            <w:tcW w:w="600" w:type="pct"/>
            <w:shd w:val="clear" w:color="auto" w:fill="auto"/>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90.54 </w:t>
            </w:r>
          </w:p>
        </w:tc>
        <w:tc>
          <w:tcPr>
            <w:tcW w:w="500" w:type="pct"/>
            <w:shd w:val="clear" w:color="auto" w:fill="auto"/>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38224.82 </w:t>
            </w:r>
          </w:p>
        </w:tc>
        <w:tc>
          <w:tcPr>
            <w:tcW w:w="500" w:type="pct"/>
            <w:shd w:val="clear" w:color="auto" w:fill="auto"/>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90.50 </w:t>
            </w:r>
          </w:p>
        </w:tc>
        <w:tc>
          <w:tcPr>
            <w:tcW w:w="562" w:type="pct"/>
            <w:shd w:val="clear" w:color="auto" w:fill="auto"/>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-16.23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289" w:type="pct"/>
            <w:vMerge w:val="continue"/>
            <w:vAlign w:val="center"/>
          </w:tcPr>
          <w:p>
            <w:pPr>
              <w:widowControl/>
              <w:spacing w:line="240" w:lineRule="auto"/>
              <w:ind w:firstLine="0" w:firstLineChars="0"/>
              <w:jc w:val="left"/>
              <w:rPr>
                <w:rFonts w:ascii="仿宋_GB2312" w:hAnsi="宋体" w:cs="宋体"/>
                <w:b/>
                <w:bCs/>
                <w:color w:val="000000"/>
                <w:kern w:val="0"/>
                <w:sz w:val="18"/>
                <w:szCs w:val="18"/>
              </w:rPr>
            </w:pPr>
          </w:p>
        </w:tc>
        <w:tc>
          <w:tcPr>
            <w:tcW w:w="1050" w:type="pct"/>
            <w:shd w:val="clear" w:color="auto" w:fill="auto"/>
            <w:noWrap/>
            <w:vAlign w:val="center"/>
          </w:tcPr>
          <w:p>
            <w:pPr>
              <w:widowControl/>
              <w:spacing w:line="240" w:lineRule="auto"/>
              <w:ind w:firstLine="0" w:firstLineChars="0"/>
              <w:jc w:val="left"/>
              <w:rPr>
                <w:rFonts w:eastAsia="宋体" w:cs="Times New Roman"/>
                <w:color w:val="000000"/>
                <w:kern w:val="0"/>
                <w:sz w:val="18"/>
                <w:szCs w:val="18"/>
              </w:rPr>
            </w:pPr>
            <w:r>
              <w:rPr>
                <w:rFonts w:eastAsia="宋体" w:cs="Times New Roman"/>
                <w:color w:val="000000"/>
                <w:kern w:val="0"/>
                <w:sz w:val="18"/>
                <w:szCs w:val="18"/>
              </w:rPr>
              <w:t xml:space="preserve">  </w:t>
            </w:r>
            <w:r>
              <w:rPr>
                <w:rFonts w:hint="eastAsia" w:ascii="仿宋_GB2312" w:cs="Times New Roman"/>
                <w:color w:val="000000"/>
                <w:kern w:val="0"/>
                <w:sz w:val="18"/>
                <w:szCs w:val="18"/>
              </w:rPr>
              <w:t>耕地</w:t>
            </w:r>
          </w:p>
        </w:tc>
        <w:tc>
          <w:tcPr>
            <w:tcW w:w="499"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10483.40 </w:t>
            </w:r>
          </w:p>
        </w:tc>
        <w:tc>
          <w:tcPr>
            <w:tcW w:w="501"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24.82 </w:t>
            </w:r>
          </w:p>
        </w:tc>
        <w:tc>
          <w:tcPr>
            <w:tcW w:w="499"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9290.00 </w:t>
            </w:r>
          </w:p>
        </w:tc>
        <w:tc>
          <w:tcPr>
            <w:tcW w:w="6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22.00 </w:t>
            </w:r>
          </w:p>
        </w:tc>
        <w:tc>
          <w:tcPr>
            <w:tcW w:w="5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9272.54 </w:t>
            </w:r>
          </w:p>
        </w:tc>
        <w:tc>
          <w:tcPr>
            <w:tcW w:w="5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21.95 </w:t>
            </w:r>
          </w:p>
        </w:tc>
        <w:tc>
          <w:tcPr>
            <w:tcW w:w="562"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-17.46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289" w:type="pct"/>
            <w:vMerge w:val="continue"/>
            <w:vAlign w:val="center"/>
          </w:tcPr>
          <w:p>
            <w:pPr>
              <w:widowControl/>
              <w:spacing w:line="240" w:lineRule="auto"/>
              <w:ind w:firstLine="0" w:firstLineChars="0"/>
              <w:jc w:val="left"/>
              <w:rPr>
                <w:rFonts w:ascii="仿宋_GB2312" w:hAnsi="宋体" w:cs="宋体"/>
                <w:b/>
                <w:bCs/>
                <w:color w:val="000000"/>
                <w:kern w:val="0"/>
                <w:sz w:val="18"/>
                <w:szCs w:val="18"/>
              </w:rPr>
            </w:pPr>
          </w:p>
        </w:tc>
        <w:tc>
          <w:tcPr>
            <w:tcW w:w="1050" w:type="pct"/>
            <w:shd w:val="clear" w:color="auto" w:fill="auto"/>
            <w:noWrap/>
            <w:vAlign w:val="center"/>
          </w:tcPr>
          <w:p>
            <w:pPr>
              <w:widowControl/>
              <w:spacing w:line="240" w:lineRule="auto"/>
              <w:ind w:firstLine="0" w:firstLineChars="0"/>
              <w:jc w:val="left"/>
              <w:rPr>
                <w:rFonts w:eastAsia="宋体" w:cs="Times New Roman"/>
                <w:color w:val="000000"/>
                <w:kern w:val="0"/>
                <w:sz w:val="18"/>
                <w:szCs w:val="18"/>
              </w:rPr>
            </w:pPr>
            <w:r>
              <w:rPr>
                <w:rFonts w:eastAsia="宋体" w:cs="Times New Roman"/>
                <w:color w:val="000000"/>
                <w:kern w:val="0"/>
                <w:sz w:val="18"/>
                <w:szCs w:val="18"/>
              </w:rPr>
              <w:t xml:space="preserve">  </w:t>
            </w:r>
            <w:r>
              <w:rPr>
                <w:rFonts w:hint="eastAsia" w:ascii="仿宋_GB2312" w:cs="Times New Roman"/>
                <w:color w:val="000000"/>
                <w:kern w:val="0"/>
                <w:sz w:val="18"/>
                <w:szCs w:val="18"/>
              </w:rPr>
              <w:t>园地</w:t>
            </w:r>
          </w:p>
        </w:tc>
        <w:tc>
          <w:tcPr>
            <w:tcW w:w="499"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1834.83 </w:t>
            </w:r>
          </w:p>
        </w:tc>
        <w:tc>
          <w:tcPr>
            <w:tcW w:w="501"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4.34 </w:t>
            </w:r>
          </w:p>
        </w:tc>
        <w:tc>
          <w:tcPr>
            <w:tcW w:w="499"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2309.00 </w:t>
            </w:r>
          </w:p>
        </w:tc>
        <w:tc>
          <w:tcPr>
            <w:tcW w:w="6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5.47 </w:t>
            </w:r>
          </w:p>
        </w:tc>
        <w:tc>
          <w:tcPr>
            <w:tcW w:w="500"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2309.00 </w:t>
            </w:r>
          </w:p>
        </w:tc>
        <w:tc>
          <w:tcPr>
            <w:tcW w:w="5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5.47 </w:t>
            </w:r>
          </w:p>
        </w:tc>
        <w:tc>
          <w:tcPr>
            <w:tcW w:w="562"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0.00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289" w:type="pct"/>
            <w:vMerge w:val="continue"/>
            <w:vAlign w:val="center"/>
          </w:tcPr>
          <w:p>
            <w:pPr>
              <w:widowControl/>
              <w:spacing w:line="240" w:lineRule="auto"/>
              <w:ind w:firstLine="0" w:firstLineChars="0"/>
              <w:jc w:val="left"/>
              <w:rPr>
                <w:rFonts w:ascii="仿宋_GB2312" w:hAnsi="宋体" w:cs="宋体"/>
                <w:b/>
                <w:bCs/>
                <w:color w:val="000000"/>
                <w:kern w:val="0"/>
                <w:sz w:val="18"/>
                <w:szCs w:val="18"/>
              </w:rPr>
            </w:pPr>
          </w:p>
        </w:tc>
        <w:tc>
          <w:tcPr>
            <w:tcW w:w="1050" w:type="pct"/>
            <w:shd w:val="clear" w:color="auto" w:fill="auto"/>
            <w:noWrap/>
            <w:vAlign w:val="center"/>
          </w:tcPr>
          <w:p>
            <w:pPr>
              <w:widowControl/>
              <w:spacing w:line="240" w:lineRule="auto"/>
              <w:ind w:firstLine="0" w:firstLineChars="0"/>
              <w:jc w:val="left"/>
              <w:rPr>
                <w:rFonts w:eastAsia="宋体" w:cs="Times New Roman"/>
                <w:color w:val="000000"/>
                <w:kern w:val="0"/>
                <w:sz w:val="18"/>
                <w:szCs w:val="18"/>
              </w:rPr>
            </w:pPr>
            <w:r>
              <w:rPr>
                <w:rFonts w:eastAsia="宋体" w:cs="Times New Roman"/>
                <w:color w:val="000000"/>
                <w:kern w:val="0"/>
                <w:sz w:val="18"/>
                <w:szCs w:val="18"/>
              </w:rPr>
              <w:t xml:space="preserve">  </w:t>
            </w:r>
            <w:r>
              <w:rPr>
                <w:rFonts w:hint="eastAsia" w:ascii="仿宋_GB2312" w:cs="Times New Roman"/>
                <w:color w:val="000000"/>
                <w:kern w:val="0"/>
                <w:sz w:val="18"/>
                <w:szCs w:val="18"/>
              </w:rPr>
              <w:t>林地</w:t>
            </w:r>
          </w:p>
        </w:tc>
        <w:tc>
          <w:tcPr>
            <w:tcW w:w="499"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25767.11 </w:t>
            </w:r>
          </w:p>
        </w:tc>
        <w:tc>
          <w:tcPr>
            <w:tcW w:w="501"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61.01 </w:t>
            </w:r>
          </w:p>
        </w:tc>
        <w:tc>
          <w:tcPr>
            <w:tcW w:w="499"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26042.00 </w:t>
            </w:r>
          </w:p>
        </w:tc>
        <w:tc>
          <w:tcPr>
            <w:tcW w:w="6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61.66 </w:t>
            </w:r>
          </w:p>
        </w:tc>
        <w:tc>
          <w:tcPr>
            <w:tcW w:w="5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26043.26 </w:t>
            </w:r>
          </w:p>
        </w:tc>
        <w:tc>
          <w:tcPr>
            <w:tcW w:w="5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61.66 </w:t>
            </w:r>
          </w:p>
        </w:tc>
        <w:tc>
          <w:tcPr>
            <w:tcW w:w="562"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1.26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289" w:type="pct"/>
            <w:vMerge w:val="continue"/>
            <w:vAlign w:val="center"/>
          </w:tcPr>
          <w:p>
            <w:pPr>
              <w:widowControl/>
              <w:spacing w:line="240" w:lineRule="auto"/>
              <w:ind w:firstLine="0" w:firstLineChars="0"/>
              <w:jc w:val="left"/>
              <w:rPr>
                <w:rFonts w:ascii="仿宋_GB2312" w:hAnsi="宋体" w:cs="宋体"/>
                <w:b/>
                <w:bCs/>
                <w:color w:val="000000"/>
                <w:kern w:val="0"/>
                <w:sz w:val="18"/>
                <w:szCs w:val="18"/>
              </w:rPr>
            </w:pPr>
          </w:p>
        </w:tc>
        <w:tc>
          <w:tcPr>
            <w:tcW w:w="1050" w:type="pct"/>
            <w:shd w:val="clear" w:color="auto" w:fill="auto"/>
            <w:noWrap/>
            <w:vAlign w:val="center"/>
          </w:tcPr>
          <w:p>
            <w:pPr>
              <w:widowControl/>
              <w:spacing w:line="240" w:lineRule="auto"/>
              <w:ind w:firstLine="0" w:firstLineChars="0"/>
              <w:jc w:val="left"/>
              <w:rPr>
                <w:rFonts w:eastAsia="宋体" w:cs="Times New Roman"/>
                <w:color w:val="000000"/>
                <w:kern w:val="0"/>
                <w:sz w:val="18"/>
                <w:szCs w:val="18"/>
              </w:rPr>
            </w:pPr>
            <w:r>
              <w:rPr>
                <w:rFonts w:eastAsia="宋体" w:cs="Times New Roman"/>
                <w:color w:val="000000"/>
                <w:kern w:val="0"/>
                <w:sz w:val="18"/>
                <w:szCs w:val="18"/>
              </w:rPr>
              <w:t xml:space="preserve">  </w:t>
            </w:r>
            <w:r>
              <w:rPr>
                <w:rFonts w:hint="eastAsia" w:ascii="仿宋_GB2312" w:cs="Times New Roman"/>
                <w:color w:val="000000"/>
                <w:kern w:val="0"/>
                <w:sz w:val="18"/>
                <w:szCs w:val="18"/>
              </w:rPr>
              <w:t>其他农用地</w:t>
            </w:r>
          </w:p>
        </w:tc>
        <w:tc>
          <w:tcPr>
            <w:tcW w:w="499"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161.79 </w:t>
            </w:r>
          </w:p>
        </w:tc>
        <w:tc>
          <w:tcPr>
            <w:tcW w:w="501"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0.38 </w:t>
            </w:r>
          </w:p>
        </w:tc>
        <w:tc>
          <w:tcPr>
            <w:tcW w:w="499"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600.05 </w:t>
            </w:r>
          </w:p>
        </w:tc>
        <w:tc>
          <w:tcPr>
            <w:tcW w:w="6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1.42 </w:t>
            </w:r>
          </w:p>
        </w:tc>
        <w:tc>
          <w:tcPr>
            <w:tcW w:w="5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600.02 </w:t>
            </w:r>
          </w:p>
        </w:tc>
        <w:tc>
          <w:tcPr>
            <w:tcW w:w="5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1.42 </w:t>
            </w:r>
          </w:p>
        </w:tc>
        <w:tc>
          <w:tcPr>
            <w:tcW w:w="562"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-0.03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289" w:type="pct"/>
            <w:vMerge w:val="restart"/>
            <w:shd w:val="clear" w:color="auto" w:fill="auto"/>
            <w:noWrap/>
            <w:textDirection w:val="tbRlV"/>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建设用地</w:t>
            </w:r>
          </w:p>
        </w:tc>
        <w:tc>
          <w:tcPr>
            <w:tcW w:w="1050" w:type="pct"/>
            <w:shd w:val="clear" w:color="auto" w:fill="auto"/>
            <w:noWrap/>
            <w:vAlign w:val="center"/>
          </w:tcPr>
          <w:p>
            <w:pPr>
              <w:widowControl/>
              <w:spacing w:line="240" w:lineRule="auto"/>
              <w:ind w:firstLine="0" w:firstLineChars="0"/>
              <w:jc w:val="left"/>
              <w:rPr>
                <w:rFonts w:ascii="仿宋_GB2312" w:hAnsi="宋体" w:cs="宋体"/>
                <w:b/>
                <w:bCs/>
                <w:color w:val="000000"/>
                <w:kern w:val="0"/>
                <w:sz w:val="18"/>
                <w:szCs w:val="18"/>
              </w:rPr>
            </w:pPr>
            <w:r>
              <w:rPr>
                <w:rFonts w:hint="eastAsia" w:ascii="仿宋_GB2312" w:hAnsi="宋体" w:cs="宋体"/>
                <w:b/>
                <w:bCs/>
                <w:color w:val="000000"/>
                <w:kern w:val="0"/>
                <w:sz w:val="18"/>
                <w:szCs w:val="18"/>
              </w:rPr>
              <w:t>建设用地合计</w:t>
            </w:r>
          </w:p>
        </w:tc>
        <w:tc>
          <w:tcPr>
            <w:tcW w:w="499" w:type="pct"/>
            <w:shd w:val="clear" w:color="auto" w:fill="auto"/>
            <w:noWrap/>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3385.72 </w:t>
            </w:r>
          </w:p>
        </w:tc>
        <w:tc>
          <w:tcPr>
            <w:tcW w:w="501" w:type="pct"/>
            <w:shd w:val="clear" w:color="auto" w:fill="auto"/>
            <w:noWrap/>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8.02 </w:t>
            </w:r>
          </w:p>
        </w:tc>
        <w:tc>
          <w:tcPr>
            <w:tcW w:w="499" w:type="pct"/>
            <w:shd w:val="clear" w:color="auto" w:fill="auto"/>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3412.00 </w:t>
            </w:r>
          </w:p>
        </w:tc>
        <w:tc>
          <w:tcPr>
            <w:tcW w:w="600" w:type="pct"/>
            <w:shd w:val="clear" w:color="auto" w:fill="auto"/>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8.08 </w:t>
            </w:r>
          </w:p>
        </w:tc>
        <w:tc>
          <w:tcPr>
            <w:tcW w:w="500" w:type="pct"/>
            <w:shd w:val="clear" w:color="auto" w:fill="auto"/>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3428.23 </w:t>
            </w:r>
          </w:p>
        </w:tc>
        <w:tc>
          <w:tcPr>
            <w:tcW w:w="500" w:type="pct"/>
            <w:shd w:val="clear" w:color="auto" w:fill="auto"/>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8.12 </w:t>
            </w:r>
          </w:p>
        </w:tc>
        <w:tc>
          <w:tcPr>
            <w:tcW w:w="562" w:type="pct"/>
            <w:shd w:val="clear" w:color="auto" w:fill="auto"/>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16.23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289" w:type="pct"/>
            <w:vMerge w:val="continue"/>
            <w:vAlign w:val="center"/>
          </w:tcPr>
          <w:p>
            <w:pPr>
              <w:widowControl/>
              <w:spacing w:line="240" w:lineRule="auto"/>
              <w:ind w:firstLine="0" w:firstLineChars="0"/>
              <w:jc w:val="left"/>
              <w:rPr>
                <w:rFonts w:ascii="仿宋_GB2312" w:hAnsi="宋体" w:cs="宋体"/>
                <w:b/>
                <w:bCs/>
                <w:color w:val="000000"/>
                <w:kern w:val="0"/>
                <w:sz w:val="18"/>
                <w:szCs w:val="18"/>
              </w:rPr>
            </w:pPr>
          </w:p>
        </w:tc>
        <w:tc>
          <w:tcPr>
            <w:tcW w:w="1050" w:type="pct"/>
            <w:shd w:val="clear" w:color="auto" w:fill="auto"/>
            <w:noWrap/>
            <w:vAlign w:val="center"/>
          </w:tcPr>
          <w:p>
            <w:pPr>
              <w:widowControl/>
              <w:spacing w:line="240" w:lineRule="auto"/>
              <w:ind w:firstLine="0" w:firstLineChars="0"/>
              <w:jc w:val="left"/>
              <w:rPr>
                <w:rFonts w:eastAsia="宋体" w:cs="Times New Roman"/>
                <w:color w:val="000000"/>
                <w:kern w:val="0"/>
                <w:sz w:val="18"/>
                <w:szCs w:val="18"/>
              </w:rPr>
            </w:pPr>
            <w:r>
              <w:rPr>
                <w:rFonts w:hint="eastAsia" w:ascii="仿宋_GB2312" w:cs="Times New Roman"/>
                <w:color w:val="000000"/>
                <w:kern w:val="0"/>
                <w:sz w:val="18"/>
                <w:szCs w:val="18"/>
              </w:rPr>
              <w:t>城乡建设用地</w:t>
            </w:r>
          </w:p>
        </w:tc>
        <w:tc>
          <w:tcPr>
            <w:tcW w:w="499"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1509.15 </w:t>
            </w:r>
          </w:p>
        </w:tc>
        <w:tc>
          <w:tcPr>
            <w:tcW w:w="501"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3.57 </w:t>
            </w:r>
          </w:p>
        </w:tc>
        <w:tc>
          <w:tcPr>
            <w:tcW w:w="499"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1519.00 </w:t>
            </w:r>
          </w:p>
        </w:tc>
        <w:tc>
          <w:tcPr>
            <w:tcW w:w="6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3.60 </w:t>
            </w:r>
          </w:p>
        </w:tc>
        <w:tc>
          <w:tcPr>
            <w:tcW w:w="5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1535.23 </w:t>
            </w:r>
          </w:p>
        </w:tc>
        <w:tc>
          <w:tcPr>
            <w:tcW w:w="5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3.63 </w:t>
            </w:r>
          </w:p>
        </w:tc>
        <w:tc>
          <w:tcPr>
            <w:tcW w:w="562"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16.23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289" w:type="pct"/>
            <w:vMerge w:val="continue"/>
            <w:vAlign w:val="center"/>
          </w:tcPr>
          <w:p>
            <w:pPr>
              <w:widowControl/>
              <w:spacing w:line="240" w:lineRule="auto"/>
              <w:ind w:firstLine="0" w:firstLineChars="0"/>
              <w:jc w:val="left"/>
              <w:rPr>
                <w:rFonts w:ascii="仿宋_GB2312" w:hAnsi="宋体" w:cs="宋体"/>
                <w:b/>
                <w:bCs/>
                <w:color w:val="000000"/>
                <w:kern w:val="0"/>
                <w:sz w:val="18"/>
                <w:szCs w:val="18"/>
              </w:rPr>
            </w:pPr>
          </w:p>
        </w:tc>
        <w:tc>
          <w:tcPr>
            <w:tcW w:w="1050" w:type="pct"/>
            <w:shd w:val="clear" w:color="auto" w:fill="auto"/>
            <w:noWrap/>
            <w:vAlign w:val="center"/>
          </w:tcPr>
          <w:p>
            <w:pPr>
              <w:widowControl/>
              <w:spacing w:line="240" w:lineRule="auto"/>
              <w:ind w:firstLine="180" w:firstLineChars="100"/>
              <w:rPr>
                <w:rFonts w:ascii="仿宋_GB2312" w:hAnsi="宋体" w:cs="宋体"/>
                <w:color w:val="000000"/>
                <w:kern w:val="0"/>
                <w:sz w:val="18"/>
                <w:szCs w:val="18"/>
              </w:rPr>
            </w:pPr>
            <w:r>
              <w:rPr>
                <w:rFonts w:hint="eastAsia" w:ascii="仿宋_GB2312" w:hAnsi="宋体" w:cs="宋体"/>
                <w:color w:val="000000"/>
                <w:kern w:val="0"/>
                <w:sz w:val="18"/>
                <w:szCs w:val="18"/>
              </w:rPr>
              <w:t>城镇工矿用地</w:t>
            </w:r>
          </w:p>
        </w:tc>
        <w:tc>
          <w:tcPr>
            <w:tcW w:w="499"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629.81 </w:t>
            </w:r>
          </w:p>
        </w:tc>
        <w:tc>
          <w:tcPr>
            <w:tcW w:w="501"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1.49 </w:t>
            </w:r>
          </w:p>
        </w:tc>
        <w:tc>
          <w:tcPr>
            <w:tcW w:w="499"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1509.15 </w:t>
            </w:r>
          </w:p>
        </w:tc>
        <w:tc>
          <w:tcPr>
            <w:tcW w:w="6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3.57 </w:t>
            </w:r>
          </w:p>
        </w:tc>
        <w:tc>
          <w:tcPr>
            <w:tcW w:w="5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1525.38 </w:t>
            </w:r>
          </w:p>
        </w:tc>
        <w:tc>
          <w:tcPr>
            <w:tcW w:w="5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3.61 </w:t>
            </w:r>
          </w:p>
        </w:tc>
        <w:tc>
          <w:tcPr>
            <w:tcW w:w="562"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16.23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289" w:type="pct"/>
            <w:vMerge w:val="continue"/>
            <w:vAlign w:val="center"/>
          </w:tcPr>
          <w:p>
            <w:pPr>
              <w:widowControl/>
              <w:spacing w:line="240" w:lineRule="auto"/>
              <w:ind w:firstLine="0" w:firstLineChars="0"/>
              <w:jc w:val="left"/>
              <w:rPr>
                <w:rFonts w:ascii="仿宋_GB2312" w:hAnsi="宋体" w:cs="宋体"/>
                <w:b/>
                <w:bCs/>
                <w:color w:val="000000"/>
                <w:kern w:val="0"/>
                <w:sz w:val="18"/>
                <w:szCs w:val="18"/>
              </w:rPr>
            </w:pPr>
          </w:p>
        </w:tc>
        <w:tc>
          <w:tcPr>
            <w:tcW w:w="1050" w:type="pct"/>
            <w:shd w:val="clear" w:color="auto" w:fill="auto"/>
            <w:noWrap/>
            <w:vAlign w:val="center"/>
          </w:tcPr>
          <w:p>
            <w:pPr>
              <w:widowControl/>
              <w:spacing w:line="240" w:lineRule="auto"/>
              <w:ind w:firstLine="360"/>
              <w:rPr>
                <w:rFonts w:eastAsia="宋体" w:cs="Times New Roman"/>
                <w:color w:val="000000"/>
                <w:kern w:val="0"/>
                <w:sz w:val="18"/>
                <w:szCs w:val="18"/>
              </w:rPr>
            </w:pPr>
            <w:r>
              <w:rPr>
                <w:rFonts w:hint="eastAsia" w:ascii="仿宋_GB2312" w:cs="Times New Roman"/>
                <w:color w:val="000000"/>
                <w:kern w:val="0"/>
                <w:sz w:val="18"/>
                <w:szCs w:val="18"/>
              </w:rPr>
              <w:t>农村居民点用地</w:t>
            </w:r>
          </w:p>
        </w:tc>
        <w:tc>
          <w:tcPr>
            <w:tcW w:w="499"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879.34 </w:t>
            </w:r>
          </w:p>
        </w:tc>
        <w:tc>
          <w:tcPr>
            <w:tcW w:w="501"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2.08 </w:t>
            </w:r>
          </w:p>
        </w:tc>
        <w:tc>
          <w:tcPr>
            <w:tcW w:w="499"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840.00 </w:t>
            </w:r>
          </w:p>
        </w:tc>
        <w:tc>
          <w:tcPr>
            <w:tcW w:w="6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1.99 </w:t>
            </w:r>
          </w:p>
        </w:tc>
        <w:tc>
          <w:tcPr>
            <w:tcW w:w="500"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840.00 </w:t>
            </w:r>
          </w:p>
        </w:tc>
        <w:tc>
          <w:tcPr>
            <w:tcW w:w="5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1.99 </w:t>
            </w:r>
          </w:p>
        </w:tc>
        <w:tc>
          <w:tcPr>
            <w:tcW w:w="562"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0.00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289" w:type="pct"/>
            <w:vMerge w:val="continue"/>
            <w:vAlign w:val="center"/>
          </w:tcPr>
          <w:p>
            <w:pPr>
              <w:widowControl/>
              <w:spacing w:line="240" w:lineRule="auto"/>
              <w:ind w:firstLine="0" w:firstLineChars="0"/>
              <w:jc w:val="left"/>
              <w:rPr>
                <w:rFonts w:ascii="仿宋_GB2312" w:hAnsi="宋体" w:cs="宋体"/>
                <w:b/>
                <w:bCs/>
                <w:color w:val="000000"/>
                <w:kern w:val="0"/>
                <w:sz w:val="18"/>
                <w:szCs w:val="18"/>
              </w:rPr>
            </w:pPr>
          </w:p>
        </w:tc>
        <w:tc>
          <w:tcPr>
            <w:tcW w:w="1050" w:type="pct"/>
            <w:shd w:val="clear" w:color="auto" w:fill="auto"/>
            <w:noWrap/>
            <w:vAlign w:val="center"/>
          </w:tcPr>
          <w:p>
            <w:pPr>
              <w:widowControl/>
              <w:spacing w:line="240" w:lineRule="auto"/>
              <w:ind w:firstLine="0" w:firstLineChars="0"/>
              <w:jc w:val="left"/>
              <w:rPr>
                <w:rFonts w:eastAsia="宋体" w:cs="Times New Roman"/>
                <w:color w:val="000000"/>
                <w:kern w:val="0"/>
                <w:sz w:val="18"/>
                <w:szCs w:val="18"/>
              </w:rPr>
            </w:pPr>
            <w:r>
              <w:rPr>
                <w:rFonts w:eastAsia="宋体" w:cs="Times New Roman"/>
                <w:color w:val="000000"/>
                <w:kern w:val="0"/>
                <w:sz w:val="18"/>
                <w:szCs w:val="18"/>
              </w:rPr>
              <w:t xml:space="preserve"> </w:t>
            </w:r>
            <w:r>
              <w:rPr>
                <w:rFonts w:hint="eastAsia" w:ascii="仿宋_GB2312" w:cs="Times New Roman"/>
                <w:color w:val="000000"/>
                <w:kern w:val="0"/>
                <w:sz w:val="18"/>
                <w:szCs w:val="18"/>
              </w:rPr>
              <w:t>交通水利及其他建设用地</w:t>
            </w:r>
          </w:p>
        </w:tc>
        <w:tc>
          <w:tcPr>
            <w:tcW w:w="499"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1876.57 </w:t>
            </w:r>
          </w:p>
        </w:tc>
        <w:tc>
          <w:tcPr>
            <w:tcW w:w="501"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4.44 </w:t>
            </w:r>
          </w:p>
        </w:tc>
        <w:tc>
          <w:tcPr>
            <w:tcW w:w="499"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1893.00 </w:t>
            </w:r>
          </w:p>
        </w:tc>
        <w:tc>
          <w:tcPr>
            <w:tcW w:w="6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4.48 </w:t>
            </w:r>
          </w:p>
        </w:tc>
        <w:tc>
          <w:tcPr>
            <w:tcW w:w="5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1893.00 </w:t>
            </w:r>
          </w:p>
        </w:tc>
        <w:tc>
          <w:tcPr>
            <w:tcW w:w="5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4.48 </w:t>
            </w:r>
          </w:p>
        </w:tc>
        <w:tc>
          <w:tcPr>
            <w:tcW w:w="562"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0.00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289" w:type="pct"/>
            <w:vMerge w:val="restart"/>
            <w:shd w:val="clear" w:color="auto" w:fill="auto"/>
            <w:noWrap/>
            <w:textDirection w:val="tbRlV"/>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其他土地</w:t>
            </w:r>
          </w:p>
        </w:tc>
        <w:tc>
          <w:tcPr>
            <w:tcW w:w="1050" w:type="pct"/>
            <w:shd w:val="clear" w:color="auto" w:fill="auto"/>
            <w:noWrap/>
            <w:vAlign w:val="center"/>
          </w:tcPr>
          <w:p>
            <w:pPr>
              <w:widowControl/>
              <w:spacing w:line="240" w:lineRule="auto"/>
              <w:ind w:firstLine="0" w:firstLineChars="0"/>
              <w:jc w:val="left"/>
              <w:rPr>
                <w:rFonts w:ascii="仿宋_GB2312" w:hAnsi="宋体" w:cs="宋体"/>
                <w:b/>
                <w:bCs/>
                <w:color w:val="000000"/>
                <w:kern w:val="0"/>
                <w:sz w:val="18"/>
                <w:szCs w:val="18"/>
              </w:rPr>
            </w:pPr>
            <w:r>
              <w:rPr>
                <w:rFonts w:hint="eastAsia" w:ascii="仿宋_GB2312" w:hAnsi="宋体" w:cs="宋体"/>
                <w:b/>
                <w:bCs/>
                <w:color w:val="000000"/>
                <w:kern w:val="0"/>
                <w:sz w:val="18"/>
                <w:szCs w:val="18"/>
              </w:rPr>
              <w:t>其他土地合计</w:t>
            </w:r>
          </w:p>
        </w:tc>
        <w:tc>
          <w:tcPr>
            <w:tcW w:w="499" w:type="pct"/>
            <w:shd w:val="clear" w:color="auto" w:fill="auto"/>
            <w:noWrap/>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603.05 </w:t>
            </w:r>
          </w:p>
        </w:tc>
        <w:tc>
          <w:tcPr>
            <w:tcW w:w="501" w:type="pct"/>
            <w:shd w:val="clear" w:color="auto" w:fill="auto"/>
            <w:noWrap/>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1.43 </w:t>
            </w:r>
          </w:p>
        </w:tc>
        <w:tc>
          <w:tcPr>
            <w:tcW w:w="499" w:type="pct"/>
            <w:shd w:val="clear" w:color="auto" w:fill="auto"/>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582.85 </w:t>
            </w:r>
          </w:p>
        </w:tc>
        <w:tc>
          <w:tcPr>
            <w:tcW w:w="600" w:type="pct"/>
            <w:shd w:val="clear" w:color="auto" w:fill="auto"/>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1.38 </w:t>
            </w:r>
          </w:p>
        </w:tc>
        <w:tc>
          <w:tcPr>
            <w:tcW w:w="500" w:type="pct"/>
            <w:shd w:val="clear" w:color="auto" w:fill="auto"/>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582.85 </w:t>
            </w:r>
          </w:p>
        </w:tc>
        <w:tc>
          <w:tcPr>
            <w:tcW w:w="500" w:type="pct"/>
            <w:shd w:val="clear" w:color="auto" w:fill="auto"/>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1.38 </w:t>
            </w:r>
          </w:p>
        </w:tc>
        <w:tc>
          <w:tcPr>
            <w:tcW w:w="562" w:type="pct"/>
            <w:shd w:val="clear" w:color="auto" w:fill="auto"/>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0.00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289" w:type="pct"/>
            <w:vMerge w:val="continue"/>
            <w:vAlign w:val="center"/>
          </w:tcPr>
          <w:p>
            <w:pPr>
              <w:widowControl/>
              <w:spacing w:line="240" w:lineRule="auto"/>
              <w:ind w:firstLine="0" w:firstLineChars="0"/>
              <w:jc w:val="left"/>
              <w:rPr>
                <w:rFonts w:ascii="仿宋_GB2312" w:hAnsi="宋体" w:cs="宋体"/>
                <w:b/>
                <w:bCs/>
                <w:color w:val="000000"/>
                <w:kern w:val="0"/>
                <w:sz w:val="18"/>
                <w:szCs w:val="18"/>
              </w:rPr>
            </w:pPr>
          </w:p>
        </w:tc>
        <w:tc>
          <w:tcPr>
            <w:tcW w:w="1050" w:type="pct"/>
            <w:shd w:val="clear" w:color="auto" w:fill="auto"/>
            <w:noWrap/>
            <w:vAlign w:val="center"/>
          </w:tcPr>
          <w:p>
            <w:pPr>
              <w:widowControl/>
              <w:spacing w:line="240" w:lineRule="auto"/>
              <w:ind w:firstLine="0" w:firstLineChars="0"/>
              <w:jc w:val="left"/>
              <w:rPr>
                <w:rFonts w:eastAsia="宋体" w:cs="Times New Roman"/>
                <w:color w:val="000000"/>
                <w:kern w:val="0"/>
                <w:sz w:val="18"/>
                <w:szCs w:val="18"/>
              </w:rPr>
            </w:pPr>
            <w:r>
              <w:rPr>
                <w:rFonts w:eastAsia="宋体" w:cs="Times New Roman"/>
                <w:color w:val="000000"/>
                <w:kern w:val="0"/>
                <w:sz w:val="18"/>
                <w:szCs w:val="18"/>
              </w:rPr>
              <w:t xml:space="preserve">  </w:t>
            </w:r>
            <w:r>
              <w:rPr>
                <w:rFonts w:hint="eastAsia" w:ascii="仿宋_GB2312" w:cs="Times New Roman"/>
                <w:color w:val="000000"/>
                <w:kern w:val="0"/>
                <w:sz w:val="18"/>
                <w:szCs w:val="18"/>
              </w:rPr>
              <w:t>水域</w:t>
            </w:r>
          </w:p>
        </w:tc>
        <w:tc>
          <w:tcPr>
            <w:tcW w:w="499"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224.87 </w:t>
            </w:r>
          </w:p>
        </w:tc>
        <w:tc>
          <w:tcPr>
            <w:tcW w:w="501"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0.53 </w:t>
            </w:r>
          </w:p>
        </w:tc>
        <w:tc>
          <w:tcPr>
            <w:tcW w:w="499"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204.20 </w:t>
            </w:r>
          </w:p>
        </w:tc>
        <w:tc>
          <w:tcPr>
            <w:tcW w:w="6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0.48 </w:t>
            </w:r>
          </w:p>
        </w:tc>
        <w:tc>
          <w:tcPr>
            <w:tcW w:w="5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204.20 </w:t>
            </w:r>
          </w:p>
        </w:tc>
        <w:tc>
          <w:tcPr>
            <w:tcW w:w="5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0.48 </w:t>
            </w:r>
          </w:p>
        </w:tc>
        <w:tc>
          <w:tcPr>
            <w:tcW w:w="562"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0.00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289" w:type="pct"/>
            <w:vMerge w:val="continue"/>
            <w:vAlign w:val="center"/>
          </w:tcPr>
          <w:p>
            <w:pPr>
              <w:widowControl/>
              <w:spacing w:line="240" w:lineRule="auto"/>
              <w:ind w:firstLine="0" w:firstLineChars="0"/>
              <w:jc w:val="left"/>
              <w:rPr>
                <w:rFonts w:ascii="仿宋_GB2312" w:hAnsi="宋体" w:cs="宋体"/>
                <w:b/>
                <w:bCs/>
                <w:color w:val="000000"/>
                <w:kern w:val="0"/>
                <w:sz w:val="18"/>
                <w:szCs w:val="18"/>
              </w:rPr>
            </w:pPr>
          </w:p>
        </w:tc>
        <w:tc>
          <w:tcPr>
            <w:tcW w:w="1050" w:type="pct"/>
            <w:shd w:val="clear" w:color="auto" w:fill="auto"/>
            <w:noWrap/>
            <w:vAlign w:val="center"/>
          </w:tcPr>
          <w:p>
            <w:pPr>
              <w:widowControl/>
              <w:spacing w:line="240" w:lineRule="auto"/>
              <w:ind w:firstLine="0" w:firstLineChars="0"/>
              <w:jc w:val="left"/>
              <w:rPr>
                <w:rFonts w:eastAsia="宋体" w:cs="Times New Roman"/>
                <w:color w:val="000000"/>
                <w:kern w:val="0"/>
                <w:sz w:val="18"/>
                <w:szCs w:val="18"/>
              </w:rPr>
            </w:pPr>
            <w:r>
              <w:rPr>
                <w:rFonts w:eastAsia="宋体" w:cs="Times New Roman"/>
                <w:color w:val="000000"/>
                <w:kern w:val="0"/>
                <w:sz w:val="18"/>
                <w:szCs w:val="18"/>
              </w:rPr>
              <w:t xml:space="preserve">  </w:t>
            </w:r>
            <w:r>
              <w:rPr>
                <w:rFonts w:hint="eastAsia" w:ascii="仿宋_GB2312" w:cs="Times New Roman"/>
                <w:color w:val="000000"/>
                <w:kern w:val="0"/>
                <w:sz w:val="18"/>
                <w:szCs w:val="18"/>
              </w:rPr>
              <w:t>自然保留地</w:t>
            </w:r>
          </w:p>
        </w:tc>
        <w:tc>
          <w:tcPr>
            <w:tcW w:w="499"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378.18 </w:t>
            </w:r>
          </w:p>
        </w:tc>
        <w:tc>
          <w:tcPr>
            <w:tcW w:w="501" w:type="pct"/>
            <w:shd w:val="clear" w:color="auto" w:fill="auto"/>
            <w:noWrap/>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0.90 </w:t>
            </w:r>
          </w:p>
        </w:tc>
        <w:tc>
          <w:tcPr>
            <w:tcW w:w="499"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378.65 </w:t>
            </w:r>
          </w:p>
        </w:tc>
        <w:tc>
          <w:tcPr>
            <w:tcW w:w="6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0.90 </w:t>
            </w:r>
          </w:p>
        </w:tc>
        <w:tc>
          <w:tcPr>
            <w:tcW w:w="5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378.65 </w:t>
            </w:r>
          </w:p>
        </w:tc>
        <w:tc>
          <w:tcPr>
            <w:tcW w:w="500"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0.90 </w:t>
            </w:r>
          </w:p>
        </w:tc>
        <w:tc>
          <w:tcPr>
            <w:tcW w:w="562" w:type="pct"/>
            <w:shd w:val="clear" w:color="auto" w:fill="auto"/>
            <w:vAlign w:val="center"/>
          </w:tcPr>
          <w:p>
            <w:pPr>
              <w:widowControl/>
              <w:spacing w:line="240" w:lineRule="auto"/>
              <w:ind w:firstLine="0" w:firstLineChars="0"/>
              <w:jc w:val="center"/>
              <w:rPr>
                <w:rFonts w:eastAsia="宋体" w:cs="Times New Roman"/>
                <w:color w:val="000000"/>
                <w:kern w:val="0"/>
                <w:sz w:val="18"/>
                <w:szCs w:val="18"/>
              </w:rPr>
            </w:pPr>
            <w:r>
              <w:rPr>
                <w:rFonts w:eastAsia="宋体" w:cs="Times New Roman"/>
                <w:color w:val="000000"/>
                <w:kern w:val="0"/>
                <w:sz w:val="18"/>
                <w:szCs w:val="18"/>
              </w:rPr>
              <w:t xml:space="preserve">0.00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339" w:type="pct"/>
            <w:gridSpan w:val="2"/>
            <w:shd w:val="clear" w:color="auto" w:fill="auto"/>
            <w:noWrap/>
            <w:vAlign w:val="center"/>
          </w:tcPr>
          <w:p>
            <w:pPr>
              <w:widowControl/>
              <w:spacing w:line="240" w:lineRule="auto"/>
              <w:ind w:firstLine="0" w:firstLineChars="0"/>
              <w:jc w:val="center"/>
              <w:rPr>
                <w:rFonts w:ascii="仿宋_GB2312" w:hAnsi="宋体" w:cs="宋体"/>
                <w:b/>
                <w:bCs/>
                <w:color w:val="000000"/>
                <w:kern w:val="0"/>
                <w:sz w:val="18"/>
                <w:szCs w:val="18"/>
              </w:rPr>
            </w:pPr>
            <w:r>
              <w:rPr>
                <w:rFonts w:hint="eastAsia" w:ascii="仿宋_GB2312" w:hAnsi="宋体" w:cs="宋体"/>
                <w:b/>
                <w:bCs/>
                <w:color w:val="000000"/>
                <w:kern w:val="0"/>
                <w:sz w:val="18"/>
                <w:szCs w:val="18"/>
              </w:rPr>
              <w:t>土地总面积</w:t>
            </w:r>
          </w:p>
        </w:tc>
        <w:tc>
          <w:tcPr>
            <w:tcW w:w="499" w:type="pct"/>
            <w:shd w:val="clear" w:color="auto" w:fill="auto"/>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42235.90 </w:t>
            </w:r>
          </w:p>
        </w:tc>
        <w:tc>
          <w:tcPr>
            <w:tcW w:w="501" w:type="pct"/>
            <w:shd w:val="clear" w:color="auto" w:fill="auto"/>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100.00 </w:t>
            </w:r>
          </w:p>
        </w:tc>
        <w:tc>
          <w:tcPr>
            <w:tcW w:w="499" w:type="pct"/>
            <w:shd w:val="clear" w:color="auto" w:fill="auto"/>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42235.90 </w:t>
            </w:r>
          </w:p>
        </w:tc>
        <w:tc>
          <w:tcPr>
            <w:tcW w:w="600" w:type="pct"/>
            <w:shd w:val="clear" w:color="auto" w:fill="auto"/>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100.00 </w:t>
            </w:r>
          </w:p>
        </w:tc>
        <w:tc>
          <w:tcPr>
            <w:tcW w:w="500" w:type="pct"/>
            <w:shd w:val="clear" w:color="auto" w:fill="auto"/>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42235.90 </w:t>
            </w:r>
          </w:p>
        </w:tc>
        <w:tc>
          <w:tcPr>
            <w:tcW w:w="500" w:type="pct"/>
            <w:shd w:val="clear" w:color="auto" w:fill="auto"/>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100.00 </w:t>
            </w:r>
          </w:p>
        </w:tc>
        <w:tc>
          <w:tcPr>
            <w:tcW w:w="562" w:type="pct"/>
            <w:shd w:val="clear" w:color="auto" w:fill="auto"/>
            <w:vAlign w:val="center"/>
          </w:tcPr>
          <w:p>
            <w:pPr>
              <w:widowControl/>
              <w:spacing w:line="240" w:lineRule="auto"/>
              <w:ind w:firstLine="0" w:firstLineChars="0"/>
              <w:jc w:val="center"/>
              <w:rPr>
                <w:rFonts w:eastAsia="宋体" w:cs="Times New Roman"/>
                <w:b/>
                <w:bCs/>
                <w:color w:val="000000"/>
                <w:kern w:val="0"/>
                <w:sz w:val="18"/>
                <w:szCs w:val="18"/>
              </w:rPr>
            </w:pPr>
            <w:r>
              <w:rPr>
                <w:rFonts w:eastAsia="宋体" w:cs="Times New Roman"/>
                <w:b/>
                <w:bCs/>
                <w:color w:val="000000"/>
                <w:kern w:val="0"/>
                <w:sz w:val="18"/>
                <w:szCs w:val="18"/>
              </w:rPr>
              <w:t xml:space="preserve">0.00 </w:t>
            </w:r>
          </w:p>
        </w:tc>
      </w:tr>
    </w:tbl>
    <w:p>
      <w:pPr>
        <w:spacing w:line="240" w:lineRule="auto"/>
        <w:ind w:firstLine="0" w:firstLineChars="0"/>
        <w:jc w:val="right"/>
        <w:rPr>
          <w:sz w:val="21"/>
        </w:rPr>
        <w:sectPr>
          <w:pgSz w:w="16839" w:h="11907" w:orient="landscape"/>
          <w:pgMar w:top="1797" w:right="1440" w:bottom="1797" w:left="1440" w:header="851" w:footer="992" w:gutter="0"/>
          <w:cols w:space="425" w:num="1"/>
          <w:docGrid w:type="lines" w:linePitch="381" w:charSpace="0"/>
        </w:sectPr>
      </w:pPr>
    </w:p>
    <w:p>
      <w:pPr>
        <w:pStyle w:val="31"/>
        <w:jc w:val="center"/>
      </w:pPr>
      <w:bookmarkStart w:id="311" w:name="_Toc40116546"/>
      <w:bookmarkStart w:id="312" w:name="_Toc433892506"/>
      <w:bookmarkStart w:id="313" w:name="_Toc406674012"/>
      <w:bookmarkStart w:id="314" w:name="_Toc406603224"/>
      <w:r>
        <w:rPr>
          <w:rFonts w:hint="eastAsia"/>
        </w:rPr>
        <w:t>附</w:t>
      </w:r>
      <w:r>
        <w:t>表</w:t>
      </w:r>
      <w:r>
        <w:rPr>
          <w:rFonts w:hint="eastAsia"/>
        </w:rPr>
        <w:t>4</w:t>
      </w:r>
      <w:r>
        <w:t xml:space="preserve">  </w:t>
      </w:r>
      <w:r>
        <w:rPr>
          <w:rFonts w:hint="eastAsia"/>
        </w:rPr>
        <w:t>西阳镇</w:t>
      </w:r>
      <w:r>
        <w:t>规划主要控制指标对比分析表</w:t>
      </w:r>
      <w:bookmarkEnd w:id="311"/>
      <w:bookmarkEnd w:id="312"/>
      <w:bookmarkEnd w:id="313"/>
      <w:bookmarkEnd w:id="314"/>
    </w:p>
    <w:p>
      <w:pPr>
        <w:spacing w:line="240" w:lineRule="auto"/>
        <w:ind w:firstLine="0" w:firstLineChars="0"/>
        <w:jc w:val="right"/>
        <w:rPr>
          <w:sz w:val="21"/>
        </w:rPr>
      </w:pPr>
      <w:r>
        <w:rPr>
          <w:sz w:val="21"/>
        </w:rPr>
        <w:t>单位：公顷</w:t>
      </w:r>
    </w:p>
    <w:tbl>
      <w:tblPr>
        <w:tblStyle w:val="17"/>
        <w:tblW w:w="5000"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3297"/>
        <w:gridCol w:w="1266"/>
        <w:gridCol w:w="1204"/>
        <w:gridCol w:w="1551"/>
        <w:gridCol w:w="121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0" w:hRule="atLeast"/>
        </w:trPr>
        <w:tc>
          <w:tcPr>
            <w:tcW w:w="1933" w:type="pct"/>
            <w:shd w:val="clear" w:color="auto" w:fill="auto"/>
            <w:noWrap/>
            <w:vAlign w:val="center"/>
          </w:tcPr>
          <w:p>
            <w:pPr>
              <w:widowControl/>
              <w:spacing w:line="240" w:lineRule="auto"/>
              <w:ind w:firstLine="0" w:firstLineChars="0"/>
              <w:jc w:val="center"/>
              <w:rPr>
                <w:rFonts w:ascii="仿宋_GB2312" w:hAnsi="宋体" w:cs="宋体"/>
                <w:b/>
                <w:bCs/>
                <w:color w:val="000000"/>
                <w:kern w:val="0"/>
                <w:sz w:val="21"/>
              </w:rPr>
            </w:pPr>
            <w:r>
              <w:rPr>
                <w:rFonts w:hint="eastAsia" w:ascii="仿宋_GB2312" w:hAnsi="宋体" w:cs="宋体"/>
                <w:b/>
                <w:bCs/>
                <w:color w:val="000000"/>
                <w:kern w:val="0"/>
                <w:sz w:val="21"/>
              </w:rPr>
              <w:t>规划指标</w:t>
            </w:r>
          </w:p>
        </w:tc>
        <w:tc>
          <w:tcPr>
            <w:tcW w:w="742" w:type="pct"/>
            <w:shd w:val="clear" w:color="auto" w:fill="auto"/>
            <w:noWrap/>
            <w:vAlign w:val="center"/>
          </w:tcPr>
          <w:p>
            <w:pPr>
              <w:widowControl/>
              <w:spacing w:line="240" w:lineRule="auto"/>
              <w:ind w:firstLine="0" w:firstLineChars="0"/>
              <w:jc w:val="center"/>
              <w:rPr>
                <w:rFonts w:ascii="仿宋_GB2312" w:hAnsi="宋体" w:cs="宋体"/>
                <w:b/>
                <w:bCs/>
                <w:color w:val="000000"/>
                <w:kern w:val="0"/>
                <w:sz w:val="21"/>
              </w:rPr>
            </w:pPr>
            <w:r>
              <w:rPr>
                <w:rFonts w:hint="eastAsia" w:ascii="仿宋_GB2312" w:hAnsi="宋体" w:cs="宋体"/>
                <w:b/>
                <w:bCs/>
                <w:color w:val="000000"/>
                <w:kern w:val="0"/>
                <w:sz w:val="21"/>
              </w:rPr>
              <w:t>修改前</w:t>
            </w:r>
          </w:p>
        </w:tc>
        <w:tc>
          <w:tcPr>
            <w:tcW w:w="706" w:type="pct"/>
            <w:shd w:val="clear" w:color="auto" w:fill="auto"/>
            <w:noWrap/>
            <w:vAlign w:val="center"/>
          </w:tcPr>
          <w:p>
            <w:pPr>
              <w:widowControl/>
              <w:spacing w:line="240" w:lineRule="auto"/>
              <w:ind w:firstLine="0" w:firstLineChars="0"/>
              <w:jc w:val="center"/>
              <w:rPr>
                <w:rFonts w:ascii="仿宋_GB2312" w:hAnsi="宋体" w:cs="宋体"/>
                <w:b/>
                <w:bCs/>
                <w:color w:val="000000"/>
                <w:kern w:val="0"/>
                <w:sz w:val="21"/>
              </w:rPr>
            </w:pPr>
            <w:r>
              <w:rPr>
                <w:rFonts w:hint="eastAsia" w:ascii="仿宋_GB2312" w:hAnsi="宋体" w:cs="宋体"/>
                <w:b/>
                <w:bCs/>
                <w:color w:val="000000"/>
                <w:kern w:val="0"/>
                <w:sz w:val="21"/>
              </w:rPr>
              <w:t>修改后</w:t>
            </w:r>
          </w:p>
        </w:tc>
        <w:tc>
          <w:tcPr>
            <w:tcW w:w="909" w:type="pct"/>
            <w:shd w:val="clear" w:color="auto" w:fill="auto"/>
            <w:noWrap/>
            <w:vAlign w:val="center"/>
          </w:tcPr>
          <w:p>
            <w:pPr>
              <w:widowControl/>
              <w:spacing w:line="240" w:lineRule="auto"/>
              <w:ind w:firstLine="0" w:firstLineChars="0"/>
              <w:jc w:val="center"/>
              <w:rPr>
                <w:rFonts w:ascii="仿宋_GB2312" w:hAnsi="宋体" w:cs="宋体"/>
                <w:b/>
                <w:bCs/>
                <w:color w:val="000000"/>
                <w:kern w:val="0"/>
                <w:sz w:val="21"/>
              </w:rPr>
            </w:pPr>
            <w:r>
              <w:rPr>
                <w:rFonts w:hint="eastAsia" w:ascii="仿宋_GB2312" w:hAnsi="宋体" w:cs="宋体"/>
                <w:b/>
                <w:bCs/>
                <w:color w:val="000000"/>
                <w:kern w:val="0"/>
                <w:sz w:val="21"/>
              </w:rPr>
              <w:t>修改前</w:t>
            </w:r>
            <w:r>
              <w:rPr>
                <w:b/>
                <w:bCs/>
                <w:color w:val="000000"/>
                <w:kern w:val="0"/>
                <w:sz w:val="21"/>
              </w:rPr>
              <w:t>-</w:t>
            </w:r>
            <w:r>
              <w:rPr>
                <w:rFonts w:hint="eastAsia" w:ascii="仿宋_GB2312" w:hAnsi="宋体" w:cs="宋体"/>
                <w:b/>
                <w:bCs/>
                <w:color w:val="000000"/>
                <w:kern w:val="0"/>
                <w:sz w:val="21"/>
              </w:rPr>
              <w:t>修改后</w:t>
            </w:r>
          </w:p>
        </w:tc>
        <w:tc>
          <w:tcPr>
            <w:tcW w:w="710" w:type="pct"/>
            <w:shd w:val="clear" w:color="auto" w:fill="auto"/>
            <w:vAlign w:val="center"/>
          </w:tcPr>
          <w:p>
            <w:pPr>
              <w:widowControl/>
              <w:spacing w:line="240" w:lineRule="auto"/>
              <w:ind w:firstLine="0" w:firstLineChars="0"/>
              <w:jc w:val="center"/>
              <w:rPr>
                <w:rFonts w:ascii="仿宋_GB2312" w:hAnsi="宋体" w:cs="宋体"/>
                <w:b/>
                <w:bCs/>
                <w:color w:val="000000"/>
                <w:kern w:val="0"/>
                <w:sz w:val="21"/>
              </w:rPr>
            </w:pPr>
            <w:r>
              <w:rPr>
                <w:rFonts w:hint="eastAsia" w:ascii="仿宋_GB2312" w:hAnsi="宋体" w:cs="宋体"/>
                <w:b/>
                <w:bCs/>
                <w:color w:val="000000"/>
                <w:kern w:val="0"/>
                <w:sz w:val="21"/>
              </w:rPr>
              <w:t>指标属性</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5000" w:type="pct"/>
            <w:gridSpan w:val="5"/>
            <w:shd w:val="clear" w:color="auto" w:fill="auto"/>
            <w:noWrap/>
            <w:vAlign w:val="center"/>
          </w:tcPr>
          <w:p>
            <w:pPr>
              <w:widowControl/>
              <w:spacing w:line="240" w:lineRule="auto"/>
              <w:ind w:firstLine="0" w:firstLineChars="0"/>
              <w:jc w:val="left"/>
              <w:rPr>
                <w:rFonts w:ascii="仿宋_GB2312" w:hAnsi="宋体" w:cs="宋体"/>
                <w:b/>
                <w:bCs/>
                <w:color w:val="000000"/>
                <w:kern w:val="0"/>
                <w:sz w:val="21"/>
              </w:rPr>
            </w:pPr>
            <w:r>
              <w:rPr>
                <w:rFonts w:hint="eastAsia" w:ascii="仿宋_GB2312" w:hAnsi="宋体" w:cs="宋体"/>
                <w:b/>
                <w:bCs/>
                <w:color w:val="000000"/>
                <w:kern w:val="0"/>
                <w:sz w:val="21"/>
              </w:rPr>
              <w:t>总量指标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933" w:type="pct"/>
            <w:shd w:val="clear" w:color="auto" w:fill="auto"/>
            <w:noWrap/>
            <w:vAlign w:val="center"/>
          </w:tcPr>
          <w:p>
            <w:pPr>
              <w:widowControl/>
              <w:spacing w:line="240" w:lineRule="auto"/>
              <w:ind w:firstLine="0" w:firstLineChars="0"/>
              <w:jc w:val="left"/>
              <w:rPr>
                <w:rFonts w:ascii="仿宋_GB2312" w:hAnsi="宋体" w:cs="宋体"/>
                <w:color w:val="000000"/>
                <w:kern w:val="0"/>
                <w:sz w:val="21"/>
              </w:rPr>
            </w:pPr>
            <w:r>
              <w:rPr>
                <w:rFonts w:hint="eastAsia" w:ascii="仿宋_GB2312" w:hAnsi="宋体" w:cs="宋体"/>
                <w:color w:val="000000"/>
                <w:kern w:val="0"/>
                <w:sz w:val="21"/>
              </w:rPr>
              <w:t>耕地保有量</w:t>
            </w:r>
          </w:p>
        </w:tc>
        <w:tc>
          <w:tcPr>
            <w:tcW w:w="742" w:type="pct"/>
            <w:shd w:val="clear" w:color="auto" w:fill="auto"/>
            <w:noWrap/>
          </w:tcPr>
          <w:p>
            <w:pPr>
              <w:widowControl/>
              <w:spacing w:line="240" w:lineRule="auto"/>
              <w:ind w:firstLine="0" w:firstLineChars="0"/>
              <w:jc w:val="center"/>
              <w:rPr>
                <w:rFonts w:eastAsia="宋体"/>
                <w:color w:val="000000"/>
                <w:kern w:val="0"/>
                <w:sz w:val="21"/>
              </w:rPr>
            </w:pPr>
            <w:r>
              <w:rPr>
                <w:rFonts w:eastAsia="宋体"/>
                <w:color w:val="000000"/>
                <w:kern w:val="0"/>
                <w:sz w:val="21"/>
              </w:rPr>
              <w:t>9290.00</w:t>
            </w:r>
          </w:p>
        </w:tc>
        <w:tc>
          <w:tcPr>
            <w:tcW w:w="706" w:type="pct"/>
            <w:shd w:val="clear" w:color="auto" w:fill="auto"/>
            <w:noWrap/>
          </w:tcPr>
          <w:p>
            <w:pPr>
              <w:widowControl/>
              <w:spacing w:line="240" w:lineRule="auto"/>
              <w:ind w:firstLine="0" w:firstLineChars="0"/>
              <w:jc w:val="center"/>
              <w:rPr>
                <w:rFonts w:eastAsia="宋体"/>
                <w:color w:val="000000"/>
                <w:kern w:val="0"/>
                <w:sz w:val="21"/>
              </w:rPr>
            </w:pPr>
            <w:r>
              <w:rPr>
                <w:rFonts w:eastAsia="宋体"/>
                <w:color w:val="000000"/>
                <w:kern w:val="0"/>
                <w:sz w:val="21"/>
              </w:rPr>
              <w:t>9290.00</w:t>
            </w:r>
          </w:p>
        </w:tc>
        <w:tc>
          <w:tcPr>
            <w:tcW w:w="909" w:type="pct"/>
            <w:shd w:val="clear" w:color="auto" w:fill="auto"/>
            <w:noWrap/>
            <w:vAlign w:val="center"/>
          </w:tcPr>
          <w:p>
            <w:pPr>
              <w:widowControl/>
              <w:spacing w:line="240" w:lineRule="auto"/>
              <w:ind w:firstLine="0" w:firstLineChars="0"/>
              <w:jc w:val="center"/>
              <w:rPr>
                <w:rFonts w:eastAsia="宋体"/>
                <w:color w:val="000000"/>
                <w:kern w:val="0"/>
                <w:sz w:val="21"/>
              </w:rPr>
            </w:pPr>
            <w:r>
              <w:rPr>
                <w:rFonts w:eastAsia="宋体"/>
                <w:color w:val="000000"/>
                <w:kern w:val="0"/>
                <w:sz w:val="21"/>
              </w:rPr>
              <w:t>0.00</w:t>
            </w:r>
          </w:p>
        </w:tc>
        <w:tc>
          <w:tcPr>
            <w:tcW w:w="710" w:type="pct"/>
            <w:shd w:val="clear" w:color="auto" w:fill="auto"/>
            <w:vAlign w:val="center"/>
          </w:tcPr>
          <w:p>
            <w:pPr>
              <w:widowControl/>
              <w:spacing w:line="240" w:lineRule="auto"/>
              <w:ind w:firstLine="0" w:firstLineChars="0"/>
              <w:jc w:val="center"/>
              <w:rPr>
                <w:rFonts w:ascii="仿宋_GB2312" w:hAnsi="宋体" w:cs="宋体"/>
                <w:b/>
                <w:bCs/>
                <w:color w:val="000000"/>
                <w:kern w:val="0"/>
                <w:sz w:val="21"/>
              </w:rPr>
            </w:pPr>
            <w:r>
              <w:rPr>
                <w:rFonts w:hint="eastAsia" w:ascii="仿宋_GB2312" w:hAnsi="宋体" w:cs="宋体"/>
                <w:b/>
                <w:bCs/>
                <w:color w:val="000000"/>
                <w:kern w:val="0"/>
                <w:sz w:val="21"/>
              </w:rPr>
              <w:t>约束性</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933" w:type="pct"/>
            <w:shd w:val="clear" w:color="auto" w:fill="auto"/>
            <w:noWrap/>
            <w:vAlign w:val="center"/>
          </w:tcPr>
          <w:p>
            <w:pPr>
              <w:widowControl/>
              <w:spacing w:line="240" w:lineRule="auto"/>
              <w:ind w:firstLine="210" w:firstLineChars="100"/>
              <w:jc w:val="left"/>
              <w:rPr>
                <w:rFonts w:ascii="仿宋_GB2312" w:hAnsi="宋体" w:cs="宋体"/>
                <w:color w:val="000000"/>
                <w:kern w:val="0"/>
                <w:sz w:val="21"/>
              </w:rPr>
            </w:pPr>
            <w:r>
              <w:rPr>
                <w:rFonts w:hint="eastAsia" w:ascii="仿宋_GB2312" w:hAnsi="宋体" w:cs="宋体"/>
                <w:color w:val="000000"/>
                <w:kern w:val="0"/>
                <w:sz w:val="21"/>
              </w:rPr>
              <w:t>基本农田保护面积</w:t>
            </w:r>
          </w:p>
        </w:tc>
        <w:tc>
          <w:tcPr>
            <w:tcW w:w="742" w:type="pct"/>
            <w:shd w:val="clear" w:color="auto" w:fill="auto"/>
            <w:noWrap/>
          </w:tcPr>
          <w:p>
            <w:pPr>
              <w:widowControl/>
              <w:spacing w:line="240" w:lineRule="auto"/>
              <w:ind w:firstLine="0" w:firstLineChars="0"/>
              <w:jc w:val="center"/>
              <w:rPr>
                <w:rFonts w:eastAsia="宋体"/>
                <w:color w:val="000000"/>
                <w:kern w:val="0"/>
                <w:sz w:val="21"/>
              </w:rPr>
            </w:pPr>
            <w:r>
              <w:rPr>
                <w:rFonts w:eastAsia="宋体"/>
                <w:color w:val="000000"/>
                <w:kern w:val="0"/>
                <w:sz w:val="21"/>
              </w:rPr>
              <w:t>7443.00</w:t>
            </w:r>
          </w:p>
        </w:tc>
        <w:tc>
          <w:tcPr>
            <w:tcW w:w="706" w:type="pct"/>
            <w:shd w:val="clear" w:color="auto" w:fill="auto"/>
            <w:noWrap/>
          </w:tcPr>
          <w:p>
            <w:pPr>
              <w:widowControl/>
              <w:spacing w:line="240" w:lineRule="auto"/>
              <w:ind w:firstLine="0" w:firstLineChars="0"/>
              <w:jc w:val="center"/>
              <w:rPr>
                <w:rFonts w:eastAsia="宋体"/>
                <w:color w:val="000000"/>
                <w:kern w:val="0"/>
                <w:sz w:val="21"/>
              </w:rPr>
            </w:pPr>
            <w:r>
              <w:rPr>
                <w:rFonts w:eastAsia="宋体"/>
                <w:color w:val="000000"/>
                <w:kern w:val="0"/>
                <w:sz w:val="21"/>
              </w:rPr>
              <w:t>7443.00</w:t>
            </w:r>
          </w:p>
        </w:tc>
        <w:tc>
          <w:tcPr>
            <w:tcW w:w="909" w:type="pct"/>
            <w:shd w:val="clear" w:color="auto" w:fill="auto"/>
            <w:noWrap/>
            <w:vAlign w:val="center"/>
          </w:tcPr>
          <w:p>
            <w:pPr>
              <w:widowControl/>
              <w:spacing w:line="240" w:lineRule="auto"/>
              <w:ind w:firstLine="0" w:firstLineChars="0"/>
              <w:jc w:val="center"/>
              <w:rPr>
                <w:rFonts w:eastAsia="宋体"/>
                <w:color w:val="000000"/>
                <w:kern w:val="0"/>
                <w:sz w:val="21"/>
              </w:rPr>
            </w:pPr>
            <w:r>
              <w:rPr>
                <w:rFonts w:eastAsia="宋体"/>
                <w:color w:val="000000"/>
                <w:kern w:val="0"/>
                <w:sz w:val="21"/>
              </w:rPr>
              <w:t>0.00</w:t>
            </w:r>
          </w:p>
        </w:tc>
        <w:tc>
          <w:tcPr>
            <w:tcW w:w="710" w:type="pct"/>
            <w:shd w:val="clear" w:color="auto" w:fill="auto"/>
            <w:vAlign w:val="center"/>
          </w:tcPr>
          <w:p>
            <w:pPr>
              <w:widowControl/>
              <w:spacing w:line="240" w:lineRule="auto"/>
              <w:ind w:firstLine="0" w:firstLineChars="0"/>
              <w:jc w:val="center"/>
              <w:rPr>
                <w:rFonts w:ascii="仿宋_GB2312" w:hAnsi="宋体" w:cs="宋体"/>
                <w:b/>
                <w:bCs/>
                <w:color w:val="000000"/>
                <w:kern w:val="0"/>
                <w:sz w:val="21"/>
              </w:rPr>
            </w:pPr>
            <w:r>
              <w:rPr>
                <w:rFonts w:hint="eastAsia" w:ascii="仿宋_GB2312" w:hAnsi="宋体" w:cs="宋体"/>
                <w:b/>
                <w:bCs/>
                <w:color w:val="000000"/>
                <w:kern w:val="0"/>
                <w:sz w:val="21"/>
              </w:rPr>
              <w:t>约束性</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933" w:type="pct"/>
            <w:shd w:val="clear" w:color="auto" w:fill="auto"/>
            <w:noWrap/>
            <w:vAlign w:val="center"/>
          </w:tcPr>
          <w:p>
            <w:pPr>
              <w:widowControl/>
              <w:spacing w:line="240" w:lineRule="auto"/>
              <w:ind w:firstLine="0" w:firstLineChars="0"/>
              <w:jc w:val="left"/>
              <w:rPr>
                <w:rFonts w:ascii="仿宋_GB2312" w:hAnsi="宋体" w:cs="宋体"/>
                <w:color w:val="000000"/>
                <w:kern w:val="0"/>
                <w:sz w:val="21"/>
              </w:rPr>
            </w:pPr>
            <w:r>
              <w:rPr>
                <w:rFonts w:hint="eastAsia" w:ascii="仿宋_GB2312" w:hAnsi="宋体" w:cs="宋体"/>
                <w:color w:val="000000"/>
                <w:kern w:val="0"/>
                <w:sz w:val="21"/>
              </w:rPr>
              <w:t>建设用地总规模</w:t>
            </w:r>
          </w:p>
        </w:tc>
        <w:tc>
          <w:tcPr>
            <w:tcW w:w="742" w:type="pct"/>
            <w:shd w:val="clear" w:color="auto" w:fill="auto"/>
            <w:noWrap/>
          </w:tcPr>
          <w:p>
            <w:pPr>
              <w:widowControl/>
              <w:spacing w:line="240" w:lineRule="auto"/>
              <w:ind w:firstLine="0" w:firstLineChars="0"/>
              <w:jc w:val="center"/>
              <w:rPr>
                <w:rFonts w:eastAsia="宋体"/>
                <w:color w:val="000000"/>
                <w:kern w:val="0"/>
                <w:sz w:val="21"/>
              </w:rPr>
            </w:pPr>
            <w:r>
              <w:rPr>
                <w:rFonts w:eastAsia="宋体"/>
                <w:color w:val="000000"/>
                <w:kern w:val="0"/>
                <w:sz w:val="21"/>
              </w:rPr>
              <w:t>3412.00</w:t>
            </w:r>
          </w:p>
        </w:tc>
        <w:tc>
          <w:tcPr>
            <w:tcW w:w="706" w:type="pct"/>
            <w:shd w:val="clear" w:color="auto" w:fill="auto"/>
            <w:noWrap/>
          </w:tcPr>
          <w:p>
            <w:pPr>
              <w:widowControl/>
              <w:spacing w:line="240" w:lineRule="auto"/>
              <w:ind w:firstLine="0" w:firstLineChars="0"/>
              <w:jc w:val="center"/>
              <w:rPr>
                <w:rFonts w:eastAsia="宋体"/>
                <w:color w:val="000000"/>
                <w:kern w:val="0"/>
                <w:sz w:val="21"/>
              </w:rPr>
            </w:pPr>
            <w:r>
              <w:rPr>
                <w:rFonts w:eastAsia="宋体"/>
                <w:color w:val="000000"/>
                <w:kern w:val="0"/>
                <w:sz w:val="21"/>
              </w:rPr>
              <w:t>3428.23</w:t>
            </w:r>
          </w:p>
        </w:tc>
        <w:tc>
          <w:tcPr>
            <w:tcW w:w="909" w:type="pct"/>
            <w:shd w:val="clear" w:color="auto" w:fill="auto"/>
            <w:noWrap/>
            <w:vAlign w:val="center"/>
          </w:tcPr>
          <w:p>
            <w:pPr>
              <w:widowControl/>
              <w:spacing w:line="240" w:lineRule="auto"/>
              <w:ind w:firstLine="0" w:firstLineChars="0"/>
              <w:jc w:val="center"/>
              <w:rPr>
                <w:rFonts w:eastAsia="宋体"/>
                <w:color w:val="000000"/>
                <w:kern w:val="0"/>
                <w:sz w:val="21"/>
              </w:rPr>
            </w:pPr>
            <w:r>
              <w:rPr>
                <w:rFonts w:eastAsia="宋体"/>
                <w:color w:val="000000"/>
                <w:kern w:val="0"/>
                <w:sz w:val="21"/>
              </w:rPr>
              <w:t>16.23</w:t>
            </w:r>
          </w:p>
        </w:tc>
        <w:tc>
          <w:tcPr>
            <w:tcW w:w="710" w:type="pct"/>
            <w:shd w:val="clear" w:color="auto" w:fill="auto"/>
            <w:vAlign w:val="center"/>
          </w:tcPr>
          <w:p>
            <w:pPr>
              <w:widowControl/>
              <w:spacing w:line="240" w:lineRule="auto"/>
              <w:ind w:firstLine="0" w:firstLineChars="0"/>
              <w:jc w:val="center"/>
              <w:rPr>
                <w:rFonts w:ascii="仿宋_GB2312" w:hAnsi="宋体" w:cs="宋体"/>
                <w:color w:val="000000"/>
                <w:kern w:val="0"/>
                <w:sz w:val="21"/>
              </w:rPr>
            </w:pPr>
            <w:r>
              <w:rPr>
                <w:rFonts w:hint="eastAsia" w:ascii="仿宋_GB2312" w:hAnsi="宋体" w:cs="宋体"/>
                <w:color w:val="000000"/>
                <w:kern w:val="0"/>
                <w:sz w:val="21"/>
              </w:rPr>
              <w:t>预期性</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933" w:type="pct"/>
            <w:shd w:val="clear" w:color="auto" w:fill="auto"/>
            <w:noWrap/>
            <w:vAlign w:val="center"/>
          </w:tcPr>
          <w:p>
            <w:pPr>
              <w:widowControl/>
              <w:spacing w:line="240" w:lineRule="auto"/>
              <w:ind w:firstLine="210" w:firstLineChars="100"/>
              <w:jc w:val="left"/>
              <w:rPr>
                <w:rFonts w:ascii="仿宋_GB2312" w:hAnsi="宋体" w:cs="宋体"/>
                <w:color w:val="000000"/>
                <w:kern w:val="0"/>
                <w:sz w:val="21"/>
              </w:rPr>
            </w:pPr>
            <w:r>
              <w:rPr>
                <w:rFonts w:hint="eastAsia" w:ascii="仿宋_GB2312" w:hAnsi="宋体" w:cs="宋体"/>
                <w:color w:val="000000"/>
                <w:kern w:val="0"/>
                <w:sz w:val="21"/>
              </w:rPr>
              <w:t>城乡建设用地规模</w:t>
            </w:r>
          </w:p>
        </w:tc>
        <w:tc>
          <w:tcPr>
            <w:tcW w:w="742" w:type="pct"/>
            <w:shd w:val="clear" w:color="auto" w:fill="auto"/>
            <w:noWrap/>
          </w:tcPr>
          <w:p>
            <w:pPr>
              <w:widowControl/>
              <w:spacing w:line="240" w:lineRule="auto"/>
              <w:ind w:firstLine="0" w:firstLineChars="0"/>
              <w:jc w:val="center"/>
              <w:rPr>
                <w:rFonts w:eastAsia="宋体"/>
                <w:color w:val="000000"/>
                <w:kern w:val="0"/>
                <w:sz w:val="21"/>
              </w:rPr>
            </w:pPr>
            <w:r>
              <w:rPr>
                <w:rFonts w:eastAsia="宋体"/>
                <w:color w:val="000000"/>
                <w:kern w:val="0"/>
                <w:sz w:val="21"/>
              </w:rPr>
              <w:t>1519.00</w:t>
            </w:r>
          </w:p>
        </w:tc>
        <w:tc>
          <w:tcPr>
            <w:tcW w:w="706" w:type="pct"/>
            <w:shd w:val="clear" w:color="auto" w:fill="auto"/>
            <w:noWrap/>
          </w:tcPr>
          <w:p>
            <w:pPr>
              <w:widowControl/>
              <w:spacing w:line="240" w:lineRule="auto"/>
              <w:ind w:firstLine="0" w:firstLineChars="0"/>
              <w:jc w:val="center"/>
              <w:rPr>
                <w:rFonts w:eastAsia="宋体"/>
                <w:color w:val="000000"/>
                <w:kern w:val="0"/>
                <w:sz w:val="21"/>
              </w:rPr>
            </w:pPr>
            <w:r>
              <w:rPr>
                <w:rFonts w:eastAsia="宋体"/>
                <w:color w:val="000000"/>
                <w:kern w:val="0"/>
                <w:sz w:val="21"/>
              </w:rPr>
              <w:t>1535.23</w:t>
            </w:r>
          </w:p>
        </w:tc>
        <w:tc>
          <w:tcPr>
            <w:tcW w:w="909" w:type="pct"/>
            <w:shd w:val="clear" w:color="auto" w:fill="auto"/>
            <w:noWrap/>
            <w:vAlign w:val="center"/>
          </w:tcPr>
          <w:p>
            <w:pPr>
              <w:widowControl/>
              <w:spacing w:line="240" w:lineRule="auto"/>
              <w:ind w:firstLine="0" w:firstLineChars="0"/>
              <w:jc w:val="center"/>
              <w:rPr>
                <w:rFonts w:eastAsia="宋体"/>
                <w:color w:val="000000"/>
                <w:kern w:val="0"/>
                <w:sz w:val="21"/>
              </w:rPr>
            </w:pPr>
            <w:r>
              <w:rPr>
                <w:rFonts w:eastAsia="宋体"/>
                <w:color w:val="000000"/>
                <w:kern w:val="0"/>
                <w:sz w:val="21"/>
              </w:rPr>
              <w:t>16.23</w:t>
            </w:r>
          </w:p>
        </w:tc>
        <w:tc>
          <w:tcPr>
            <w:tcW w:w="710" w:type="pct"/>
            <w:shd w:val="clear" w:color="auto" w:fill="auto"/>
            <w:vAlign w:val="center"/>
          </w:tcPr>
          <w:p>
            <w:pPr>
              <w:widowControl/>
              <w:spacing w:line="240" w:lineRule="auto"/>
              <w:ind w:firstLine="0" w:firstLineChars="0"/>
              <w:jc w:val="center"/>
              <w:rPr>
                <w:rFonts w:ascii="仿宋_GB2312" w:hAnsi="宋体" w:cs="宋体"/>
                <w:b/>
                <w:bCs/>
                <w:color w:val="000000"/>
                <w:kern w:val="0"/>
                <w:sz w:val="21"/>
              </w:rPr>
            </w:pPr>
            <w:r>
              <w:rPr>
                <w:rFonts w:hint="eastAsia" w:ascii="仿宋_GB2312" w:hAnsi="宋体" w:cs="宋体"/>
                <w:b/>
                <w:bCs/>
                <w:color w:val="000000"/>
                <w:kern w:val="0"/>
                <w:sz w:val="21"/>
              </w:rPr>
              <w:t>约束性</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933" w:type="pct"/>
            <w:shd w:val="clear" w:color="auto" w:fill="auto"/>
            <w:noWrap/>
            <w:vAlign w:val="center"/>
          </w:tcPr>
          <w:p>
            <w:pPr>
              <w:widowControl/>
              <w:spacing w:line="240" w:lineRule="auto"/>
              <w:ind w:firstLine="420"/>
              <w:jc w:val="left"/>
              <w:rPr>
                <w:rFonts w:ascii="仿宋_GB2312" w:hAnsi="宋体" w:cs="宋体"/>
                <w:color w:val="000000"/>
                <w:kern w:val="0"/>
                <w:sz w:val="21"/>
              </w:rPr>
            </w:pPr>
            <w:r>
              <w:rPr>
                <w:rFonts w:hint="eastAsia" w:ascii="仿宋_GB2312" w:hAnsi="宋体" w:cs="宋体"/>
                <w:color w:val="000000"/>
                <w:kern w:val="0"/>
                <w:sz w:val="21"/>
              </w:rPr>
              <w:t>城镇工矿用地规模</w:t>
            </w:r>
          </w:p>
        </w:tc>
        <w:tc>
          <w:tcPr>
            <w:tcW w:w="742" w:type="pct"/>
            <w:shd w:val="clear" w:color="auto" w:fill="auto"/>
            <w:noWrap/>
          </w:tcPr>
          <w:p>
            <w:pPr>
              <w:widowControl/>
              <w:spacing w:line="240" w:lineRule="auto"/>
              <w:ind w:firstLine="0" w:firstLineChars="0"/>
              <w:jc w:val="center"/>
              <w:rPr>
                <w:rFonts w:eastAsia="宋体"/>
                <w:color w:val="000000"/>
                <w:kern w:val="0"/>
                <w:sz w:val="21"/>
              </w:rPr>
            </w:pPr>
            <w:r>
              <w:rPr>
                <w:rFonts w:eastAsia="宋体"/>
                <w:color w:val="000000"/>
                <w:kern w:val="0"/>
                <w:sz w:val="21"/>
              </w:rPr>
              <w:t>679.00</w:t>
            </w:r>
          </w:p>
        </w:tc>
        <w:tc>
          <w:tcPr>
            <w:tcW w:w="706" w:type="pct"/>
            <w:shd w:val="clear" w:color="auto" w:fill="auto"/>
            <w:noWrap/>
          </w:tcPr>
          <w:p>
            <w:pPr>
              <w:widowControl/>
              <w:spacing w:line="240" w:lineRule="auto"/>
              <w:ind w:firstLine="0" w:firstLineChars="0"/>
              <w:jc w:val="center"/>
              <w:rPr>
                <w:rFonts w:eastAsia="宋体"/>
                <w:color w:val="000000"/>
                <w:kern w:val="0"/>
                <w:sz w:val="21"/>
              </w:rPr>
            </w:pPr>
            <w:r>
              <w:rPr>
                <w:rFonts w:eastAsia="宋体"/>
                <w:color w:val="000000"/>
                <w:kern w:val="0"/>
                <w:sz w:val="21"/>
              </w:rPr>
              <w:t>1525.38</w:t>
            </w:r>
          </w:p>
        </w:tc>
        <w:tc>
          <w:tcPr>
            <w:tcW w:w="909" w:type="pct"/>
            <w:shd w:val="clear" w:color="auto" w:fill="auto"/>
            <w:noWrap/>
            <w:vAlign w:val="center"/>
          </w:tcPr>
          <w:p>
            <w:pPr>
              <w:widowControl/>
              <w:spacing w:line="240" w:lineRule="auto"/>
              <w:ind w:firstLine="0" w:firstLineChars="0"/>
              <w:jc w:val="center"/>
              <w:rPr>
                <w:rFonts w:eastAsia="宋体"/>
                <w:color w:val="000000"/>
                <w:kern w:val="0"/>
                <w:sz w:val="21"/>
              </w:rPr>
            </w:pPr>
            <w:r>
              <w:rPr>
                <w:rFonts w:eastAsia="宋体"/>
                <w:color w:val="000000"/>
                <w:kern w:val="0"/>
                <w:sz w:val="21"/>
              </w:rPr>
              <w:t>16.23</w:t>
            </w:r>
          </w:p>
        </w:tc>
        <w:tc>
          <w:tcPr>
            <w:tcW w:w="710" w:type="pct"/>
            <w:shd w:val="clear" w:color="auto" w:fill="auto"/>
            <w:vAlign w:val="center"/>
          </w:tcPr>
          <w:p>
            <w:pPr>
              <w:widowControl/>
              <w:spacing w:line="240" w:lineRule="auto"/>
              <w:ind w:firstLine="0" w:firstLineChars="0"/>
              <w:jc w:val="center"/>
              <w:rPr>
                <w:rFonts w:ascii="仿宋_GB2312" w:hAnsi="宋体" w:cs="宋体"/>
                <w:color w:val="000000"/>
                <w:kern w:val="0"/>
                <w:sz w:val="21"/>
              </w:rPr>
            </w:pPr>
            <w:r>
              <w:rPr>
                <w:rFonts w:hint="eastAsia" w:ascii="仿宋_GB2312" w:hAnsi="宋体" w:cs="宋体"/>
                <w:color w:val="000000"/>
                <w:kern w:val="0"/>
                <w:sz w:val="21"/>
              </w:rPr>
              <w:t>预期性</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5000" w:type="pct"/>
            <w:gridSpan w:val="5"/>
            <w:shd w:val="clear" w:color="auto" w:fill="auto"/>
            <w:noWrap/>
            <w:vAlign w:val="center"/>
          </w:tcPr>
          <w:p>
            <w:pPr>
              <w:widowControl/>
              <w:spacing w:line="240" w:lineRule="auto"/>
              <w:ind w:firstLine="0" w:firstLineChars="0"/>
              <w:jc w:val="left"/>
              <w:rPr>
                <w:rFonts w:ascii="仿宋_GB2312" w:hAnsi="宋体" w:cs="宋体"/>
                <w:b/>
                <w:bCs/>
                <w:color w:val="000000"/>
                <w:kern w:val="0"/>
                <w:sz w:val="21"/>
              </w:rPr>
            </w:pPr>
            <w:r>
              <w:rPr>
                <w:rFonts w:hint="eastAsia" w:ascii="仿宋_GB2312" w:hAnsi="宋体" w:cs="宋体"/>
                <w:b/>
                <w:bCs/>
                <w:color w:val="000000"/>
                <w:kern w:val="0"/>
                <w:sz w:val="21"/>
              </w:rPr>
              <w:t>效率指标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933" w:type="pct"/>
            <w:shd w:val="clear" w:color="auto" w:fill="auto"/>
            <w:noWrap/>
            <w:vAlign w:val="center"/>
          </w:tcPr>
          <w:p>
            <w:pPr>
              <w:widowControl/>
              <w:spacing w:line="240" w:lineRule="auto"/>
              <w:ind w:firstLine="0" w:firstLineChars="0"/>
              <w:jc w:val="left"/>
              <w:rPr>
                <w:rFonts w:ascii="仿宋_GB2312" w:hAnsi="宋体" w:cs="宋体"/>
                <w:color w:val="000000"/>
                <w:kern w:val="0"/>
                <w:sz w:val="21"/>
              </w:rPr>
            </w:pPr>
            <w:r>
              <w:rPr>
                <w:rFonts w:hint="eastAsia" w:ascii="仿宋_GB2312" w:hAnsi="宋体" w:cs="宋体"/>
                <w:color w:val="000000"/>
                <w:kern w:val="0"/>
                <w:sz w:val="21"/>
              </w:rPr>
              <w:t>人均城镇工矿用地（平方米）</w:t>
            </w:r>
          </w:p>
        </w:tc>
        <w:tc>
          <w:tcPr>
            <w:tcW w:w="742" w:type="pct"/>
            <w:shd w:val="clear" w:color="auto" w:fill="auto"/>
            <w:noWrap/>
            <w:vAlign w:val="center"/>
          </w:tcPr>
          <w:p>
            <w:pPr>
              <w:widowControl/>
              <w:spacing w:line="240" w:lineRule="auto"/>
              <w:ind w:firstLine="0" w:firstLineChars="0"/>
              <w:jc w:val="center"/>
              <w:rPr>
                <w:rFonts w:cs="Times New Roman"/>
                <w:color w:val="000000"/>
                <w:kern w:val="0"/>
                <w:sz w:val="21"/>
              </w:rPr>
            </w:pPr>
            <w:r>
              <w:rPr>
                <w:rFonts w:cs="Times New Roman"/>
                <w:color w:val="000000"/>
                <w:kern w:val="0"/>
                <w:sz w:val="21"/>
              </w:rPr>
              <w:t>184</w:t>
            </w:r>
          </w:p>
        </w:tc>
        <w:tc>
          <w:tcPr>
            <w:tcW w:w="706" w:type="pct"/>
            <w:shd w:val="clear" w:color="auto" w:fill="auto"/>
            <w:noWrap/>
            <w:vAlign w:val="center"/>
          </w:tcPr>
          <w:p>
            <w:pPr>
              <w:widowControl/>
              <w:spacing w:line="240" w:lineRule="auto"/>
              <w:ind w:firstLine="0" w:firstLineChars="0"/>
              <w:jc w:val="center"/>
              <w:rPr>
                <w:rFonts w:eastAsia="宋体"/>
                <w:color w:val="000000"/>
                <w:kern w:val="0"/>
                <w:sz w:val="21"/>
              </w:rPr>
            </w:pPr>
            <w:r>
              <w:rPr>
                <w:rFonts w:cs="Times New Roman"/>
                <w:color w:val="000000"/>
                <w:kern w:val="0"/>
                <w:sz w:val="21"/>
              </w:rPr>
              <w:t>184</w:t>
            </w:r>
          </w:p>
        </w:tc>
        <w:tc>
          <w:tcPr>
            <w:tcW w:w="909" w:type="pct"/>
            <w:shd w:val="clear" w:color="auto" w:fill="auto"/>
            <w:noWrap/>
            <w:vAlign w:val="center"/>
          </w:tcPr>
          <w:p>
            <w:pPr>
              <w:widowControl/>
              <w:spacing w:line="240" w:lineRule="auto"/>
              <w:ind w:firstLine="0" w:firstLineChars="0"/>
              <w:jc w:val="center"/>
              <w:rPr>
                <w:rFonts w:eastAsia="宋体"/>
                <w:color w:val="000000"/>
                <w:kern w:val="0"/>
                <w:sz w:val="21"/>
              </w:rPr>
            </w:pPr>
            <w:r>
              <w:rPr>
                <w:rFonts w:eastAsia="宋体"/>
                <w:color w:val="000000"/>
                <w:kern w:val="0"/>
                <w:sz w:val="21"/>
              </w:rPr>
              <w:t>0.00</w:t>
            </w:r>
          </w:p>
        </w:tc>
        <w:tc>
          <w:tcPr>
            <w:tcW w:w="710" w:type="pct"/>
            <w:shd w:val="clear" w:color="auto" w:fill="auto"/>
            <w:vAlign w:val="center"/>
          </w:tcPr>
          <w:p>
            <w:pPr>
              <w:widowControl/>
              <w:spacing w:line="240" w:lineRule="auto"/>
              <w:ind w:firstLine="0" w:firstLineChars="0"/>
              <w:jc w:val="center"/>
              <w:rPr>
                <w:rFonts w:ascii="仿宋_GB2312" w:hAnsi="宋体" w:cs="宋体"/>
                <w:b/>
                <w:bCs/>
                <w:color w:val="000000"/>
                <w:kern w:val="0"/>
                <w:sz w:val="21"/>
              </w:rPr>
            </w:pPr>
            <w:r>
              <w:rPr>
                <w:rFonts w:hint="eastAsia" w:ascii="仿宋_GB2312" w:hAnsi="宋体" w:cs="宋体"/>
                <w:b/>
                <w:bCs/>
                <w:color w:val="000000"/>
                <w:kern w:val="0"/>
                <w:sz w:val="21"/>
              </w:rPr>
              <w:t>约束性</w:t>
            </w:r>
          </w:p>
        </w:tc>
      </w:tr>
    </w:tbl>
    <w:p>
      <w:pPr>
        <w:ind w:firstLine="0" w:firstLineChars="0"/>
        <w:rPr>
          <w:sz w:val="18"/>
          <w:szCs w:val="18"/>
        </w:rPr>
      </w:pPr>
      <w:r>
        <w:rPr>
          <w:sz w:val="18"/>
          <w:szCs w:val="18"/>
        </w:rPr>
        <w:t>注：修改前指标数据采用与</w:t>
      </w:r>
      <w:r>
        <w:rPr>
          <w:rFonts w:hint="eastAsia"/>
          <w:sz w:val="18"/>
          <w:szCs w:val="18"/>
        </w:rPr>
        <w:t>西阳镇土地利用总体规划调整完善方案中的各项规划指标</w:t>
      </w:r>
      <w:r>
        <w:rPr>
          <w:sz w:val="18"/>
          <w:szCs w:val="18"/>
        </w:rPr>
        <w:t>数据。</w:t>
      </w:r>
    </w:p>
    <w:p>
      <w:pPr>
        <w:pStyle w:val="31"/>
        <w:jc w:val="center"/>
      </w:pPr>
      <w:bookmarkStart w:id="315" w:name="_Toc40116547"/>
      <w:bookmarkStart w:id="316" w:name="_Toc433892507"/>
      <w:r>
        <w:t>附表</w:t>
      </w:r>
      <w:r>
        <w:rPr>
          <w:rFonts w:hint="eastAsia"/>
        </w:rPr>
        <w:t>5</w:t>
      </w:r>
      <w:r>
        <w:t xml:space="preserve">  </w:t>
      </w:r>
      <w:r>
        <w:rPr>
          <w:rFonts w:hint="eastAsia"/>
        </w:rPr>
        <w:t>西阳镇修改前后建设用地管制分区</w:t>
      </w:r>
      <w:r>
        <w:t>变化情况</w:t>
      </w:r>
      <w:bookmarkEnd w:id="315"/>
      <w:bookmarkEnd w:id="316"/>
    </w:p>
    <w:p>
      <w:pPr>
        <w:spacing w:line="240" w:lineRule="auto"/>
        <w:ind w:firstLine="0" w:firstLineChars="0"/>
        <w:jc w:val="right"/>
        <w:rPr>
          <w:sz w:val="21"/>
        </w:rPr>
      </w:pPr>
      <w:r>
        <w:rPr>
          <w:sz w:val="21"/>
        </w:rPr>
        <w:t>单位：公顷</w:t>
      </w:r>
    </w:p>
    <w:bookmarkEnd w:id="306"/>
    <w:tbl>
      <w:tblPr>
        <w:tblStyle w:val="17"/>
        <w:tblW w:w="5000"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965"/>
        <w:gridCol w:w="2250"/>
        <w:gridCol w:w="2250"/>
        <w:gridCol w:w="206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152" w:type="pct"/>
            <w:tcBorders>
              <w:tl2br w:val="single" w:color="auto" w:sz="4" w:space="0"/>
            </w:tcBorders>
            <w:shd w:val="clear" w:color="auto" w:fill="auto"/>
            <w:vAlign w:val="center"/>
          </w:tcPr>
          <w:p>
            <w:pPr>
              <w:widowControl/>
              <w:spacing w:line="240" w:lineRule="auto"/>
              <w:ind w:firstLine="0" w:firstLineChars="0"/>
              <w:jc w:val="right"/>
              <w:rPr>
                <w:b/>
                <w:bCs/>
                <w:color w:val="000000"/>
                <w:kern w:val="0"/>
                <w:sz w:val="21"/>
              </w:rPr>
            </w:pPr>
            <w:bookmarkStart w:id="317" w:name="_Toc416807105"/>
            <w:r>
              <w:rPr>
                <w:rFonts w:hint="eastAsia"/>
                <w:b/>
                <w:bCs/>
                <w:color w:val="000000"/>
                <w:kern w:val="0"/>
                <w:sz w:val="21"/>
              </w:rPr>
              <w:t>面积</w:t>
            </w:r>
          </w:p>
          <w:p>
            <w:pPr>
              <w:widowControl/>
              <w:spacing w:line="240" w:lineRule="auto"/>
              <w:ind w:firstLine="0" w:firstLineChars="0"/>
              <w:rPr>
                <w:b/>
                <w:bCs/>
                <w:color w:val="000000"/>
                <w:kern w:val="0"/>
                <w:sz w:val="21"/>
              </w:rPr>
            </w:pPr>
            <w:r>
              <w:rPr>
                <w:rFonts w:hint="eastAsia"/>
                <w:b/>
                <w:bCs/>
                <w:color w:val="000000"/>
                <w:kern w:val="0"/>
                <w:sz w:val="21"/>
              </w:rPr>
              <w:t>管制区</w:t>
            </w:r>
          </w:p>
        </w:tc>
        <w:tc>
          <w:tcPr>
            <w:tcW w:w="1319" w:type="pct"/>
            <w:shd w:val="clear" w:color="auto" w:fill="auto"/>
            <w:vAlign w:val="center"/>
          </w:tcPr>
          <w:p>
            <w:pPr>
              <w:widowControl/>
              <w:spacing w:line="240" w:lineRule="auto"/>
              <w:ind w:firstLine="0" w:firstLineChars="0"/>
              <w:jc w:val="center"/>
              <w:rPr>
                <w:b/>
                <w:bCs/>
                <w:color w:val="000000"/>
                <w:kern w:val="0"/>
                <w:sz w:val="21"/>
              </w:rPr>
            </w:pPr>
            <w:r>
              <w:rPr>
                <w:b/>
                <w:bCs/>
                <w:color w:val="000000"/>
                <w:kern w:val="0"/>
                <w:sz w:val="21"/>
              </w:rPr>
              <w:t>修改前</w:t>
            </w:r>
            <w:r>
              <w:rPr>
                <w:rFonts w:hint="eastAsia"/>
                <w:b/>
                <w:bCs/>
                <w:color w:val="000000"/>
                <w:kern w:val="0"/>
                <w:sz w:val="21"/>
              </w:rPr>
              <w:t>建设用地管制分区</w:t>
            </w:r>
            <w:r>
              <w:rPr>
                <w:b/>
                <w:bCs/>
                <w:color w:val="000000"/>
                <w:kern w:val="0"/>
                <w:sz w:val="21"/>
              </w:rPr>
              <w:t>面积</w:t>
            </w:r>
          </w:p>
        </w:tc>
        <w:tc>
          <w:tcPr>
            <w:tcW w:w="1319" w:type="pct"/>
            <w:shd w:val="clear" w:color="auto" w:fill="auto"/>
            <w:vAlign w:val="center"/>
          </w:tcPr>
          <w:p>
            <w:pPr>
              <w:widowControl/>
              <w:spacing w:line="240" w:lineRule="auto"/>
              <w:ind w:firstLine="0" w:firstLineChars="0"/>
              <w:jc w:val="center"/>
              <w:rPr>
                <w:b/>
                <w:bCs/>
                <w:color w:val="000000"/>
                <w:kern w:val="0"/>
                <w:sz w:val="21"/>
              </w:rPr>
            </w:pPr>
            <w:r>
              <w:rPr>
                <w:b/>
                <w:bCs/>
                <w:color w:val="000000"/>
                <w:kern w:val="0"/>
                <w:sz w:val="21"/>
              </w:rPr>
              <w:t>修改后</w:t>
            </w:r>
            <w:r>
              <w:rPr>
                <w:rFonts w:hint="eastAsia"/>
                <w:b/>
                <w:bCs/>
                <w:color w:val="000000"/>
                <w:kern w:val="0"/>
                <w:sz w:val="21"/>
              </w:rPr>
              <w:t>建设用地管制分区</w:t>
            </w:r>
            <w:r>
              <w:rPr>
                <w:b/>
                <w:bCs/>
                <w:color w:val="000000"/>
                <w:kern w:val="0"/>
                <w:sz w:val="21"/>
              </w:rPr>
              <w:t>面积</w:t>
            </w:r>
          </w:p>
        </w:tc>
        <w:tc>
          <w:tcPr>
            <w:tcW w:w="1210" w:type="pct"/>
            <w:shd w:val="clear" w:color="auto" w:fill="auto"/>
            <w:vAlign w:val="center"/>
          </w:tcPr>
          <w:p>
            <w:pPr>
              <w:widowControl/>
              <w:spacing w:line="240" w:lineRule="auto"/>
              <w:ind w:firstLine="0" w:firstLineChars="0"/>
              <w:jc w:val="center"/>
              <w:rPr>
                <w:b/>
                <w:bCs/>
                <w:color w:val="000000"/>
                <w:kern w:val="0"/>
                <w:sz w:val="21"/>
              </w:rPr>
            </w:pPr>
            <w:r>
              <w:rPr>
                <w:b/>
                <w:bCs/>
                <w:color w:val="000000"/>
                <w:kern w:val="0"/>
                <w:sz w:val="21"/>
              </w:rPr>
              <w:t>修改后-修改前</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152" w:type="pct"/>
            <w:shd w:val="clear" w:color="auto" w:fill="auto"/>
            <w:noWrap/>
            <w:vAlign w:val="center"/>
          </w:tcPr>
          <w:p>
            <w:pPr>
              <w:widowControl/>
              <w:spacing w:line="240" w:lineRule="auto"/>
              <w:ind w:firstLine="0" w:firstLineChars="0"/>
              <w:jc w:val="center"/>
              <w:rPr>
                <w:color w:val="000000"/>
                <w:kern w:val="0"/>
                <w:sz w:val="21"/>
              </w:rPr>
            </w:pPr>
            <w:r>
              <w:rPr>
                <w:color w:val="000000"/>
                <w:kern w:val="0"/>
                <w:sz w:val="21"/>
              </w:rPr>
              <w:t>允许建设区</w:t>
            </w:r>
          </w:p>
        </w:tc>
        <w:tc>
          <w:tcPr>
            <w:tcW w:w="1319" w:type="pct"/>
            <w:shd w:val="clear" w:color="auto" w:fill="auto"/>
            <w:noWrap/>
          </w:tcPr>
          <w:p>
            <w:pPr>
              <w:widowControl/>
              <w:spacing w:line="240" w:lineRule="auto"/>
              <w:ind w:firstLine="0" w:firstLineChars="0"/>
              <w:jc w:val="center"/>
              <w:rPr>
                <w:color w:val="000000"/>
                <w:sz w:val="21"/>
              </w:rPr>
            </w:pPr>
            <w:r>
              <w:rPr>
                <w:color w:val="000000"/>
                <w:sz w:val="21"/>
              </w:rPr>
              <w:t>1519.00</w:t>
            </w:r>
          </w:p>
        </w:tc>
        <w:tc>
          <w:tcPr>
            <w:tcW w:w="1319" w:type="pct"/>
            <w:shd w:val="clear" w:color="auto" w:fill="auto"/>
            <w:noWrap/>
          </w:tcPr>
          <w:p>
            <w:pPr>
              <w:widowControl/>
              <w:spacing w:line="240" w:lineRule="auto"/>
              <w:ind w:firstLine="0" w:firstLineChars="0"/>
              <w:jc w:val="center"/>
              <w:rPr>
                <w:color w:val="000000"/>
                <w:sz w:val="21"/>
              </w:rPr>
            </w:pPr>
            <w:r>
              <w:rPr>
                <w:rFonts w:hint="eastAsia"/>
                <w:color w:val="000000"/>
                <w:sz w:val="21"/>
              </w:rPr>
              <w:t>1535.23</w:t>
            </w:r>
          </w:p>
        </w:tc>
        <w:tc>
          <w:tcPr>
            <w:tcW w:w="1210" w:type="pct"/>
            <w:shd w:val="clear" w:color="auto" w:fill="auto"/>
            <w:noWrap/>
          </w:tcPr>
          <w:p>
            <w:pPr>
              <w:widowControl/>
              <w:spacing w:line="240" w:lineRule="auto"/>
              <w:ind w:firstLine="0" w:firstLineChars="0"/>
              <w:jc w:val="center"/>
              <w:rPr>
                <w:color w:val="000000"/>
                <w:sz w:val="21"/>
              </w:rPr>
            </w:pPr>
            <w:r>
              <w:rPr>
                <w:rFonts w:eastAsia="宋体"/>
                <w:color w:val="000000"/>
                <w:kern w:val="0"/>
                <w:sz w:val="21"/>
              </w:rPr>
              <w:t>16.23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152" w:type="pct"/>
            <w:tcBorders>
              <w:top w:val="single" w:color="auto" w:sz="4" w:space="0"/>
            </w:tcBorders>
            <w:shd w:val="clear" w:color="auto" w:fill="auto"/>
            <w:noWrap/>
            <w:vAlign w:val="center"/>
          </w:tcPr>
          <w:p>
            <w:pPr>
              <w:widowControl/>
              <w:spacing w:line="240" w:lineRule="auto"/>
              <w:ind w:firstLine="0" w:firstLineChars="0"/>
              <w:jc w:val="center"/>
              <w:rPr>
                <w:color w:val="000000"/>
                <w:kern w:val="0"/>
                <w:sz w:val="21"/>
              </w:rPr>
            </w:pPr>
            <w:r>
              <w:rPr>
                <w:color w:val="000000"/>
                <w:kern w:val="0"/>
                <w:sz w:val="21"/>
              </w:rPr>
              <w:t>有条件建设区</w:t>
            </w:r>
          </w:p>
        </w:tc>
        <w:tc>
          <w:tcPr>
            <w:tcW w:w="1319" w:type="pct"/>
            <w:shd w:val="clear" w:color="auto" w:fill="auto"/>
            <w:noWrap/>
          </w:tcPr>
          <w:p>
            <w:pPr>
              <w:widowControl/>
              <w:spacing w:line="240" w:lineRule="auto"/>
              <w:ind w:firstLine="0" w:firstLineChars="0"/>
              <w:jc w:val="center"/>
              <w:rPr>
                <w:color w:val="000000"/>
                <w:sz w:val="21"/>
              </w:rPr>
            </w:pPr>
            <w:r>
              <w:rPr>
                <w:color w:val="000000"/>
                <w:sz w:val="21"/>
              </w:rPr>
              <w:t>431.90</w:t>
            </w:r>
          </w:p>
        </w:tc>
        <w:tc>
          <w:tcPr>
            <w:tcW w:w="1319" w:type="pct"/>
            <w:shd w:val="clear" w:color="auto" w:fill="auto"/>
            <w:noWrap/>
          </w:tcPr>
          <w:p>
            <w:pPr>
              <w:widowControl/>
              <w:spacing w:line="240" w:lineRule="auto"/>
              <w:ind w:firstLine="0" w:firstLineChars="0"/>
              <w:jc w:val="center"/>
              <w:rPr>
                <w:color w:val="000000"/>
                <w:sz w:val="21"/>
              </w:rPr>
            </w:pPr>
            <w:r>
              <w:rPr>
                <w:rFonts w:hint="eastAsia"/>
                <w:color w:val="000000"/>
                <w:sz w:val="21"/>
              </w:rPr>
              <w:t>431.90</w:t>
            </w:r>
          </w:p>
        </w:tc>
        <w:tc>
          <w:tcPr>
            <w:tcW w:w="1210" w:type="pct"/>
            <w:shd w:val="clear" w:color="auto" w:fill="auto"/>
            <w:noWrap/>
          </w:tcPr>
          <w:p>
            <w:pPr>
              <w:widowControl/>
              <w:spacing w:line="240" w:lineRule="auto"/>
              <w:ind w:firstLine="0" w:firstLineChars="0"/>
              <w:jc w:val="center"/>
              <w:rPr>
                <w:color w:val="000000"/>
                <w:sz w:val="21"/>
              </w:rPr>
            </w:pPr>
            <w:r>
              <w:rPr>
                <w:rFonts w:hint="eastAsia"/>
                <w:color w:val="000000"/>
                <w:sz w:val="21"/>
              </w:rPr>
              <w:t>0.00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152" w:type="pct"/>
            <w:shd w:val="clear" w:color="auto" w:fill="auto"/>
            <w:noWrap/>
            <w:vAlign w:val="center"/>
          </w:tcPr>
          <w:p>
            <w:pPr>
              <w:widowControl/>
              <w:spacing w:line="240" w:lineRule="auto"/>
              <w:ind w:firstLine="0" w:firstLineChars="0"/>
              <w:jc w:val="center"/>
              <w:rPr>
                <w:color w:val="000000"/>
                <w:kern w:val="0"/>
                <w:sz w:val="21"/>
              </w:rPr>
            </w:pPr>
            <w:r>
              <w:rPr>
                <w:color w:val="000000"/>
                <w:kern w:val="0"/>
                <w:sz w:val="21"/>
              </w:rPr>
              <w:t>限制建设区</w:t>
            </w:r>
          </w:p>
        </w:tc>
        <w:tc>
          <w:tcPr>
            <w:tcW w:w="1319" w:type="pct"/>
            <w:shd w:val="clear" w:color="auto" w:fill="auto"/>
            <w:noWrap/>
          </w:tcPr>
          <w:p>
            <w:pPr>
              <w:widowControl/>
              <w:spacing w:line="240" w:lineRule="auto"/>
              <w:ind w:firstLine="0" w:firstLineChars="0"/>
              <w:jc w:val="center"/>
              <w:rPr>
                <w:color w:val="000000"/>
                <w:sz w:val="21"/>
              </w:rPr>
            </w:pPr>
            <w:r>
              <w:rPr>
                <w:color w:val="000000"/>
                <w:sz w:val="21"/>
              </w:rPr>
              <w:t>38897.40</w:t>
            </w:r>
          </w:p>
        </w:tc>
        <w:tc>
          <w:tcPr>
            <w:tcW w:w="1319" w:type="pct"/>
            <w:shd w:val="clear" w:color="auto" w:fill="auto"/>
            <w:noWrap/>
          </w:tcPr>
          <w:p>
            <w:pPr>
              <w:widowControl/>
              <w:spacing w:line="240" w:lineRule="auto"/>
              <w:ind w:firstLine="0" w:firstLineChars="0"/>
              <w:jc w:val="center"/>
              <w:rPr>
                <w:color w:val="000000"/>
                <w:sz w:val="21"/>
              </w:rPr>
            </w:pPr>
            <w:r>
              <w:rPr>
                <w:rFonts w:hint="eastAsia"/>
                <w:color w:val="000000"/>
                <w:sz w:val="21"/>
              </w:rPr>
              <w:t>38881.17</w:t>
            </w:r>
          </w:p>
        </w:tc>
        <w:tc>
          <w:tcPr>
            <w:tcW w:w="1210" w:type="pct"/>
            <w:shd w:val="clear" w:color="auto" w:fill="auto"/>
            <w:noWrap/>
          </w:tcPr>
          <w:p>
            <w:pPr>
              <w:widowControl/>
              <w:spacing w:line="240" w:lineRule="auto"/>
              <w:ind w:firstLine="0" w:firstLineChars="0"/>
              <w:jc w:val="center"/>
              <w:rPr>
                <w:color w:val="000000"/>
                <w:sz w:val="21"/>
              </w:rPr>
            </w:pPr>
            <w:r>
              <w:rPr>
                <w:rFonts w:hint="eastAsia" w:eastAsia="宋体"/>
                <w:color w:val="000000"/>
                <w:kern w:val="0"/>
                <w:sz w:val="21"/>
              </w:rPr>
              <w:t>-</w:t>
            </w:r>
            <w:r>
              <w:rPr>
                <w:rFonts w:eastAsia="宋体"/>
                <w:color w:val="000000"/>
                <w:kern w:val="0"/>
                <w:sz w:val="21"/>
              </w:rPr>
              <w:t>16.23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152" w:type="pct"/>
            <w:shd w:val="clear" w:color="auto" w:fill="auto"/>
            <w:noWrap/>
            <w:vAlign w:val="center"/>
          </w:tcPr>
          <w:p>
            <w:pPr>
              <w:widowControl/>
              <w:spacing w:line="240" w:lineRule="auto"/>
              <w:ind w:firstLine="0" w:firstLineChars="0"/>
              <w:jc w:val="center"/>
              <w:rPr>
                <w:color w:val="000000"/>
                <w:kern w:val="0"/>
                <w:sz w:val="21"/>
              </w:rPr>
            </w:pPr>
            <w:r>
              <w:rPr>
                <w:rFonts w:hint="eastAsia"/>
                <w:color w:val="000000"/>
                <w:kern w:val="0"/>
                <w:sz w:val="21"/>
              </w:rPr>
              <w:t>禁止建设区</w:t>
            </w:r>
          </w:p>
        </w:tc>
        <w:tc>
          <w:tcPr>
            <w:tcW w:w="1319" w:type="pct"/>
            <w:shd w:val="clear" w:color="auto" w:fill="auto"/>
            <w:noWrap/>
          </w:tcPr>
          <w:p>
            <w:pPr>
              <w:widowControl/>
              <w:spacing w:line="240" w:lineRule="auto"/>
              <w:ind w:firstLine="0" w:firstLineChars="0"/>
              <w:jc w:val="center"/>
              <w:rPr>
                <w:color w:val="000000"/>
                <w:sz w:val="21"/>
              </w:rPr>
            </w:pPr>
            <w:r>
              <w:rPr>
                <w:color w:val="000000"/>
                <w:sz w:val="21"/>
              </w:rPr>
              <w:t>1387.60</w:t>
            </w:r>
          </w:p>
        </w:tc>
        <w:tc>
          <w:tcPr>
            <w:tcW w:w="1319" w:type="pct"/>
            <w:shd w:val="clear" w:color="auto" w:fill="auto"/>
            <w:noWrap/>
          </w:tcPr>
          <w:p>
            <w:pPr>
              <w:widowControl/>
              <w:spacing w:line="240" w:lineRule="auto"/>
              <w:ind w:firstLine="0" w:firstLineChars="0"/>
              <w:jc w:val="center"/>
              <w:rPr>
                <w:color w:val="000000"/>
                <w:sz w:val="21"/>
              </w:rPr>
            </w:pPr>
            <w:r>
              <w:rPr>
                <w:rFonts w:hint="eastAsia"/>
                <w:color w:val="000000"/>
                <w:sz w:val="21"/>
              </w:rPr>
              <w:t>1387.60</w:t>
            </w:r>
          </w:p>
        </w:tc>
        <w:tc>
          <w:tcPr>
            <w:tcW w:w="1210" w:type="pct"/>
            <w:shd w:val="clear" w:color="auto" w:fill="auto"/>
            <w:noWrap/>
          </w:tcPr>
          <w:p>
            <w:pPr>
              <w:widowControl/>
              <w:spacing w:line="240" w:lineRule="auto"/>
              <w:ind w:firstLine="0" w:firstLineChars="0"/>
              <w:jc w:val="center"/>
              <w:rPr>
                <w:color w:val="000000"/>
                <w:sz w:val="21"/>
              </w:rPr>
            </w:pPr>
            <w:r>
              <w:rPr>
                <w:rFonts w:hint="eastAsia"/>
                <w:color w:val="000000"/>
                <w:sz w:val="21"/>
              </w:rPr>
              <w:t>0.00</w:t>
            </w:r>
          </w:p>
        </w:tc>
      </w:tr>
      <w:bookmarkEnd w:id="317"/>
    </w:tbl>
    <w:p>
      <w:pPr>
        <w:spacing w:line="240" w:lineRule="auto"/>
        <w:ind w:firstLine="0" w:firstLineChars="0"/>
      </w:pPr>
    </w:p>
    <w:sectPr>
      <w:pgSz w:w="11907" w:h="16839"/>
      <w:pgMar w:top="1440" w:right="1797" w:bottom="1440" w:left="1797" w:header="851" w:footer="992" w:gutter="0"/>
      <w:cols w:space="425" w:num="1"/>
      <w:docGrid w:type="lines" w:linePitch="381"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560"/>
      </w:pPr>
      <w:r>
        <w:separator/>
      </w:r>
    </w:p>
  </w:endnote>
  <w:endnote w:type="continuationSeparator" w:id="1">
    <w:p>
      <w:pPr>
        <w:spacing w:line="240" w:lineRule="auto"/>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jc w:val="center"/>
    </w:pPr>
  </w:p>
  <w:p>
    <w:pPr>
      <w:pStyle w:val="11"/>
      <w:ind w:firstLine="0" w:firstLineChars="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03900483"/>
      <w:docPartObj>
        <w:docPartGallery w:val="autotext"/>
      </w:docPartObj>
    </w:sdtPr>
    <w:sdtContent>
      <w:p>
        <w:pPr>
          <w:pStyle w:val="11"/>
          <w:ind w:firstLine="360"/>
          <w:jc w:val="center"/>
        </w:pPr>
        <w:r>
          <w:fldChar w:fldCharType="begin"/>
        </w:r>
        <w:r>
          <w:instrText xml:space="preserve">PAGE   \* MERGEFORMAT</w:instrText>
        </w:r>
        <w:r>
          <w:fldChar w:fldCharType="separate"/>
        </w:r>
        <w:r>
          <w:rPr>
            <w:lang w:val="zh-CN"/>
          </w:rPr>
          <w:t>III</w:t>
        </w:r>
        <w:r>
          <w:rPr>
            <w:lang w:val="zh-CN"/>
          </w:rPr>
          <w:fldChar w:fldCharType="end"/>
        </w:r>
      </w:p>
    </w:sdtContent>
  </w:sdt>
  <w:p>
    <w:pPr>
      <w:pStyle w:val="11"/>
      <w:ind w:firstLine="0" w:firstLineChars="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57250094"/>
      <w:docPartObj>
        <w:docPartGallery w:val="autotext"/>
      </w:docPartObj>
    </w:sdtPr>
    <w:sdtContent>
      <w:p>
        <w:pPr>
          <w:pStyle w:val="11"/>
          <w:ind w:firstLine="360"/>
          <w:jc w:val="center"/>
        </w:pPr>
        <w:r>
          <w:fldChar w:fldCharType="begin"/>
        </w:r>
        <w:r>
          <w:instrText xml:space="preserve">PAGE   \* MERGEFORMAT</w:instrText>
        </w:r>
        <w:r>
          <w:fldChar w:fldCharType="separate"/>
        </w:r>
        <w:r>
          <w:rPr>
            <w:lang w:val="zh-CN"/>
          </w:rPr>
          <w:t>2</w:t>
        </w:r>
        <w:r>
          <w:rPr>
            <w:lang w:val="zh-CN"/>
          </w:rPr>
          <w:fldChar w:fldCharType="end"/>
        </w:r>
      </w:p>
    </w:sdtContent>
  </w:sdt>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81112090"/>
      <w:docPartObj>
        <w:docPartGallery w:val="autotext"/>
      </w:docPartObj>
    </w:sdtPr>
    <w:sdtContent>
      <w:p>
        <w:pPr>
          <w:pStyle w:val="11"/>
          <w:ind w:firstLine="360"/>
          <w:jc w:val="center"/>
        </w:pPr>
        <w:r>
          <w:fldChar w:fldCharType="begin"/>
        </w:r>
        <w:r>
          <w:instrText xml:space="preserve">PAGE   \* MERGEFORMAT</w:instrText>
        </w:r>
        <w:r>
          <w:fldChar w:fldCharType="separate"/>
        </w:r>
        <w:r>
          <w:rPr>
            <w:lang w:val="zh-CN"/>
          </w:rPr>
          <w:t>13</w:t>
        </w:r>
        <w:r>
          <w:rPr>
            <w:lang w:val="zh-CN"/>
          </w:rPr>
          <w:fldChar w:fldCharType="end"/>
        </w:r>
      </w:p>
    </w:sdtContent>
  </w:sdt>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104378423"/>
      <w:docPartObj>
        <w:docPartGallery w:val="autotext"/>
      </w:docPartObj>
    </w:sdtPr>
    <w:sdtContent>
      <w:p>
        <w:pPr>
          <w:pStyle w:val="11"/>
          <w:ind w:firstLine="360"/>
          <w:jc w:val="center"/>
        </w:pPr>
        <w:r>
          <w:fldChar w:fldCharType="begin"/>
        </w:r>
        <w:r>
          <w:instrText xml:space="preserve">PAGE   \* MERGEFORMAT</w:instrText>
        </w:r>
        <w:r>
          <w:fldChar w:fldCharType="separate"/>
        </w:r>
        <w:r>
          <w:rPr>
            <w:lang w:val="zh-CN"/>
          </w:rPr>
          <w:t>64</w:t>
        </w:r>
        <w:r>
          <w:rPr>
            <w:lang w:val="zh-CN"/>
          </w:rPr>
          <w:fldChar w:fldCharType="end"/>
        </w:r>
      </w:p>
    </w:sdtContent>
  </w:sdt>
  <w:p>
    <w:pPr>
      <w:pStyle w:val="11"/>
      <w:ind w:firstLine="0" w:firstLineChars="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pPr>
        <w:spacing w:line="360" w:lineRule="auto"/>
        <w:ind w:firstLine="560"/>
      </w:pPr>
      <w:r>
        <w:separator/>
      </w:r>
    </w:p>
  </w:footnote>
  <w:footnote w:type="continuationSeparator" w:id="3">
    <w:p>
      <w:pPr>
        <w:spacing w:line="360" w:lineRule="auto"/>
        <w:ind w:firstLine="560"/>
      </w:pPr>
      <w:r>
        <w:continuationSeparator/>
      </w:r>
    </w:p>
  </w:footnote>
  <w:footnote w:id="0">
    <w:p>
      <w:pPr>
        <w:pStyle w:val="14"/>
        <w:ind w:firstLine="360"/>
      </w:pPr>
      <w:r>
        <w:rPr>
          <w:rStyle w:val="23"/>
        </w:rPr>
        <w:footnoteRef/>
      </w:r>
      <w:r>
        <w:rPr>
          <w:rFonts w:hint="eastAsia"/>
        </w:rPr>
        <w:t>生态用地包括：耕地、园地、林地、草地、水域及自然保留地。</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360"/>
      <w:jc w:val="right"/>
    </w:pPr>
    <w:r>
      <w:rPr>
        <w:rFonts w:hint="eastAsia"/>
      </w:rPr>
      <w:t>《永吉县西阳镇土地利用总体规划（2006-2020年）》修改方案</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36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36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360"/>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360"/>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360"/>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HorizontalSpacing w:val="140"/>
  <w:drawingGridVerticalSpacing w:val="381"/>
  <w:displayHorizontalDrawingGridEvery w:val="0"/>
  <w:characterSpacingControl w:val="compressPunctuation"/>
  <w:footnotePr>
    <w:footnote w:id="2"/>
    <w:footnote w:id="3"/>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MyNzVmZTczODlhMzViZGExYTZiNjYzY2M5NTJmZDAifQ=="/>
    <w:docVar w:name="KSO_WPS_MARK_KEY" w:val="20957a2d-db24-40bf-91e5-0941de2f6dd9"/>
  </w:docVars>
  <w:rsids>
    <w:rsidRoot w:val="00BD68E5"/>
    <w:rsid w:val="00000D01"/>
    <w:rsid w:val="00002033"/>
    <w:rsid w:val="00004DA3"/>
    <w:rsid w:val="00005C3D"/>
    <w:rsid w:val="000071B5"/>
    <w:rsid w:val="00011615"/>
    <w:rsid w:val="00012B35"/>
    <w:rsid w:val="0001492C"/>
    <w:rsid w:val="00014A4E"/>
    <w:rsid w:val="00014F8D"/>
    <w:rsid w:val="000153F5"/>
    <w:rsid w:val="00015DA6"/>
    <w:rsid w:val="00020378"/>
    <w:rsid w:val="000207C1"/>
    <w:rsid w:val="00020847"/>
    <w:rsid w:val="000210A2"/>
    <w:rsid w:val="00022C61"/>
    <w:rsid w:val="0002357F"/>
    <w:rsid w:val="00023F14"/>
    <w:rsid w:val="000242C6"/>
    <w:rsid w:val="00024FA8"/>
    <w:rsid w:val="00026669"/>
    <w:rsid w:val="00027051"/>
    <w:rsid w:val="000270AE"/>
    <w:rsid w:val="00030A3D"/>
    <w:rsid w:val="00030D58"/>
    <w:rsid w:val="00033422"/>
    <w:rsid w:val="00033F47"/>
    <w:rsid w:val="000348E3"/>
    <w:rsid w:val="00035114"/>
    <w:rsid w:val="00041EBA"/>
    <w:rsid w:val="00042718"/>
    <w:rsid w:val="00045262"/>
    <w:rsid w:val="00045567"/>
    <w:rsid w:val="000457B5"/>
    <w:rsid w:val="000468E4"/>
    <w:rsid w:val="000471CB"/>
    <w:rsid w:val="00047224"/>
    <w:rsid w:val="00050DE7"/>
    <w:rsid w:val="0005163F"/>
    <w:rsid w:val="000516A1"/>
    <w:rsid w:val="00051EA5"/>
    <w:rsid w:val="00054D64"/>
    <w:rsid w:val="0005585C"/>
    <w:rsid w:val="00056A09"/>
    <w:rsid w:val="00057902"/>
    <w:rsid w:val="00060574"/>
    <w:rsid w:val="00061087"/>
    <w:rsid w:val="00062763"/>
    <w:rsid w:val="000639EC"/>
    <w:rsid w:val="00063A64"/>
    <w:rsid w:val="00063D1E"/>
    <w:rsid w:val="000645DB"/>
    <w:rsid w:val="00064BDA"/>
    <w:rsid w:val="000661BA"/>
    <w:rsid w:val="00066D90"/>
    <w:rsid w:val="00066FC4"/>
    <w:rsid w:val="000709E3"/>
    <w:rsid w:val="000736F1"/>
    <w:rsid w:val="000744B5"/>
    <w:rsid w:val="00074674"/>
    <w:rsid w:val="00075184"/>
    <w:rsid w:val="000762D3"/>
    <w:rsid w:val="0007639C"/>
    <w:rsid w:val="00077A33"/>
    <w:rsid w:val="000855B3"/>
    <w:rsid w:val="000862A0"/>
    <w:rsid w:val="000869F0"/>
    <w:rsid w:val="000869F5"/>
    <w:rsid w:val="00086AFB"/>
    <w:rsid w:val="00087B25"/>
    <w:rsid w:val="00093651"/>
    <w:rsid w:val="000940EA"/>
    <w:rsid w:val="00095751"/>
    <w:rsid w:val="0009581A"/>
    <w:rsid w:val="000A067D"/>
    <w:rsid w:val="000A1497"/>
    <w:rsid w:val="000A1A56"/>
    <w:rsid w:val="000A2E98"/>
    <w:rsid w:val="000A4007"/>
    <w:rsid w:val="000A4949"/>
    <w:rsid w:val="000A4E6D"/>
    <w:rsid w:val="000A5D28"/>
    <w:rsid w:val="000A6030"/>
    <w:rsid w:val="000A6E85"/>
    <w:rsid w:val="000A749C"/>
    <w:rsid w:val="000B044D"/>
    <w:rsid w:val="000B1F97"/>
    <w:rsid w:val="000B2756"/>
    <w:rsid w:val="000B3B4B"/>
    <w:rsid w:val="000B3D50"/>
    <w:rsid w:val="000B4359"/>
    <w:rsid w:val="000B4999"/>
    <w:rsid w:val="000B4DC1"/>
    <w:rsid w:val="000C20DF"/>
    <w:rsid w:val="000C2BB5"/>
    <w:rsid w:val="000C367D"/>
    <w:rsid w:val="000C4957"/>
    <w:rsid w:val="000C4D59"/>
    <w:rsid w:val="000C6FC4"/>
    <w:rsid w:val="000C7A96"/>
    <w:rsid w:val="000D0613"/>
    <w:rsid w:val="000D2ABD"/>
    <w:rsid w:val="000D49CA"/>
    <w:rsid w:val="000D4E33"/>
    <w:rsid w:val="000D571C"/>
    <w:rsid w:val="000D6C64"/>
    <w:rsid w:val="000D7711"/>
    <w:rsid w:val="000D7976"/>
    <w:rsid w:val="000E0F3D"/>
    <w:rsid w:val="000E236F"/>
    <w:rsid w:val="000E3493"/>
    <w:rsid w:val="000E38C8"/>
    <w:rsid w:val="000E3D15"/>
    <w:rsid w:val="000E7360"/>
    <w:rsid w:val="000F0AA9"/>
    <w:rsid w:val="000F0FD2"/>
    <w:rsid w:val="000F2B21"/>
    <w:rsid w:val="000F3587"/>
    <w:rsid w:val="000F3B8F"/>
    <w:rsid w:val="000F426E"/>
    <w:rsid w:val="000F42F8"/>
    <w:rsid w:val="000F43FE"/>
    <w:rsid w:val="000F4400"/>
    <w:rsid w:val="000F58DF"/>
    <w:rsid w:val="000F5DD6"/>
    <w:rsid w:val="000F665C"/>
    <w:rsid w:val="000F6C66"/>
    <w:rsid w:val="000F714D"/>
    <w:rsid w:val="000F7301"/>
    <w:rsid w:val="00100779"/>
    <w:rsid w:val="00100841"/>
    <w:rsid w:val="00101161"/>
    <w:rsid w:val="00101404"/>
    <w:rsid w:val="00104018"/>
    <w:rsid w:val="001042B0"/>
    <w:rsid w:val="00106674"/>
    <w:rsid w:val="00107DE0"/>
    <w:rsid w:val="0011294D"/>
    <w:rsid w:val="00113C90"/>
    <w:rsid w:val="00115BEC"/>
    <w:rsid w:val="0011619A"/>
    <w:rsid w:val="0011652A"/>
    <w:rsid w:val="00122CE0"/>
    <w:rsid w:val="0012360B"/>
    <w:rsid w:val="00123749"/>
    <w:rsid w:val="001239E0"/>
    <w:rsid w:val="00124CB7"/>
    <w:rsid w:val="00125902"/>
    <w:rsid w:val="00125F35"/>
    <w:rsid w:val="00126C14"/>
    <w:rsid w:val="001316CE"/>
    <w:rsid w:val="00131C8F"/>
    <w:rsid w:val="00131DC6"/>
    <w:rsid w:val="0013297C"/>
    <w:rsid w:val="00133357"/>
    <w:rsid w:val="00134490"/>
    <w:rsid w:val="00135F33"/>
    <w:rsid w:val="00137542"/>
    <w:rsid w:val="001379A2"/>
    <w:rsid w:val="00140FE2"/>
    <w:rsid w:val="00141B4B"/>
    <w:rsid w:val="00145215"/>
    <w:rsid w:val="00146F46"/>
    <w:rsid w:val="0015014A"/>
    <w:rsid w:val="00150809"/>
    <w:rsid w:val="001508D3"/>
    <w:rsid w:val="00151A39"/>
    <w:rsid w:val="001542D3"/>
    <w:rsid w:val="00154394"/>
    <w:rsid w:val="00155BD1"/>
    <w:rsid w:val="00156551"/>
    <w:rsid w:val="00156E6E"/>
    <w:rsid w:val="00156F90"/>
    <w:rsid w:val="001609F9"/>
    <w:rsid w:val="00160F3E"/>
    <w:rsid w:val="00162DDA"/>
    <w:rsid w:val="001644FE"/>
    <w:rsid w:val="0016558F"/>
    <w:rsid w:val="00165D2B"/>
    <w:rsid w:val="001660B8"/>
    <w:rsid w:val="00166A79"/>
    <w:rsid w:val="0016722B"/>
    <w:rsid w:val="00167305"/>
    <w:rsid w:val="00167D4E"/>
    <w:rsid w:val="00171BD6"/>
    <w:rsid w:val="00172B17"/>
    <w:rsid w:val="00174145"/>
    <w:rsid w:val="00174611"/>
    <w:rsid w:val="00174FCE"/>
    <w:rsid w:val="0018188A"/>
    <w:rsid w:val="00182109"/>
    <w:rsid w:val="00182157"/>
    <w:rsid w:val="00182544"/>
    <w:rsid w:val="00184194"/>
    <w:rsid w:val="001845D9"/>
    <w:rsid w:val="001868FE"/>
    <w:rsid w:val="00186908"/>
    <w:rsid w:val="001906AF"/>
    <w:rsid w:val="0019095D"/>
    <w:rsid w:val="0019283A"/>
    <w:rsid w:val="00192C85"/>
    <w:rsid w:val="00197AE0"/>
    <w:rsid w:val="001A046C"/>
    <w:rsid w:val="001A27A1"/>
    <w:rsid w:val="001A5588"/>
    <w:rsid w:val="001A60E4"/>
    <w:rsid w:val="001A625F"/>
    <w:rsid w:val="001A7203"/>
    <w:rsid w:val="001B003C"/>
    <w:rsid w:val="001B07D2"/>
    <w:rsid w:val="001B1DFA"/>
    <w:rsid w:val="001B201C"/>
    <w:rsid w:val="001B67E9"/>
    <w:rsid w:val="001B68D1"/>
    <w:rsid w:val="001B6B51"/>
    <w:rsid w:val="001C1B04"/>
    <w:rsid w:val="001C4868"/>
    <w:rsid w:val="001C797E"/>
    <w:rsid w:val="001C7A0F"/>
    <w:rsid w:val="001C7F32"/>
    <w:rsid w:val="001D061E"/>
    <w:rsid w:val="001D1549"/>
    <w:rsid w:val="001D3668"/>
    <w:rsid w:val="001D6A64"/>
    <w:rsid w:val="001D6E0D"/>
    <w:rsid w:val="001D7BE0"/>
    <w:rsid w:val="001E12E5"/>
    <w:rsid w:val="001E2080"/>
    <w:rsid w:val="001E3D64"/>
    <w:rsid w:val="001E5A32"/>
    <w:rsid w:val="001E7129"/>
    <w:rsid w:val="001F1779"/>
    <w:rsid w:val="001F382A"/>
    <w:rsid w:val="001F408E"/>
    <w:rsid w:val="001F4D20"/>
    <w:rsid w:val="001F682E"/>
    <w:rsid w:val="001F696D"/>
    <w:rsid w:val="001F7FED"/>
    <w:rsid w:val="00202BC5"/>
    <w:rsid w:val="002038BF"/>
    <w:rsid w:val="00203C8C"/>
    <w:rsid w:val="0020455F"/>
    <w:rsid w:val="00204E5F"/>
    <w:rsid w:val="00206483"/>
    <w:rsid w:val="0020686C"/>
    <w:rsid w:val="00210021"/>
    <w:rsid w:val="00210CBE"/>
    <w:rsid w:val="00212F99"/>
    <w:rsid w:val="002130DD"/>
    <w:rsid w:val="00214E64"/>
    <w:rsid w:val="002170B1"/>
    <w:rsid w:val="00217B4F"/>
    <w:rsid w:val="00220646"/>
    <w:rsid w:val="00220F54"/>
    <w:rsid w:val="00221DB0"/>
    <w:rsid w:val="00224B61"/>
    <w:rsid w:val="00226E31"/>
    <w:rsid w:val="0022757B"/>
    <w:rsid w:val="00227A67"/>
    <w:rsid w:val="0023019A"/>
    <w:rsid w:val="00231328"/>
    <w:rsid w:val="002328B4"/>
    <w:rsid w:val="002343A2"/>
    <w:rsid w:val="00234919"/>
    <w:rsid w:val="002354DC"/>
    <w:rsid w:val="0023711A"/>
    <w:rsid w:val="0024238A"/>
    <w:rsid w:val="00243F54"/>
    <w:rsid w:val="00245ADB"/>
    <w:rsid w:val="00245F04"/>
    <w:rsid w:val="00246E81"/>
    <w:rsid w:val="00250E72"/>
    <w:rsid w:val="002528E1"/>
    <w:rsid w:val="00253405"/>
    <w:rsid w:val="00253A33"/>
    <w:rsid w:val="002541D1"/>
    <w:rsid w:val="002543F6"/>
    <w:rsid w:val="0025533B"/>
    <w:rsid w:val="00262603"/>
    <w:rsid w:val="0026334B"/>
    <w:rsid w:val="00263BD4"/>
    <w:rsid w:val="002646A8"/>
    <w:rsid w:val="00264817"/>
    <w:rsid w:val="002661CC"/>
    <w:rsid w:val="002663F8"/>
    <w:rsid w:val="00266C24"/>
    <w:rsid w:val="00271F08"/>
    <w:rsid w:val="002725A6"/>
    <w:rsid w:val="00273BCE"/>
    <w:rsid w:val="00276C75"/>
    <w:rsid w:val="00277F6D"/>
    <w:rsid w:val="002808FD"/>
    <w:rsid w:val="00282753"/>
    <w:rsid w:val="00283450"/>
    <w:rsid w:val="00284568"/>
    <w:rsid w:val="0028478F"/>
    <w:rsid w:val="0028605C"/>
    <w:rsid w:val="002861B0"/>
    <w:rsid w:val="0028769B"/>
    <w:rsid w:val="00291D13"/>
    <w:rsid w:val="002950B9"/>
    <w:rsid w:val="002967C8"/>
    <w:rsid w:val="002975D1"/>
    <w:rsid w:val="002A0A5C"/>
    <w:rsid w:val="002A1E65"/>
    <w:rsid w:val="002A2CBE"/>
    <w:rsid w:val="002A3C3B"/>
    <w:rsid w:val="002A4305"/>
    <w:rsid w:val="002A4802"/>
    <w:rsid w:val="002A5B36"/>
    <w:rsid w:val="002A6457"/>
    <w:rsid w:val="002A66E2"/>
    <w:rsid w:val="002A6956"/>
    <w:rsid w:val="002B0D17"/>
    <w:rsid w:val="002B124E"/>
    <w:rsid w:val="002B437E"/>
    <w:rsid w:val="002B5728"/>
    <w:rsid w:val="002B59CE"/>
    <w:rsid w:val="002B71B3"/>
    <w:rsid w:val="002B7D2F"/>
    <w:rsid w:val="002C0CD1"/>
    <w:rsid w:val="002C0E20"/>
    <w:rsid w:val="002C4ED7"/>
    <w:rsid w:val="002C4F0C"/>
    <w:rsid w:val="002C66B1"/>
    <w:rsid w:val="002C6942"/>
    <w:rsid w:val="002C72B8"/>
    <w:rsid w:val="002D018C"/>
    <w:rsid w:val="002D1953"/>
    <w:rsid w:val="002D3A3B"/>
    <w:rsid w:val="002D49BE"/>
    <w:rsid w:val="002D70ED"/>
    <w:rsid w:val="002D7578"/>
    <w:rsid w:val="002E126F"/>
    <w:rsid w:val="002E28DC"/>
    <w:rsid w:val="002E30B5"/>
    <w:rsid w:val="002E4A1B"/>
    <w:rsid w:val="002E5A8B"/>
    <w:rsid w:val="002E668B"/>
    <w:rsid w:val="002F22FC"/>
    <w:rsid w:val="002F37B3"/>
    <w:rsid w:val="002F3CD9"/>
    <w:rsid w:val="002F5B87"/>
    <w:rsid w:val="002F6CBB"/>
    <w:rsid w:val="002F77B0"/>
    <w:rsid w:val="002F7B89"/>
    <w:rsid w:val="00300B50"/>
    <w:rsid w:val="00301414"/>
    <w:rsid w:val="00302035"/>
    <w:rsid w:val="00302737"/>
    <w:rsid w:val="003031D8"/>
    <w:rsid w:val="0030384E"/>
    <w:rsid w:val="00305ECA"/>
    <w:rsid w:val="00306015"/>
    <w:rsid w:val="003138AC"/>
    <w:rsid w:val="00313C5E"/>
    <w:rsid w:val="00313E21"/>
    <w:rsid w:val="003145F6"/>
    <w:rsid w:val="003162D7"/>
    <w:rsid w:val="00316DD2"/>
    <w:rsid w:val="00317257"/>
    <w:rsid w:val="00317AFC"/>
    <w:rsid w:val="00322C7F"/>
    <w:rsid w:val="00323D35"/>
    <w:rsid w:val="00325459"/>
    <w:rsid w:val="00326DE2"/>
    <w:rsid w:val="00327A83"/>
    <w:rsid w:val="00330769"/>
    <w:rsid w:val="00330BBB"/>
    <w:rsid w:val="00332722"/>
    <w:rsid w:val="00334F86"/>
    <w:rsid w:val="003364E5"/>
    <w:rsid w:val="00345366"/>
    <w:rsid w:val="00353B0C"/>
    <w:rsid w:val="00353B2A"/>
    <w:rsid w:val="00354D0D"/>
    <w:rsid w:val="00357194"/>
    <w:rsid w:val="00360B17"/>
    <w:rsid w:val="003623B8"/>
    <w:rsid w:val="00364ABD"/>
    <w:rsid w:val="0036627C"/>
    <w:rsid w:val="0036629D"/>
    <w:rsid w:val="00366352"/>
    <w:rsid w:val="00370735"/>
    <w:rsid w:val="00372351"/>
    <w:rsid w:val="00372890"/>
    <w:rsid w:val="0037357A"/>
    <w:rsid w:val="00373ADD"/>
    <w:rsid w:val="00374DAB"/>
    <w:rsid w:val="00374EBB"/>
    <w:rsid w:val="00375233"/>
    <w:rsid w:val="00375394"/>
    <w:rsid w:val="00376AC9"/>
    <w:rsid w:val="00376B2C"/>
    <w:rsid w:val="00377C92"/>
    <w:rsid w:val="0038062F"/>
    <w:rsid w:val="0038181C"/>
    <w:rsid w:val="00382047"/>
    <w:rsid w:val="00382412"/>
    <w:rsid w:val="00383AAD"/>
    <w:rsid w:val="00383FD3"/>
    <w:rsid w:val="00384124"/>
    <w:rsid w:val="00384527"/>
    <w:rsid w:val="00384B1E"/>
    <w:rsid w:val="00384DB5"/>
    <w:rsid w:val="00385651"/>
    <w:rsid w:val="00386058"/>
    <w:rsid w:val="003869B1"/>
    <w:rsid w:val="00386CF0"/>
    <w:rsid w:val="00386F04"/>
    <w:rsid w:val="00390047"/>
    <w:rsid w:val="00394A44"/>
    <w:rsid w:val="003955BB"/>
    <w:rsid w:val="00397123"/>
    <w:rsid w:val="0039736F"/>
    <w:rsid w:val="003973B0"/>
    <w:rsid w:val="003A046A"/>
    <w:rsid w:val="003A0AB5"/>
    <w:rsid w:val="003A1AAA"/>
    <w:rsid w:val="003A1D48"/>
    <w:rsid w:val="003A43B6"/>
    <w:rsid w:val="003A4BDE"/>
    <w:rsid w:val="003A651F"/>
    <w:rsid w:val="003A71A5"/>
    <w:rsid w:val="003B0679"/>
    <w:rsid w:val="003B12CA"/>
    <w:rsid w:val="003B1409"/>
    <w:rsid w:val="003B42BD"/>
    <w:rsid w:val="003B576B"/>
    <w:rsid w:val="003B72E5"/>
    <w:rsid w:val="003C004A"/>
    <w:rsid w:val="003C0E08"/>
    <w:rsid w:val="003C0ED4"/>
    <w:rsid w:val="003C1373"/>
    <w:rsid w:val="003C1819"/>
    <w:rsid w:val="003C3E9B"/>
    <w:rsid w:val="003C5F3E"/>
    <w:rsid w:val="003C7A4D"/>
    <w:rsid w:val="003D040E"/>
    <w:rsid w:val="003D0BD4"/>
    <w:rsid w:val="003D3E58"/>
    <w:rsid w:val="003D3F19"/>
    <w:rsid w:val="003D5416"/>
    <w:rsid w:val="003D6C1A"/>
    <w:rsid w:val="003D7468"/>
    <w:rsid w:val="003D7A1E"/>
    <w:rsid w:val="003E0022"/>
    <w:rsid w:val="003E0DBA"/>
    <w:rsid w:val="003E2D23"/>
    <w:rsid w:val="003E3A45"/>
    <w:rsid w:val="003E3C57"/>
    <w:rsid w:val="003E5167"/>
    <w:rsid w:val="003E551D"/>
    <w:rsid w:val="003E592C"/>
    <w:rsid w:val="003E6835"/>
    <w:rsid w:val="003E6AED"/>
    <w:rsid w:val="003E74CE"/>
    <w:rsid w:val="003F22F1"/>
    <w:rsid w:val="003F3322"/>
    <w:rsid w:val="003F4789"/>
    <w:rsid w:val="003F6D5E"/>
    <w:rsid w:val="003F7C97"/>
    <w:rsid w:val="00400092"/>
    <w:rsid w:val="00401D5F"/>
    <w:rsid w:val="004025D8"/>
    <w:rsid w:val="00402B43"/>
    <w:rsid w:val="00403557"/>
    <w:rsid w:val="0040445A"/>
    <w:rsid w:val="00405636"/>
    <w:rsid w:val="0040683E"/>
    <w:rsid w:val="00410627"/>
    <w:rsid w:val="00410C27"/>
    <w:rsid w:val="00412F37"/>
    <w:rsid w:val="0041512B"/>
    <w:rsid w:val="0041753D"/>
    <w:rsid w:val="00420CBA"/>
    <w:rsid w:val="00423412"/>
    <w:rsid w:val="00423A9E"/>
    <w:rsid w:val="00424B84"/>
    <w:rsid w:val="00425A35"/>
    <w:rsid w:val="004278CC"/>
    <w:rsid w:val="00434EEA"/>
    <w:rsid w:val="00442A4E"/>
    <w:rsid w:val="00445217"/>
    <w:rsid w:val="00453C11"/>
    <w:rsid w:val="004545A5"/>
    <w:rsid w:val="0045523F"/>
    <w:rsid w:val="00456699"/>
    <w:rsid w:val="00457830"/>
    <w:rsid w:val="00461935"/>
    <w:rsid w:val="004625A5"/>
    <w:rsid w:val="004629AC"/>
    <w:rsid w:val="0046359D"/>
    <w:rsid w:val="00463764"/>
    <w:rsid w:val="00465354"/>
    <w:rsid w:val="00465D9D"/>
    <w:rsid w:val="004667EE"/>
    <w:rsid w:val="0046731E"/>
    <w:rsid w:val="004705C2"/>
    <w:rsid w:val="0047510D"/>
    <w:rsid w:val="0047625C"/>
    <w:rsid w:val="004801A4"/>
    <w:rsid w:val="0048151F"/>
    <w:rsid w:val="004843B7"/>
    <w:rsid w:val="0048483C"/>
    <w:rsid w:val="004871F2"/>
    <w:rsid w:val="00487326"/>
    <w:rsid w:val="00487474"/>
    <w:rsid w:val="0049007D"/>
    <w:rsid w:val="004907C6"/>
    <w:rsid w:val="00490C96"/>
    <w:rsid w:val="00490CC1"/>
    <w:rsid w:val="0049282A"/>
    <w:rsid w:val="00494620"/>
    <w:rsid w:val="0049571C"/>
    <w:rsid w:val="00495976"/>
    <w:rsid w:val="004A5B5A"/>
    <w:rsid w:val="004A5D8F"/>
    <w:rsid w:val="004A5FE2"/>
    <w:rsid w:val="004A6EAC"/>
    <w:rsid w:val="004B2117"/>
    <w:rsid w:val="004B44B9"/>
    <w:rsid w:val="004B4C74"/>
    <w:rsid w:val="004B4FFF"/>
    <w:rsid w:val="004B785F"/>
    <w:rsid w:val="004B7D3F"/>
    <w:rsid w:val="004B7E76"/>
    <w:rsid w:val="004C01F2"/>
    <w:rsid w:val="004C0380"/>
    <w:rsid w:val="004C0B74"/>
    <w:rsid w:val="004C20B1"/>
    <w:rsid w:val="004C2F32"/>
    <w:rsid w:val="004C6A25"/>
    <w:rsid w:val="004C7D9E"/>
    <w:rsid w:val="004D0AE8"/>
    <w:rsid w:val="004D161F"/>
    <w:rsid w:val="004D263B"/>
    <w:rsid w:val="004D3418"/>
    <w:rsid w:val="004D48AE"/>
    <w:rsid w:val="004D58CD"/>
    <w:rsid w:val="004D683F"/>
    <w:rsid w:val="004E2F16"/>
    <w:rsid w:val="004E2F25"/>
    <w:rsid w:val="004F1140"/>
    <w:rsid w:val="004F1433"/>
    <w:rsid w:val="004F171C"/>
    <w:rsid w:val="004F3D7B"/>
    <w:rsid w:val="004F71F2"/>
    <w:rsid w:val="005005D2"/>
    <w:rsid w:val="005022A8"/>
    <w:rsid w:val="00503343"/>
    <w:rsid w:val="005036BF"/>
    <w:rsid w:val="00504CAD"/>
    <w:rsid w:val="0050659E"/>
    <w:rsid w:val="00507C0B"/>
    <w:rsid w:val="0051319E"/>
    <w:rsid w:val="005135B0"/>
    <w:rsid w:val="005136EB"/>
    <w:rsid w:val="00513EA8"/>
    <w:rsid w:val="005151E4"/>
    <w:rsid w:val="00516935"/>
    <w:rsid w:val="005174F6"/>
    <w:rsid w:val="0051776A"/>
    <w:rsid w:val="00517796"/>
    <w:rsid w:val="00520210"/>
    <w:rsid w:val="005230A1"/>
    <w:rsid w:val="00524C26"/>
    <w:rsid w:val="0052525B"/>
    <w:rsid w:val="00525BD9"/>
    <w:rsid w:val="0052685C"/>
    <w:rsid w:val="00527B10"/>
    <w:rsid w:val="00530DC5"/>
    <w:rsid w:val="0053113F"/>
    <w:rsid w:val="00531E17"/>
    <w:rsid w:val="005326BD"/>
    <w:rsid w:val="00534993"/>
    <w:rsid w:val="00534B06"/>
    <w:rsid w:val="0053567F"/>
    <w:rsid w:val="00540803"/>
    <w:rsid w:val="00540BE1"/>
    <w:rsid w:val="00541D15"/>
    <w:rsid w:val="005439C1"/>
    <w:rsid w:val="00544397"/>
    <w:rsid w:val="0054697B"/>
    <w:rsid w:val="00547D0E"/>
    <w:rsid w:val="005507F1"/>
    <w:rsid w:val="005526B5"/>
    <w:rsid w:val="005558D2"/>
    <w:rsid w:val="00556044"/>
    <w:rsid w:val="00556056"/>
    <w:rsid w:val="005575D6"/>
    <w:rsid w:val="0056051A"/>
    <w:rsid w:val="00564D5D"/>
    <w:rsid w:val="005663DB"/>
    <w:rsid w:val="00566927"/>
    <w:rsid w:val="00567677"/>
    <w:rsid w:val="00567D1B"/>
    <w:rsid w:val="0057064C"/>
    <w:rsid w:val="005728CA"/>
    <w:rsid w:val="00573E1D"/>
    <w:rsid w:val="00574722"/>
    <w:rsid w:val="00576BB5"/>
    <w:rsid w:val="00577481"/>
    <w:rsid w:val="00581403"/>
    <w:rsid w:val="00581B17"/>
    <w:rsid w:val="00581EA8"/>
    <w:rsid w:val="00582140"/>
    <w:rsid w:val="00582328"/>
    <w:rsid w:val="005828CA"/>
    <w:rsid w:val="0058359F"/>
    <w:rsid w:val="00583B76"/>
    <w:rsid w:val="00584A17"/>
    <w:rsid w:val="00584F9F"/>
    <w:rsid w:val="00586148"/>
    <w:rsid w:val="00586B80"/>
    <w:rsid w:val="00587936"/>
    <w:rsid w:val="00587D6A"/>
    <w:rsid w:val="005909B4"/>
    <w:rsid w:val="00590CA6"/>
    <w:rsid w:val="005930FC"/>
    <w:rsid w:val="005964A5"/>
    <w:rsid w:val="005A0D38"/>
    <w:rsid w:val="005A152D"/>
    <w:rsid w:val="005A25B8"/>
    <w:rsid w:val="005A3A41"/>
    <w:rsid w:val="005A401F"/>
    <w:rsid w:val="005A41C5"/>
    <w:rsid w:val="005A45E4"/>
    <w:rsid w:val="005A4947"/>
    <w:rsid w:val="005A5A63"/>
    <w:rsid w:val="005A5E84"/>
    <w:rsid w:val="005A64EC"/>
    <w:rsid w:val="005A6BE0"/>
    <w:rsid w:val="005A6F21"/>
    <w:rsid w:val="005A7801"/>
    <w:rsid w:val="005A7C5C"/>
    <w:rsid w:val="005B0D39"/>
    <w:rsid w:val="005B1556"/>
    <w:rsid w:val="005B2956"/>
    <w:rsid w:val="005B36CA"/>
    <w:rsid w:val="005B3CBD"/>
    <w:rsid w:val="005B46CA"/>
    <w:rsid w:val="005B4EC9"/>
    <w:rsid w:val="005B7BA5"/>
    <w:rsid w:val="005C351C"/>
    <w:rsid w:val="005C4529"/>
    <w:rsid w:val="005C46EC"/>
    <w:rsid w:val="005C583F"/>
    <w:rsid w:val="005D011E"/>
    <w:rsid w:val="005D1021"/>
    <w:rsid w:val="005D1B0E"/>
    <w:rsid w:val="005D2B9B"/>
    <w:rsid w:val="005D32BC"/>
    <w:rsid w:val="005D4332"/>
    <w:rsid w:val="005D6474"/>
    <w:rsid w:val="005D6C03"/>
    <w:rsid w:val="005E0454"/>
    <w:rsid w:val="005E060A"/>
    <w:rsid w:val="005E1784"/>
    <w:rsid w:val="005E4DE1"/>
    <w:rsid w:val="005E5325"/>
    <w:rsid w:val="005E55D7"/>
    <w:rsid w:val="005E5F11"/>
    <w:rsid w:val="005E670E"/>
    <w:rsid w:val="005E7F32"/>
    <w:rsid w:val="005F133E"/>
    <w:rsid w:val="005F1571"/>
    <w:rsid w:val="005F44C7"/>
    <w:rsid w:val="005F502A"/>
    <w:rsid w:val="005F6306"/>
    <w:rsid w:val="005F6E79"/>
    <w:rsid w:val="005F7361"/>
    <w:rsid w:val="005F7780"/>
    <w:rsid w:val="00600529"/>
    <w:rsid w:val="00600A81"/>
    <w:rsid w:val="00600E46"/>
    <w:rsid w:val="00600EEE"/>
    <w:rsid w:val="00604D74"/>
    <w:rsid w:val="00610EC6"/>
    <w:rsid w:val="0061101B"/>
    <w:rsid w:val="00611A7A"/>
    <w:rsid w:val="00612881"/>
    <w:rsid w:val="0061406D"/>
    <w:rsid w:val="006145E1"/>
    <w:rsid w:val="006201FE"/>
    <w:rsid w:val="00622DDA"/>
    <w:rsid w:val="00624EEA"/>
    <w:rsid w:val="00625456"/>
    <w:rsid w:val="006258A3"/>
    <w:rsid w:val="0062609C"/>
    <w:rsid w:val="0062663A"/>
    <w:rsid w:val="00626D5D"/>
    <w:rsid w:val="00630916"/>
    <w:rsid w:val="00631104"/>
    <w:rsid w:val="0063122F"/>
    <w:rsid w:val="006319C3"/>
    <w:rsid w:val="00632043"/>
    <w:rsid w:val="006324DD"/>
    <w:rsid w:val="00633348"/>
    <w:rsid w:val="00634843"/>
    <w:rsid w:val="00635010"/>
    <w:rsid w:val="00635EE9"/>
    <w:rsid w:val="00640B99"/>
    <w:rsid w:val="00641167"/>
    <w:rsid w:val="0064214B"/>
    <w:rsid w:val="006456DE"/>
    <w:rsid w:val="00647CE9"/>
    <w:rsid w:val="0065098B"/>
    <w:rsid w:val="00651644"/>
    <w:rsid w:val="00651F07"/>
    <w:rsid w:val="006531EF"/>
    <w:rsid w:val="00653761"/>
    <w:rsid w:val="00653C40"/>
    <w:rsid w:val="006540A1"/>
    <w:rsid w:val="0065468F"/>
    <w:rsid w:val="00655239"/>
    <w:rsid w:val="006569EF"/>
    <w:rsid w:val="00656A95"/>
    <w:rsid w:val="00657FCC"/>
    <w:rsid w:val="00660827"/>
    <w:rsid w:val="00662DC2"/>
    <w:rsid w:val="00662FEF"/>
    <w:rsid w:val="006639DE"/>
    <w:rsid w:val="00663B10"/>
    <w:rsid w:val="0066403E"/>
    <w:rsid w:val="006640F0"/>
    <w:rsid w:val="00664AA8"/>
    <w:rsid w:val="006657D9"/>
    <w:rsid w:val="0066736D"/>
    <w:rsid w:val="00670AC2"/>
    <w:rsid w:val="00671FC3"/>
    <w:rsid w:val="006728BE"/>
    <w:rsid w:val="00673BD6"/>
    <w:rsid w:val="00673D8F"/>
    <w:rsid w:val="00676773"/>
    <w:rsid w:val="006768B5"/>
    <w:rsid w:val="00676921"/>
    <w:rsid w:val="00677981"/>
    <w:rsid w:val="006813B6"/>
    <w:rsid w:val="00681FD1"/>
    <w:rsid w:val="00683F19"/>
    <w:rsid w:val="00685235"/>
    <w:rsid w:val="00686707"/>
    <w:rsid w:val="00690FA9"/>
    <w:rsid w:val="006923DB"/>
    <w:rsid w:val="00694E83"/>
    <w:rsid w:val="00695097"/>
    <w:rsid w:val="006967E1"/>
    <w:rsid w:val="006A03CA"/>
    <w:rsid w:val="006A2B55"/>
    <w:rsid w:val="006A36CC"/>
    <w:rsid w:val="006A548B"/>
    <w:rsid w:val="006A5C43"/>
    <w:rsid w:val="006A5F3E"/>
    <w:rsid w:val="006A62EB"/>
    <w:rsid w:val="006A63B5"/>
    <w:rsid w:val="006A6941"/>
    <w:rsid w:val="006A6B97"/>
    <w:rsid w:val="006B004F"/>
    <w:rsid w:val="006B1CD6"/>
    <w:rsid w:val="006B2E48"/>
    <w:rsid w:val="006B31DC"/>
    <w:rsid w:val="006B32F1"/>
    <w:rsid w:val="006B3646"/>
    <w:rsid w:val="006B3924"/>
    <w:rsid w:val="006B4B2C"/>
    <w:rsid w:val="006B53B3"/>
    <w:rsid w:val="006B7648"/>
    <w:rsid w:val="006C130C"/>
    <w:rsid w:val="006C384E"/>
    <w:rsid w:val="006C5016"/>
    <w:rsid w:val="006C52FC"/>
    <w:rsid w:val="006C6BCA"/>
    <w:rsid w:val="006C6E07"/>
    <w:rsid w:val="006D28FA"/>
    <w:rsid w:val="006D3D5A"/>
    <w:rsid w:val="006D5A86"/>
    <w:rsid w:val="006D5D0E"/>
    <w:rsid w:val="006D6309"/>
    <w:rsid w:val="006E34E9"/>
    <w:rsid w:val="006E4ADE"/>
    <w:rsid w:val="006E4B52"/>
    <w:rsid w:val="006E4E87"/>
    <w:rsid w:val="006E65B1"/>
    <w:rsid w:val="006E7DA4"/>
    <w:rsid w:val="006F05C7"/>
    <w:rsid w:val="006F0B11"/>
    <w:rsid w:val="006F111B"/>
    <w:rsid w:val="006F1DAC"/>
    <w:rsid w:val="006F2818"/>
    <w:rsid w:val="006F3D77"/>
    <w:rsid w:val="006F3FD1"/>
    <w:rsid w:val="006F4580"/>
    <w:rsid w:val="006F4886"/>
    <w:rsid w:val="006F5287"/>
    <w:rsid w:val="006F52FE"/>
    <w:rsid w:val="006F651B"/>
    <w:rsid w:val="006F6653"/>
    <w:rsid w:val="007006A1"/>
    <w:rsid w:val="00700976"/>
    <w:rsid w:val="0070115A"/>
    <w:rsid w:val="00701BA4"/>
    <w:rsid w:val="007021CF"/>
    <w:rsid w:val="0070236F"/>
    <w:rsid w:val="00702CA4"/>
    <w:rsid w:val="007038C8"/>
    <w:rsid w:val="00703996"/>
    <w:rsid w:val="00704B81"/>
    <w:rsid w:val="00704C4B"/>
    <w:rsid w:val="007052EC"/>
    <w:rsid w:val="007054B1"/>
    <w:rsid w:val="007054E3"/>
    <w:rsid w:val="0070550D"/>
    <w:rsid w:val="00706688"/>
    <w:rsid w:val="00707EEF"/>
    <w:rsid w:val="00711B46"/>
    <w:rsid w:val="007122B6"/>
    <w:rsid w:val="00714E98"/>
    <w:rsid w:val="0071592E"/>
    <w:rsid w:val="00715D46"/>
    <w:rsid w:val="00716849"/>
    <w:rsid w:val="00717150"/>
    <w:rsid w:val="00724D97"/>
    <w:rsid w:val="00725777"/>
    <w:rsid w:val="0072637C"/>
    <w:rsid w:val="0072657D"/>
    <w:rsid w:val="00726E44"/>
    <w:rsid w:val="00726F5C"/>
    <w:rsid w:val="00727640"/>
    <w:rsid w:val="00731415"/>
    <w:rsid w:val="00733033"/>
    <w:rsid w:val="00734163"/>
    <w:rsid w:val="00734BDD"/>
    <w:rsid w:val="0074214F"/>
    <w:rsid w:val="0074360F"/>
    <w:rsid w:val="00743E8D"/>
    <w:rsid w:val="00744A5D"/>
    <w:rsid w:val="007477B8"/>
    <w:rsid w:val="0074798A"/>
    <w:rsid w:val="0075134B"/>
    <w:rsid w:val="0075168F"/>
    <w:rsid w:val="00753296"/>
    <w:rsid w:val="00753CF8"/>
    <w:rsid w:val="00754A55"/>
    <w:rsid w:val="00754F63"/>
    <w:rsid w:val="007613F2"/>
    <w:rsid w:val="0076214A"/>
    <w:rsid w:val="007636EA"/>
    <w:rsid w:val="007638A2"/>
    <w:rsid w:val="00763D46"/>
    <w:rsid w:val="00764109"/>
    <w:rsid w:val="0076432A"/>
    <w:rsid w:val="00764CC5"/>
    <w:rsid w:val="00764F93"/>
    <w:rsid w:val="0076573C"/>
    <w:rsid w:val="00766696"/>
    <w:rsid w:val="0077425A"/>
    <w:rsid w:val="007750A0"/>
    <w:rsid w:val="0077541E"/>
    <w:rsid w:val="0077644F"/>
    <w:rsid w:val="00782597"/>
    <w:rsid w:val="00785277"/>
    <w:rsid w:val="0078696E"/>
    <w:rsid w:val="007873B4"/>
    <w:rsid w:val="007901B2"/>
    <w:rsid w:val="00790EEB"/>
    <w:rsid w:val="00790FB6"/>
    <w:rsid w:val="0079143D"/>
    <w:rsid w:val="00791AC6"/>
    <w:rsid w:val="0079210C"/>
    <w:rsid w:val="007941E0"/>
    <w:rsid w:val="00795498"/>
    <w:rsid w:val="00795EAF"/>
    <w:rsid w:val="00796B17"/>
    <w:rsid w:val="00796FCA"/>
    <w:rsid w:val="00797292"/>
    <w:rsid w:val="00797E85"/>
    <w:rsid w:val="007A17FA"/>
    <w:rsid w:val="007A1829"/>
    <w:rsid w:val="007A1930"/>
    <w:rsid w:val="007A219F"/>
    <w:rsid w:val="007A3E84"/>
    <w:rsid w:val="007A4268"/>
    <w:rsid w:val="007A4D7E"/>
    <w:rsid w:val="007A52F1"/>
    <w:rsid w:val="007A5AEA"/>
    <w:rsid w:val="007A5EB3"/>
    <w:rsid w:val="007A71C3"/>
    <w:rsid w:val="007A7BB1"/>
    <w:rsid w:val="007B164E"/>
    <w:rsid w:val="007B16F0"/>
    <w:rsid w:val="007B37C8"/>
    <w:rsid w:val="007B496F"/>
    <w:rsid w:val="007B579D"/>
    <w:rsid w:val="007B7325"/>
    <w:rsid w:val="007C1B81"/>
    <w:rsid w:val="007C1C00"/>
    <w:rsid w:val="007C3454"/>
    <w:rsid w:val="007D244A"/>
    <w:rsid w:val="007D2C39"/>
    <w:rsid w:val="007D2F15"/>
    <w:rsid w:val="007D348F"/>
    <w:rsid w:val="007D61B3"/>
    <w:rsid w:val="007D63F6"/>
    <w:rsid w:val="007E0415"/>
    <w:rsid w:val="007E0BA1"/>
    <w:rsid w:val="007E1C94"/>
    <w:rsid w:val="007E2875"/>
    <w:rsid w:val="007E3CD0"/>
    <w:rsid w:val="007E437F"/>
    <w:rsid w:val="007E52E2"/>
    <w:rsid w:val="007E7227"/>
    <w:rsid w:val="007F0441"/>
    <w:rsid w:val="007F4714"/>
    <w:rsid w:val="007F5BBE"/>
    <w:rsid w:val="007F6F0A"/>
    <w:rsid w:val="007F7773"/>
    <w:rsid w:val="00800191"/>
    <w:rsid w:val="00800DEE"/>
    <w:rsid w:val="00803388"/>
    <w:rsid w:val="008038AE"/>
    <w:rsid w:val="00803DAE"/>
    <w:rsid w:val="0080470B"/>
    <w:rsid w:val="00804A5D"/>
    <w:rsid w:val="0080681B"/>
    <w:rsid w:val="008068BE"/>
    <w:rsid w:val="008069A0"/>
    <w:rsid w:val="00806A0F"/>
    <w:rsid w:val="00810773"/>
    <w:rsid w:val="008110A9"/>
    <w:rsid w:val="0081191C"/>
    <w:rsid w:val="008123DE"/>
    <w:rsid w:val="00812CBC"/>
    <w:rsid w:val="00813728"/>
    <w:rsid w:val="008137BD"/>
    <w:rsid w:val="008139B4"/>
    <w:rsid w:val="00813BB3"/>
    <w:rsid w:val="00816C56"/>
    <w:rsid w:val="00817696"/>
    <w:rsid w:val="00820982"/>
    <w:rsid w:val="00820B99"/>
    <w:rsid w:val="00822440"/>
    <w:rsid w:val="00823616"/>
    <w:rsid w:val="00825826"/>
    <w:rsid w:val="00825D5E"/>
    <w:rsid w:val="00827793"/>
    <w:rsid w:val="00827BB0"/>
    <w:rsid w:val="008316D3"/>
    <w:rsid w:val="0083431D"/>
    <w:rsid w:val="00834755"/>
    <w:rsid w:val="00834FAA"/>
    <w:rsid w:val="008351C6"/>
    <w:rsid w:val="0083574A"/>
    <w:rsid w:val="008367D4"/>
    <w:rsid w:val="00840646"/>
    <w:rsid w:val="008408E0"/>
    <w:rsid w:val="0084215E"/>
    <w:rsid w:val="00844D91"/>
    <w:rsid w:val="00844DCB"/>
    <w:rsid w:val="008467CB"/>
    <w:rsid w:val="008475A3"/>
    <w:rsid w:val="0085281E"/>
    <w:rsid w:val="00852D91"/>
    <w:rsid w:val="008530AC"/>
    <w:rsid w:val="00853496"/>
    <w:rsid w:val="00853E1C"/>
    <w:rsid w:val="00854A1D"/>
    <w:rsid w:val="008553D5"/>
    <w:rsid w:val="00857EAE"/>
    <w:rsid w:val="008609C6"/>
    <w:rsid w:val="008624E1"/>
    <w:rsid w:val="00862A6E"/>
    <w:rsid w:val="00865CC7"/>
    <w:rsid w:val="0086633E"/>
    <w:rsid w:val="00870C03"/>
    <w:rsid w:val="00871260"/>
    <w:rsid w:val="0087311E"/>
    <w:rsid w:val="00873C28"/>
    <w:rsid w:val="00875EA2"/>
    <w:rsid w:val="00877867"/>
    <w:rsid w:val="00877E61"/>
    <w:rsid w:val="00880580"/>
    <w:rsid w:val="00882BED"/>
    <w:rsid w:val="00884C15"/>
    <w:rsid w:val="00884E02"/>
    <w:rsid w:val="0088512D"/>
    <w:rsid w:val="00885DCE"/>
    <w:rsid w:val="0088681E"/>
    <w:rsid w:val="0088737E"/>
    <w:rsid w:val="00893607"/>
    <w:rsid w:val="008937D2"/>
    <w:rsid w:val="00894148"/>
    <w:rsid w:val="00894590"/>
    <w:rsid w:val="00894940"/>
    <w:rsid w:val="00897123"/>
    <w:rsid w:val="00897665"/>
    <w:rsid w:val="008A0BB3"/>
    <w:rsid w:val="008A115F"/>
    <w:rsid w:val="008A30F3"/>
    <w:rsid w:val="008A35CC"/>
    <w:rsid w:val="008A36BA"/>
    <w:rsid w:val="008A581D"/>
    <w:rsid w:val="008A6785"/>
    <w:rsid w:val="008A6B1C"/>
    <w:rsid w:val="008B0859"/>
    <w:rsid w:val="008B0DA8"/>
    <w:rsid w:val="008B180C"/>
    <w:rsid w:val="008B6543"/>
    <w:rsid w:val="008B6A78"/>
    <w:rsid w:val="008B716C"/>
    <w:rsid w:val="008B76CD"/>
    <w:rsid w:val="008C0778"/>
    <w:rsid w:val="008C242E"/>
    <w:rsid w:val="008C3321"/>
    <w:rsid w:val="008C440A"/>
    <w:rsid w:val="008C54E2"/>
    <w:rsid w:val="008C59B5"/>
    <w:rsid w:val="008C64D6"/>
    <w:rsid w:val="008C7E7D"/>
    <w:rsid w:val="008D0530"/>
    <w:rsid w:val="008D0BC9"/>
    <w:rsid w:val="008D2BCD"/>
    <w:rsid w:val="008D3A88"/>
    <w:rsid w:val="008D46A2"/>
    <w:rsid w:val="008D5ADD"/>
    <w:rsid w:val="008D6331"/>
    <w:rsid w:val="008D730E"/>
    <w:rsid w:val="008E1758"/>
    <w:rsid w:val="008E1BBE"/>
    <w:rsid w:val="008E20D1"/>
    <w:rsid w:val="008E3CCF"/>
    <w:rsid w:val="008E55CB"/>
    <w:rsid w:val="008E643E"/>
    <w:rsid w:val="008E6826"/>
    <w:rsid w:val="008E74B5"/>
    <w:rsid w:val="008F4078"/>
    <w:rsid w:val="008F49F6"/>
    <w:rsid w:val="008F52B4"/>
    <w:rsid w:val="0090020A"/>
    <w:rsid w:val="00901809"/>
    <w:rsid w:val="009028F8"/>
    <w:rsid w:val="00902C7E"/>
    <w:rsid w:val="00902F22"/>
    <w:rsid w:val="00903EDB"/>
    <w:rsid w:val="0090663B"/>
    <w:rsid w:val="0090782E"/>
    <w:rsid w:val="009105D5"/>
    <w:rsid w:val="00912BC5"/>
    <w:rsid w:val="0091327A"/>
    <w:rsid w:val="00914D87"/>
    <w:rsid w:val="009163C3"/>
    <w:rsid w:val="009173CB"/>
    <w:rsid w:val="00917E53"/>
    <w:rsid w:val="0092153F"/>
    <w:rsid w:val="009215D5"/>
    <w:rsid w:val="009238E4"/>
    <w:rsid w:val="00924A10"/>
    <w:rsid w:val="00924B59"/>
    <w:rsid w:val="009259EE"/>
    <w:rsid w:val="00926EA4"/>
    <w:rsid w:val="00927122"/>
    <w:rsid w:val="009278CC"/>
    <w:rsid w:val="0093206F"/>
    <w:rsid w:val="00936B91"/>
    <w:rsid w:val="00936C6C"/>
    <w:rsid w:val="00937019"/>
    <w:rsid w:val="0093756B"/>
    <w:rsid w:val="009401EA"/>
    <w:rsid w:val="009416A3"/>
    <w:rsid w:val="00941FF4"/>
    <w:rsid w:val="00943AAB"/>
    <w:rsid w:val="00944911"/>
    <w:rsid w:val="0094648F"/>
    <w:rsid w:val="00950DCC"/>
    <w:rsid w:val="00951032"/>
    <w:rsid w:val="00954438"/>
    <w:rsid w:val="009549C1"/>
    <w:rsid w:val="0095586E"/>
    <w:rsid w:val="009561D3"/>
    <w:rsid w:val="00957FA0"/>
    <w:rsid w:val="009604A3"/>
    <w:rsid w:val="009604FB"/>
    <w:rsid w:val="0096108E"/>
    <w:rsid w:val="009611A8"/>
    <w:rsid w:val="00962460"/>
    <w:rsid w:val="00964335"/>
    <w:rsid w:val="00965204"/>
    <w:rsid w:val="009653A6"/>
    <w:rsid w:val="009726BF"/>
    <w:rsid w:val="00973837"/>
    <w:rsid w:val="009751FC"/>
    <w:rsid w:val="00977C49"/>
    <w:rsid w:val="00980277"/>
    <w:rsid w:val="009802DB"/>
    <w:rsid w:val="009813A0"/>
    <w:rsid w:val="00981681"/>
    <w:rsid w:val="00981ACE"/>
    <w:rsid w:val="009821AA"/>
    <w:rsid w:val="00983B5A"/>
    <w:rsid w:val="00983BB1"/>
    <w:rsid w:val="009840AE"/>
    <w:rsid w:val="00984695"/>
    <w:rsid w:val="00987BD0"/>
    <w:rsid w:val="00990D6E"/>
    <w:rsid w:val="00991776"/>
    <w:rsid w:val="009930F1"/>
    <w:rsid w:val="00994F56"/>
    <w:rsid w:val="00996992"/>
    <w:rsid w:val="009A0473"/>
    <w:rsid w:val="009A1A2A"/>
    <w:rsid w:val="009A21A8"/>
    <w:rsid w:val="009A3A4E"/>
    <w:rsid w:val="009A3D62"/>
    <w:rsid w:val="009A4312"/>
    <w:rsid w:val="009A5A09"/>
    <w:rsid w:val="009A6231"/>
    <w:rsid w:val="009B0345"/>
    <w:rsid w:val="009B0379"/>
    <w:rsid w:val="009B09D0"/>
    <w:rsid w:val="009B4CBF"/>
    <w:rsid w:val="009B4F5F"/>
    <w:rsid w:val="009B5241"/>
    <w:rsid w:val="009B5608"/>
    <w:rsid w:val="009B56E1"/>
    <w:rsid w:val="009B74FE"/>
    <w:rsid w:val="009C027D"/>
    <w:rsid w:val="009C09F1"/>
    <w:rsid w:val="009C22FA"/>
    <w:rsid w:val="009C23C8"/>
    <w:rsid w:val="009C2DA2"/>
    <w:rsid w:val="009C3BA5"/>
    <w:rsid w:val="009C48D4"/>
    <w:rsid w:val="009C5D37"/>
    <w:rsid w:val="009C7166"/>
    <w:rsid w:val="009C7898"/>
    <w:rsid w:val="009D0628"/>
    <w:rsid w:val="009D0AFC"/>
    <w:rsid w:val="009D0BC8"/>
    <w:rsid w:val="009D2B12"/>
    <w:rsid w:val="009D5A86"/>
    <w:rsid w:val="009D7F03"/>
    <w:rsid w:val="009E17CD"/>
    <w:rsid w:val="009E1869"/>
    <w:rsid w:val="009E1C70"/>
    <w:rsid w:val="009E3FAA"/>
    <w:rsid w:val="009E4F05"/>
    <w:rsid w:val="009E59D2"/>
    <w:rsid w:val="009E6192"/>
    <w:rsid w:val="009E7803"/>
    <w:rsid w:val="009F3969"/>
    <w:rsid w:val="009F45A8"/>
    <w:rsid w:val="009F4E68"/>
    <w:rsid w:val="009F5C50"/>
    <w:rsid w:val="009F6A43"/>
    <w:rsid w:val="00A00EBA"/>
    <w:rsid w:val="00A01D36"/>
    <w:rsid w:val="00A041A6"/>
    <w:rsid w:val="00A042E2"/>
    <w:rsid w:val="00A04B0E"/>
    <w:rsid w:val="00A04DD0"/>
    <w:rsid w:val="00A0540E"/>
    <w:rsid w:val="00A07544"/>
    <w:rsid w:val="00A102C7"/>
    <w:rsid w:val="00A11AD4"/>
    <w:rsid w:val="00A1250E"/>
    <w:rsid w:val="00A1396A"/>
    <w:rsid w:val="00A145A6"/>
    <w:rsid w:val="00A147DA"/>
    <w:rsid w:val="00A1525D"/>
    <w:rsid w:val="00A15524"/>
    <w:rsid w:val="00A1737F"/>
    <w:rsid w:val="00A17754"/>
    <w:rsid w:val="00A224C0"/>
    <w:rsid w:val="00A22F03"/>
    <w:rsid w:val="00A237F5"/>
    <w:rsid w:val="00A23829"/>
    <w:rsid w:val="00A24580"/>
    <w:rsid w:val="00A26B0F"/>
    <w:rsid w:val="00A270D1"/>
    <w:rsid w:val="00A27E55"/>
    <w:rsid w:val="00A311BD"/>
    <w:rsid w:val="00A3407A"/>
    <w:rsid w:val="00A3411E"/>
    <w:rsid w:val="00A366BC"/>
    <w:rsid w:val="00A40C51"/>
    <w:rsid w:val="00A4263E"/>
    <w:rsid w:val="00A44AA1"/>
    <w:rsid w:val="00A47F43"/>
    <w:rsid w:val="00A504F0"/>
    <w:rsid w:val="00A51097"/>
    <w:rsid w:val="00A52F01"/>
    <w:rsid w:val="00A53623"/>
    <w:rsid w:val="00A53F2B"/>
    <w:rsid w:val="00A5514D"/>
    <w:rsid w:val="00A5552D"/>
    <w:rsid w:val="00A567E9"/>
    <w:rsid w:val="00A56D9F"/>
    <w:rsid w:val="00A60430"/>
    <w:rsid w:val="00A616E9"/>
    <w:rsid w:val="00A63793"/>
    <w:rsid w:val="00A6669B"/>
    <w:rsid w:val="00A673A1"/>
    <w:rsid w:val="00A67E91"/>
    <w:rsid w:val="00A7019C"/>
    <w:rsid w:val="00A7052F"/>
    <w:rsid w:val="00A71D78"/>
    <w:rsid w:val="00A725D9"/>
    <w:rsid w:val="00A7287C"/>
    <w:rsid w:val="00A72D26"/>
    <w:rsid w:val="00A731A5"/>
    <w:rsid w:val="00A743AA"/>
    <w:rsid w:val="00A753C0"/>
    <w:rsid w:val="00A75C06"/>
    <w:rsid w:val="00A75E5B"/>
    <w:rsid w:val="00A771C1"/>
    <w:rsid w:val="00A7767B"/>
    <w:rsid w:val="00A77A71"/>
    <w:rsid w:val="00A77CB7"/>
    <w:rsid w:val="00A77D55"/>
    <w:rsid w:val="00A81DBC"/>
    <w:rsid w:val="00A8257A"/>
    <w:rsid w:val="00A83630"/>
    <w:rsid w:val="00A84A36"/>
    <w:rsid w:val="00A85563"/>
    <w:rsid w:val="00A871CC"/>
    <w:rsid w:val="00A87A8F"/>
    <w:rsid w:val="00A90359"/>
    <w:rsid w:val="00A90B8B"/>
    <w:rsid w:val="00A911C4"/>
    <w:rsid w:val="00A9181C"/>
    <w:rsid w:val="00A92D4D"/>
    <w:rsid w:val="00A930CE"/>
    <w:rsid w:val="00A93DD4"/>
    <w:rsid w:val="00A94786"/>
    <w:rsid w:val="00A9628C"/>
    <w:rsid w:val="00A96ABC"/>
    <w:rsid w:val="00AA09EB"/>
    <w:rsid w:val="00AA1A79"/>
    <w:rsid w:val="00AA222C"/>
    <w:rsid w:val="00AA50ED"/>
    <w:rsid w:val="00AA5B62"/>
    <w:rsid w:val="00AB0C6A"/>
    <w:rsid w:val="00AB1A71"/>
    <w:rsid w:val="00AB1F54"/>
    <w:rsid w:val="00AB400D"/>
    <w:rsid w:val="00AB5616"/>
    <w:rsid w:val="00AB5C83"/>
    <w:rsid w:val="00AB6462"/>
    <w:rsid w:val="00AC05E0"/>
    <w:rsid w:val="00AC2D19"/>
    <w:rsid w:val="00AC3410"/>
    <w:rsid w:val="00AC35FF"/>
    <w:rsid w:val="00AC40AD"/>
    <w:rsid w:val="00AC5FD8"/>
    <w:rsid w:val="00AC6D65"/>
    <w:rsid w:val="00AC6F4D"/>
    <w:rsid w:val="00AC79A5"/>
    <w:rsid w:val="00AD0251"/>
    <w:rsid w:val="00AD14AA"/>
    <w:rsid w:val="00AD2372"/>
    <w:rsid w:val="00AD2837"/>
    <w:rsid w:val="00AD3389"/>
    <w:rsid w:val="00AD6AEA"/>
    <w:rsid w:val="00AD73AC"/>
    <w:rsid w:val="00AD7FB9"/>
    <w:rsid w:val="00AE0454"/>
    <w:rsid w:val="00AE1435"/>
    <w:rsid w:val="00AE4037"/>
    <w:rsid w:val="00AE698F"/>
    <w:rsid w:val="00AE74D9"/>
    <w:rsid w:val="00AE7C9D"/>
    <w:rsid w:val="00AF2518"/>
    <w:rsid w:val="00AF3164"/>
    <w:rsid w:val="00AF5B1D"/>
    <w:rsid w:val="00AF5D12"/>
    <w:rsid w:val="00AF7430"/>
    <w:rsid w:val="00AF79D6"/>
    <w:rsid w:val="00B0192F"/>
    <w:rsid w:val="00B01A88"/>
    <w:rsid w:val="00B01C55"/>
    <w:rsid w:val="00B02BA8"/>
    <w:rsid w:val="00B0370E"/>
    <w:rsid w:val="00B03949"/>
    <w:rsid w:val="00B04A75"/>
    <w:rsid w:val="00B05385"/>
    <w:rsid w:val="00B06A32"/>
    <w:rsid w:val="00B0705C"/>
    <w:rsid w:val="00B0762D"/>
    <w:rsid w:val="00B116B6"/>
    <w:rsid w:val="00B11BC2"/>
    <w:rsid w:val="00B123AC"/>
    <w:rsid w:val="00B13066"/>
    <w:rsid w:val="00B15A91"/>
    <w:rsid w:val="00B201F7"/>
    <w:rsid w:val="00B22B54"/>
    <w:rsid w:val="00B232CE"/>
    <w:rsid w:val="00B23767"/>
    <w:rsid w:val="00B25B0B"/>
    <w:rsid w:val="00B25BD3"/>
    <w:rsid w:val="00B25BE4"/>
    <w:rsid w:val="00B3106D"/>
    <w:rsid w:val="00B31A0D"/>
    <w:rsid w:val="00B346F2"/>
    <w:rsid w:val="00B34B58"/>
    <w:rsid w:val="00B35766"/>
    <w:rsid w:val="00B367CF"/>
    <w:rsid w:val="00B3705D"/>
    <w:rsid w:val="00B37543"/>
    <w:rsid w:val="00B3786F"/>
    <w:rsid w:val="00B41ED2"/>
    <w:rsid w:val="00B42510"/>
    <w:rsid w:val="00B44CE4"/>
    <w:rsid w:val="00B45496"/>
    <w:rsid w:val="00B4570A"/>
    <w:rsid w:val="00B45E45"/>
    <w:rsid w:val="00B51681"/>
    <w:rsid w:val="00B54A3C"/>
    <w:rsid w:val="00B568D7"/>
    <w:rsid w:val="00B60952"/>
    <w:rsid w:val="00B62B03"/>
    <w:rsid w:val="00B64FFA"/>
    <w:rsid w:val="00B65A59"/>
    <w:rsid w:val="00B66B96"/>
    <w:rsid w:val="00B66E40"/>
    <w:rsid w:val="00B67DA8"/>
    <w:rsid w:val="00B70145"/>
    <w:rsid w:val="00B706FB"/>
    <w:rsid w:val="00B7099E"/>
    <w:rsid w:val="00B7241D"/>
    <w:rsid w:val="00B72ED1"/>
    <w:rsid w:val="00B7327F"/>
    <w:rsid w:val="00B737DE"/>
    <w:rsid w:val="00B75BBD"/>
    <w:rsid w:val="00B772E6"/>
    <w:rsid w:val="00B77998"/>
    <w:rsid w:val="00B8073E"/>
    <w:rsid w:val="00B80978"/>
    <w:rsid w:val="00B852C9"/>
    <w:rsid w:val="00B86BB2"/>
    <w:rsid w:val="00B86E62"/>
    <w:rsid w:val="00B92610"/>
    <w:rsid w:val="00B93351"/>
    <w:rsid w:val="00B934BD"/>
    <w:rsid w:val="00B94342"/>
    <w:rsid w:val="00B947AA"/>
    <w:rsid w:val="00B95A39"/>
    <w:rsid w:val="00B95DF0"/>
    <w:rsid w:val="00B95E9E"/>
    <w:rsid w:val="00B97172"/>
    <w:rsid w:val="00B97AAC"/>
    <w:rsid w:val="00BA04F0"/>
    <w:rsid w:val="00BA175F"/>
    <w:rsid w:val="00BA2013"/>
    <w:rsid w:val="00BA36A3"/>
    <w:rsid w:val="00BA3B53"/>
    <w:rsid w:val="00BA62B6"/>
    <w:rsid w:val="00BA6CC9"/>
    <w:rsid w:val="00BA71CD"/>
    <w:rsid w:val="00BB08FD"/>
    <w:rsid w:val="00BB0927"/>
    <w:rsid w:val="00BB1E97"/>
    <w:rsid w:val="00BB73F2"/>
    <w:rsid w:val="00BC1435"/>
    <w:rsid w:val="00BC1E22"/>
    <w:rsid w:val="00BC2AC7"/>
    <w:rsid w:val="00BC33FA"/>
    <w:rsid w:val="00BC39A9"/>
    <w:rsid w:val="00BC3CCF"/>
    <w:rsid w:val="00BC4278"/>
    <w:rsid w:val="00BC48AD"/>
    <w:rsid w:val="00BC4C8E"/>
    <w:rsid w:val="00BC534F"/>
    <w:rsid w:val="00BC575B"/>
    <w:rsid w:val="00BC67EF"/>
    <w:rsid w:val="00BC6F17"/>
    <w:rsid w:val="00BC7BD7"/>
    <w:rsid w:val="00BC7F04"/>
    <w:rsid w:val="00BD198A"/>
    <w:rsid w:val="00BD3BB8"/>
    <w:rsid w:val="00BD4644"/>
    <w:rsid w:val="00BD5CAA"/>
    <w:rsid w:val="00BD68E5"/>
    <w:rsid w:val="00BE05D3"/>
    <w:rsid w:val="00BE27CE"/>
    <w:rsid w:val="00BE3DCA"/>
    <w:rsid w:val="00BE4841"/>
    <w:rsid w:val="00BF1CEC"/>
    <w:rsid w:val="00BF1EF3"/>
    <w:rsid w:val="00BF2485"/>
    <w:rsid w:val="00BF25B6"/>
    <w:rsid w:val="00BF27FA"/>
    <w:rsid w:val="00BF2F52"/>
    <w:rsid w:val="00BF773B"/>
    <w:rsid w:val="00BF7B9E"/>
    <w:rsid w:val="00C013F9"/>
    <w:rsid w:val="00C030EF"/>
    <w:rsid w:val="00C032B1"/>
    <w:rsid w:val="00C032BA"/>
    <w:rsid w:val="00C033ED"/>
    <w:rsid w:val="00C03D9B"/>
    <w:rsid w:val="00C03EF9"/>
    <w:rsid w:val="00C05858"/>
    <w:rsid w:val="00C06F13"/>
    <w:rsid w:val="00C07FA2"/>
    <w:rsid w:val="00C10432"/>
    <w:rsid w:val="00C10C8E"/>
    <w:rsid w:val="00C11DEA"/>
    <w:rsid w:val="00C1330E"/>
    <w:rsid w:val="00C15552"/>
    <w:rsid w:val="00C1714E"/>
    <w:rsid w:val="00C17329"/>
    <w:rsid w:val="00C17D3E"/>
    <w:rsid w:val="00C203B9"/>
    <w:rsid w:val="00C209CA"/>
    <w:rsid w:val="00C21984"/>
    <w:rsid w:val="00C22E37"/>
    <w:rsid w:val="00C25141"/>
    <w:rsid w:val="00C25FC6"/>
    <w:rsid w:val="00C266BF"/>
    <w:rsid w:val="00C26DF7"/>
    <w:rsid w:val="00C2782D"/>
    <w:rsid w:val="00C3404C"/>
    <w:rsid w:val="00C34125"/>
    <w:rsid w:val="00C34194"/>
    <w:rsid w:val="00C34289"/>
    <w:rsid w:val="00C349D9"/>
    <w:rsid w:val="00C34D46"/>
    <w:rsid w:val="00C35AC2"/>
    <w:rsid w:val="00C35F06"/>
    <w:rsid w:val="00C360DE"/>
    <w:rsid w:val="00C404C8"/>
    <w:rsid w:val="00C4138B"/>
    <w:rsid w:val="00C4187F"/>
    <w:rsid w:val="00C422A7"/>
    <w:rsid w:val="00C42CBE"/>
    <w:rsid w:val="00C45113"/>
    <w:rsid w:val="00C462E2"/>
    <w:rsid w:val="00C465CE"/>
    <w:rsid w:val="00C47581"/>
    <w:rsid w:val="00C47E1E"/>
    <w:rsid w:val="00C5093E"/>
    <w:rsid w:val="00C50C89"/>
    <w:rsid w:val="00C514F9"/>
    <w:rsid w:val="00C5281D"/>
    <w:rsid w:val="00C52CC9"/>
    <w:rsid w:val="00C531B3"/>
    <w:rsid w:val="00C53BC0"/>
    <w:rsid w:val="00C53E65"/>
    <w:rsid w:val="00C54C6E"/>
    <w:rsid w:val="00C56454"/>
    <w:rsid w:val="00C6286B"/>
    <w:rsid w:val="00C6303E"/>
    <w:rsid w:val="00C63A95"/>
    <w:rsid w:val="00C6454C"/>
    <w:rsid w:val="00C6761A"/>
    <w:rsid w:val="00C708C6"/>
    <w:rsid w:val="00C7475F"/>
    <w:rsid w:val="00C74FC3"/>
    <w:rsid w:val="00C759C2"/>
    <w:rsid w:val="00C763DA"/>
    <w:rsid w:val="00C76701"/>
    <w:rsid w:val="00C81B8D"/>
    <w:rsid w:val="00C81E15"/>
    <w:rsid w:val="00C82BDF"/>
    <w:rsid w:val="00C83337"/>
    <w:rsid w:val="00C83AD4"/>
    <w:rsid w:val="00C84951"/>
    <w:rsid w:val="00C84B8E"/>
    <w:rsid w:val="00C87828"/>
    <w:rsid w:val="00C87A17"/>
    <w:rsid w:val="00C90085"/>
    <w:rsid w:val="00C901AC"/>
    <w:rsid w:val="00C92067"/>
    <w:rsid w:val="00C927F7"/>
    <w:rsid w:val="00C955FF"/>
    <w:rsid w:val="00C95885"/>
    <w:rsid w:val="00C95AAC"/>
    <w:rsid w:val="00C95B7A"/>
    <w:rsid w:val="00C95DB1"/>
    <w:rsid w:val="00C96420"/>
    <w:rsid w:val="00CA057C"/>
    <w:rsid w:val="00CA22CB"/>
    <w:rsid w:val="00CA2BD4"/>
    <w:rsid w:val="00CA2D7A"/>
    <w:rsid w:val="00CA3A0C"/>
    <w:rsid w:val="00CA3A61"/>
    <w:rsid w:val="00CA54E6"/>
    <w:rsid w:val="00CA5579"/>
    <w:rsid w:val="00CA6484"/>
    <w:rsid w:val="00CA69DB"/>
    <w:rsid w:val="00CA6A80"/>
    <w:rsid w:val="00CA7C2F"/>
    <w:rsid w:val="00CA7C4A"/>
    <w:rsid w:val="00CB0596"/>
    <w:rsid w:val="00CB0FD9"/>
    <w:rsid w:val="00CB1899"/>
    <w:rsid w:val="00CB219C"/>
    <w:rsid w:val="00CB319E"/>
    <w:rsid w:val="00CB523C"/>
    <w:rsid w:val="00CB53CB"/>
    <w:rsid w:val="00CB5749"/>
    <w:rsid w:val="00CB5AB8"/>
    <w:rsid w:val="00CB629B"/>
    <w:rsid w:val="00CB6337"/>
    <w:rsid w:val="00CC1B6B"/>
    <w:rsid w:val="00CC1DBC"/>
    <w:rsid w:val="00CC3D8A"/>
    <w:rsid w:val="00CC4C77"/>
    <w:rsid w:val="00CC4E2B"/>
    <w:rsid w:val="00CC5E0C"/>
    <w:rsid w:val="00CC640C"/>
    <w:rsid w:val="00CC7199"/>
    <w:rsid w:val="00CD13DC"/>
    <w:rsid w:val="00CD21B8"/>
    <w:rsid w:val="00CD2BED"/>
    <w:rsid w:val="00CD2C2B"/>
    <w:rsid w:val="00CD5D8C"/>
    <w:rsid w:val="00CD6A24"/>
    <w:rsid w:val="00CE10BE"/>
    <w:rsid w:val="00CE500C"/>
    <w:rsid w:val="00CE64AC"/>
    <w:rsid w:val="00CE6F48"/>
    <w:rsid w:val="00CE6FF8"/>
    <w:rsid w:val="00CE712A"/>
    <w:rsid w:val="00CE7A26"/>
    <w:rsid w:val="00CE7AFF"/>
    <w:rsid w:val="00CF2F9E"/>
    <w:rsid w:val="00CF34BD"/>
    <w:rsid w:val="00CF4C44"/>
    <w:rsid w:val="00D0016D"/>
    <w:rsid w:val="00D00943"/>
    <w:rsid w:val="00D009B3"/>
    <w:rsid w:val="00D00CDC"/>
    <w:rsid w:val="00D00CF1"/>
    <w:rsid w:val="00D04C45"/>
    <w:rsid w:val="00D05168"/>
    <w:rsid w:val="00D06BB7"/>
    <w:rsid w:val="00D06CC4"/>
    <w:rsid w:val="00D06D36"/>
    <w:rsid w:val="00D101EB"/>
    <w:rsid w:val="00D11B67"/>
    <w:rsid w:val="00D125ED"/>
    <w:rsid w:val="00D12CDC"/>
    <w:rsid w:val="00D14194"/>
    <w:rsid w:val="00D1438A"/>
    <w:rsid w:val="00D200A7"/>
    <w:rsid w:val="00D22F1A"/>
    <w:rsid w:val="00D257C8"/>
    <w:rsid w:val="00D27C15"/>
    <w:rsid w:val="00D30E71"/>
    <w:rsid w:val="00D31385"/>
    <w:rsid w:val="00D33108"/>
    <w:rsid w:val="00D33892"/>
    <w:rsid w:val="00D33AC7"/>
    <w:rsid w:val="00D34FC0"/>
    <w:rsid w:val="00D35305"/>
    <w:rsid w:val="00D40A85"/>
    <w:rsid w:val="00D40FF9"/>
    <w:rsid w:val="00D41F64"/>
    <w:rsid w:val="00D4233A"/>
    <w:rsid w:val="00D43BC3"/>
    <w:rsid w:val="00D43F2E"/>
    <w:rsid w:val="00D45553"/>
    <w:rsid w:val="00D50BE5"/>
    <w:rsid w:val="00D50D95"/>
    <w:rsid w:val="00D524DE"/>
    <w:rsid w:val="00D5287C"/>
    <w:rsid w:val="00D539E3"/>
    <w:rsid w:val="00D54705"/>
    <w:rsid w:val="00D5674D"/>
    <w:rsid w:val="00D61BD7"/>
    <w:rsid w:val="00D625B6"/>
    <w:rsid w:val="00D630EB"/>
    <w:rsid w:val="00D63B8D"/>
    <w:rsid w:val="00D63BA7"/>
    <w:rsid w:val="00D641E6"/>
    <w:rsid w:val="00D64F9E"/>
    <w:rsid w:val="00D6667A"/>
    <w:rsid w:val="00D7106F"/>
    <w:rsid w:val="00D734E8"/>
    <w:rsid w:val="00D74C42"/>
    <w:rsid w:val="00D74CC2"/>
    <w:rsid w:val="00D7523A"/>
    <w:rsid w:val="00D839A6"/>
    <w:rsid w:val="00D83D30"/>
    <w:rsid w:val="00D84BE7"/>
    <w:rsid w:val="00D85994"/>
    <w:rsid w:val="00D8688B"/>
    <w:rsid w:val="00D875AB"/>
    <w:rsid w:val="00D90993"/>
    <w:rsid w:val="00D919F2"/>
    <w:rsid w:val="00D9255D"/>
    <w:rsid w:val="00D92849"/>
    <w:rsid w:val="00D92DE8"/>
    <w:rsid w:val="00D92F8C"/>
    <w:rsid w:val="00D936FF"/>
    <w:rsid w:val="00D939D7"/>
    <w:rsid w:val="00D955FE"/>
    <w:rsid w:val="00D961DC"/>
    <w:rsid w:val="00D96264"/>
    <w:rsid w:val="00D96A14"/>
    <w:rsid w:val="00DA07DE"/>
    <w:rsid w:val="00DA1A34"/>
    <w:rsid w:val="00DA23D1"/>
    <w:rsid w:val="00DA39D7"/>
    <w:rsid w:val="00DA3C50"/>
    <w:rsid w:val="00DA48B3"/>
    <w:rsid w:val="00DA4F4E"/>
    <w:rsid w:val="00DA5DED"/>
    <w:rsid w:val="00DA774D"/>
    <w:rsid w:val="00DB3502"/>
    <w:rsid w:val="00DB4C46"/>
    <w:rsid w:val="00DB675E"/>
    <w:rsid w:val="00DB6A1A"/>
    <w:rsid w:val="00DC0C01"/>
    <w:rsid w:val="00DC2B34"/>
    <w:rsid w:val="00DC3361"/>
    <w:rsid w:val="00DC35F3"/>
    <w:rsid w:val="00DC5471"/>
    <w:rsid w:val="00DC5DDA"/>
    <w:rsid w:val="00DC7489"/>
    <w:rsid w:val="00DC785E"/>
    <w:rsid w:val="00DC7E79"/>
    <w:rsid w:val="00DD29D9"/>
    <w:rsid w:val="00DD5A5C"/>
    <w:rsid w:val="00DD5C81"/>
    <w:rsid w:val="00DD6AB2"/>
    <w:rsid w:val="00DD7BE3"/>
    <w:rsid w:val="00DE4164"/>
    <w:rsid w:val="00DE444C"/>
    <w:rsid w:val="00DE61A6"/>
    <w:rsid w:val="00DF199B"/>
    <w:rsid w:val="00DF273F"/>
    <w:rsid w:val="00DF3CCD"/>
    <w:rsid w:val="00DF454C"/>
    <w:rsid w:val="00DF703A"/>
    <w:rsid w:val="00E0037F"/>
    <w:rsid w:val="00E02209"/>
    <w:rsid w:val="00E06466"/>
    <w:rsid w:val="00E07CD4"/>
    <w:rsid w:val="00E10BBB"/>
    <w:rsid w:val="00E11422"/>
    <w:rsid w:val="00E119DB"/>
    <w:rsid w:val="00E12328"/>
    <w:rsid w:val="00E12F62"/>
    <w:rsid w:val="00E13495"/>
    <w:rsid w:val="00E13F3F"/>
    <w:rsid w:val="00E1466E"/>
    <w:rsid w:val="00E174D8"/>
    <w:rsid w:val="00E20ACE"/>
    <w:rsid w:val="00E213C3"/>
    <w:rsid w:val="00E23ECC"/>
    <w:rsid w:val="00E2412C"/>
    <w:rsid w:val="00E241CA"/>
    <w:rsid w:val="00E246C9"/>
    <w:rsid w:val="00E24895"/>
    <w:rsid w:val="00E259C4"/>
    <w:rsid w:val="00E25C96"/>
    <w:rsid w:val="00E26768"/>
    <w:rsid w:val="00E271A0"/>
    <w:rsid w:val="00E27D97"/>
    <w:rsid w:val="00E308AB"/>
    <w:rsid w:val="00E308D9"/>
    <w:rsid w:val="00E3151A"/>
    <w:rsid w:val="00E31E9A"/>
    <w:rsid w:val="00E32F0B"/>
    <w:rsid w:val="00E34EDD"/>
    <w:rsid w:val="00E360B4"/>
    <w:rsid w:val="00E36130"/>
    <w:rsid w:val="00E37619"/>
    <w:rsid w:val="00E3799B"/>
    <w:rsid w:val="00E40E1E"/>
    <w:rsid w:val="00E41584"/>
    <w:rsid w:val="00E418C4"/>
    <w:rsid w:val="00E42C78"/>
    <w:rsid w:val="00E43E0B"/>
    <w:rsid w:val="00E44B50"/>
    <w:rsid w:val="00E44DB4"/>
    <w:rsid w:val="00E456CB"/>
    <w:rsid w:val="00E45BA3"/>
    <w:rsid w:val="00E46F2B"/>
    <w:rsid w:val="00E47234"/>
    <w:rsid w:val="00E506AD"/>
    <w:rsid w:val="00E538F5"/>
    <w:rsid w:val="00E55FFB"/>
    <w:rsid w:val="00E6001A"/>
    <w:rsid w:val="00E60485"/>
    <w:rsid w:val="00E63744"/>
    <w:rsid w:val="00E63C8B"/>
    <w:rsid w:val="00E64086"/>
    <w:rsid w:val="00E64708"/>
    <w:rsid w:val="00E64B55"/>
    <w:rsid w:val="00E64D50"/>
    <w:rsid w:val="00E658D8"/>
    <w:rsid w:val="00E65906"/>
    <w:rsid w:val="00E66DBA"/>
    <w:rsid w:val="00E67DF1"/>
    <w:rsid w:val="00E71942"/>
    <w:rsid w:val="00E71EE5"/>
    <w:rsid w:val="00E722D1"/>
    <w:rsid w:val="00E72907"/>
    <w:rsid w:val="00E72A1F"/>
    <w:rsid w:val="00E74A67"/>
    <w:rsid w:val="00E74B38"/>
    <w:rsid w:val="00E7535E"/>
    <w:rsid w:val="00E765A5"/>
    <w:rsid w:val="00E807A2"/>
    <w:rsid w:val="00E8199A"/>
    <w:rsid w:val="00E81E9A"/>
    <w:rsid w:val="00E82369"/>
    <w:rsid w:val="00E83A1F"/>
    <w:rsid w:val="00E84054"/>
    <w:rsid w:val="00E9106F"/>
    <w:rsid w:val="00E9108D"/>
    <w:rsid w:val="00E9671A"/>
    <w:rsid w:val="00E96D7D"/>
    <w:rsid w:val="00EA0CB0"/>
    <w:rsid w:val="00EA1B65"/>
    <w:rsid w:val="00EA1E45"/>
    <w:rsid w:val="00EA275C"/>
    <w:rsid w:val="00EA4945"/>
    <w:rsid w:val="00EA5206"/>
    <w:rsid w:val="00EA5B01"/>
    <w:rsid w:val="00EA5BCC"/>
    <w:rsid w:val="00EA65AA"/>
    <w:rsid w:val="00EB01B8"/>
    <w:rsid w:val="00EB0453"/>
    <w:rsid w:val="00EB2645"/>
    <w:rsid w:val="00EB29F0"/>
    <w:rsid w:val="00EB2ACA"/>
    <w:rsid w:val="00EB32EA"/>
    <w:rsid w:val="00EB6A6B"/>
    <w:rsid w:val="00EB7EDB"/>
    <w:rsid w:val="00EB7F3B"/>
    <w:rsid w:val="00EC0FDB"/>
    <w:rsid w:val="00EC2C6C"/>
    <w:rsid w:val="00EC472B"/>
    <w:rsid w:val="00EC7293"/>
    <w:rsid w:val="00EC7511"/>
    <w:rsid w:val="00EC75F1"/>
    <w:rsid w:val="00EC7C31"/>
    <w:rsid w:val="00ED164A"/>
    <w:rsid w:val="00ED1A03"/>
    <w:rsid w:val="00ED23F5"/>
    <w:rsid w:val="00ED2DF4"/>
    <w:rsid w:val="00ED3430"/>
    <w:rsid w:val="00ED46E0"/>
    <w:rsid w:val="00ED543E"/>
    <w:rsid w:val="00ED6FB6"/>
    <w:rsid w:val="00EE1DE1"/>
    <w:rsid w:val="00EE35D2"/>
    <w:rsid w:val="00EE4A43"/>
    <w:rsid w:val="00EE4A61"/>
    <w:rsid w:val="00EE74F0"/>
    <w:rsid w:val="00EE77E5"/>
    <w:rsid w:val="00EE7806"/>
    <w:rsid w:val="00EF0000"/>
    <w:rsid w:val="00EF08A9"/>
    <w:rsid w:val="00EF0A23"/>
    <w:rsid w:val="00EF136F"/>
    <w:rsid w:val="00EF40E2"/>
    <w:rsid w:val="00EF4F97"/>
    <w:rsid w:val="00EF54FE"/>
    <w:rsid w:val="00EF70B2"/>
    <w:rsid w:val="00EF79C1"/>
    <w:rsid w:val="00F029B9"/>
    <w:rsid w:val="00F056B5"/>
    <w:rsid w:val="00F060F8"/>
    <w:rsid w:val="00F061D1"/>
    <w:rsid w:val="00F06C6D"/>
    <w:rsid w:val="00F10814"/>
    <w:rsid w:val="00F12A7A"/>
    <w:rsid w:val="00F1363F"/>
    <w:rsid w:val="00F13C76"/>
    <w:rsid w:val="00F159C9"/>
    <w:rsid w:val="00F1600F"/>
    <w:rsid w:val="00F17B2F"/>
    <w:rsid w:val="00F20A05"/>
    <w:rsid w:val="00F2114A"/>
    <w:rsid w:val="00F214C6"/>
    <w:rsid w:val="00F223F8"/>
    <w:rsid w:val="00F23C89"/>
    <w:rsid w:val="00F24694"/>
    <w:rsid w:val="00F248CF"/>
    <w:rsid w:val="00F24CDB"/>
    <w:rsid w:val="00F26829"/>
    <w:rsid w:val="00F26CA5"/>
    <w:rsid w:val="00F27DB6"/>
    <w:rsid w:val="00F27DDB"/>
    <w:rsid w:val="00F30652"/>
    <w:rsid w:val="00F31293"/>
    <w:rsid w:val="00F32D94"/>
    <w:rsid w:val="00F34686"/>
    <w:rsid w:val="00F35E0E"/>
    <w:rsid w:val="00F361EB"/>
    <w:rsid w:val="00F3693D"/>
    <w:rsid w:val="00F369F2"/>
    <w:rsid w:val="00F36FA3"/>
    <w:rsid w:val="00F37115"/>
    <w:rsid w:val="00F41502"/>
    <w:rsid w:val="00F41F07"/>
    <w:rsid w:val="00F42788"/>
    <w:rsid w:val="00F42D04"/>
    <w:rsid w:val="00F43096"/>
    <w:rsid w:val="00F435C1"/>
    <w:rsid w:val="00F46E89"/>
    <w:rsid w:val="00F470E6"/>
    <w:rsid w:val="00F47C37"/>
    <w:rsid w:val="00F47EE6"/>
    <w:rsid w:val="00F518C4"/>
    <w:rsid w:val="00F52EE2"/>
    <w:rsid w:val="00F5347A"/>
    <w:rsid w:val="00F534FC"/>
    <w:rsid w:val="00F550CB"/>
    <w:rsid w:val="00F551EF"/>
    <w:rsid w:val="00F565DC"/>
    <w:rsid w:val="00F56698"/>
    <w:rsid w:val="00F60A72"/>
    <w:rsid w:val="00F62D3F"/>
    <w:rsid w:val="00F6332E"/>
    <w:rsid w:val="00F66B0D"/>
    <w:rsid w:val="00F67DD8"/>
    <w:rsid w:val="00F71135"/>
    <w:rsid w:val="00F717B7"/>
    <w:rsid w:val="00F7184C"/>
    <w:rsid w:val="00F71D13"/>
    <w:rsid w:val="00F727A0"/>
    <w:rsid w:val="00F747EC"/>
    <w:rsid w:val="00F748C9"/>
    <w:rsid w:val="00F755A0"/>
    <w:rsid w:val="00F76816"/>
    <w:rsid w:val="00F76AB9"/>
    <w:rsid w:val="00F77F48"/>
    <w:rsid w:val="00F810E7"/>
    <w:rsid w:val="00F83CA7"/>
    <w:rsid w:val="00F857C5"/>
    <w:rsid w:val="00F86806"/>
    <w:rsid w:val="00F87126"/>
    <w:rsid w:val="00F877A4"/>
    <w:rsid w:val="00F87921"/>
    <w:rsid w:val="00F87B75"/>
    <w:rsid w:val="00F90D9B"/>
    <w:rsid w:val="00F90E73"/>
    <w:rsid w:val="00F923DA"/>
    <w:rsid w:val="00F93523"/>
    <w:rsid w:val="00F97DD9"/>
    <w:rsid w:val="00FA052A"/>
    <w:rsid w:val="00FA17DE"/>
    <w:rsid w:val="00FA2A67"/>
    <w:rsid w:val="00FA3609"/>
    <w:rsid w:val="00FA5BF3"/>
    <w:rsid w:val="00FA6BA7"/>
    <w:rsid w:val="00FA6E92"/>
    <w:rsid w:val="00FA71FE"/>
    <w:rsid w:val="00FA7880"/>
    <w:rsid w:val="00FB19A5"/>
    <w:rsid w:val="00FB5174"/>
    <w:rsid w:val="00FB5AD8"/>
    <w:rsid w:val="00FB7486"/>
    <w:rsid w:val="00FC0045"/>
    <w:rsid w:val="00FC008B"/>
    <w:rsid w:val="00FC03C6"/>
    <w:rsid w:val="00FC1BBF"/>
    <w:rsid w:val="00FC36B5"/>
    <w:rsid w:val="00FC40DA"/>
    <w:rsid w:val="00FC4372"/>
    <w:rsid w:val="00FC5CE3"/>
    <w:rsid w:val="00FC676B"/>
    <w:rsid w:val="00FD020A"/>
    <w:rsid w:val="00FD0B81"/>
    <w:rsid w:val="00FD259A"/>
    <w:rsid w:val="00FD2D95"/>
    <w:rsid w:val="00FD3F66"/>
    <w:rsid w:val="00FD477A"/>
    <w:rsid w:val="00FD48E9"/>
    <w:rsid w:val="00FD4AA9"/>
    <w:rsid w:val="00FD5B57"/>
    <w:rsid w:val="00FD61F7"/>
    <w:rsid w:val="00FD6CA1"/>
    <w:rsid w:val="00FD7610"/>
    <w:rsid w:val="00FD7BE6"/>
    <w:rsid w:val="00FE14B6"/>
    <w:rsid w:val="00FE2D01"/>
    <w:rsid w:val="00FE398D"/>
    <w:rsid w:val="00FE3E38"/>
    <w:rsid w:val="00FE4531"/>
    <w:rsid w:val="00FE62D5"/>
    <w:rsid w:val="00FE6AB8"/>
    <w:rsid w:val="00FE7C2E"/>
    <w:rsid w:val="00FF1825"/>
    <w:rsid w:val="00FF1BA3"/>
    <w:rsid w:val="00FF2FA8"/>
    <w:rsid w:val="00FF3439"/>
    <w:rsid w:val="00FF3B5E"/>
    <w:rsid w:val="00FF6FEC"/>
    <w:rsid w:val="0C6521D2"/>
    <w:rsid w:val="292856E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nhideWhenUsed="0"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nhideWhenUsed="0" w:uiPriority="99" w:name="footnote reference"/>
    <w:lsdException w:qFormat="1" w:uiPriority="99" w:name="annotation reference"/>
    <w:lsdException w:uiPriority="99" w:name="line number"/>
    <w:lsdException w:uiPriority="99" w:name="page number"/>
    <w:lsdException w:qFormat="1" w:uiPriority="99" w:name="endnote reference"/>
    <w:lsdException w:qFormat="1"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qFormat="1"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200" w:firstLineChars="200"/>
      <w:jc w:val="both"/>
    </w:pPr>
    <w:rPr>
      <w:rFonts w:ascii="Times New Roman" w:hAnsi="Times New Roman" w:eastAsia="仿宋_GB2312" w:cstheme="minorBidi"/>
      <w:kern w:val="40"/>
      <w:sz w:val="28"/>
      <w:szCs w:val="21"/>
      <w:lang w:val="en-US" w:eastAsia="zh-CN" w:bidi="ar-SA"/>
    </w:rPr>
  </w:style>
  <w:style w:type="paragraph" w:styleId="2">
    <w:name w:val="heading 1"/>
    <w:basedOn w:val="1"/>
    <w:next w:val="1"/>
    <w:link w:val="24"/>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25"/>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26"/>
    <w:unhideWhenUsed/>
    <w:qFormat/>
    <w:uiPriority w:val="9"/>
    <w:pPr>
      <w:keepNext/>
      <w:keepLines/>
      <w:spacing w:before="260" w:after="260" w:line="416" w:lineRule="auto"/>
      <w:outlineLvl w:val="2"/>
    </w:pPr>
    <w:rPr>
      <w:b/>
      <w:bCs/>
      <w:sz w:val="32"/>
      <w:szCs w:val="32"/>
    </w:rPr>
  </w:style>
  <w:style w:type="paragraph" w:styleId="5">
    <w:name w:val="heading 4"/>
    <w:basedOn w:val="1"/>
    <w:next w:val="1"/>
    <w:link w:val="106"/>
    <w:unhideWhenUsed/>
    <w:qFormat/>
    <w:uiPriority w:val="9"/>
    <w:pPr>
      <w:keepNext/>
      <w:keepLines/>
      <w:spacing w:before="280" w:after="290" w:line="376" w:lineRule="auto"/>
      <w:outlineLvl w:val="3"/>
    </w:pPr>
    <w:rPr>
      <w:rFonts w:asciiTheme="majorHAnsi" w:hAnsiTheme="majorHAnsi" w:eastAsiaTheme="majorEastAsia" w:cstheme="majorBidi"/>
      <w:b/>
      <w:bCs/>
      <w:szCs w:val="28"/>
    </w:rPr>
  </w:style>
  <w:style w:type="character" w:default="1" w:styleId="18">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6">
    <w:name w:val="Document Map"/>
    <w:basedOn w:val="1"/>
    <w:link w:val="57"/>
    <w:semiHidden/>
    <w:unhideWhenUsed/>
    <w:qFormat/>
    <w:uiPriority w:val="99"/>
    <w:rPr>
      <w:rFonts w:ascii="宋体" w:eastAsia="宋体"/>
      <w:sz w:val="18"/>
      <w:szCs w:val="18"/>
    </w:rPr>
  </w:style>
  <w:style w:type="paragraph" w:styleId="7">
    <w:name w:val="annotation text"/>
    <w:basedOn w:val="1"/>
    <w:link w:val="38"/>
    <w:semiHidden/>
    <w:unhideWhenUsed/>
    <w:qFormat/>
    <w:uiPriority w:val="99"/>
    <w:pPr>
      <w:jc w:val="left"/>
    </w:pPr>
  </w:style>
  <w:style w:type="paragraph" w:styleId="8">
    <w:name w:val="toc 3"/>
    <w:basedOn w:val="1"/>
    <w:next w:val="1"/>
    <w:unhideWhenUsed/>
    <w:qFormat/>
    <w:uiPriority w:val="39"/>
    <w:pPr>
      <w:ind w:left="840" w:leftChars="400"/>
    </w:pPr>
  </w:style>
  <w:style w:type="paragraph" w:styleId="9">
    <w:name w:val="endnote text"/>
    <w:basedOn w:val="1"/>
    <w:link w:val="107"/>
    <w:semiHidden/>
    <w:unhideWhenUsed/>
    <w:qFormat/>
    <w:uiPriority w:val="99"/>
    <w:pPr>
      <w:snapToGrid w:val="0"/>
      <w:jc w:val="left"/>
    </w:pPr>
  </w:style>
  <w:style w:type="paragraph" w:styleId="10">
    <w:name w:val="Balloon Text"/>
    <w:basedOn w:val="1"/>
    <w:link w:val="36"/>
    <w:semiHidden/>
    <w:unhideWhenUsed/>
    <w:qFormat/>
    <w:uiPriority w:val="99"/>
    <w:pPr>
      <w:spacing w:line="240" w:lineRule="auto"/>
    </w:pPr>
    <w:rPr>
      <w:sz w:val="18"/>
      <w:szCs w:val="18"/>
    </w:rPr>
  </w:style>
  <w:style w:type="paragraph" w:styleId="11">
    <w:name w:val="footer"/>
    <w:basedOn w:val="1"/>
    <w:link w:val="28"/>
    <w:unhideWhenUsed/>
    <w:qFormat/>
    <w:uiPriority w:val="99"/>
    <w:pPr>
      <w:tabs>
        <w:tab w:val="center" w:pos="4153"/>
        <w:tab w:val="right" w:pos="8306"/>
      </w:tabs>
      <w:snapToGrid w:val="0"/>
      <w:spacing w:line="240" w:lineRule="auto"/>
      <w:jc w:val="left"/>
    </w:pPr>
    <w:rPr>
      <w:sz w:val="18"/>
      <w:szCs w:val="18"/>
    </w:rPr>
  </w:style>
  <w:style w:type="paragraph" w:styleId="12">
    <w:name w:val="header"/>
    <w:basedOn w:val="1"/>
    <w:link w:val="27"/>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paragraph" w:styleId="13">
    <w:name w:val="toc 1"/>
    <w:basedOn w:val="1"/>
    <w:next w:val="1"/>
    <w:unhideWhenUsed/>
    <w:qFormat/>
    <w:uiPriority w:val="39"/>
    <w:pPr>
      <w:tabs>
        <w:tab w:val="left" w:pos="720"/>
        <w:tab w:val="right" w:leader="dot" w:pos="8296"/>
      </w:tabs>
      <w:ind w:firstLine="0" w:firstLineChars="0"/>
    </w:pPr>
    <w:rPr>
      <w:rFonts w:eastAsia="黑体"/>
      <w:b/>
      <w:sz w:val="30"/>
    </w:rPr>
  </w:style>
  <w:style w:type="paragraph" w:styleId="14">
    <w:name w:val="footnote text"/>
    <w:basedOn w:val="1"/>
    <w:link w:val="44"/>
    <w:semiHidden/>
    <w:qFormat/>
    <w:uiPriority w:val="99"/>
    <w:pPr>
      <w:snapToGrid w:val="0"/>
      <w:spacing w:line="240" w:lineRule="auto"/>
      <w:jc w:val="left"/>
    </w:pPr>
    <w:rPr>
      <w:rFonts w:cs="Times New Roman"/>
      <w:kern w:val="2"/>
      <w:sz w:val="18"/>
      <w:szCs w:val="18"/>
    </w:rPr>
  </w:style>
  <w:style w:type="paragraph" w:styleId="15">
    <w:name w:val="toc 2"/>
    <w:basedOn w:val="1"/>
    <w:next w:val="1"/>
    <w:unhideWhenUsed/>
    <w:qFormat/>
    <w:uiPriority w:val="39"/>
    <w:pPr>
      <w:tabs>
        <w:tab w:val="right" w:leader="dot" w:pos="8296"/>
      </w:tabs>
      <w:ind w:left="560" w:leftChars="200" w:firstLine="0" w:firstLineChars="0"/>
      <w:jc w:val="left"/>
    </w:pPr>
  </w:style>
  <w:style w:type="paragraph" w:styleId="16">
    <w:name w:val="annotation subject"/>
    <w:basedOn w:val="7"/>
    <w:next w:val="7"/>
    <w:link w:val="39"/>
    <w:semiHidden/>
    <w:unhideWhenUsed/>
    <w:qFormat/>
    <w:uiPriority w:val="99"/>
    <w:rPr>
      <w:b/>
      <w:bCs/>
    </w:rPr>
  </w:style>
  <w:style w:type="character" w:styleId="19">
    <w:name w:val="endnote reference"/>
    <w:basedOn w:val="18"/>
    <w:semiHidden/>
    <w:unhideWhenUsed/>
    <w:qFormat/>
    <w:uiPriority w:val="99"/>
    <w:rPr>
      <w:vertAlign w:val="superscript"/>
    </w:rPr>
  </w:style>
  <w:style w:type="character" w:styleId="20">
    <w:name w:val="FollowedHyperlink"/>
    <w:basedOn w:val="18"/>
    <w:semiHidden/>
    <w:unhideWhenUsed/>
    <w:qFormat/>
    <w:uiPriority w:val="99"/>
    <w:rPr>
      <w:color w:val="800080"/>
      <w:u w:val="single"/>
    </w:rPr>
  </w:style>
  <w:style w:type="character" w:styleId="21">
    <w:name w:val="Hyperlink"/>
    <w:basedOn w:val="18"/>
    <w:unhideWhenUsed/>
    <w:uiPriority w:val="99"/>
    <w:rPr>
      <w:color w:val="0000FF" w:themeColor="hyperlink"/>
      <w:u w:val="single"/>
      <w14:textFill>
        <w14:solidFill>
          <w14:schemeClr w14:val="hlink"/>
        </w14:solidFill>
      </w14:textFill>
    </w:rPr>
  </w:style>
  <w:style w:type="character" w:styleId="22">
    <w:name w:val="annotation reference"/>
    <w:basedOn w:val="18"/>
    <w:semiHidden/>
    <w:unhideWhenUsed/>
    <w:qFormat/>
    <w:uiPriority w:val="99"/>
    <w:rPr>
      <w:sz w:val="21"/>
      <w:szCs w:val="21"/>
    </w:rPr>
  </w:style>
  <w:style w:type="character" w:styleId="23">
    <w:name w:val="footnote reference"/>
    <w:semiHidden/>
    <w:qFormat/>
    <w:uiPriority w:val="99"/>
    <w:rPr>
      <w:rFonts w:cs="Times New Roman"/>
      <w:vertAlign w:val="superscript"/>
    </w:rPr>
  </w:style>
  <w:style w:type="character" w:customStyle="1" w:styleId="24">
    <w:name w:val="标题 1 Char"/>
    <w:basedOn w:val="18"/>
    <w:link w:val="2"/>
    <w:uiPriority w:val="0"/>
    <w:rPr>
      <w:b/>
      <w:bCs/>
      <w:kern w:val="44"/>
      <w:sz w:val="44"/>
      <w:szCs w:val="44"/>
    </w:rPr>
  </w:style>
  <w:style w:type="character" w:customStyle="1" w:styleId="25">
    <w:name w:val="标题 2 Char"/>
    <w:basedOn w:val="18"/>
    <w:link w:val="3"/>
    <w:uiPriority w:val="9"/>
    <w:rPr>
      <w:rFonts w:asciiTheme="majorHAnsi" w:hAnsiTheme="majorHAnsi" w:eastAsiaTheme="majorEastAsia" w:cstheme="majorBidi"/>
      <w:b/>
      <w:bCs/>
      <w:kern w:val="40"/>
      <w:sz w:val="32"/>
      <w:szCs w:val="32"/>
    </w:rPr>
  </w:style>
  <w:style w:type="character" w:customStyle="1" w:styleId="26">
    <w:name w:val="标题 3 Char"/>
    <w:basedOn w:val="18"/>
    <w:link w:val="4"/>
    <w:uiPriority w:val="9"/>
    <w:rPr>
      <w:rFonts w:ascii="Times New Roman" w:hAnsi="Times New Roman" w:eastAsia="仿宋_GB2312"/>
      <w:b/>
      <w:bCs/>
      <w:kern w:val="40"/>
      <w:sz w:val="32"/>
      <w:szCs w:val="32"/>
    </w:rPr>
  </w:style>
  <w:style w:type="character" w:customStyle="1" w:styleId="27">
    <w:name w:val="页眉 Char"/>
    <w:basedOn w:val="18"/>
    <w:link w:val="12"/>
    <w:uiPriority w:val="99"/>
    <w:rPr>
      <w:rFonts w:ascii="Times New Roman" w:hAnsi="Times New Roman" w:eastAsia="仿宋_GB2312"/>
      <w:kern w:val="40"/>
      <w:sz w:val="18"/>
      <w:szCs w:val="18"/>
    </w:rPr>
  </w:style>
  <w:style w:type="character" w:customStyle="1" w:styleId="28">
    <w:name w:val="页脚 Char"/>
    <w:basedOn w:val="18"/>
    <w:link w:val="11"/>
    <w:uiPriority w:val="99"/>
    <w:rPr>
      <w:rFonts w:ascii="Times New Roman" w:hAnsi="Times New Roman" w:eastAsia="仿宋_GB2312"/>
      <w:kern w:val="40"/>
      <w:sz w:val="18"/>
      <w:szCs w:val="18"/>
    </w:rPr>
  </w:style>
  <w:style w:type="paragraph" w:customStyle="1" w:styleId="29">
    <w:name w:val="修改一级"/>
    <w:basedOn w:val="2"/>
    <w:link w:val="30"/>
    <w:qFormat/>
    <w:uiPriority w:val="0"/>
    <w:pPr>
      <w:spacing w:beforeLines="50" w:afterLines="50" w:line="360" w:lineRule="auto"/>
      <w:ind w:firstLine="643"/>
      <w:jc w:val="left"/>
    </w:pPr>
    <w:rPr>
      <w:rFonts w:eastAsia="黑体" w:cs="Times New Roman"/>
      <w:sz w:val="32"/>
      <w:szCs w:val="28"/>
    </w:rPr>
  </w:style>
  <w:style w:type="character" w:customStyle="1" w:styleId="30">
    <w:name w:val="修改一级 Char"/>
    <w:link w:val="29"/>
    <w:uiPriority w:val="0"/>
    <w:rPr>
      <w:rFonts w:ascii="Times New Roman" w:hAnsi="Times New Roman" w:eastAsia="黑体" w:cs="Times New Roman"/>
      <w:b/>
      <w:bCs/>
      <w:kern w:val="44"/>
      <w:sz w:val="32"/>
      <w:szCs w:val="28"/>
    </w:rPr>
  </w:style>
  <w:style w:type="paragraph" w:customStyle="1" w:styleId="31">
    <w:name w:val="修改二级"/>
    <w:basedOn w:val="3"/>
    <w:link w:val="32"/>
    <w:qFormat/>
    <w:uiPriority w:val="0"/>
    <w:pPr>
      <w:adjustRightInd w:val="0"/>
      <w:snapToGrid w:val="0"/>
      <w:spacing w:before="100" w:beforeAutospacing="1" w:after="100" w:afterAutospacing="1" w:line="312" w:lineRule="auto"/>
      <w:ind w:firstLine="590" w:firstLineChars="196"/>
    </w:pPr>
    <w:rPr>
      <w:rFonts w:ascii="Times New Roman" w:hAnsi="Times New Roman" w:eastAsia="黑体" w:cs="Times New Roman"/>
      <w:kern w:val="2"/>
      <w:sz w:val="30"/>
      <w:szCs w:val="28"/>
    </w:rPr>
  </w:style>
  <w:style w:type="character" w:customStyle="1" w:styleId="32">
    <w:name w:val="修改二级 Char"/>
    <w:link w:val="31"/>
    <w:uiPriority w:val="0"/>
    <w:rPr>
      <w:rFonts w:ascii="Times New Roman" w:hAnsi="Times New Roman" w:eastAsia="黑体" w:cs="Times New Roman"/>
      <w:b/>
      <w:bCs/>
      <w:sz w:val="30"/>
      <w:szCs w:val="28"/>
    </w:rPr>
  </w:style>
  <w:style w:type="paragraph" w:customStyle="1" w:styleId="33">
    <w:name w:val="修改三级"/>
    <w:basedOn w:val="4"/>
    <w:link w:val="34"/>
    <w:qFormat/>
    <w:uiPriority w:val="0"/>
    <w:pPr>
      <w:ind w:firstLine="562"/>
    </w:pPr>
    <w:rPr>
      <w:rFonts w:cs="Times New Roman"/>
      <w:kern w:val="2"/>
      <w:sz w:val="28"/>
      <w:szCs w:val="28"/>
    </w:rPr>
  </w:style>
  <w:style w:type="character" w:customStyle="1" w:styleId="34">
    <w:name w:val="修改三级 Char"/>
    <w:link w:val="33"/>
    <w:uiPriority w:val="0"/>
    <w:rPr>
      <w:rFonts w:ascii="Times New Roman" w:hAnsi="Times New Roman" w:eastAsia="仿宋_GB2312" w:cs="Times New Roman"/>
      <w:b/>
      <w:bCs/>
      <w:sz w:val="28"/>
      <w:szCs w:val="28"/>
    </w:rPr>
  </w:style>
  <w:style w:type="paragraph" w:styleId="35">
    <w:name w:val="List Paragraph"/>
    <w:basedOn w:val="1"/>
    <w:qFormat/>
    <w:uiPriority w:val="34"/>
    <w:pPr>
      <w:ind w:firstLine="420"/>
    </w:pPr>
  </w:style>
  <w:style w:type="character" w:customStyle="1" w:styleId="36">
    <w:name w:val="批注框文本 Char"/>
    <w:basedOn w:val="18"/>
    <w:link w:val="10"/>
    <w:semiHidden/>
    <w:uiPriority w:val="99"/>
    <w:rPr>
      <w:rFonts w:ascii="Times New Roman" w:hAnsi="Times New Roman" w:eastAsia="仿宋_GB2312"/>
      <w:kern w:val="40"/>
      <w:sz w:val="18"/>
      <w:szCs w:val="18"/>
    </w:rPr>
  </w:style>
  <w:style w:type="paragraph" w:customStyle="1" w:styleId="37">
    <w:name w:val="TOC Heading"/>
    <w:basedOn w:val="2"/>
    <w:next w:val="1"/>
    <w:unhideWhenUsed/>
    <w:qFormat/>
    <w:uiPriority w:val="39"/>
    <w:pPr>
      <w:widowControl/>
      <w:spacing w:before="480" w:after="0" w:line="276" w:lineRule="auto"/>
      <w:ind w:firstLine="0" w:firstLineChars="0"/>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38">
    <w:name w:val="批注文字 Char"/>
    <w:basedOn w:val="18"/>
    <w:link w:val="7"/>
    <w:semiHidden/>
    <w:qFormat/>
    <w:uiPriority w:val="99"/>
    <w:rPr>
      <w:rFonts w:ascii="Times New Roman" w:hAnsi="Times New Roman" w:eastAsia="仿宋_GB2312"/>
      <w:kern w:val="40"/>
      <w:sz w:val="28"/>
    </w:rPr>
  </w:style>
  <w:style w:type="character" w:customStyle="1" w:styleId="39">
    <w:name w:val="批注主题 Char"/>
    <w:basedOn w:val="38"/>
    <w:link w:val="16"/>
    <w:semiHidden/>
    <w:qFormat/>
    <w:uiPriority w:val="99"/>
    <w:rPr>
      <w:rFonts w:ascii="Times New Roman" w:hAnsi="Times New Roman" w:eastAsia="仿宋_GB2312"/>
      <w:b/>
      <w:bCs/>
      <w:kern w:val="40"/>
      <w:sz w:val="28"/>
    </w:rPr>
  </w:style>
  <w:style w:type="paragraph" w:customStyle="1" w:styleId="40">
    <w:name w:val="定3"/>
    <w:basedOn w:val="1"/>
    <w:link w:val="41"/>
    <w:qFormat/>
    <w:uiPriority w:val="0"/>
    <w:pPr>
      <w:keepNext/>
      <w:keepLines/>
      <w:spacing w:before="260" w:after="260" w:line="416" w:lineRule="auto"/>
      <w:ind w:firstLine="562"/>
      <w:jc w:val="left"/>
      <w:outlineLvl w:val="2"/>
    </w:pPr>
    <w:rPr>
      <w:rFonts w:cs="Times New Roman"/>
      <w:b/>
      <w:bCs/>
      <w:kern w:val="2"/>
      <w:szCs w:val="28"/>
    </w:rPr>
  </w:style>
  <w:style w:type="character" w:customStyle="1" w:styleId="41">
    <w:name w:val="定3 Char"/>
    <w:basedOn w:val="18"/>
    <w:link w:val="40"/>
    <w:qFormat/>
    <w:uiPriority w:val="0"/>
    <w:rPr>
      <w:rFonts w:ascii="Times New Roman" w:hAnsi="Times New Roman" w:eastAsia="仿宋_GB2312" w:cs="Times New Roman"/>
      <w:b/>
      <w:bCs/>
      <w:sz w:val="28"/>
      <w:szCs w:val="28"/>
    </w:rPr>
  </w:style>
  <w:style w:type="paragraph" w:styleId="42">
    <w:name w:val="Quote"/>
    <w:basedOn w:val="1"/>
    <w:next w:val="1"/>
    <w:link w:val="43"/>
    <w:qFormat/>
    <w:uiPriority w:val="29"/>
    <w:pPr>
      <w:widowControl/>
      <w:spacing w:after="200" w:line="276" w:lineRule="auto"/>
      <w:ind w:firstLine="0" w:firstLineChars="0"/>
      <w:jc w:val="left"/>
    </w:pPr>
    <w:rPr>
      <w:rFonts w:asciiTheme="minorHAnsi" w:hAnsiTheme="minorHAnsi" w:eastAsiaTheme="minorEastAsia"/>
      <w:i/>
      <w:iCs/>
      <w:color w:val="000000" w:themeColor="text1"/>
      <w:kern w:val="0"/>
      <w:sz w:val="22"/>
      <w:szCs w:val="22"/>
      <w14:textFill>
        <w14:solidFill>
          <w14:schemeClr w14:val="tx1"/>
        </w14:solidFill>
      </w14:textFill>
    </w:rPr>
  </w:style>
  <w:style w:type="character" w:customStyle="1" w:styleId="43">
    <w:name w:val="引用 Char"/>
    <w:basedOn w:val="18"/>
    <w:link w:val="42"/>
    <w:uiPriority w:val="29"/>
    <w:rPr>
      <w:i/>
      <w:iCs/>
      <w:color w:val="000000" w:themeColor="text1"/>
      <w:kern w:val="0"/>
      <w:sz w:val="22"/>
      <w:szCs w:val="22"/>
      <w14:textFill>
        <w14:solidFill>
          <w14:schemeClr w14:val="tx1"/>
        </w14:solidFill>
      </w14:textFill>
    </w:rPr>
  </w:style>
  <w:style w:type="character" w:customStyle="1" w:styleId="44">
    <w:name w:val="脚注文本 Char"/>
    <w:basedOn w:val="18"/>
    <w:link w:val="14"/>
    <w:semiHidden/>
    <w:qFormat/>
    <w:uiPriority w:val="99"/>
    <w:rPr>
      <w:rFonts w:ascii="Times New Roman" w:hAnsi="Times New Roman" w:eastAsia="仿宋_GB2312" w:cs="Times New Roman"/>
      <w:sz w:val="18"/>
      <w:szCs w:val="18"/>
    </w:rPr>
  </w:style>
  <w:style w:type="paragraph" w:customStyle="1" w:styleId="45">
    <w:name w:val="定4"/>
    <w:basedOn w:val="1"/>
    <w:link w:val="46"/>
    <w:qFormat/>
    <w:uiPriority w:val="0"/>
    <w:pPr>
      <w:spacing w:line="312" w:lineRule="auto"/>
      <w:ind w:firstLine="562"/>
    </w:pPr>
    <w:rPr>
      <w:rFonts w:cs="Times New Roman"/>
      <w:b/>
      <w:kern w:val="2"/>
      <w:szCs w:val="28"/>
    </w:rPr>
  </w:style>
  <w:style w:type="character" w:customStyle="1" w:styleId="46">
    <w:name w:val="定4 Char"/>
    <w:basedOn w:val="18"/>
    <w:link w:val="45"/>
    <w:uiPriority w:val="0"/>
    <w:rPr>
      <w:rFonts w:ascii="Times New Roman" w:hAnsi="Times New Roman" w:eastAsia="仿宋_GB2312" w:cs="Times New Roman"/>
      <w:b/>
      <w:sz w:val="28"/>
      <w:szCs w:val="28"/>
    </w:rPr>
  </w:style>
  <w:style w:type="paragraph" w:customStyle="1" w:styleId="47">
    <w:name w:val="表标题"/>
    <w:basedOn w:val="1"/>
    <w:link w:val="48"/>
    <w:qFormat/>
    <w:uiPriority w:val="0"/>
    <w:pPr>
      <w:spacing w:line="312" w:lineRule="auto"/>
      <w:ind w:firstLine="482"/>
      <w:jc w:val="center"/>
    </w:pPr>
    <w:rPr>
      <w:rFonts w:cs="Times New Roman"/>
      <w:b/>
      <w:kern w:val="2"/>
      <w:sz w:val="24"/>
      <w:szCs w:val="24"/>
    </w:rPr>
  </w:style>
  <w:style w:type="character" w:customStyle="1" w:styleId="48">
    <w:name w:val="表标题 Char"/>
    <w:basedOn w:val="18"/>
    <w:link w:val="47"/>
    <w:uiPriority w:val="0"/>
    <w:rPr>
      <w:rFonts w:ascii="Times New Roman" w:hAnsi="Times New Roman" w:eastAsia="仿宋_GB2312" w:cs="Times New Roman"/>
      <w:b/>
      <w:sz w:val="24"/>
      <w:szCs w:val="24"/>
    </w:rPr>
  </w:style>
  <w:style w:type="paragraph" w:customStyle="1" w:styleId="49">
    <w:name w:val="font5"/>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18"/>
      <w:szCs w:val="18"/>
    </w:rPr>
  </w:style>
  <w:style w:type="paragraph" w:customStyle="1" w:styleId="50">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4"/>
      <w:szCs w:val="24"/>
    </w:rPr>
  </w:style>
  <w:style w:type="paragraph" w:customStyle="1" w:styleId="51">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仿宋_GB2312" w:hAnsi="宋体" w:cs="宋体"/>
      <w:kern w:val="0"/>
      <w:sz w:val="24"/>
      <w:szCs w:val="24"/>
    </w:rPr>
  </w:style>
  <w:style w:type="paragraph" w:customStyle="1" w:styleId="52">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仿宋_GB2312" w:hAnsi="宋体" w:cs="宋体"/>
      <w:kern w:val="0"/>
      <w:sz w:val="24"/>
      <w:szCs w:val="24"/>
    </w:rPr>
  </w:style>
  <w:style w:type="paragraph" w:customStyle="1" w:styleId="53">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cs="宋体"/>
      <w:b/>
      <w:bCs/>
      <w:color w:val="000000"/>
      <w:kern w:val="0"/>
      <w:sz w:val="24"/>
      <w:szCs w:val="24"/>
    </w:rPr>
  </w:style>
  <w:style w:type="paragraph" w:customStyle="1" w:styleId="54">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cs="宋体"/>
      <w:b/>
      <w:bCs/>
      <w:color w:val="000000"/>
      <w:kern w:val="0"/>
      <w:sz w:val="24"/>
      <w:szCs w:val="24"/>
    </w:rPr>
  </w:style>
  <w:style w:type="paragraph" w:customStyle="1" w:styleId="55">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4"/>
      <w:szCs w:val="24"/>
    </w:rPr>
  </w:style>
  <w:style w:type="paragraph" w:customStyle="1" w:styleId="56">
    <w:name w:val="xl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4"/>
      <w:szCs w:val="24"/>
    </w:rPr>
  </w:style>
  <w:style w:type="character" w:customStyle="1" w:styleId="57">
    <w:name w:val="文档结构图 Char"/>
    <w:basedOn w:val="18"/>
    <w:link w:val="6"/>
    <w:semiHidden/>
    <w:qFormat/>
    <w:uiPriority w:val="99"/>
    <w:rPr>
      <w:rFonts w:ascii="宋体" w:hAnsi="Times New Roman" w:eastAsia="宋体"/>
      <w:kern w:val="40"/>
      <w:sz w:val="18"/>
      <w:szCs w:val="18"/>
    </w:rPr>
  </w:style>
  <w:style w:type="paragraph" w:customStyle="1" w:styleId="58">
    <w:name w:val="xl70"/>
    <w:basedOn w:val="1"/>
    <w:qFormat/>
    <w:uiPriority w:val="0"/>
    <w:pPr>
      <w:widowControl/>
      <w:pBdr>
        <w:top w:val="single" w:color="auto" w:sz="8" w:space="0"/>
        <w:left w:val="single" w:color="auto" w:sz="8" w:space="0"/>
        <w:right w:val="single" w:color="auto" w:sz="8" w:space="0"/>
      </w:pBdr>
      <w:spacing w:before="100" w:beforeAutospacing="1" w:after="100" w:afterAutospacing="1" w:line="240" w:lineRule="auto"/>
      <w:ind w:firstLine="0" w:firstLineChars="0"/>
      <w:jc w:val="center"/>
      <w:textAlignment w:val="center"/>
    </w:pPr>
    <w:rPr>
      <w:rFonts w:ascii="仿宋_GB2312" w:hAnsi="宋体" w:cs="宋体"/>
      <w:b/>
      <w:bCs/>
      <w:color w:val="000000"/>
      <w:kern w:val="0"/>
      <w:sz w:val="21"/>
    </w:rPr>
  </w:style>
  <w:style w:type="paragraph" w:customStyle="1" w:styleId="59">
    <w:name w:val="xl71"/>
    <w:basedOn w:val="1"/>
    <w:qFormat/>
    <w:uiPriority w:val="0"/>
    <w:pPr>
      <w:widowControl/>
      <w:pBdr>
        <w:left w:val="single" w:color="auto" w:sz="8" w:space="0"/>
        <w:right w:val="single" w:color="auto" w:sz="8" w:space="0"/>
      </w:pBdr>
      <w:spacing w:before="100" w:beforeAutospacing="1" w:after="100" w:afterAutospacing="1" w:line="240" w:lineRule="auto"/>
      <w:ind w:firstLine="0" w:firstLineChars="0"/>
      <w:jc w:val="center"/>
      <w:textAlignment w:val="center"/>
    </w:pPr>
    <w:rPr>
      <w:rFonts w:ascii="仿宋_GB2312" w:hAnsi="宋体" w:cs="宋体"/>
      <w:b/>
      <w:bCs/>
      <w:color w:val="000000"/>
      <w:kern w:val="0"/>
      <w:sz w:val="21"/>
    </w:rPr>
  </w:style>
  <w:style w:type="paragraph" w:customStyle="1" w:styleId="60">
    <w:name w:val="xl72"/>
    <w:basedOn w:val="1"/>
    <w:qFormat/>
    <w:uiPriority w:val="0"/>
    <w:pPr>
      <w:widowControl/>
      <w:pBdr>
        <w:left w:val="single" w:color="auto" w:sz="8" w:space="0"/>
        <w:bottom w:val="single" w:color="000000" w:sz="8" w:space="0"/>
        <w:right w:val="single" w:color="auto" w:sz="8" w:space="0"/>
      </w:pBdr>
      <w:spacing w:before="100" w:beforeAutospacing="1" w:after="100" w:afterAutospacing="1" w:line="240" w:lineRule="auto"/>
      <w:ind w:firstLine="0" w:firstLineChars="0"/>
      <w:jc w:val="center"/>
      <w:textAlignment w:val="center"/>
    </w:pPr>
    <w:rPr>
      <w:rFonts w:ascii="仿宋_GB2312" w:hAnsi="宋体" w:cs="宋体"/>
      <w:b/>
      <w:bCs/>
      <w:color w:val="000000"/>
      <w:kern w:val="0"/>
      <w:sz w:val="21"/>
    </w:rPr>
  </w:style>
  <w:style w:type="paragraph" w:customStyle="1" w:styleId="61">
    <w:name w:val="xl73"/>
    <w:basedOn w:val="1"/>
    <w:qFormat/>
    <w:uiPriority w:val="0"/>
    <w:pPr>
      <w:widowControl/>
      <w:pBdr>
        <w:top w:val="single" w:color="auto" w:sz="8" w:space="0"/>
        <w:left w:val="single" w:color="auto" w:sz="8" w:space="0"/>
        <w:bottom w:val="single" w:color="auto" w:sz="8" w:space="0"/>
      </w:pBdr>
      <w:spacing w:before="100" w:beforeAutospacing="1" w:after="100" w:afterAutospacing="1" w:line="240" w:lineRule="auto"/>
      <w:ind w:firstLine="0" w:firstLineChars="0"/>
      <w:jc w:val="center"/>
      <w:textAlignment w:val="center"/>
    </w:pPr>
    <w:rPr>
      <w:rFonts w:ascii="仿宋_GB2312" w:hAnsi="宋体" w:cs="宋体"/>
      <w:b/>
      <w:bCs/>
      <w:color w:val="000000"/>
      <w:kern w:val="0"/>
      <w:sz w:val="21"/>
    </w:rPr>
  </w:style>
  <w:style w:type="paragraph" w:customStyle="1" w:styleId="62">
    <w:name w:val="xl74"/>
    <w:basedOn w:val="1"/>
    <w:uiPriority w:val="0"/>
    <w:pPr>
      <w:widowControl/>
      <w:pBdr>
        <w:top w:val="single" w:color="auto" w:sz="8" w:space="0"/>
        <w:bottom w:val="single" w:color="auto" w:sz="8" w:space="0"/>
      </w:pBdr>
      <w:spacing w:before="100" w:beforeAutospacing="1" w:after="100" w:afterAutospacing="1" w:line="240" w:lineRule="auto"/>
      <w:ind w:firstLine="0" w:firstLineChars="0"/>
      <w:jc w:val="center"/>
      <w:textAlignment w:val="center"/>
    </w:pPr>
    <w:rPr>
      <w:rFonts w:ascii="仿宋_GB2312" w:hAnsi="宋体" w:cs="宋体"/>
      <w:b/>
      <w:bCs/>
      <w:color w:val="000000"/>
      <w:kern w:val="0"/>
      <w:sz w:val="21"/>
    </w:rPr>
  </w:style>
  <w:style w:type="paragraph" w:customStyle="1" w:styleId="63">
    <w:name w:val="xl75"/>
    <w:basedOn w:val="1"/>
    <w:uiPriority w:val="0"/>
    <w:pPr>
      <w:widowControl/>
      <w:pBdr>
        <w:top w:val="single" w:color="auto" w:sz="8" w:space="0"/>
        <w:bottom w:val="single" w:color="auto" w:sz="8" w:space="0"/>
        <w:right w:val="single" w:color="000000" w:sz="8" w:space="0"/>
      </w:pBdr>
      <w:spacing w:before="100" w:beforeAutospacing="1" w:after="100" w:afterAutospacing="1" w:line="240" w:lineRule="auto"/>
      <w:ind w:firstLine="0" w:firstLineChars="0"/>
      <w:jc w:val="center"/>
      <w:textAlignment w:val="center"/>
    </w:pPr>
    <w:rPr>
      <w:rFonts w:ascii="仿宋_GB2312" w:hAnsi="宋体" w:cs="宋体"/>
      <w:b/>
      <w:bCs/>
      <w:color w:val="000000"/>
      <w:kern w:val="0"/>
      <w:sz w:val="21"/>
    </w:rPr>
  </w:style>
  <w:style w:type="paragraph" w:customStyle="1" w:styleId="64">
    <w:name w:val="xl76"/>
    <w:basedOn w:val="1"/>
    <w:uiPriority w:val="0"/>
    <w:pPr>
      <w:widowControl/>
      <w:pBdr>
        <w:top w:val="single" w:color="auto" w:sz="8" w:space="0"/>
        <w:left w:val="single" w:color="auto" w:sz="8" w:space="0"/>
      </w:pBdr>
      <w:spacing w:before="100" w:beforeAutospacing="1" w:after="100" w:afterAutospacing="1" w:line="240" w:lineRule="auto"/>
      <w:ind w:firstLine="0" w:firstLineChars="0"/>
      <w:jc w:val="center"/>
      <w:textAlignment w:val="center"/>
    </w:pPr>
    <w:rPr>
      <w:rFonts w:ascii="仿宋_GB2312" w:hAnsi="宋体" w:cs="宋体"/>
      <w:b/>
      <w:bCs/>
      <w:color w:val="000000"/>
      <w:kern w:val="0"/>
      <w:sz w:val="21"/>
    </w:rPr>
  </w:style>
  <w:style w:type="paragraph" w:customStyle="1" w:styleId="65">
    <w:name w:val="xl77"/>
    <w:basedOn w:val="1"/>
    <w:uiPriority w:val="0"/>
    <w:pPr>
      <w:widowControl/>
      <w:pBdr>
        <w:top w:val="single" w:color="auto" w:sz="8" w:space="0"/>
      </w:pBdr>
      <w:spacing w:before="100" w:beforeAutospacing="1" w:after="100" w:afterAutospacing="1" w:line="240" w:lineRule="auto"/>
      <w:ind w:firstLine="0" w:firstLineChars="0"/>
      <w:jc w:val="center"/>
      <w:textAlignment w:val="center"/>
    </w:pPr>
    <w:rPr>
      <w:rFonts w:ascii="仿宋_GB2312" w:hAnsi="宋体" w:cs="宋体"/>
      <w:b/>
      <w:bCs/>
      <w:color w:val="000000"/>
      <w:kern w:val="0"/>
      <w:sz w:val="21"/>
    </w:rPr>
  </w:style>
  <w:style w:type="paragraph" w:customStyle="1" w:styleId="66">
    <w:name w:val="xl78"/>
    <w:basedOn w:val="1"/>
    <w:uiPriority w:val="0"/>
    <w:pPr>
      <w:widowControl/>
      <w:pBdr>
        <w:top w:val="single" w:color="auto" w:sz="8" w:space="0"/>
        <w:right w:val="single" w:color="auto" w:sz="8" w:space="0"/>
      </w:pBdr>
      <w:spacing w:before="100" w:beforeAutospacing="1" w:after="100" w:afterAutospacing="1" w:line="240" w:lineRule="auto"/>
      <w:ind w:firstLine="0" w:firstLineChars="0"/>
      <w:jc w:val="center"/>
      <w:textAlignment w:val="center"/>
    </w:pPr>
    <w:rPr>
      <w:rFonts w:ascii="仿宋_GB2312" w:hAnsi="宋体" w:cs="宋体"/>
      <w:b/>
      <w:bCs/>
      <w:color w:val="000000"/>
      <w:kern w:val="0"/>
      <w:sz w:val="21"/>
    </w:rPr>
  </w:style>
  <w:style w:type="paragraph" w:customStyle="1" w:styleId="67">
    <w:name w:val="xl79"/>
    <w:basedOn w:val="1"/>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line="240" w:lineRule="auto"/>
      <w:ind w:firstLine="0" w:firstLineChars="0"/>
      <w:jc w:val="center"/>
      <w:textAlignment w:val="center"/>
    </w:pPr>
    <w:rPr>
      <w:rFonts w:ascii="宋体" w:hAnsi="宋体" w:eastAsia="宋体" w:cs="宋体"/>
      <w:b/>
      <w:bCs/>
      <w:color w:val="000000"/>
      <w:kern w:val="0"/>
      <w:sz w:val="24"/>
      <w:szCs w:val="24"/>
    </w:rPr>
  </w:style>
  <w:style w:type="paragraph" w:customStyle="1" w:styleId="68">
    <w:name w:val="xl80"/>
    <w:basedOn w:val="1"/>
    <w:uiPriority w:val="0"/>
    <w:pPr>
      <w:widowControl/>
      <w:pBdr>
        <w:left w:val="single" w:color="auto" w:sz="8" w:space="0"/>
        <w:bottom w:val="single" w:color="auto" w:sz="8" w:space="0"/>
        <w:right w:val="single" w:color="auto" w:sz="8" w:space="0"/>
      </w:pBdr>
      <w:spacing w:before="100" w:beforeAutospacing="1" w:after="100" w:afterAutospacing="1" w:line="240" w:lineRule="auto"/>
      <w:ind w:firstLine="0" w:firstLineChars="0"/>
      <w:jc w:val="center"/>
      <w:textAlignment w:val="center"/>
    </w:pPr>
    <w:rPr>
      <w:rFonts w:ascii="宋体" w:hAnsi="宋体" w:eastAsia="宋体" w:cs="宋体"/>
      <w:color w:val="000000"/>
      <w:kern w:val="0"/>
      <w:sz w:val="24"/>
      <w:szCs w:val="24"/>
    </w:rPr>
  </w:style>
  <w:style w:type="paragraph" w:customStyle="1" w:styleId="69">
    <w:name w:val="xl81"/>
    <w:basedOn w:val="1"/>
    <w:uiPriority w:val="0"/>
    <w:pPr>
      <w:widowControl/>
      <w:pBdr>
        <w:top w:val="single" w:color="auto" w:sz="8" w:space="0"/>
        <w:left w:val="single" w:color="auto" w:sz="8" w:space="0"/>
        <w:right w:val="single" w:color="auto" w:sz="8" w:space="0"/>
      </w:pBdr>
      <w:spacing w:before="100" w:beforeAutospacing="1" w:after="100" w:afterAutospacing="1" w:line="240" w:lineRule="auto"/>
      <w:ind w:firstLine="0" w:firstLineChars="0"/>
      <w:jc w:val="center"/>
      <w:textAlignment w:val="center"/>
    </w:pPr>
    <w:rPr>
      <w:rFonts w:ascii="宋体" w:hAnsi="宋体" w:eastAsia="宋体" w:cs="宋体"/>
      <w:color w:val="000000"/>
      <w:kern w:val="0"/>
      <w:sz w:val="24"/>
      <w:szCs w:val="24"/>
    </w:rPr>
  </w:style>
  <w:style w:type="paragraph" w:customStyle="1" w:styleId="70">
    <w:name w:val="xl82"/>
    <w:basedOn w:val="1"/>
    <w:uiPriority w:val="0"/>
    <w:pPr>
      <w:widowControl/>
      <w:pBdr>
        <w:left w:val="single" w:color="auto" w:sz="8" w:space="0"/>
        <w:right w:val="single" w:color="auto" w:sz="8" w:space="0"/>
      </w:pBdr>
      <w:spacing w:before="100" w:beforeAutospacing="1" w:after="100" w:afterAutospacing="1" w:line="240" w:lineRule="auto"/>
      <w:ind w:firstLine="0" w:firstLineChars="0"/>
      <w:jc w:val="center"/>
      <w:textAlignment w:val="center"/>
    </w:pPr>
    <w:rPr>
      <w:rFonts w:ascii="宋体" w:hAnsi="宋体" w:eastAsia="宋体" w:cs="宋体"/>
      <w:color w:val="000000"/>
      <w:kern w:val="0"/>
      <w:sz w:val="24"/>
      <w:szCs w:val="24"/>
    </w:rPr>
  </w:style>
  <w:style w:type="paragraph" w:customStyle="1" w:styleId="71">
    <w:name w:val="xl83"/>
    <w:basedOn w:val="1"/>
    <w:qFormat/>
    <w:uiPriority w:val="0"/>
    <w:pPr>
      <w:widowControl/>
      <w:spacing w:before="100" w:beforeAutospacing="1" w:after="100" w:afterAutospacing="1" w:line="240" w:lineRule="auto"/>
      <w:ind w:firstLine="0" w:firstLineChars="0"/>
      <w:jc w:val="center"/>
      <w:textAlignment w:val="center"/>
    </w:pPr>
    <w:rPr>
      <w:rFonts w:ascii="宋体" w:hAnsi="宋体" w:eastAsia="宋体" w:cs="宋体"/>
      <w:kern w:val="0"/>
      <w:sz w:val="24"/>
      <w:szCs w:val="24"/>
    </w:rPr>
  </w:style>
  <w:style w:type="paragraph" w:customStyle="1" w:styleId="72">
    <w:name w:val="xl84"/>
    <w:basedOn w:val="1"/>
    <w:uiPriority w:val="0"/>
    <w:pPr>
      <w:widowControl/>
      <w:pBdr>
        <w:bottom w:val="single" w:color="auto" w:sz="8" w:space="0"/>
        <w:right w:val="single" w:color="auto" w:sz="8" w:space="0"/>
      </w:pBdr>
      <w:spacing w:before="100" w:beforeAutospacing="1" w:after="100" w:afterAutospacing="1" w:line="240" w:lineRule="auto"/>
      <w:ind w:firstLine="0" w:firstLineChars="0"/>
      <w:jc w:val="center"/>
      <w:textAlignment w:val="center"/>
    </w:pPr>
    <w:rPr>
      <w:rFonts w:ascii="宋体" w:hAnsi="宋体" w:eastAsia="宋体" w:cs="宋体"/>
      <w:color w:val="000000"/>
      <w:kern w:val="0"/>
      <w:sz w:val="24"/>
      <w:szCs w:val="24"/>
    </w:rPr>
  </w:style>
  <w:style w:type="paragraph" w:customStyle="1" w:styleId="73">
    <w:name w:val="xl85"/>
    <w:basedOn w:val="1"/>
    <w:uiPriority w:val="0"/>
    <w:pPr>
      <w:widowControl/>
      <w:spacing w:before="100" w:beforeAutospacing="1" w:after="100" w:afterAutospacing="1" w:line="240" w:lineRule="auto"/>
      <w:ind w:firstLine="0" w:firstLineChars="0"/>
      <w:jc w:val="center"/>
      <w:textAlignment w:val="center"/>
    </w:pPr>
    <w:rPr>
      <w:rFonts w:ascii="宋体" w:hAnsi="宋体" w:eastAsia="宋体" w:cs="宋体"/>
      <w:color w:val="000000"/>
      <w:kern w:val="0"/>
      <w:sz w:val="24"/>
      <w:szCs w:val="24"/>
    </w:rPr>
  </w:style>
  <w:style w:type="paragraph" w:customStyle="1" w:styleId="74">
    <w:name w:val="xl86"/>
    <w:basedOn w:val="1"/>
    <w:uiPriority w:val="0"/>
    <w:pPr>
      <w:widowControl/>
      <w:pBdr>
        <w:right w:val="single" w:color="auto" w:sz="8" w:space="0"/>
      </w:pBdr>
      <w:spacing w:before="100" w:beforeAutospacing="1" w:after="100" w:afterAutospacing="1" w:line="240" w:lineRule="auto"/>
      <w:ind w:firstLine="0" w:firstLineChars="0"/>
      <w:jc w:val="center"/>
      <w:textAlignment w:val="center"/>
    </w:pPr>
    <w:rPr>
      <w:rFonts w:ascii="宋体" w:hAnsi="宋体" w:eastAsia="宋体" w:cs="宋体"/>
      <w:color w:val="000000"/>
      <w:kern w:val="0"/>
      <w:sz w:val="24"/>
      <w:szCs w:val="24"/>
    </w:rPr>
  </w:style>
  <w:style w:type="paragraph" w:customStyle="1" w:styleId="75">
    <w:name w:val="xl87"/>
    <w:basedOn w:val="1"/>
    <w:uiPriority w:val="0"/>
    <w:pPr>
      <w:widowControl/>
      <w:pBdr>
        <w:bottom w:val="single" w:color="auto" w:sz="8" w:space="0"/>
        <w:right w:val="single" w:color="auto" w:sz="8" w:space="0"/>
      </w:pBdr>
      <w:spacing w:before="100" w:beforeAutospacing="1" w:after="100" w:afterAutospacing="1" w:line="240" w:lineRule="auto"/>
      <w:ind w:firstLine="0" w:firstLineChars="0"/>
      <w:jc w:val="center"/>
      <w:textAlignment w:val="center"/>
    </w:pPr>
    <w:rPr>
      <w:rFonts w:ascii="宋体" w:hAnsi="宋体" w:eastAsia="宋体" w:cs="宋体"/>
      <w:kern w:val="0"/>
      <w:sz w:val="24"/>
      <w:szCs w:val="24"/>
    </w:rPr>
  </w:style>
  <w:style w:type="paragraph" w:customStyle="1" w:styleId="76">
    <w:name w:val="xl88"/>
    <w:basedOn w:val="1"/>
    <w:uiPriority w:val="0"/>
    <w:pPr>
      <w:widowControl/>
      <w:pBdr>
        <w:top w:val="single" w:color="auto" w:sz="8" w:space="0"/>
        <w:bottom w:val="single" w:color="auto" w:sz="8" w:space="0"/>
        <w:right w:val="single" w:color="auto" w:sz="8" w:space="0"/>
      </w:pBdr>
      <w:spacing w:before="100" w:beforeAutospacing="1" w:after="100" w:afterAutospacing="1" w:line="240" w:lineRule="auto"/>
      <w:ind w:firstLine="0" w:firstLineChars="0"/>
      <w:jc w:val="center"/>
      <w:textAlignment w:val="center"/>
    </w:pPr>
    <w:rPr>
      <w:rFonts w:ascii="宋体" w:hAnsi="宋体" w:eastAsia="宋体" w:cs="宋体"/>
      <w:color w:val="000000"/>
      <w:kern w:val="0"/>
      <w:sz w:val="24"/>
      <w:szCs w:val="24"/>
    </w:rPr>
  </w:style>
  <w:style w:type="paragraph" w:customStyle="1" w:styleId="77">
    <w:name w:val="xl89"/>
    <w:basedOn w:val="1"/>
    <w:uiPriority w:val="0"/>
    <w:pPr>
      <w:widowControl/>
      <w:pBdr>
        <w:top w:val="single" w:color="auto" w:sz="8" w:space="0"/>
        <w:bottom w:val="single" w:color="auto" w:sz="8" w:space="0"/>
      </w:pBdr>
      <w:spacing w:before="100" w:beforeAutospacing="1" w:after="100" w:afterAutospacing="1" w:line="240" w:lineRule="auto"/>
      <w:ind w:firstLine="0" w:firstLineChars="0"/>
      <w:jc w:val="center"/>
      <w:textAlignment w:val="center"/>
    </w:pPr>
    <w:rPr>
      <w:rFonts w:ascii="仿宋_GB2312" w:hAnsi="宋体" w:cs="宋体"/>
      <w:b/>
      <w:bCs/>
      <w:color w:val="000000"/>
      <w:kern w:val="0"/>
      <w:sz w:val="21"/>
    </w:rPr>
  </w:style>
  <w:style w:type="paragraph" w:customStyle="1" w:styleId="78">
    <w:name w:val="xl90"/>
    <w:basedOn w:val="1"/>
    <w:uiPriority w:val="0"/>
    <w:pPr>
      <w:widowControl/>
      <w:pBdr>
        <w:left w:val="single" w:color="auto" w:sz="8" w:space="0"/>
        <w:bottom w:val="single" w:color="auto" w:sz="8" w:space="0"/>
        <w:right w:val="single" w:color="auto" w:sz="8" w:space="0"/>
      </w:pBdr>
      <w:spacing w:before="100" w:beforeAutospacing="1" w:after="100" w:afterAutospacing="1" w:line="240" w:lineRule="auto"/>
      <w:ind w:firstLine="0" w:firstLineChars="0"/>
      <w:jc w:val="center"/>
      <w:textAlignment w:val="center"/>
    </w:pPr>
    <w:rPr>
      <w:rFonts w:ascii="仿宋_GB2312" w:hAnsi="宋体" w:cs="宋体"/>
      <w:b/>
      <w:bCs/>
      <w:color w:val="000000"/>
      <w:kern w:val="0"/>
      <w:sz w:val="21"/>
    </w:rPr>
  </w:style>
  <w:style w:type="paragraph" w:customStyle="1" w:styleId="79">
    <w:name w:val="xl91"/>
    <w:basedOn w:val="1"/>
    <w:uiPriority w:val="0"/>
    <w:pPr>
      <w:widowControl/>
      <w:pBdr>
        <w:top w:val="single" w:color="auto" w:sz="8" w:space="0"/>
        <w:bottom w:val="single" w:color="auto" w:sz="8" w:space="0"/>
        <w:right w:val="single" w:color="auto" w:sz="8" w:space="0"/>
      </w:pBdr>
      <w:spacing w:before="100" w:beforeAutospacing="1" w:after="100" w:afterAutospacing="1" w:line="240" w:lineRule="auto"/>
      <w:ind w:firstLine="0" w:firstLineChars="0"/>
      <w:jc w:val="center"/>
      <w:textAlignment w:val="center"/>
    </w:pPr>
    <w:rPr>
      <w:rFonts w:ascii="仿宋_GB2312" w:hAnsi="宋体" w:cs="宋体"/>
      <w:b/>
      <w:bCs/>
      <w:color w:val="000000"/>
      <w:kern w:val="0"/>
      <w:sz w:val="21"/>
    </w:rPr>
  </w:style>
  <w:style w:type="paragraph" w:customStyle="1" w:styleId="80">
    <w:name w:val="xl92"/>
    <w:basedOn w:val="1"/>
    <w:uiPriority w:val="0"/>
    <w:pPr>
      <w:widowControl/>
      <w:pBdr>
        <w:top w:val="single" w:color="auto" w:sz="8" w:space="0"/>
        <w:left w:val="single" w:color="auto" w:sz="8" w:space="0"/>
        <w:right w:val="single" w:color="auto" w:sz="8" w:space="0"/>
      </w:pBdr>
      <w:spacing w:before="100" w:beforeAutospacing="1" w:after="100" w:afterAutospacing="1" w:line="240" w:lineRule="auto"/>
      <w:ind w:firstLine="0" w:firstLineChars="0"/>
      <w:jc w:val="center"/>
      <w:textAlignment w:val="center"/>
    </w:pPr>
    <w:rPr>
      <w:rFonts w:eastAsia="宋体" w:cs="Times New Roman"/>
      <w:color w:val="000000"/>
      <w:kern w:val="0"/>
      <w:sz w:val="21"/>
    </w:rPr>
  </w:style>
  <w:style w:type="paragraph" w:customStyle="1" w:styleId="81">
    <w:name w:val="xl93"/>
    <w:basedOn w:val="1"/>
    <w:uiPriority w:val="0"/>
    <w:pPr>
      <w:widowControl/>
      <w:pBdr>
        <w:left w:val="single" w:color="auto" w:sz="8" w:space="0"/>
        <w:right w:val="single" w:color="auto" w:sz="8" w:space="0"/>
      </w:pBdr>
      <w:spacing w:before="100" w:beforeAutospacing="1" w:after="100" w:afterAutospacing="1" w:line="240" w:lineRule="auto"/>
      <w:ind w:firstLine="0" w:firstLineChars="0"/>
      <w:jc w:val="center"/>
      <w:textAlignment w:val="center"/>
    </w:pPr>
    <w:rPr>
      <w:rFonts w:eastAsia="宋体" w:cs="Times New Roman"/>
      <w:color w:val="000000"/>
      <w:kern w:val="0"/>
      <w:sz w:val="21"/>
    </w:rPr>
  </w:style>
  <w:style w:type="paragraph" w:customStyle="1" w:styleId="82">
    <w:name w:val="xl94"/>
    <w:basedOn w:val="1"/>
    <w:uiPriority w:val="0"/>
    <w:pPr>
      <w:widowControl/>
      <w:pBdr>
        <w:top w:val="single" w:color="auto" w:sz="8" w:space="0"/>
        <w:left w:val="single" w:color="auto" w:sz="8" w:space="0"/>
        <w:right w:val="single" w:color="auto" w:sz="8" w:space="0"/>
      </w:pBdr>
      <w:spacing w:before="100" w:beforeAutospacing="1" w:after="100" w:afterAutospacing="1" w:line="240" w:lineRule="auto"/>
      <w:ind w:firstLine="0" w:firstLineChars="0"/>
      <w:jc w:val="center"/>
      <w:textAlignment w:val="center"/>
    </w:pPr>
    <w:rPr>
      <w:rFonts w:ascii="仿宋_GB2312" w:hAnsi="宋体" w:cs="宋体"/>
      <w:color w:val="000000"/>
      <w:kern w:val="0"/>
      <w:sz w:val="21"/>
    </w:rPr>
  </w:style>
  <w:style w:type="paragraph" w:customStyle="1" w:styleId="83">
    <w:name w:val="xl95"/>
    <w:basedOn w:val="1"/>
    <w:uiPriority w:val="0"/>
    <w:pPr>
      <w:widowControl/>
      <w:pBdr>
        <w:left w:val="single" w:color="auto" w:sz="8" w:space="0"/>
        <w:right w:val="single" w:color="auto" w:sz="8" w:space="0"/>
      </w:pBdr>
      <w:spacing w:before="100" w:beforeAutospacing="1" w:after="100" w:afterAutospacing="1" w:line="240" w:lineRule="auto"/>
      <w:ind w:firstLine="0" w:firstLineChars="0"/>
      <w:jc w:val="center"/>
      <w:textAlignment w:val="center"/>
    </w:pPr>
    <w:rPr>
      <w:rFonts w:ascii="仿宋_GB2312" w:hAnsi="宋体" w:cs="宋体"/>
      <w:color w:val="000000"/>
      <w:kern w:val="0"/>
      <w:sz w:val="21"/>
    </w:rPr>
  </w:style>
  <w:style w:type="paragraph" w:customStyle="1" w:styleId="84">
    <w:name w:val="xl96"/>
    <w:basedOn w:val="1"/>
    <w:uiPriority w:val="0"/>
    <w:pPr>
      <w:widowControl/>
      <w:pBdr>
        <w:left w:val="single" w:color="auto" w:sz="8" w:space="0"/>
        <w:bottom w:val="single" w:color="auto" w:sz="8" w:space="0"/>
        <w:right w:val="single" w:color="auto" w:sz="8" w:space="0"/>
      </w:pBdr>
      <w:spacing w:before="100" w:beforeAutospacing="1" w:after="100" w:afterAutospacing="1" w:line="240" w:lineRule="auto"/>
      <w:ind w:firstLine="0" w:firstLineChars="0"/>
      <w:jc w:val="center"/>
      <w:textAlignment w:val="center"/>
    </w:pPr>
    <w:rPr>
      <w:rFonts w:ascii="仿宋_GB2312" w:hAnsi="宋体" w:cs="宋体"/>
      <w:color w:val="000000"/>
      <w:kern w:val="0"/>
      <w:sz w:val="21"/>
    </w:rPr>
  </w:style>
  <w:style w:type="paragraph" w:customStyle="1" w:styleId="85">
    <w:name w:val="xl97"/>
    <w:basedOn w:val="1"/>
    <w:uiPriority w:val="0"/>
    <w:pPr>
      <w:widowControl/>
      <w:pBdr>
        <w:top w:val="single" w:color="auto" w:sz="8" w:space="0"/>
        <w:left w:val="single" w:color="auto" w:sz="8" w:space="0"/>
        <w:bottom w:val="single" w:color="auto" w:sz="8" w:space="0"/>
      </w:pBdr>
      <w:spacing w:before="100" w:beforeAutospacing="1" w:after="100" w:afterAutospacing="1" w:line="240" w:lineRule="auto"/>
      <w:ind w:firstLine="0" w:firstLineChars="0"/>
      <w:textAlignment w:val="center"/>
    </w:pPr>
    <w:rPr>
      <w:rFonts w:ascii="仿宋_GB2312" w:hAnsi="宋体" w:cs="宋体"/>
      <w:color w:val="000000"/>
      <w:kern w:val="0"/>
      <w:sz w:val="21"/>
    </w:rPr>
  </w:style>
  <w:style w:type="paragraph" w:customStyle="1" w:styleId="86">
    <w:name w:val="xl98"/>
    <w:basedOn w:val="1"/>
    <w:uiPriority w:val="0"/>
    <w:pPr>
      <w:widowControl/>
      <w:pBdr>
        <w:top w:val="single" w:color="auto" w:sz="8" w:space="0"/>
        <w:bottom w:val="single" w:color="auto" w:sz="8" w:space="0"/>
      </w:pBdr>
      <w:spacing w:before="100" w:beforeAutospacing="1" w:after="100" w:afterAutospacing="1" w:line="240" w:lineRule="auto"/>
      <w:ind w:firstLine="0" w:firstLineChars="0"/>
      <w:textAlignment w:val="center"/>
    </w:pPr>
    <w:rPr>
      <w:rFonts w:ascii="仿宋_GB2312" w:hAnsi="宋体" w:cs="宋体"/>
      <w:color w:val="000000"/>
      <w:kern w:val="0"/>
      <w:sz w:val="21"/>
    </w:rPr>
  </w:style>
  <w:style w:type="paragraph" w:customStyle="1" w:styleId="87">
    <w:name w:val="xl99"/>
    <w:basedOn w:val="1"/>
    <w:uiPriority w:val="0"/>
    <w:pPr>
      <w:widowControl/>
      <w:pBdr>
        <w:top w:val="single" w:color="auto" w:sz="8" w:space="0"/>
        <w:bottom w:val="single" w:color="auto" w:sz="8" w:space="0"/>
        <w:right w:val="single" w:color="auto" w:sz="8" w:space="0"/>
      </w:pBdr>
      <w:spacing w:before="100" w:beforeAutospacing="1" w:after="100" w:afterAutospacing="1" w:line="240" w:lineRule="auto"/>
      <w:ind w:firstLine="0" w:firstLineChars="0"/>
      <w:textAlignment w:val="center"/>
    </w:pPr>
    <w:rPr>
      <w:rFonts w:ascii="仿宋_GB2312" w:hAnsi="宋体" w:cs="宋体"/>
      <w:color w:val="000000"/>
      <w:kern w:val="0"/>
      <w:sz w:val="21"/>
    </w:rPr>
  </w:style>
  <w:style w:type="paragraph" w:customStyle="1" w:styleId="88">
    <w:name w:val="xl100"/>
    <w:basedOn w:val="1"/>
    <w:uiPriority w:val="0"/>
    <w:pPr>
      <w:widowControl/>
      <w:pBdr>
        <w:top w:val="single" w:color="auto" w:sz="8" w:space="0"/>
        <w:left w:val="single" w:color="auto" w:sz="8" w:space="0"/>
        <w:right w:val="single" w:color="auto" w:sz="8" w:space="0"/>
      </w:pBdr>
      <w:spacing w:before="100" w:beforeAutospacing="1" w:after="100" w:afterAutospacing="1" w:line="240" w:lineRule="auto"/>
      <w:ind w:firstLine="0" w:firstLineChars="0"/>
      <w:jc w:val="left"/>
      <w:textAlignment w:val="center"/>
    </w:pPr>
    <w:rPr>
      <w:rFonts w:ascii="仿宋_GB2312" w:hAnsi="宋体" w:cs="宋体"/>
      <w:color w:val="000000"/>
      <w:kern w:val="0"/>
      <w:sz w:val="24"/>
      <w:szCs w:val="24"/>
    </w:rPr>
  </w:style>
  <w:style w:type="paragraph" w:customStyle="1" w:styleId="89">
    <w:name w:val="xl101"/>
    <w:basedOn w:val="1"/>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line="240" w:lineRule="auto"/>
      <w:ind w:firstLine="0" w:firstLineChars="0"/>
      <w:jc w:val="left"/>
      <w:textAlignment w:val="center"/>
    </w:pPr>
    <w:rPr>
      <w:rFonts w:ascii="仿宋_GB2312" w:hAnsi="宋体" w:cs="宋体"/>
      <w:color w:val="000000"/>
      <w:kern w:val="0"/>
      <w:sz w:val="24"/>
      <w:szCs w:val="24"/>
    </w:rPr>
  </w:style>
  <w:style w:type="paragraph" w:customStyle="1" w:styleId="90">
    <w:name w:val="font6"/>
    <w:basedOn w:val="1"/>
    <w:uiPriority w:val="0"/>
    <w:pPr>
      <w:widowControl/>
      <w:spacing w:before="100" w:beforeAutospacing="1" w:after="100" w:afterAutospacing="1" w:line="240" w:lineRule="auto"/>
      <w:ind w:firstLine="0" w:firstLineChars="0"/>
      <w:jc w:val="left"/>
    </w:pPr>
    <w:rPr>
      <w:rFonts w:ascii="仿宋_GB2312" w:hAnsi="宋体" w:cs="宋体"/>
      <w:color w:val="000000"/>
      <w:kern w:val="0"/>
      <w:sz w:val="21"/>
    </w:rPr>
  </w:style>
  <w:style w:type="paragraph" w:customStyle="1" w:styleId="91">
    <w:name w:val="font7"/>
    <w:basedOn w:val="1"/>
    <w:uiPriority w:val="0"/>
    <w:pPr>
      <w:widowControl/>
      <w:spacing w:before="100" w:beforeAutospacing="1" w:after="100" w:afterAutospacing="1" w:line="240" w:lineRule="auto"/>
      <w:ind w:firstLine="0" w:firstLineChars="0"/>
      <w:jc w:val="left"/>
    </w:pPr>
    <w:rPr>
      <w:rFonts w:eastAsia="宋体" w:cs="Times New Roman"/>
      <w:color w:val="000000"/>
      <w:kern w:val="0"/>
      <w:sz w:val="21"/>
    </w:rPr>
  </w:style>
  <w:style w:type="paragraph" w:customStyle="1" w:styleId="92">
    <w:name w:val="xl102"/>
    <w:basedOn w:val="1"/>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cs="宋体"/>
      <w:b/>
      <w:bCs/>
      <w:color w:val="000000"/>
      <w:kern w:val="0"/>
      <w:sz w:val="21"/>
    </w:rPr>
  </w:style>
  <w:style w:type="paragraph" w:customStyle="1" w:styleId="93">
    <w:name w:val="xl10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仿宋_GB2312" w:hAnsi="宋体" w:cs="宋体"/>
      <w:color w:val="000000"/>
      <w:kern w:val="0"/>
      <w:sz w:val="21"/>
    </w:rPr>
  </w:style>
  <w:style w:type="paragraph" w:customStyle="1" w:styleId="94">
    <w:name w:val="xl104"/>
    <w:basedOn w:val="1"/>
    <w:uiPriority w:val="0"/>
    <w:pPr>
      <w:widowControl/>
      <w:pBdr>
        <w:top w:val="single" w:color="auto" w:sz="8" w:space="0"/>
        <w:left w:val="single" w:color="auto" w:sz="12" w:space="0"/>
        <w:bottom w:val="single" w:color="auto" w:sz="12" w:space="0"/>
      </w:pBdr>
      <w:spacing w:before="100" w:beforeAutospacing="1" w:after="100" w:afterAutospacing="1" w:line="240" w:lineRule="auto"/>
      <w:ind w:firstLine="0" w:firstLineChars="0"/>
      <w:jc w:val="center"/>
      <w:textAlignment w:val="center"/>
    </w:pPr>
    <w:rPr>
      <w:rFonts w:ascii="仿宋_GB2312" w:hAnsi="宋体" w:cs="宋体"/>
      <w:b/>
      <w:bCs/>
      <w:kern w:val="0"/>
      <w:sz w:val="21"/>
    </w:rPr>
  </w:style>
  <w:style w:type="paragraph" w:customStyle="1" w:styleId="95">
    <w:name w:val="xl105"/>
    <w:basedOn w:val="1"/>
    <w:uiPriority w:val="0"/>
    <w:pPr>
      <w:widowControl/>
      <w:pBdr>
        <w:top w:val="single" w:color="auto" w:sz="8" w:space="0"/>
        <w:bottom w:val="single" w:color="auto" w:sz="12" w:space="0"/>
      </w:pBdr>
      <w:spacing w:before="100" w:beforeAutospacing="1" w:after="100" w:afterAutospacing="1" w:line="240" w:lineRule="auto"/>
      <w:ind w:firstLine="0" w:firstLineChars="0"/>
      <w:jc w:val="center"/>
      <w:textAlignment w:val="center"/>
    </w:pPr>
    <w:rPr>
      <w:rFonts w:ascii="仿宋_GB2312" w:hAnsi="宋体" w:cs="宋体"/>
      <w:b/>
      <w:bCs/>
      <w:kern w:val="0"/>
      <w:sz w:val="21"/>
    </w:rPr>
  </w:style>
  <w:style w:type="paragraph" w:customStyle="1" w:styleId="96">
    <w:name w:val="xl106"/>
    <w:basedOn w:val="1"/>
    <w:uiPriority w:val="0"/>
    <w:pPr>
      <w:widowControl/>
      <w:pBdr>
        <w:top w:val="single" w:color="auto" w:sz="8" w:space="0"/>
        <w:bottom w:val="single" w:color="auto" w:sz="12" w:space="0"/>
        <w:right w:val="single" w:color="auto" w:sz="8" w:space="0"/>
      </w:pBdr>
      <w:spacing w:before="100" w:beforeAutospacing="1" w:after="100" w:afterAutospacing="1" w:line="240" w:lineRule="auto"/>
      <w:ind w:firstLine="0" w:firstLineChars="0"/>
      <w:jc w:val="center"/>
      <w:textAlignment w:val="center"/>
    </w:pPr>
    <w:rPr>
      <w:rFonts w:ascii="仿宋_GB2312" w:hAnsi="宋体" w:cs="宋体"/>
      <w:b/>
      <w:bCs/>
      <w:kern w:val="0"/>
      <w:sz w:val="21"/>
    </w:rPr>
  </w:style>
  <w:style w:type="paragraph" w:customStyle="1" w:styleId="97">
    <w:name w:val="xl107"/>
    <w:basedOn w:val="1"/>
    <w:uiPriority w:val="0"/>
    <w:pPr>
      <w:widowControl/>
      <w:pBdr>
        <w:bottom w:val="single" w:color="auto" w:sz="8" w:space="0"/>
        <w:right w:val="single" w:color="auto" w:sz="8" w:space="0"/>
      </w:pBdr>
      <w:spacing w:before="100" w:beforeAutospacing="1" w:after="100" w:afterAutospacing="1" w:line="240" w:lineRule="auto"/>
      <w:ind w:firstLine="0" w:firstLineChars="0"/>
      <w:jc w:val="center"/>
      <w:textAlignment w:val="center"/>
    </w:pPr>
    <w:rPr>
      <w:rFonts w:eastAsia="宋体" w:cs="Times New Roman"/>
      <w:kern w:val="0"/>
      <w:sz w:val="21"/>
    </w:rPr>
  </w:style>
  <w:style w:type="paragraph" w:customStyle="1" w:styleId="98">
    <w:name w:val="xl108"/>
    <w:basedOn w:val="1"/>
    <w:uiPriority w:val="0"/>
    <w:pPr>
      <w:widowControl/>
      <w:pBdr>
        <w:bottom w:val="single" w:color="auto" w:sz="12" w:space="0"/>
        <w:right w:val="single" w:color="auto" w:sz="8" w:space="0"/>
      </w:pBdr>
      <w:spacing w:before="100" w:beforeAutospacing="1" w:after="100" w:afterAutospacing="1" w:line="240" w:lineRule="auto"/>
      <w:ind w:firstLine="0" w:firstLineChars="0"/>
      <w:jc w:val="center"/>
      <w:textAlignment w:val="center"/>
    </w:pPr>
    <w:rPr>
      <w:rFonts w:eastAsia="宋体" w:cs="Times New Roman"/>
      <w:b/>
      <w:bCs/>
      <w:kern w:val="0"/>
      <w:sz w:val="21"/>
    </w:rPr>
  </w:style>
  <w:style w:type="paragraph" w:customStyle="1" w:styleId="99">
    <w:name w:val="font1"/>
    <w:basedOn w:val="1"/>
    <w:uiPriority w:val="0"/>
    <w:pPr>
      <w:widowControl/>
      <w:spacing w:before="100" w:beforeAutospacing="1" w:after="100" w:afterAutospacing="1" w:line="240" w:lineRule="auto"/>
      <w:ind w:firstLine="0" w:firstLineChars="0"/>
      <w:jc w:val="left"/>
    </w:pPr>
    <w:rPr>
      <w:rFonts w:ascii="宋体" w:hAnsi="宋体" w:eastAsia="宋体" w:cs="宋体"/>
      <w:color w:val="000000"/>
      <w:kern w:val="0"/>
      <w:sz w:val="22"/>
      <w:szCs w:val="22"/>
    </w:rPr>
  </w:style>
  <w:style w:type="paragraph" w:customStyle="1" w:styleId="100">
    <w:name w:val="xl109"/>
    <w:basedOn w:val="1"/>
    <w:uiPriority w:val="0"/>
    <w:pPr>
      <w:widowControl/>
      <w:spacing w:before="100" w:beforeAutospacing="1" w:after="100" w:afterAutospacing="1" w:line="240" w:lineRule="auto"/>
      <w:ind w:firstLine="0" w:firstLineChars="0"/>
      <w:jc w:val="center"/>
      <w:textAlignment w:val="center"/>
    </w:pPr>
    <w:rPr>
      <w:rFonts w:ascii="宋体" w:hAnsi="宋体" w:eastAsia="宋体" w:cs="宋体"/>
      <w:kern w:val="0"/>
      <w:sz w:val="24"/>
      <w:szCs w:val="24"/>
    </w:rPr>
  </w:style>
  <w:style w:type="paragraph" w:customStyle="1" w:styleId="101">
    <w:name w:val="xl110"/>
    <w:basedOn w:val="1"/>
    <w:uiPriority w:val="0"/>
    <w:pPr>
      <w:widowControl/>
      <w:spacing w:before="100" w:beforeAutospacing="1" w:after="100" w:afterAutospacing="1" w:line="240" w:lineRule="auto"/>
      <w:ind w:firstLine="0" w:firstLineChars="0"/>
      <w:jc w:val="center"/>
      <w:textAlignment w:val="center"/>
    </w:pPr>
    <w:rPr>
      <w:rFonts w:ascii="宋体" w:hAnsi="宋体" w:eastAsia="宋体" w:cs="宋体"/>
      <w:kern w:val="0"/>
      <w:sz w:val="24"/>
      <w:szCs w:val="24"/>
    </w:rPr>
  </w:style>
  <w:style w:type="paragraph" w:customStyle="1" w:styleId="102">
    <w:name w:val="xl111"/>
    <w:basedOn w:val="1"/>
    <w:qFormat/>
    <w:uiPriority w:val="0"/>
    <w:pPr>
      <w:widowControl/>
      <w:spacing w:before="100" w:beforeAutospacing="1" w:after="100" w:afterAutospacing="1" w:line="240" w:lineRule="auto"/>
      <w:ind w:firstLine="0" w:firstLineChars="0"/>
      <w:jc w:val="center"/>
      <w:textAlignment w:val="center"/>
    </w:pPr>
    <w:rPr>
      <w:rFonts w:ascii="宋体" w:hAnsi="宋体" w:eastAsia="宋体" w:cs="宋体"/>
      <w:kern w:val="0"/>
      <w:sz w:val="24"/>
      <w:szCs w:val="24"/>
    </w:rPr>
  </w:style>
  <w:style w:type="paragraph" w:customStyle="1" w:styleId="103">
    <w:name w:val="xl112"/>
    <w:basedOn w:val="1"/>
    <w:uiPriority w:val="0"/>
    <w:pPr>
      <w:widowControl/>
      <w:spacing w:before="100" w:beforeAutospacing="1" w:after="100" w:afterAutospacing="1" w:line="240" w:lineRule="auto"/>
      <w:ind w:firstLine="0" w:firstLineChars="0"/>
      <w:jc w:val="center"/>
      <w:textAlignment w:val="center"/>
    </w:pPr>
    <w:rPr>
      <w:rFonts w:ascii="宋体" w:hAnsi="宋体" w:eastAsia="宋体" w:cs="宋体"/>
      <w:kern w:val="0"/>
      <w:sz w:val="24"/>
      <w:szCs w:val="24"/>
    </w:rPr>
  </w:style>
  <w:style w:type="paragraph" w:customStyle="1" w:styleId="104">
    <w:name w:val="xl113"/>
    <w:basedOn w:val="1"/>
    <w:uiPriority w:val="0"/>
    <w:pPr>
      <w:widowControl/>
      <w:spacing w:before="100" w:beforeAutospacing="1" w:after="100" w:afterAutospacing="1" w:line="240" w:lineRule="auto"/>
      <w:ind w:firstLine="0" w:firstLineChars="0"/>
      <w:jc w:val="center"/>
      <w:textAlignment w:val="center"/>
    </w:pPr>
    <w:rPr>
      <w:rFonts w:ascii="宋体" w:hAnsi="宋体" w:eastAsia="宋体" w:cs="宋体"/>
      <w:kern w:val="0"/>
      <w:sz w:val="24"/>
      <w:szCs w:val="24"/>
    </w:rPr>
  </w:style>
  <w:style w:type="paragraph" w:customStyle="1" w:styleId="105">
    <w:name w:val="Revision"/>
    <w:hidden/>
    <w:semiHidden/>
    <w:uiPriority w:val="99"/>
    <w:rPr>
      <w:rFonts w:ascii="Times New Roman" w:hAnsi="Times New Roman" w:eastAsia="仿宋_GB2312" w:cstheme="minorBidi"/>
      <w:kern w:val="40"/>
      <w:sz w:val="28"/>
      <w:szCs w:val="21"/>
      <w:lang w:val="en-US" w:eastAsia="zh-CN" w:bidi="ar-SA"/>
    </w:rPr>
  </w:style>
  <w:style w:type="character" w:customStyle="1" w:styleId="106">
    <w:name w:val="标题 4 Char"/>
    <w:basedOn w:val="18"/>
    <w:link w:val="5"/>
    <w:uiPriority w:val="9"/>
    <w:rPr>
      <w:rFonts w:asciiTheme="majorHAnsi" w:hAnsiTheme="majorHAnsi" w:eastAsiaTheme="majorEastAsia" w:cstheme="majorBidi"/>
      <w:b/>
      <w:bCs/>
      <w:kern w:val="40"/>
      <w:sz w:val="28"/>
      <w:szCs w:val="28"/>
    </w:rPr>
  </w:style>
  <w:style w:type="character" w:customStyle="1" w:styleId="107">
    <w:name w:val="尾注文本 Char"/>
    <w:basedOn w:val="18"/>
    <w:link w:val="9"/>
    <w:semiHidden/>
    <w:uiPriority w:val="99"/>
    <w:rPr>
      <w:rFonts w:ascii="Times New Roman" w:hAnsi="Times New Roman" w:eastAsia="仿宋_GB2312"/>
      <w:kern w:val="40"/>
      <w:sz w:val="2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1" Type="http://schemas.openxmlformats.org/officeDocument/2006/relationships/fontTable" Target="fontTable.xml"/><Relationship Id="rId30" Type="http://schemas.openxmlformats.org/officeDocument/2006/relationships/customXml" Target="../customXml/item1.xml"/><Relationship Id="rId3" Type="http://schemas.openxmlformats.org/officeDocument/2006/relationships/footnotes" Target="footnotes.xml"/><Relationship Id="rId29" Type="http://schemas.openxmlformats.org/officeDocument/2006/relationships/image" Target="media/image1.jpeg"/><Relationship Id="rId28" Type="http://schemas.openxmlformats.org/officeDocument/2006/relationships/theme" Target="theme/theme1.xml"/><Relationship Id="rId27" Type="http://schemas.openxmlformats.org/officeDocument/2006/relationships/footer" Target="footer13.xml"/><Relationship Id="rId26" Type="http://schemas.openxmlformats.org/officeDocument/2006/relationships/footer" Target="footer12.xml"/><Relationship Id="rId25" Type="http://schemas.openxmlformats.org/officeDocument/2006/relationships/header" Target="header10.xml"/><Relationship Id="rId24" Type="http://schemas.openxmlformats.org/officeDocument/2006/relationships/header" Target="header9.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8.xml"/><Relationship Id="rId20" Type="http://schemas.openxmlformats.org/officeDocument/2006/relationships/header" Target="header7.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header" Target="header6.xml"/><Relationship Id="rId15" Type="http://schemas.openxmlformats.org/officeDocument/2006/relationships/header" Target="header5.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C6D5F9-B37D-4151-ADB8-97D4CA527191}">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35</Pages>
  <Words>13280</Words>
  <Characters>15739</Characters>
  <Lines>148</Lines>
  <Paragraphs>41</Paragraphs>
  <TotalTime>2</TotalTime>
  <ScaleCrop>false</ScaleCrop>
  <LinksUpToDate>false</LinksUpToDate>
  <CharactersWithSpaces>15963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2020-05-10T15:10:00Z</dcterms:created>
  <dc:creator>Sky123.Org</dc:creator>
  <cp:lastModifiedBy>歆劫</cp:lastModifiedBy>
  <cp:lastPrinted>2020-03-02T02:01:00Z</cp:lastPrinted>
  <dcterms:modified xsi:type="dcterms:W3CDTF">2024-03-26T05:55:20Z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FB2851189548491BBD3CDADA513574F1_12</vt:lpwstr>
  </property>
</Properties>
</file>