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8"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永吉县</w:t>
      </w:r>
      <w:r>
        <w:rPr>
          <w:rFonts w:hint="eastAsia" w:ascii="方正小标宋_GBK" w:hAnsi="方正小标宋_GBK" w:eastAsia="方正小标宋_GBK" w:cs="方正小标宋_GBK"/>
          <w:sz w:val="44"/>
          <w:szCs w:val="44"/>
          <w:lang w:val="en-US" w:eastAsia="zh-CN"/>
        </w:rPr>
        <w:t>2023年省级工业和信息化</w:t>
      </w:r>
    </w:p>
    <w:p>
      <w:pPr>
        <w:keepNext w:val="0"/>
        <w:keepLines w:val="0"/>
        <w:pageBreakBefore w:val="0"/>
        <w:widowControl w:val="0"/>
        <w:kinsoku/>
        <w:wordWrap/>
        <w:overflowPunct/>
        <w:topLinePunct w:val="0"/>
        <w:autoSpaceDE/>
        <w:autoSpaceDN/>
        <w:bidi w:val="0"/>
        <w:adjustRightInd/>
        <w:snapToGrid/>
        <w:spacing w:line="538"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高质量发展专项资金（四季度增量奖补）</w:t>
      </w:r>
    </w:p>
    <w:p>
      <w:pPr>
        <w:keepNext w:val="0"/>
        <w:keepLines w:val="0"/>
        <w:pageBreakBefore w:val="0"/>
        <w:widowControl w:val="0"/>
        <w:kinsoku/>
        <w:wordWrap/>
        <w:overflowPunct/>
        <w:topLinePunct w:val="0"/>
        <w:autoSpaceDE/>
        <w:autoSpaceDN/>
        <w:bidi w:val="0"/>
        <w:adjustRightInd/>
        <w:snapToGrid/>
        <w:spacing w:line="538"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分配方案</w:t>
      </w:r>
    </w:p>
    <w:p>
      <w:pPr>
        <w:pStyle w:val="15"/>
        <w:keepNext w:val="0"/>
        <w:keepLines w:val="0"/>
        <w:pageBreakBefore w:val="0"/>
        <w:widowControl/>
        <w:kinsoku/>
        <w:wordWrap/>
        <w:overflowPunct/>
        <w:topLinePunct w:val="0"/>
        <w:autoSpaceDE/>
        <w:autoSpaceDN/>
        <w:bidi w:val="0"/>
        <w:adjustRightInd/>
        <w:snapToGrid/>
        <w:spacing w:line="538" w:lineRule="exact"/>
        <w:ind w:right="0" w:rightChars="0" w:firstLine="640" w:firstLineChars="200"/>
        <w:jc w:val="both"/>
        <w:textAlignment w:val="baseline"/>
        <w:rPr>
          <w:rFonts w:hint="eastAsia" w:ascii="仿宋_GB2312" w:eastAsia="仿宋_GB2312"/>
          <w:kern w:val="2"/>
          <w:sz w:val="32"/>
          <w:szCs w:val="32"/>
          <w:lang w:val="en-US" w:eastAsia="zh-CN" w:bidi="ar-SA"/>
        </w:rPr>
      </w:pPr>
    </w:p>
    <w:p>
      <w:pPr>
        <w:pStyle w:val="15"/>
        <w:keepNext w:val="0"/>
        <w:keepLines w:val="0"/>
        <w:pageBreakBefore w:val="0"/>
        <w:widowControl/>
        <w:kinsoku/>
        <w:wordWrap/>
        <w:overflowPunct/>
        <w:topLinePunct w:val="0"/>
        <w:autoSpaceDE/>
        <w:autoSpaceDN/>
        <w:bidi w:val="0"/>
        <w:adjustRightInd/>
        <w:snapToGrid/>
        <w:spacing w:line="538" w:lineRule="exact"/>
        <w:ind w:left="0" w:leftChars="0" w:right="0" w:rightChars="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各乡镇（区）规模以上工业企业：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8"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根据《吉林省人民政府办公厅关于进一步稳定经济增长全力做好全年收官若干措施的通知》（吉政办明电【2022】34号）要求，根据</w:t>
      </w:r>
      <w:r>
        <w:rPr>
          <w:rFonts w:hint="eastAsia" w:ascii="仿宋_GB2312" w:hAnsi="仿宋_GB2312" w:eastAsia="仿宋_GB2312" w:cs="仿宋_GB2312"/>
          <w:sz w:val="32"/>
          <w:szCs w:val="32"/>
          <w:lang w:val="en-US" w:eastAsia="zh-CN"/>
        </w:rPr>
        <w:t>《吉林省工业和信息化厅关于报送2023年工业和信息化高质量发展专项资金提前安排因素法（四季度增量奖补部分）分配方案的函》（吉工信办函〔2022〕158号）的分配意见</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为加强永吉县重点产业支持力度，鼓励企业扩产扩能，实现经济、社会高质量发展，特制定本方案。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38"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因素法</w:t>
      </w:r>
      <w:r>
        <w:rPr>
          <w:rFonts w:hint="eastAsia" w:ascii="黑体" w:hAnsi="黑体" w:eastAsia="黑体" w:cs="黑体"/>
          <w:color w:val="auto"/>
          <w:sz w:val="32"/>
          <w:szCs w:val="32"/>
          <w:lang w:eastAsia="zh-CN"/>
        </w:rPr>
        <w:t>奖补</w:t>
      </w:r>
      <w:r>
        <w:rPr>
          <w:rFonts w:hint="eastAsia" w:ascii="黑体" w:hAnsi="黑体" w:eastAsia="黑体" w:cs="黑体"/>
          <w:color w:val="auto"/>
          <w:sz w:val="32"/>
          <w:szCs w:val="32"/>
        </w:rPr>
        <w:t>方向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8"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bidi="ar-SA"/>
        </w:rPr>
      </w:pPr>
      <w:r>
        <w:rPr>
          <w:rStyle w:val="24"/>
          <w:rFonts w:hint="eastAsia" w:ascii="仿宋_GB2312" w:hAnsi="仿宋_GB2312" w:eastAsia="仿宋_GB2312" w:cs="仿宋_GB2312"/>
          <w:b w:val="0"/>
          <w:i w:val="0"/>
          <w:caps w:val="0"/>
          <w:color w:val="000000"/>
          <w:spacing w:val="0"/>
          <w:w w:val="100"/>
          <w:kern w:val="2"/>
          <w:sz w:val="32"/>
          <w:szCs w:val="32"/>
          <w:lang w:val="en-US" w:eastAsia="zh-CN" w:bidi="ar-SA"/>
        </w:rPr>
        <w:t>对全县规上工业企业，2022年四季度产值同比增长10%以上且净增量超过2000万元以上工业企业进行奖补。</w:t>
      </w:r>
    </w:p>
    <w:p>
      <w:pPr>
        <w:keepNext w:val="0"/>
        <w:keepLines w:val="0"/>
        <w:pageBreakBefore w:val="0"/>
        <w:kinsoku/>
        <w:wordWrap/>
        <w:overflowPunct/>
        <w:topLinePunct w:val="0"/>
        <w:autoSpaceDE/>
        <w:autoSpaceDN/>
        <w:bidi w:val="0"/>
        <w:adjustRightInd/>
        <w:snapToGrid/>
        <w:spacing w:line="538"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二、项目</w:t>
      </w:r>
      <w:r>
        <w:rPr>
          <w:rFonts w:hint="eastAsia" w:ascii="黑体" w:hAnsi="黑体" w:eastAsia="黑体" w:cs="黑体"/>
          <w:color w:val="auto"/>
          <w:sz w:val="32"/>
          <w:szCs w:val="32"/>
        </w:rPr>
        <w:t>申报材料</w:t>
      </w:r>
    </w:p>
    <w:p>
      <w:pPr>
        <w:keepNext w:val="0"/>
        <w:keepLines w:val="0"/>
        <w:pageBreakBefore w:val="0"/>
        <w:numPr>
          <w:ilvl w:val="0"/>
          <w:numId w:val="0"/>
        </w:numPr>
        <w:tabs>
          <w:tab w:val="left" w:pos="9070"/>
        </w:tabs>
        <w:kinsoku/>
        <w:wordWrap/>
        <w:overflowPunct/>
        <w:topLinePunct w:val="0"/>
        <w:autoSpaceDE/>
        <w:autoSpaceDN/>
        <w:bidi w:val="0"/>
        <w:adjustRightInd w:val="0"/>
        <w:snapToGrid/>
        <w:spacing w:line="538"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2023年省级工业和信息化高质量发展专项资金（四季度增量奖补）申报企业基本情况表；</w:t>
      </w:r>
    </w:p>
    <w:p>
      <w:pPr>
        <w:keepNext w:val="0"/>
        <w:keepLines w:val="0"/>
        <w:pageBreakBefore w:val="0"/>
        <w:widowControl w:val="0"/>
        <w:numPr>
          <w:ilvl w:val="0"/>
          <w:numId w:val="0"/>
        </w:numPr>
        <w:tabs>
          <w:tab w:val="left" w:pos="9070"/>
        </w:tabs>
        <w:kinsoku/>
        <w:wordWrap/>
        <w:overflowPunct/>
        <w:topLinePunct w:val="0"/>
        <w:autoSpaceDE/>
        <w:autoSpaceDN/>
        <w:bidi w:val="0"/>
        <w:adjustRightInd w:val="0"/>
        <w:snapToGrid/>
        <w:spacing w:line="538"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0"/>
          <w:sz w:val="32"/>
          <w:szCs w:val="32"/>
          <w:lang w:val="en-US" w:eastAsia="zh-CN" w:bidi="ar"/>
        </w:rPr>
        <w:t>2022年四季度，统计联网直报平台报表（加盖统计公章）</w:t>
      </w:r>
      <w:r>
        <w:rPr>
          <w:rFonts w:hint="eastAsia" w:ascii="仿宋_GB2312" w:hAnsi="仿宋_GB2312" w:eastAsia="仿宋_GB2312" w:cs="仿宋_GB2312"/>
          <w:b w:val="0"/>
          <w:bCs w:val="0"/>
          <w:sz w:val="32"/>
          <w:szCs w:val="32"/>
          <w:lang w:val="en-US" w:eastAsia="zh-CN"/>
        </w:rPr>
        <w:t>;</w:t>
      </w:r>
    </w:p>
    <w:p>
      <w:pPr>
        <w:keepNext w:val="0"/>
        <w:keepLines w:val="0"/>
        <w:pageBreakBefore w:val="0"/>
        <w:tabs>
          <w:tab w:val="left" w:pos="9070"/>
        </w:tabs>
        <w:kinsoku/>
        <w:wordWrap/>
        <w:overflowPunct/>
        <w:topLinePunct w:val="0"/>
        <w:autoSpaceDE/>
        <w:autoSpaceDN/>
        <w:bidi w:val="0"/>
        <w:adjustRightInd w:val="0"/>
        <w:snapToGrid/>
        <w:spacing w:line="538"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3.企业材料真实性承诺书;</w:t>
      </w:r>
    </w:p>
    <w:p>
      <w:pPr>
        <w:keepNext w:val="0"/>
        <w:keepLines w:val="0"/>
        <w:pageBreakBefore w:val="0"/>
        <w:tabs>
          <w:tab w:val="left" w:pos="9070"/>
        </w:tabs>
        <w:kinsoku/>
        <w:wordWrap/>
        <w:overflowPunct/>
        <w:topLinePunct w:val="0"/>
        <w:autoSpaceDE/>
        <w:autoSpaceDN/>
        <w:bidi w:val="0"/>
        <w:adjustRightInd w:val="0"/>
        <w:snapToGrid/>
        <w:spacing w:line="538"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4.企业营业执照复印件；</w:t>
      </w:r>
    </w:p>
    <w:p>
      <w:pPr>
        <w:keepNext w:val="0"/>
        <w:keepLines w:val="0"/>
        <w:pageBreakBefore w:val="0"/>
        <w:tabs>
          <w:tab w:val="left" w:pos="9070"/>
        </w:tabs>
        <w:kinsoku/>
        <w:wordWrap/>
        <w:overflowPunct/>
        <w:topLinePunct w:val="0"/>
        <w:autoSpaceDE/>
        <w:autoSpaceDN/>
        <w:bidi w:val="0"/>
        <w:adjustRightInd w:val="0"/>
        <w:snapToGrid/>
        <w:spacing w:line="538"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5.企业“信用中国”查询结果网页截图；</w:t>
      </w:r>
    </w:p>
    <w:p>
      <w:pPr>
        <w:keepNext w:val="0"/>
        <w:keepLines w:val="0"/>
        <w:pageBreakBefore w:val="0"/>
        <w:kinsoku/>
        <w:wordWrap/>
        <w:overflowPunct/>
        <w:topLinePunct w:val="0"/>
        <w:autoSpaceDE/>
        <w:autoSpaceDN/>
        <w:bidi w:val="0"/>
        <w:snapToGrid/>
        <w:spacing w:line="538" w:lineRule="exact"/>
        <w:rPr>
          <w:rFonts w:hint="default" w:ascii="仿宋_GB2312" w:hAnsi="仿宋_GB2312" w:eastAsia="仿宋_GB2312" w:cs="仿宋_GB2312"/>
          <w:b w:val="0"/>
          <w:bCs w:val="0"/>
          <w:sz w:val="32"/>
          <w:szCs w:val="32"/>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 xml:space="preserve">  6.项目绩效目标申报表；</w:t>
      </w:r>
    </w:p>
    <w:p>
      <w:pPr>
        <w:pStyle w:val="2"/>
        <w:keepNext w:val="0"/>
        <w:keepLines w:val="0"/>
        <w:pageBreakBefore w:val="0"/>
        <w:widowControl w:val="0"/>
        <w:numPr>
          <w:ilvl w:val="0"/>
          <w:numId w:val="0"/>
        </w:numPr>
        <w:kinsoku/>
        <w:wordWrap/>
        <w:overflowPunct/>
        <w:topLinePunct w:val="0"/>
        <w:autoSpaceDE/>
        <w:autoSpaceDN/>
        <w:bidi w:val="0"/>
        <w:snapToGrid/>
        <w:spacing w:line="538" w:lineRule="exact"/>
        <w:ind w:left="0" w:leftChars="0" w:right="0" w:firstLine="640"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要求企业将所有申报材料装订成册</w:t>
      </w:r>
    </w:p>
    <w:p>
      <w:pPr>
        <w:pStyle w:val="18"/>
        <w:keepNext w:val="0"/>
        <w:keepLines w:val="0"/>
        <w:pageBreakBefore w:val="0"/>
        <w:kinsoku/>
        <w:wordWrap/>
        <w:overflowPunct/>
        <w:topLinePunct w:val="0"/>
        <w:autoSpaceDE/>
        <w:autoSpaceDN/>
        <w:bidi w:val="0"/>
        <w:adjustRightInd/>
        <w:snapToGrid/>
        <w:spacing w:line="538" w:lineRule="exact"/>
        <w:ind w:left="0" w:leftChars="0" w:right="0" w:righ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三、资金分配占比</w:t>
      </w:r>
    </w:p>
    <w:p>
      <w:pPr>
        <w:pStyle w:val="18"/>
        <w:keepNext w:val="0"/>
        <w:keepLines w:val="0"/>
        <w:pageBreakBefore w:val="0"/>
        <w:kinsoku/>
        <w:wordWrap/>
        <w:overflowPunct/>
        <w:topLinePunct w:val="0"/>
        <w:autoSpaceDE/>
        <w:autoSpaceDN/>
        <w:bidi w:val="0"/>
        <w:adjustRightInd/>
        <w:snapToGrid/>
        <w:spacing w:line="538"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X=N1/N0*A</w:t>
      </w:r>
    </w:p>
    <w:p>
      <w:pPr>
        <w:pStyle w:val="18"/>
        <w:keepNext w:val="0"/>
        <w:keepLines w:val="0"/>
        <w:pageBreakBefore w:val="0"/>
        <w:kinsoku/>
        <w:wordWrap/>
        <w:overflowPunct/>
        <w:topLinePunct w:val="0"/>
        <w:autoSpaceDE/>
        <w:autoSpaceDN/>
        <w:bidi w:val="0"/>
        <w:adjustRightInd/>
        <w:snapToGrid/>
        <w:spacing w:line="538"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X：企业获得专项资金额度</w:t>
      </w:r>
    </w:p>
    <w:p>
      <w:pPr>
        <w:pStyle w:val="18"/>
        <w:keepNext w:val="0"/>
        <w:keepLines w:val="0"/>
        <w:pageBreakBefore w:val="0"/>
        <w:kinsoku/>
        <w:wordWrap/>
        <w:overflowPunct/>
        <w:topLinePunct w:val="0"/>
        <w:autoSpaceDE/>
        <w:autoSpaceDN/>
        <w:bidi w:val="0"/>
        <w:adjustRightInd/>
        <w:snapToGrid/>
        <w:spacing w:line="538"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A：永吉县专项奖补资金总数</w:t>
      </w:r>
    </w:p>
    <w:p>
      <w:pPr>
        <w:pStyle w:val="18"/>
        <w:keepNext w:val="0"/>
        <w:keepLines w:val="0"/>
        <w:pageBreakBefore w:val="0"/>
        <w:kinsoku/>
        <w:wordWrap/>
        <w:overflowPunct/>
        <w:topLinePunct w:val="0"/>
        <w:autoSpaceDE/>
        <w:autoSpaceDN/>
        <w:bidi w:val="0"/>
        <w:adjustRightInd/>
        <w:snapToGrid/>
        <w:spacing w:line="538" w:lineRule="exact"/>
        <w:ind w:left="0" w:leftChars="0" w:right="0" w:rightChars="0" w:firstLine="640" w:firstLineChars="200"/>
        <w:textAlignment w:val="auto"/>
        <w:rPr>
          <w:rStyle w:val="24"/>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color w:val="auto"/>
          <w:sz w:val="32"/>
          <w:szCs w:val="32"/>
          <w:highlight w:val="none"/>
          <w:lang w:val="en-US" w:eastAsia="zh-CN"/>
        </w:rPr>
        <w:t>N1:</w:t>
      </w:r>
      <w:r>
        <w:rPr>
          <w:rStyle w:val="24"/>
          <w:rFonts w:hint="eastAsia" w:ascii="仿宋_GB2312" w:hAnsi="仿宋_GB2312" w:eastAsia="仿宋_GB2312" w:cs="仿宋_GB2312"/>
          <w:b w:val="0"/>
          <w:i w:val="0"/>
          <w:caps w:val="0"/>
          <w:color w:val="000000"/>
          <w:spacing w:val="0"/>
          <w:w w:val="100"/>
          <w:kern w:val="2"/>
          <w:sz w:val="32"/>
          <w:szCs w:val="32"/>
          <w:lang w:val="en-US" w:eastAsia="zh-CN" w:bidi="ar-SA"/>
        </w:rPr>
        <w:t>2022年四季度产值同比增长10%以上且净增量超过2000万元以上工业企业四季度产值净增量</w:t>
      </w:r>
    </w:p>
    <w:p>
      <w:pPr>
        <w:pStyle w:val="18"/>
        <w:keepNext w:val="0"/>
        <w:keepLines w:val="0"/>
        <w:pageBreakBefore w:val="0"/>
        <w:kinsoku/>
        <w:wordWrap/>
        <w:overflowPunct/>
        <w:topLinePunct w:val="0"/>
        <w:autoSpaceDE/>
        <w:autoSpaceDN/>
        <w:bidi w:val="0"/>
        <w:adjustRightInd/>
        <w:snapToGrid/>
        <w:spacing w:line="538"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Style w:val="24"/>
          <w:rFonts w:hint="eastAsia" w:ascii="仿宋_GB2312" w:hAnsi="仿宋_GB2312" w:eastAsia="仿宋_GB2312" w:cs="仿宋_GB2312"/>
          <w:b w:val="0"/>
          <w:i w:val="0"/>
          <w:caps w:val="0"/>
          <w:color w:val="000000"/>
          <w:spacing w:val="0"/>
          <w:w w:val="100"/>
          <w:kern w:val="2"/>
          <w:sz w:val="32"/>
          <w:szCs w:val="32"/>
          <w:lang w:val="en-US" w:eastAsia="zh-CN" w:bidi="ar-SA"/>
        </w:rPr>
        <w:t>N0：2022年四季度产值同比增长10%以上且净增量超过2000万元以上工业企业的四季度产值净增量总数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38"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四、申报过程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3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符合条件的企业自愿在规定时间内填写申报材料报至县工信局。企业申报日期从</w:t>
      </w:r>
      <w:r>
        <w:rPr>
          <w:rFonts w:hint="eastAsia" w:ascii="仿宋_GB2312" w:hAnsi="仿宋_GB2312" w:eastAsia="仿宋_GB2312" w:cs="仿宋_GB2312"/>
          <w:color w:val="auto"/>
          <w:sz w:val="32"/>
          <w:szCs w:val="32"/>
          <w:highlight w:val="none"/>
          <w:lang w:val="en-US" w:eastAsia="zh-CN"/>
        </w:rPr>
        <w:t>2023年2月22日至2023年3月3日。县工信局将会同县财政局对申</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rPr>
        <w:t>的项目进行要件审查，</w:t>
      </w:r>
      <w:r>
        <w:rPr>
          <w:rFonts w:hint="eastAsia" w:ascii="仿宋_GB2312" w:hAnsi="仿宋_GB2312" w:eastAsia="仿宋_GB2312" w:cs="仿宋_GB2312"/>
          <w:strike w:val="0"/>
          <w:dstrike w:val="0"/>
          <w:color w:val="auto"/>
          <w:sz w:val="32"/>
          <w:szCs w:val="32"/>
          <w:lang w:eastAsia="zh-CN"/>
        </w:rPr>
        <w:t>确定</w:t>
      </w:r>
      <w:r>
        <w:rPr>
          <w:rFonts w:hint="eastAsia" w:ascii="仿宋_GB2312" w:hAnsi="仿宋_GB2312" w:eastAsia="仿宋_GB2312" w:cs="仿宋_GB2312"/>
          <w:color w:val="auto"/>
          <w:sz w:val="32"/>
          <w:szCs w:val="32"/>
          <w:lang w:eastAsia="zh-CN"/>
        </w:rPr>
        <w:t>分配</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strike w:val="0"/>
          <w:dstrike w:val="0"/>
          <w:color w:val="auto"/>
          <w:sz w:val="32"/>
          <w:szCs w:val="32"/>
          <w:lang w:val="en-US" w:eastAsia="zh-CN"/>
        </w:rPr>
        <w:t>《永吉县2023年省级工业和信息化高质量发展专项资金（四季度增量奖补）分配方案》</w:t>
      </w:r>
      <w:r>
        <w:rPr>
          <w:rFonts w:hint="eastAsia" w:ascii="仿宋_GB2312" w:hAnsi="仿宋_GB2312" w:eastAsia="仿宋_GB2312" w:cs="仿宋_GB2312"/>
          <w:color w:val="auto"/>
          <w:sz w:val="32"/>
          <w:szCs w:val="32"/>
          <w:lang w:val="en-US" w:eastAsia="zh-CN"/>
        </w:rPr>
        <w:t>，提出具体资金分配计划。在报请县政府同意后</w:t>
      </w:r>
      <w:r>
        <w:rPr>
          <w:rFonts w:hint="eastAsia" w:ascii="仿宋_GB2312" w:hAnsi="仿宋_GB2312" w:eastAsia="仿宋_GB2312" w:cs="仿宋_GB2312"/>
          <w:color w:val="auto"/>
          <w:sz w:val="32"/>
          <w:szCs w:val="32"/>
          <w:lang w:eastAsia="zh-CN"/>
        </w:rPr>
        <w:t>，县政府门户网站</w:t>
      </w:r>
      <w:r>
        <w:rPr>
          <w:rFonts w:hint="eastAsia" w:ascii="仿宋_GB2312" w:hAnsi="仿宋_GB2312" w:eastAsia="仿宋_GB2312" w:cs="仿宋_GB2312"/>
          <w:color w:val="auto"/>
          <w:sz w:val="32"/>
          <w:szCs w:val="32"/>
        </w:rPr>
        <w:t>进行公示，公示时间</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7个工作日。</w:t>
      </w:r>
      <w:r>
        <w:rPr>
          <w:rFonts w:hint="eastAsia" w:ascii="仿宋_GB2312" w:hAnsi="仿宋_GB2312" w:eastAsia="仿宋_GB2312" w:cs="仿宋_GB2312"/>
          <w:color w:val="auto"/>
          <w:sz w:val="32"/>
          <w:szCs w:val="32"/>
          <w:lang w:val="en-US" w:eastAsia="zh-CN"/>
        </w:rPr>
        <w:t>县财政局依照专项资金管理程序，</w:t>
      </w:r>
      <w:r>
        <w:rPr>
          <w:rFonts w:hint="eastAsia" w:ascii="仿宋_GB2312" w:hAnsi="仿宋_GB2312" w:eastAsia="仿宋_GB2312" w:cs="仿宋_GB2312"/>
          <w:color w:val="auto"/>
          <w:sz w:val="32"/>
          <w:szCs w:val="32"/>
          <w:highlight w:val="none"/>
          <w:lang w:val="en-US" w:eastAsia="zh-CN"/>
        </w:rPr>
        <w:t>将资金划拨至县工信局，获分配计划的企业向县工信局提交申请，由县工信局将资金划拨至企业。</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、关于绩效管理的相关要求</w:t>
      </w:r>
    </w:p>
    <w:p>
      <w:pPr>
        <w:keepNext w:val="0"/>
        <w:keepLines w:val="0"/>
        <w:pageBreakBefore w:val="0"/>
        <w:widowControl w:val="0"/>
        <w:kinsoku/>
        <w:wordWrap/>
        <w:overflowPunct/>
        <w:topLinePunct w:val="0"/>
        <w:autoSpaceDE/>
        <w:autoSpaceDN/>
        <w:bidi w:val="0"/>
        <w:adjustRightInd/>
        <w:snapToGrid/>
        <w:spacing w:line="538"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县工信局将</w:t>
      </w:r>
      <w:r>
        <w:rPr>
          <w:rFonts w:hint="eastAsia" w:ascii="仿宋_GB2312" w:hAnsi="仿宋_GB2312" w:eastAsia="仿宋_GB2312" w:cs="仿宋_GB2312"/>
          <w:color w:val="auto"/>
          <w:sz w:val="32"/>
          <w:szCs w:val="32"/>
          <w:highlight w:val="none"/>
        </w:rPr>
        <w:t>注重加强专项资金使用的绩效管理，对于获得</w:t>
      </w:r>
      <w:r>
        <w:rPr>
          <w:rFonts w:hint="eastAsia" w:ascii="仿宋_GB2312" w:hAnsi="仿宋_GB2312" w:eastAsia="仿宋_GB2312" w:cs="仿宋_GB2312"/>
          <w:color w:val="auto"/>
          <w:sz w:val="32"/>
          <w:szCs w:val="32"/>
          <w:highlight w:val="none"/>
          <w:lang w:eastAsia="zh-CN"/>
        </w:rPr>
        <w:t>因素法</w:t>
      </w:r>
      <w:r>
        <w:rPr>
          <w:rFonts w:hint="eastAsia" w:ascii="仿宋_GB2312" w:hAnsi="仿宋_GB2312" w:eastAsia="仿宋_GB2312" w:cs="仿宋_GB2312"/>
          <w:color w:val="auto"/>
          <w:sz w:val="32"/>
          <w:szCs w:val="32"/>
          <w:highlight w:val="none"/>
        </w:rPr>
        <w:t>专项资金支持的</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对其资金的使用情况进行监督。</w:t>
      </w:r>
    </w:p>
    <w:p>
      <w:pPr>
        <w:keepNext w:val="0"/>
        <w:keepLines w:val="0"/>
        <w:pageBreakBefore w:val="0"/>
        <w:widowControl w:val="0"/>
        <w:tabs>
          <w:tab w:val="left" w:pos="840"/>
        </w:tabs>
        <w:kinsoku/>
        <w:wordWrap/>
        <w:overflowPunct/>
        <w:topLinePunct w:val="0"/>
        <w:autoSpaceDE/>
        <w:autoSpaceDN/>
        <w:bidi w:val="0"/>
        <w:adjustRightInd w:val="0"/>
        <w:snapToGrid/>
        <w:spacing w:line="578" w:lineRule="exact"/>
        <w:ind w:left="0" w:leftChars="0" w:right="0" w:rightChars="0" w:firstLine="626" w:firstLineChars="200"/>
        <w:jc w:val="both"/>
        <w:textAlignment w:val="auto"/>
        <w:outlineLvl w:val="9"/>
        <w:rPr>
          <w:rFonts w:hint="eastAsia" w:ascii="仿宋_GB2312" w:hAnsi="仿宋_GB2312" w:eastAsia="仿宋_GB2312" w:cs="仿宋_GB2312"/>
          <w:w w:val="98"/>
          <w:sz w:val="32"/>
          <w:szCs w:val="32"/>
          <w:lang w:val="en-US" w:eastAsia="zh-CN"/>
        </w:rPr>
      </w:pPr>
    </w:p>
    <w:p>
      <w:pPr>
        <w:keepNext w:val="0"/>
        <w:keepLines w:val="0"/>
        <w:pageBreakBefore w:val="0"/>
        <w:widowControl w:val="0"/>
        <w:tabs>
          <w:tab w:val="left" w:pos="840"/>
        </w:tabs>
        <w:kinsoku/>
        <w:wordWrap/>
        <w:overflowPunct/>
        <w:topLinePunct w:val="0"/>
        <w:autoSpaceDE/>
        <w:autoSpaceDN/>
        <w:bidi w:val="0"/>
        <w:adjustRightInd w:val="0"/>
        <w:snapToGrid/>
        <w:spacing w:line="578" w:lineRule="exact"/>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w w:val="98"/>
          <w:sz w:val="32"/>
          <w:szCs w:val="32"/>
          <w:lang w:val="en-US" w:eastAsia="zh-CN"/>
        </w:rPr>
        <w:t>附件:</w:t>
      </w:r>
      <w:r>
        <w:rPr>
          <w:rFonts w:hint="eastAsia" w:ascii="仿宋_GB2312" w:hAnsi="仿宋_GB2312" w:eastAsia="仿宋_GB2312" w:cs="仿宋_GB2312"/>
          <w:color w:val="auto"/>
          <w:sz w:val="32"/>
          <w:szCs w:val="32"/>
          <w:lang w:val="en-US" w:eastAsia="zh-CN"/>
        </w:rPr>
        <w:t>2023年省级工业和信息化高质量发展专项资金（四季度增量奖补）申报书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left="0" w:leftChars="0" w:right="0" w:rightChars="0" w:firstLine="4640" w:firstLineChars="145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永吉县工业和信息化局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left="0" w:leftChars="0" w:right="0" w:rightChars="0" w:firstLine="2518" w:firstLineChars="787"/>
        <w:jc w:val="both"/>
        <w:textAlignment w:val="auto"/>
        <w:outlineLvl w:val="9"/>
        <w:rPr>
          <w:rFonts w:hint="eastAsia" w:asciiTheme="majorEastAsia" w:hAnsiTheme="majorEastAsia" w:eastAsiaTheme="majorEastAsia" w:cstheme="majorEastAsia"/>
          <w:b/>
          <w:bCs/>
          <w:color w:val="auto"/>
          <w:sz w:val="44"/>
          <w:szCs w:val="44"/>
          <w:lang w:eastAsia="zh-CN"/>
        </w:rPr>
      </w:pPr>
      <w:r>
        <w:rPr>
          <w:rFonts w:hint="eastAsia" w:ascii="仿宋_GB2312" w:hAnsi="仿宋_GB2312" w:eastAsia="仿宋_GB2312" w:cs="仿宋_GB2312"/>
          <w:color w:val="auto"/>
          <w:kern w:val="0"/>
          <w:sz w:val="32"/>
          <w:szCs w:val="32"/>
          <w:lang w:val="en-US" w:eastAsia="zh-CN"/>
        </w:rPr>
        <w:t xml:space="preserve">                 2023年2</w:t>
      </w:r>
      <w:r>
        <w:rPr>
          <w:rFonts w:hint="eastAsia" w:ascii="仿宋_GB2312" w:hAnsi="仿宋_GB2312" w:eastAsia="仿宋_GB2312" w:cs="仿宋_GB2312"/>
          <w:color w:val="auto"/>
          <w:kern w:val="0"/>
          <w:sz w:val="32"/>
          <w:szCs w:val="32"/>
          <w:highlight w:val="none"/>
          <w:lang w:val="en-US" w:eastAsia="zh-CN"/>
        </w:rPr>
        <w:t>月20日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00" w:firstLineChars="68"/>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eastAsia="zh-CN"/>
        </w:rPr>
        <w:t>永吉县</w:t>
      </w:r>
      <w:r>
        <w:rPr>
          <w:rFonts w:hint="eastAsia" w:asciiTheme="majorEastAsia" w:hAnsiTheme="majorEastAsia" w:eastAsiaTheme="majorEastAsia" w:cstheme="majorEastAsia"/>
          <w:b/>
          <w:bCs/>
          <w:color w:val="auto"/>
          <w:sz w:val="44"/>
          <w:szCs w:val="44"/>
          <w:lang w:val="en-US" w:eastAsia="zh-CN"/>
        </w:rPr>
        <w:t>2023年省级工业和信息化高质量</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300" w:firstLineChars="68"/>
        <w:jc w:val="center"/>
        <w:textAlignment w:val="auto"/>
        <w:outlineLvl w:val="9"/>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val="en-US" w:eastAsia="zh-CN"/>
        </w:rPr>
        <w:t>发展专项资金</w:t>
      </w:r>
      <w:r>
        <w:rPr>
          <w:rFonts w:hint="eastAsia" w:asciiTheme="majorEastAsia" w:hAnsiTheme="majorEastAsia" w:eastAsiaTheme="majorEastAsia" w:cstheme="majorEastAsia"/>
          <w:b/>
          <w:bCs/>
          <w:color w:val="auto"/>
          <w:sz w:val="44"/>
          <w:szCs w:val="44"/>
          <w:lang w:eastAsia="zh-CN"/>
        </w:rPr>
        <w:t>（四季度增量奖补）</w:t>
      </w: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99" w:firstLineChars="68"/>
        <w:jc w:val="center"/>
        <w:rPr>
          <w:rFonts w:ascii="Times New Roman" w:hAnsi="Times New Roman" w:eastAsia="方正小标宋简体" w:cs="Times New Roman"/>
          <w:color w:val="auto"/>
          <w:sz w:val="44"/>
          <w:szCs w:val="44"/>
        </w:rPr>
      </w:pP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99" w:firstLineChars="68"/>
        <w:jc w:val="center"/>
        <w:rPr>
          <w:rFonts w:ascii="Times New Roman" w:hAnsi="Times New Roman" w:eastAsia="方正小标宋简体" w:cs="Times New Roman"/>
          <w:color w:val="auto"/>
          <w:sz w:val="44"/>
          <w:szCs w:val="44"/>
        </w:rPr>
      </w:pP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489" w:firstLineChars="68"/>
        <w:jc w:val="center"/>
        <w:rPr>
          <w:rFonts w:ascii="Times New Roman" w:hAnsi="Times New Roman" w:eastAsia="方正小标宋_GBK" w:cs="Times New Roman"/>
          <w:bCs/>
          <w:color w:val="auto"/>
          <w:sz w:val="72"/>
          <w:szCs w:val="72"/>
        </w:rPr>
      </w:pPr>
    </w:p>
    <w:p>
      <w:pPr>
        <w:pStyle w:val="20"/>
        <w:keepNext w:val="0"/>
        <w:keepLines w:val="0"/>
        <w:pageBreakBefore w:val="0"/>
        <w:kinsoku/>
        <w:wordWrap/>
        <w:overflowPunct/>
        <w:topLinePunct w:val="0"/>
        <w:autoSpaceDE/>
        <w:autoSpaceDN/>
        <w:bidi w:val="0"/>
        <w:adjustRightInd w:val="0"/>
        <w:spacing w:line="360" w:lineRule="auto"/>
        <w:ind w:left="0" w:leftChars="0" w:right="0" w:rightChars="0" w:firstLine="489" w:firstLineChars="68"/>
        <w:jc w:val="center"/>
        <w:rPr>
          <w:rFonts w:ascii="Times New Roman" w:hAnsi="Times New Roman" w:eastAsia="方正小标宋_GBK" w:cs="Times New Roman"/>
          <w:bCs/>
          <w:color w:val="auto"/>
          <w:sz w:val="72"/>
          <w:szCs w:val="72"/>
        </w:rPr>
      </w:pPr>
      <w:r>
        <w:rPr>
          <w:rFonts w:ascii="Times New Roman" w:hAnsi="Times New Roman" w:eastAsia="方正小标宋_GBK" w:cs="Times New Roman"/>
          <w:bCs/>
          <w:color w:val="auto"/>
          <w:sz w:val="72"/>
          <w:szCs w:val="72"/>
        </w:rPr>
        <w:t>项 目 申 报 书</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190" w:firstLineChars="68"/>
        <w:rPr>
          <w:rFonts w:ascii="Times New Roman" w:hAnsi="Times New Roman" w:eastAsia="仿宋_GB2312" w:cs="Times New Roman"/>
          <w:color w:val="auto"/>
          <w:sz w:val="28"/>
          <w:szCs w:val="28"/>
        </w:rPr>
      </w:pP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申报单位：（盖章）</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项目类别：</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项目属地：（市、县）</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项目负责人：　　　　　　</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职务：　　    </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838" w:firstLineChars="262"/>
        <w:rPr>
          <w:rFonts w:ascii="Times New Roman" w:hAnsi="Times New Roman" w:eastAsia="仿宋_GB2312" w:cs="Times New Roman"/>
          <w:color w:val="auto"/>
          <w:sz w:val="28"/>
          <w:szCs w:val="28"/>
        </w:rPr>
      </w:pPr>
      <w:r>
        <w:rPr>
          <w:rFonts w:ascii="Times New Roman" w:hAnsi="Times New Roman" w:eastAsia="仿宋_GB2312" w:cs="Times New Roman"/>
          <w:color w:val="auto"/>
          <w:sz w:val="32"/>
          <w:szCs w:val="32"/>
        </w:rPr>
        <w:t xml:space="preserve">电话：    　   </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733" w:firstLineChars="262"/>
        <w:rPr>
          <w:rFonts w:ascii="Times New Roman" w:hAnsi="Times New Roman" w:eastAsia="仿宋_GB2312" w:cs="Times New Roman"/>
          <w:color w:val="auto"/>
          <w:sz w:val="32"/>
          <w:szCs w:val="32"/>
        </w:rPr>
      </w:pP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32"/>
          <w:szCs w:val="32"/>
        </w:rPr>
        <w:t xml:space="preserve">申报日期：  </w:t>
      </w: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32"/>
          <w:szCs w:val="32"/>
        </w:rPr>
        <w:t xml:space="preserve">  年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月      日</w:t>
      </w: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733" w:firstLineChars="262"/>
        <w:rPr>
          <w:rFonts w:ascii="Times New Roman" w:hAnsi="Times New Roman" w:eastAsia="仿宋_GB2312" w:cs="Times New Roman"/>
          <w:color w:val="auto"/>
          <w:sz w:val="28"/>
          <w:szCs w:val="28"/>
        </w:rPr>
      </w:pPr>
    </w:p>
    <w:p>
      <w:pPr>
        <w:pStyle w:val="20"/>
        <w:keepNext w:val="0"/>
        <w:keepLines w:val="0"/>
        <w:pageBreakBefore w:val="0"/>
        <w:kinsoku/>
        <w:wordWrap/>
        <w:overflowPunct/>
        <w:topLinePunct w:val="0"/>
        <w:autoSpaceDE/>
        <w:autoSpaceDN/>
        <w:bidi w:val="0"/>
        <w:adjustRightInd w:val="0"/>
        <w:spacing w:line="576" w:lineRule="exact"/>
        <w:ind w:left="0" w:leftChars="0" w:right="0" w:rightChars="0" w:firstLine="190" w:firstLineChars="68"/>
        <w:rPr>
          <w:rFonts w:ascii="Times New Roman" w:hAnsi="Times New Roman" w:eastAsia="仿宋_GB2312" w:cs="Times New Roman"/>
          <w:color w:val="auto"/>
          <w:sz w:val="28"/>
          <w:szCs w:val="28"/>
        </w:rPr>
      </w:pP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318" w:firstLineChars="828"/>
        <w:jc w:val="left"/>
        <w:rPr>
          <w:rFonts w:hint="eastAsia"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3599815</wp:posOffset>
                </wp:positionH>
                <wp:positionV relativeFrom="paragraph">
                  <wp:posOffset>163830</wp:posOffset>
                </wp:positionV>
                <wp:extent cx="501015" cy="3670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1015" cy="367030"/>
                        </a:xfrm>
                        <a:prstGeom prst="rect">
                          <a:avLst/>
                        </a:prstGeom>
                        <a:noFill/>
                        <a:ln>
                          <a:noFill/>
                        </a:ln>
                      </wps:spPr>
                      <wps:txbx>
                        <w:txbxContent>
                          <w:p>
                            <w:pPr>
                              <w:pStyle w:val="20"/>
                              <w:rPr>
                                <w:rFonts w:ascii="仿宋_GB2312" w:eastAsia="仿宋_GB2312"/>
                                <w:sz w:val="28"/>
                                <w:szCs w:val="28"/>
                              </w:rPr>
                            </w:pPr>
                            <w:r>
                              <w:rPr>
                                <w:rFonts w:hint="eastAsia" w:ascii="仿宋_GB2312" w:eastAsia="仿宋_GB2312"/>
                                <w:sz w:val="28"/>
                                <w:szCs w:val="28"/>
                              </w:rPr>
                              <w:t>制</w:t>
                            </w:r>
                          </w:p>
                        </w:txbxContent>
                      </wps:txbx>
                      <wps:bodyPr upright="1"/>
                    </wps:wsp>
                  </a:graphicData>
                </a:graphic>
              </wp:anchor>
            </w:drawing>
          </mc:Choice>
          <mc:Fallback>
            <w:pict>
              <v:shape id="_x0000_s1026" o:spid="_x0000_s1026" o:spt="202" type="#_x0000_t202" style="position:absolute;left:0pt;margin-left:283.45pt;margin-top:12.9pt;height:28.9pt;width:39.45pt;z-index:251659264;mso-width-relative:page;mso-height-relative:page;" filled="f" stroked="f" coordsize="21600,21600" o:gfxdata="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FeR4dYAAAAJ&#10;AQAADwAAAAAAAAABACAAAAAiAAAAZHJzL2Rvd25yZXYueG1sUEsBAhQAFAAAAAgAh07iQKnmOzys&#10;AQAATQMAAA4AAAAAAAAAAQAgAAAAJQEAAGRycy9lMm9Eb2MueG1sUEsFBgAAAAAGAAYAWQEAAEMF&#10;AAAAAA==&#10;">
                <v:fill on="f" focussize="0,0"/>
                <v:stroke on="f"/>
                <v:imagedata o:title=""/>
                <o:lock v:ext="edit" aspectratio="f"/>
                <v:textbox>
                  <w:txbxContent>
                    <w:p>
                      <w:pPr>
                        <w:pStyle w:val="20"/>
                        <w:rPr>
                          <w:rFonts w:ascii="仿宋_GB2312" w:eastAsia="仿宋_GB2312"/>
                          <w:sz w:val="28"/>
                          <w:szCs w:val="28"/>
                        </w:rPr>
                      </w:pPr>
                      <w:r>
                        <w:rPr>
                          <w:rFonts w:hint="eastAsia" w:ascii="仿宋_GB2312" w:eastAsia="仿宋_GB2312"/>
                          <w:sz w:val="28"/>
                          <w:szCs w:val="28"/>
                        </w:rPr>
                        <w:t>制</w:t>
                      </w:r>
                    </w:p>
                  </w:txbxContent>
                </v:textbox>
              </v:shape>
            </w:pict>
          </mc:Fallback>
        </mc:AlternateContent>
      </w:r>
      <w:r>
        <w:rPr>
          <w:rFonts w:hint="eastAsia" w:ascii="Times New Roman" w:hAnsi="Times New Roman" w:eastAsia="仿宋_GB2312" w:cs="Times New Roman"/>
          <w:color w:val="auto"/>
          <w:sz w:val="28"/>
          <w:szCs w:val="28"/>
          <w:lang w:eastAsia="zh-CN"/>
        </w:rPr>
        <w:t>永吉县</w:t>
      </w:r>
      <w:r>
        <w:rPr>
          <w:rFonts w:ascii="Times New Roman" w:hAnsi="Times New Roman" w:eastAsia="仿宋_GB2312" w:cs="Times New Roman"/>
          <w:color w:val="auto"/>
          <w:sz w:val="28"/>
          <w:szCs w:val="28"/>
        </w:rPr>
        <w:t>工业和信息化</w:t>
      </w:r>
      <w:r>
        <w:rPr>
          <w:rFonts w:hint="eastAsia" w:ascii="Times New Roman" w:hAnsi="Times New Roman" w:eastAsia="仿宋_GB2312" w:cs="Times New Roman"/>
          <w:color w:val="auto"/>
          <w:sz w:val="28"/>
          <w:szCs w:val="28"/>
          <w:lang w:eastAsia="zh-CN"/>
        </w:rPr>
        <w:t>局</w:t>
      </w:r>
    </w:p>
    <w:p>
      <w:pPr>
        <w:pStyle w:val="20"/>
        <w:keepNext w:val="0"/>
        <w:keepLines w:val="0"/>
        <w:pageBreakBefore w:val="0"/>
        <w:kinsoku/>
        <w:wordWrap/>
        <w:overflowPunct/>
        <w:topLinePunct w:val="0"/>
        <w:autoSpaceDE/>
        <w:autoSpaceDN/>
        <w:bidi w:val="0"/>
        <w:adjustRightInd w:val="0"/>
        <w:snapToGrid w:val="0"/>
        <w:spacing w:line="576" w:lineRule="exact"/>
        <w:ind w:left="0" w:leftChars="0" w:right="0" w:rightChars="0" w:firstLine="2318" w:firstLineChars="460"/>
        <w:jc w:val="left"/>
        <w:rPr>
          <w:rFonts w:hint="eastAsia" w:ascii="Times New Roman" w:hAnsi="Times New Roman" w:eastAsia="仿宋_GB2312" w:cs="Times New Roman"/>
          <w:color w:val="auto"/>
          <w:kern w:val="0"/>
          <w:sz w:val="28"/>
          <w:szCs w:val="28"/>
          <w:lang w:eastAsia="zh-CN"/>
        </w:rPr>
      </w:pPr>
      <w:r>
        <w:rPr>
          <w:rFonts w:hint="eastAsia" w:ascii="Times New Roman" w:hAnsi="Times New Roman" w:eastAsia="仿宋_GB2312" w:cs="Times New Roman"/>
          <w:color w:val="auto"/>
          <w:spacing w:val="112"/>
          <w:kern w:val="0"/>
          <w:sz w:val="28"/>
          <w:szCs w:val="28"/>
          <w:lang w:eastAsia="zh-CN"/>
        </w:rPr>
        <w:t>永吉县</w:t>
      </w:r>
      <w:r>
        <w:rPr>
          <w:rFonts w:ascii="Times New Roman" w:hAnsi="Times New Roman" w:eastAsia="仿宋_GB2312" w:cs="Times New Roman"/>
          <w:color w:val="auto"/>
          <w:spacing w:val="112"/>
          <w:kern w:val="0"/>
          <w:sz w:val="28"/>
          <w:szCs w:val="28"/>
        </w:rPr>
        <w:t>财政</w:t>
      </w:r>
      <w:r>
        <w:rPr>
          <w:rFonts w:hint="eastAsia" w:ascii="Times New Roman" w:hAnsi="Times New Roman" w:eastAsia="仿宋_GB2312" w:cs="Times New Roman"/>
          <w:color w:val="auto"/>
          <w:kern w:val="0"/>
          <w:sz w:val="28"/>
          <w:szCs w:val="28"/>
          <w:lang w:eastAsia="zh-CN"/>
        </w:rPr>
        <w:t>局</w:t>
      </w:r>
    </w:p>
    <w:p>
      <w:pPr>
        <w:pStyle w:val="20"/>
        <w:keepNext w:val="0"/>
        <w:keepLines w:val="0"/>
        <w:pageBreakBefore w:val="0"/>
        <w:kinsoku/>
        <w:wordWrap/>
        <w:overflowPunct/>
        <w:topLinePunct w:val="0"/>
        <w:autoSpaceDE/>
        <w:autoSpaceDN/>
        <w:bidi w:val="0"/>
        <w:adjustRightInd w:val="0"/>
        <w:snapToGrid w:val="0"/>
        <w:spacing w:line="576" w:lineRule="exact"/>
        <w:ind w:right="0" w:rightChars="0"/>
        <w:jc w:val="left"/>
        <w:rPr>
          <w:rFonts w:hint="eastAsia" w:ascii="Times New Roman" w:hAnsi="Times New Roman" w:eastAsia="仿宋_GB2312" w:cs="Times New Roman"/>
          <w:color w:val="auto"/>
          <w:kern w:val="0"/>
          <w:sz w:val="28"/>
          <w:szCs w:val="28"/>
          <w:lang w:eastAsia="zh-CN"/>
        </w:rPr>
      </w:pPr>
    </w:p>
    <w:p>
      <w:pPr>
        <w:pStyle w:val="20"/>
        <w:keepNext w:val="0"/>
        <w:keepLines w:val="0"/>
        <w:pageBreakBefore w:val="0"/>
        <w:kinsoku/>
        <w:wordWrap/>
        <w:overflowPunct/>
        <w:topLinePunct w:val="0"/>
        <w:autoSpaceDE/>
        <w:autoSpaceDN/>
        <w:bidi w:val="0"/>
        <w:adjustRightInd w:val="0"/>
        <w:snapToGrid w:val="0"/>
        <w:spacing w:line="576" w:lineRule="exact"/>
        <w:ind w:right="0" w:rightChars="0"/>
        <w:jc w:val="left"/>
        <w:rPr>
          <w:rFonts w:hint="eastAsia" w:ascii="Times New Roman" w:hAnsi="Times New Roman" w:eastAsia="仿宋_GB2312" w:cs="Times New Roman"/>
          <w:color w:val="auto"/>
          <w:kern w:val="0"/>
          <w:sz w:val="28"/>
          <w:szCs w:val="28"/>
          <w:lang w:eastAsia="zh-CN"/>
        </w:rPr>
      </w:pPr>
    </w:p>
    <w:tbl>
      <w:tblPr>
        <w:tblStyle w:val="7"/>
        <w:tblpPr w:leftFromText="180" w:rightFromText="180" w:vertAnchor="text" w:horzAnchor="page" w:tblpX="1623" w:tblpY="147"/>
        <w:tblOverlap w:val="never"/>
        <w:tblW w:w="9156" w:type="dxa"/>
        <w:tblInd w:w="0" w:type="dxa"/>
        <w:shd w:val="clear" w:color="auto" w:fill="auto"/>
        <w:tblLayout w:type="fixed"/>
        <w:tblCellMar>
          <w:top w:w="0" w:type="dxa"/>
          <w:left w:w="0" w:type="dxa"/>
          <w:bottom w:w="0" w:type="dxa"/>
          <w:right w:w="0" w:type="dxa"/>
        </w:tblCellMar>
      </w:tblPr>
      <w:tblGrid>
        <w:gridCol w:w="1108"/>
        <w:gridCol w:w="363"/>
        <w:gridCol w:w="454"/>
        <w:gridCol w:w="694"/>
        <w:gridCol w:w="767"/>
        <w:gridCol w:w="568"/>
        <w:gridCol w:w="488"/>
        <w:gridCol w:w="352"/>
        <w:gridCol w:w="689"/>
        <w:gridCol w:w="406"/>
        <w:gridCol w:w="576"/>
        <w:gridCol w:w="669"/>
        <w:gridCol w:w="345"/>
        <w:gridCol w:w="1677"/>
      </w:tblGrid>
      <w:tr>
        <w:tblPrEx>
          <w:shd w:val="clear" w:color="auto" w:fill="auto"/>
          <w:tblCellMar>
            <w:top w:w="0" w:type="dxa"/>
            <w:left w:w="0" w:type="dxa"/>
            <w:bottom w:w="0" w:type="dxa"/>
            <w:right w:w="0" w:type="dxa"/>
          </w:tblCellMar>
        </w:tblPrEx>
        <w:trPr>
          <w:trHeight w:val="855" w:hRule="atLeast"/>
        </w:trPr>
        <w:tc>
          <w:tcPr>
            <w:tcW w:w="110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p>
        </w:tc>
        <w:tc>
          <w:tcPr>
            <w:tcW w:w="817"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61"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bookmarkStart w:id="0" w:name="_GoBack"/>
            <w:bookmarkEnd w:id="0"/>
          </w:p>
        </w:tc>
        <w:tc>
          <w:tcPr>
            <w:tcW w:w="1056"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41"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82"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6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22"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10" w:hRule="atLeast"/>
        </w:trPr>
        <w:tc>
          <w:tcPr>
            <w:tcW w:w="9156"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2023年省级工业和信息化高质量发展专项资金（四季度增量奖补）申报企业基本情况表</w:t>
            </w:r>
          </w:p>
        </w:tc>
      </w:tr>
      <w:tr>
        <w:tblPrEx>
          <w:shd w:val="clear" w:color="auto" w:fill="auto"/>
          <w:tblCellMar>
            <w:top w:w="0" w:type="dxa"/>
            <w:left w:w="0" w:type="dxa"/>
            <w:bottom w:w="0" w:type="dxa"/>
            <w:right w:w="0" w:type="dxa"/>
          </w:tblCellMar>
        </w:tblPrEx>
        <w:trPr>
          <w:trHeight w:val="64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企业名称</w:t>
            </w:r>
          </w:p>
        </w:tc>
        <w:tc>
          <w:tcPr>
            <w:tcW w:w="333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地址</w:t>
            </w:r>
          </w:p>
        </w:tc>
        <w:tc>
          <w:tcPr>
            <w:tcW w:w="36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2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所属县（市）区</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法人代表</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注册资本  （万元）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注册时间</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2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所属行业</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经济类型</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15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主要产品情况：</w:t>
            </w:r>
          </w:p>
        </w:tc>
      </w:tr>
      <w:tr>
        <w:tblPrEx>
          <w:tblCellMar>
            <w:top w:w="0" w:type="dxa"/>
            <w:left w:w="0" w:type="dxa"/>
            <w:bottom w:w="0" w:type="dxa"/>
            <w:right w:w="0" w:type="dxa"/>
          </w:tblCellMar>
        </w:tblPrEx>
        <w:trPr>
          <w:trHeight w:val="669"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2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产能</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产量/年</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产销率%　</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国内、省内市场占有率%</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出口情况</w:t>
            </w:r>
          </w:p>
        </w:tc>
      </w:tr>
      <w:tr>
        <w:tblPrEx>
          <w:tblCellMar>
            <w:top w:w="0" w:type="dxa"/>
            <w:left w:w="0" w:type="dxa"/>
            <w:bottom w:w="0" w:type="dxa"/>
            <w:right w:w="0" w:type="dxa"/>
          </w:tblCellMar>
        </w:tblPrEx>
        <w:trPr>
          <w:trHeight w:val="578"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8"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8"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15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主要指标情况（万元）</w:t>
            </w:r>
          </w:p>
        </w:tc>
      </w:tr>
      <w:tr>
        <w:tblPrEx>
          <w:tblCellMar>
            <w:top w:w="0" w:type="dxa"/>
            <w:left w:w="0" w:type="dxa"/>
            <w:bottom w:w="0" w:type="dxa"/>
            <w:right w:w="0" w:type="dxa"/>
          </w:tblCellMar>
        </w:tblPrEx>
        <w:trPr>
          <w:trHeight w:val="749" w:hRule="atLeast"/>
        </w:trPr>
        <w:tc>
          <w:tcPr>
            <w:tcW w:w="2619"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val="en-US" w:eastAsia="zh-CN"/>
              </w:rPr>
              <w:t>2021年</w:t>
            </w:r>
          </w:p>
        </w:tc>
        <w:tc>
          <w:tcPr>
            <w:tcW w:w="3270" w:type="dxa"/>
            <w:gridSpan w:val="6"/>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2022年四季度</w:t>
            </w:r>
          </w:p>
        </w:tc>
        <w:tc>
          <w:tcPr>
            <w:tcW w:w="3267"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2022年</w:t>
            </w:r>
          </w:p>
        </w:tc>
      </w:tr>
      <w:tr>
        <w:tblPrEx>
          <w:tblCellMar>
            <w:top w:w="0" w:type="dxa"/>
            <w:left w:w="0" w:type="dxa"/>
            <w:bottom w:w="0" w:type="dxa"/>
            <w:right w:w="0" w:type="dxa"/>
          </w:tblCellMar>
        </w:tblPrEx>
        <w:trPr>
          <w:trHeight w:val="1300" w:hRule="atLeast"/>
        </w:trPr>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cstheme="minorEastAsia"/>
                <w:i w:val="0"/>
                <w:color w:val="000000"/>
                <w:kern w:val="2"/>
                <w:sz w:val="20"/>
                <w:szCs w:val="20"/>
                <w:u w:val="none"/>
                <w:lang w:val="en-US" w:eastAsia="zh-CN" w:bidi="ar-SA"/>
              </w:rPr>
              <w:t>2021</w:t>
            </w:r>
            <w:r>
              <w:rPr>
                <w:rFonts w:hint="eastAsia" w:asciiTheme="minorEastAsia" w:hAnsiTheme="minorEastAsia" w:eastAsiaTheme="minorEastAsia" w:cstheme="minorEastAsia"/>
                <w:i w:val="0"/>
                <w:color w:val="000000"/>
                <w:kern w:val="2"/>
                <w:sz w:val="20"/>
                <w:szCs w:val="20"/>
                <w:u w:val="none"/>
                <w:lang w:val="en-US" w:eastAsia="zh-CN" w:bidi="ar-SA"/>
              </w:rPr>
              <w:t>产值同比增量（万元）</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cstheme="minorEastAsia"/>
                <w:i w:val="0"/>
                <w:color w:val="000000"/>
                <w:kern w:val="2"/>
                <w:sz w:val="20"/>
                <w:szCs w:val="20"/>
                <w:u w:val="none"/>
                <w:lang w:val="en-US" w:eastAsia="zh-CN" w:bidi="ar-SA"/>
              </w:rPr>
              <w:t>2021</w:t>
            </w:r>
            <w:r>
              <w:rPr>
                <w:rFonts w:hint="eastAsia" w:asciiTheme="minorEastAsia" w:hAnsiTheme="minorEastAsia" w:eastAsiaTheme="minorEastAsia" w:cstheme="minorEastAsia"/>
                <w:i w:val="0"/>
                <w:color w:val="000000"/>
                <w:kern w:val="2"/>
                <w:sz w:val="20"/>
                <w:szCs w:val="20"/>
                <w:u w:val="none"/>
                <w:lang w:val="en-US" w:eastAsia="zh-CN" w:bidi="ar-SA"/>
              </w:rPr>
              <w:t>年产值同比增速（%）</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cstheme="minorEastAsia"/>
                <w:i w:val="0"/>
                <w:color w:val="000000"/>
                <w:kern w:val="2"/>
                <w:sz w:val="20"/>
                <w:szCs w:val="20"/>
                <w:u w:val="none"/>
                <w:lang w:val="en-US" w:eastAsia="zh-CN" w:bidi="ar-SA"/>
              </w:rPr>
              <w:t>10-12月</w:t>
            </w:r>
            <w:r>
              <w:rPr>
                <w:rFonts w:hint="eastAsia" w:asciiTheme="minorEastAsia" w:hAnsiTheme="minorEastAsia" w:eastAsiaTheme="minorEastAsia" w:cstheme="minorEastAsia"/>
                <w:i w:val="0"/>
                <w:color w:val="000000"/>
                <w:kern w:val="2"/>
                <w:sz w:val="20"/>
                <w:szCs w:val="20"/>
                <w:u w:val="none"/>
                <w:lang w:val="en-US" w:eastAsia="zh-CN" w:bidi="ar-SA"/>
              </w:rPr>
              <w:t>产值（万元）</w:t>
            </w:r>
          </w:p>
        </w:tc>
        <w:tc>
          <w:tcPr>
            <w:tcW w:w="84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同比增速（%）</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同比增量（万元）</w:t>
            </w:r>
          </w:p>
        </w:tc>
        <w:tc>
          <w:tcPr>
            <w:tcW w:w="159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2022年产值同比增量（万元）</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2022年产值</w:t>
            </w:r>
            <w:r>
              <w:rPr>
                <w:rFonts w:hint="eastAsia" w:asciiTheme="minorEastAsia" w:hAnsiTheme="minorEastAsia" w:eastAsiaTheme="minorEastAsia" w:cstheme="minorEastAsia"/>
                <w:i w:val="0"/>
                <w:color w:val="000000"/>
                <w:kern w:val="0"/>
                <w:sz w:val="20"/>
                <w:szCs w:val="20"/>
                <w:u w:val="none"/>
                <w:lang w:val="en-US" w:eastAsia="zh-CN" w:bidi="ar"/>
              </w:rPr>
              <w:t>同比增速（%）</w:t>
            </w:r>
          </w:p>
        </w:tc>
      </w:tr>
      <w:tr>
        <w:tblPrEx>
          <w:tblCellMar>
            <w:top w:w="0" w:type="dxa"/>
            <w:left w:w="0" w:type="dxa"/>
            <w:bottom w:w="0" w:type="dxa"/>
            <w:right w:w="0" w:type="dxa"/>
          </w:tblCellMar>
        </w:tblPrEx>
        <w:trPr>
          <w:trHeight w:val="756" w:hRule="atLeast"/>
        </w:trPr>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67"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县财政部门审核意见</w:t>
            </w:r>
          </w:p>
        </w:tc>
        <w:tc>
          <w:tcPr>
            <w:tcW w:w="804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20"/>
                <w:szCs w:val="20"/>
                <w:u w:val="none"/>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rPr>
          <w:rFonts w:hint="eastAsia" w:ascii="黑体" w:hAnsi="黑体" w:eastAsia="黑体" w:cs="黑体"/>
          <w:sz w:val="28"/>
          <w:szCs w:val="28"/>
          <w:lang w:val="en-US" w:eastAsia="zh-CN"/>
        </w:rPr>
        <w:sectPr>
          <w:headerReference r:id="rId3" w:type="default"/>
          <w:footerReference r:id="rId4" w:type="default"/>
          <w:pgSz w:w="11906" w:h="16838"/>
          <w:pgMar w:top="1440" w:right="1803" w:bottom="1440" w:left="1406" w:header="851" w:footer="992" w:gutter="0"/>
          <w:pgBorders>
            <w:top w:val="none" w:sz="0" w:space="0"/>
            <w:left w:val="none" w:sz="0" w:space="0"/>
            <w:bottom w:val="none" w:sz="0" w:space="0"/>
            <w:right w:val="none" w:sz="0" w:space="0"/>
          </w:pgBorders>
          <w:cols w:space="0" w:num="1"/>
          <w:rtlGutter w:val="0"/>
          <w:docGrid w:type="lines" w:linePitch="319" w:charSpace="0"/>
        </w:sectPr>
      </w:pPr>
    </w:p>
    <w:tbl>
      <w:tblPr>
        <w:tblStyle w:val="7"/>
        <w:tblW w:w="14040" w:type="dxa"/>
        <w:tblInd w:w="0" w:type="dxa"/>
        <w:shd w:val="clear" w:color="auto" w:fill="auto"/>
        <w:tblLayout w:type="fixed"/>
        <w:tblCellMar>
          <w:top w:w="0" w:type="dxa"/>
          <w:left w:w="0" w:type="dxa"/>
          <w:bottom w:w="0" w:type="dxa"/>
          <w:right w:w="0" w:type="dxa"/>
        </w:tblCellMar>
      </w:tblPr>
      <w:tblGrid>
        <w:gridCol w:w="2712"/>
        <w:gridCol w:w="1446"/>
        <w:gridCol w:w="1494"/>
        <w:gridCol w:w="1533"/>
        <w:gridCol w:w="1847"/>
        <w:gridCol w:w="2157"/>
        <w:gridCol w:w="2851"/>
      </w:tblGrid>
      <w:tr>
        <w:tblPrEx>
          <w:shd w:val="clear" w:color="auto" w:fill="auto"/>
          <w:tblCellMar>
            <w:top w:w="0" w:type="dxa"/>
            <w:left w:w="0" w:type="dxa"/>
            <w:bottom w:w="0" w:type="dxa"/>
            <w:right w:w="0" w:type="dxa"/>
          </w:tblCellMar>
        </w:tblPrEx>
        <w:trPr>
          <w:trHeight w:val="1432" w:hRule="atLeast"/>
        </w:trPr>
        <w:tc>
          <w:tcPr>
            <w:tcW w:w="1404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eastAsia="zh-CN"/>
              </w:rPr>
            </w:pPr>
            <w:r>
              <w:rPr>
                <w:rFonts w:hint="eastAsia" w:ascii="黑体" w:hAnsi="黑体" w:eastAsia="黑体" w:cs="黑体"/>
                <w:b w:val="0"/>
                <w:bCs w:val="0"/>
                <w:i w:val="0"/>
                <w:color w:val="000000"/>
                <w:sz w:val="32"/>
                <w:szCs w:val="32"/>
                <w:u w:val="none"/>
                <w:lang w:val="en-US" w:eastAsia="zh-CN"/>
              </w:rPr>
              <w:t>2022年工业产值净增量情况企业证明材料</w:t>
            </w:r>
          </w:p>
        </w:tc>
      </w:tr>
      <w:tr>
        <w:tblPrEx>
          <w:shd w:val="clear" w:color="auto" w:fill="auto"/>
          <w:tblCellMar>
            <w:top w:w="0" w:type="dxa"/>
            <w:left w:w="0" w:type="dxa"/>
            <w:bottom w:w="0" w:type="dxa"/>
            <w:right w:w="0" w:type="dxa"/>
          </w:tblCellMar>
        </w:tblPrEx>
        <w:trPr>
          <w:trHeight w:val="725" w:hRule="atLeast"/>
        </w:trPr>
        <w:tc>
          <w:tcPr>
            <w:tcW w:w="27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企业名称</w:t>
            </w:r>
          </w:p>
        </w:tc>
        <w:tc>
          <w:tcPr>
            <w:tcW w:w="63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产值完成情况(万元)</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属地</w:t>
            </w:r>
          </w:p>
        </w:tc>
        <w:tc>
          <w:tcPr>
            <w:tcW w:w="28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县统计局</w:t>
            </w:r>
          </w:p>
          <w:p>
            <w:pPr>
              <w:jc w:val="center"/>
              <w:rPr>
                <w:rFonts w:hint="eastAsia"/>
                <w:lang w:val="en-US" w:eastAsia="zh-CN"/>
              </w:rPr>
            </w:pPr>
            <w:r>
              <w:rPr>
                <w:rFonts w:hint="eastAsia" w:ascii="宋体" w:hAnsi="宋体" w:eastAsia="宋体" w:cs="宋体"/>
                <w:i w:val="0"/>
                <w:color w:val="000000"/>
                <w:sz w:val="28"/>
                <w:szCs w:val="28"/>
                <w:u w:val="none"/>
                <w:lang w:val="en-US" w:eastAsia="zh-CN"/>
              </w:rPr>
              <w:t>认定证明</w:t>
            </w:r>
          </w:p>
        </w:tc>
      </w:tr>
      <w:tr>
        <w:tblPrEx>
          <w:tblCellMar>
            <w:top w:w="0" w:type="dxa"/>
            <w:left w:w="0" w:type="dxa"/>
            <w:bottom w:w="0" w:type="dxa"/>
            <w:right w:w="0" w:type="dxa"/>
          </w:tblCellMar>
        </w:tblPrEx>
        <w:trPr>
          <w:trHeight w:val="1028" w:hRule="atLeast"/>
        </w:trPr>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10-12月</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同期</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净增量</w:t>
            </w: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8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374"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rPr>
          <w:rFonts w:hint="default" w:ascii="仿宋_GB2312" w:eastAsia="仿宋_GB2312"/>
          <w:kern w:val="2"/>
          <w:sz w:val="32"/>
          <w:szCs w:val="32"/>
          <w:lang w:val="en-US" w:eastAsia="zh-CN" w:bidi="ar-SA"/>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企业材料真实性承诺书</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本次申报2023年省级工业和信息化高质量发展专项资金（四季度增量奖补）所提供的所有数据、情况、材料均真实合法，企业生产经营过程中无违法违规行为，以上情况如有不实，本公司为此承担全部责任和后果。</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企业名称</w:t>
      </w:r>
    </w:p>
    <w:p>
      <w:pPr>
        <w:keepNext w:val="0"/>
        <w:keepLines w:val="0"/>
        <w:pageBreakBefore w:val="0"/>
        <w:widowControl w:val="0"/>
        <w:kinsoku/>
        <w:wordWrap/>
        <w:overflowPunct/>
        <w:topLinePunct w:val="0"/>
        <w:autoSpaceDE/>
        <w:autoSpaceDN/>
        <w:bidi w:val="0"/>
        <w:snapToGrid/>
        <w:spacing w:line="600" w:lineRule="exact"/>
        <w:ind w:firstLine="6400" w:firstLineChars="20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（公章）</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jc w:val="left"/>
        <w:textAlignment w:val="auto"/>
        <w:rPr>
          <w:rFonts w:hint="default" w:ascii="仿宋_GB2312" w:eastAsia="仿宋_GB2312"/>
          <w:kern w:val="2"/>
          <w:sz w:val="32"/>
          <w:szCs w:val="32"/>
          <w:lang w:val="en-US" w:eastAsia="zh-CN" w:bidi="ar-SA"/>
        </w:rPr>
      </w:pP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项目绩效目标申报表</w:t>
      </w:r>
    </w:p>
    <w:p>
      <w:pPr>
        <w:jc w:val="center"/>
        <w:rPr>
          <w:rFonts w:hint="eastAsia" w:ascii="方正小标宋_GBK" w:hAnsi="黑体" w:eastAsia="方正小标宋_GBK"/>
          <w:sz w:val="28"/>
          <w:szCs w:val="28"/>
        </w:rPr>
      </w:pPr>
      <w:r>
        <w:rPr>
          <w:rFonts w:hint="eastAsia" w:ascii="仿宋_GB2312" w:hAnsi="黑体" w:eastAsia="仿宋_GB2312"/>
          <w:sz w:val="24"/>
        </w:rPr>
        <w:t xml:space="preserve">                                  </w:t>
      </w:r>
      <w:r>
        <w:rPr>
          <w:rFonts w:hint="eastAsia" w:ascii="仿宋_GB2312" w:hAnsi="黑体" w:eastAsia="仿宋_GB2312"/>
          <w:sz w:val="24"/>
          <w:lang w:val="en-US" w:eastAsia="zh-CN"/>
        </w:rPr>
        <w:t xml:space="preserve">            </w:t>
      </w:r>
      <w:r>
        <w:rPr>
          <w:rFonts w:hint="eastAsia" w:ascii="仿宋_GB2312" w:hAnsi="黑体" w:eastAsia="仿宋_GB2312"/>
          <w:sz w:val="24"/>
        </w:rPr>
        <w:t xml:space="preserve"> 填报日期：    </w:t>
      </w:r>
      <w:r>
        <w:rPr>
          <w:rFonts w:hint="eastAsia" w:ascii="方正小标宋_GBK" w:hAnsi="黑体" w:eastAsia="方正小标宋_GBK"/>
          <w:sz w:val="28"/>
          <w:szCs w:val="28"/>
        </w:rPr>
        <w:t xml:space="preserve">     </w:t>
      </w:r>
    </w:p>
    <w:tbl>
      <w:tblPr>
        <w:tblStyle w:val="7"/>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656"/>
        <w:gridCol w:w="1967"/>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项目单位</w:t>
            </w:r>
          </w:p>
        </w:tc>
        <w:tc>
          <w:tcPr>
            <w:tcW w:w="7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项目名称</w:t>
            </w:r>
          </w:p>
        </w:tc>
        <w:tc>
          <w:tcPr>
            <w:tcW w:w="7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项目期</w:t>
            </w:r>
          </w:p>
        </w:tc>
        <w:tc>
          <w:tcPr>
            <w:tcW w:w="7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79"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lang w:eastAsia="zh-CN"/>
              </w:rPr>
            </w:pPr>
            <w:r>
              <w:rPr>
                <w:rFonts w:hint="eastAsia" w:ascii="仿宋_GB2312" w:hAnsi="黑体" w:eastAsia="仿宋_GB2312"/>
                <w:sz w:val="24"/>
                <w:lang w:eastAsia="zh-CN"/>
              </w:rPr>
              <w:t>项目资金</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专项资金类型</w:t>
            </w:r>
          </w:p>
        </w:tc>
        <w:tc>
          <w:tcPr>
            <w:tcW w:w="59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黑体" w:eastAsia="仿宋_GB2312"/>
                <w:sz w:val="24"/>
              </w:rPr>
            </w:pPr>
            <w:r>
              <w:rPr>
                <w:rFonts w:hint="eastAsia" w:ascii="仿宋_GB2312" w:hAnsi="黑体" w:eastAsia="仿宋_GB2312"/>
                <w:sz w:val="24"/>
              </w:rPr>
              <w:t>□因素法            □项目法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79" w:type="dxa"/>
            <w:vMerge w:val="continue"/>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项目获批额度</w:t>
            </w:r>
          </w:p>
        </w:tc>
        <w:tc>
          <w:tcPr>
            <w:tcW w:w="5904"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r>
              <w:rPr>
                <w:rFonts w:hint="eastAsia" w:ascii="仿宋_GB2312" w:hAnsi="黑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379"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绩效目标</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年度目标</w:t>
            </w:r>
          </w:p>
        </w:tc>
        <w:tc>
          <w:tcPr>
            <w:tcW w:w="5904"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长期目标</w:t>
            </w:r>
          </w:p>
        </w:tc>
        <w:tc>
          <w:tcPr>
            <w:tcW w:w="5904"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9" w:type="dxa"/>
            <w:vMerge w:val="restart"/>
            <w:tcBorders>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绩效指标</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一级指标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二级指标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三级指标</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产出指标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质量指标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时效指标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效果指标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经济效益指标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社会效益指标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生态效益指标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可持续影响指标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79"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65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服务对象满意度指标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jc w:val="left"/>
        <w:textAlignment w:val="auto"/>
        <w:rPr>
          <w:rFonts w:hint="default" w:ascii="仿宋_GB2312" w:eastAsia="仿宋_GB2312"/>
          <w:kern w:val="2"/>
          <w:sz w:val="32"/>
          <w:szCs w:val="32"/>
          <w:lang w:val="en-US" w:eastAsia="zh-CN" w:bidi="ar-SA"/>
        </w:rPr>
      </w:pPr>
    </w:p>
    <w:sectPr>
      <w:pgSz w:w="11906" w:h="16838"/>
      <w:pgMar w:top="1440" w:right="1803" w:bottom="1440" w:left="1406"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F4C63"/>
    <w:multiLevelType w:val="singleLevel"/>
    <w:tmpl w:val="568F4C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zJjY2I2Mzk3YWFkMTliZWMyN2MwYTdlZDE3ZGQifQ=="/>
  </w:docVars>
  <w:rsids>
    <w:rsidRoot w:val="60366C46"/>
    <w:rsid w:val="003C2C9E"/>
    <w:rsid w:val="030207B4"/>
    <w:rsid w:val="03A87788"/>
    <w:rsid w:val="08182D2D"/>
    <w:rsid w:val="09C72983"/>
    <w:rsid w:val="1AE60343"/>
    <w:rsid w:val="21F75A59"/>
    <w:rsid w:val="261A5634"/>
    <w:rsid w:val="294B4686"/>
    <w:rsid w:val="294E4567"/>
    <w:rsid w:val="2BB51966"/>
    <w:rsid w:val="2BFA314B"/>
    <w:rsid w:val="2CD737A5"/>
    <w:rsid w:val="323C50ED"/>
    <w:rsid w:val="32586D87"/>
    <w:rsid w:val="32694839"/>
    <w:rsid w:val="33D4653F"/>
    <w:rsid w:val="384D71CC"/>
    <w:rsid w:val="3D3312E4"/>
    <w:rsid w:val="3E1D3F58"/>
    <w:rsid w:val="3ED6747E"/>
    <w:rsid w:val="400F251F"/>
    <w:rsid w:val="42F63BA6"/>
    <w:rsid w:val="436E4D93"/>
    <w:rsid w:val="438158D9"/>
    <w:rsid w:val="454A4722"/>
    <w:rsid w:val="49EB0D9C"/>
    <w:rsid w:val="4B1632CA"/>
    <w:rsid w:val="4D33341F"/>
    <w:rsid w:val="4D692A11"/>
    <w:rsid w:val="4E0A74FA"/>
    <w:rsid w:val="535A6478"/>
    <w:rsid w:val="53B447E3"/>
    <w:rsid w:val="58331A55"/>
    <w:rsid w:val="5AE1703F"/>
    <w:rsid w:val="5C744DB6"/>
    <w:rsid w:val="5F9C0663"/>
    <w:rsid w:val="5FF614B3"/>
    <w:rsid w:val="60366C46"/>
    <w:rsid w:val="61494C56"/>
    <w:rsid w:val="6508637C"/>
    <w:rsid w:val="71082846"/>
    <w:rsid w:val="73FB24EA"/>
    <w:rsid w:val="778D0258"/>
    <w:rsid w:val="79D35734"/>
    <w:rsid w:val="7D52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Times New Roman" w:hAnsi="Times New Roman" w:eastAsia="宋体"/>
      <w:kern w:val="0"/>
      <w:sz w:val="18"/>
      <w:szCs w:val="20"/>
      <w:lang w:val="en-US" w:eastAsia="zh-CN" w:bidi="ar-SA"/>
    </w:rPr>
  </w:style>
  <w:style w:type="paragraph" w:styleId="3">
    <w:name w:val="Body Text"/>
    <w:unhideWhenUsed/>
    <w:qFormat/>
    <w:uiPriority w:val="99"/>
    <w:pPr>
      <w:widowControl w:val="0"/>
      <w:jc w:val="both"/>
    </w:pPr>
    <w:rPr>
      <w:rFonts w:ascii="Times New Roman" w:hAnsi="Times New Roman" w:eastAsia="仿宋_GB2312" w:cs="Times New Roman"/>
      <w:kern w:val="0"/>
      <w:sz w:val="18"/>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unhideWhenUsed/>
    <w:qFormat/>
    <w:uiPriority w:val="99"/>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customStyle="1" w:styleId="13">
    <w:name w:val="glyright3_ly"/>
    <w:basedOn w:val="8"/>
    <w:qFormat/>
    <w:uiPriority w:val="0"/>
    <w:rPr>
      <w:shd w:val="clear" w:fill="EDEDED"/>
    </w:rPr>
  </w:style>
  <w:style w:type="character" w:customStyle="1" w:styleId="14">
    <w:name w:val="zwfg"/>
    <w:basedOn w:val="8"/>
    <w:qFormat/>
    <w:uiPriority w:val="0"/>
    <w:rPr>
      <w:color w:val="000000"/>
      <w:sz w:val="24"/>
      <w:szCs w:val="24"/>
    </w:rPr>
  </w:style>
  <w:style w:type="paragraph" w:customStyle="1" w:styleId="15">
    <w:name w:val="UserStyle_43"/>
    <w:qFormat/>
    <w:uiPriority w:val="0"/>
    <w:pPr>
      <w:jc w:val="both"/>
      <w:textAlignment w:val="baseline"/>
    </w:pPr>
    <w:rPr>
      <w:rFonts w:ascii="Times New Roman" w:hAnsi="Times New Roman" w:eastAsia="宋体" w:cs="Arial"/>
      <w:kern w:val="2"/>
      <w:sz w:val="21"/>
      <w:szCs w:val="24"/>
      <w:lang w:val="en-US" w:eastAsia="zh-CN" w:bidi="ar-SA"/>
    </w:rPr>
  </w:style>
  <w:style w:type="paragraph" w:customStyle="1" w:styleId="16">
    <w:name w:val="正文 New"/>
    <w:next w:val="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正文文本 New"/>
    <w:basedOn w:val="16"/>
    <w:qFormat/>
    <w:uiPriority w:val="0"/>
    <w:rPr>
      <w:rFonts w:ascii="Times New Roman" w:hAnsi="Times New Roman" w:cs="Times New Roman"/>
      <w:kern w:val="0"/>
      <w:sz w:val="18"/>
      <w:szCs w:val="20"/>
    </w:rPr>
  </w:style>
  <w:style w:type="paragraph" w:customStyle="1" w:styleId="1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9">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22">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3">
    <w:name w:val="UserStyle_1"/>
    <w:qFormat/>
    <w:uiPriority w:val="0"/>
    <w:pPr>
      <w:widowControl/>
      <w:jc w:val="both"/>
      <w:textAlignment w:val="baseline"/>
    </w:pPr>
    <w:rPr>
      <w:rFonts w:ascii="Times New Roman" w:hAnsi="Times New Roman" w:eastAsia="宋体" w:cstheme="minorBidi"/>
      <w:kern w:val="2"/>
      <w:sz w:val="21"/>
      <w:szCs w:val="24"/>
      <w:lang w:val="en-US" w:eastAsia="zh-CN" w:bidi="ar-SA"/>
    </w:rPr>
  </w:style>
  <w:style w:type="character" w:customStyle="1" w:styleId="24">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1675</Words>
  <Characters>1802</Characters>
  <Lines>0</Lines>
  <Paragraphs>0</Paragraphs>
  <TotalTime>0</TotalTime>
  <ScaleCrop>false</ScaleCrop>
  <LinksUpToDate>false</LinksUpToDate>
  <CharactersWithSpaces>2087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2021-11-08T02:33:00Z</dcterms:created>
  <dc:creator>刘美辰</dc:creator>
  <cp:lastModifiedBy>狸狸</cp:lastModifiedBy>
  <cp:lastPrinted>2021-11-17T05:29:00Z</cp:lastPrinted>
  <dcterms:modified xsi:type="dcterms:W3CDTF">2023-02-20T05:58:47Z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BD960C9D0D254C5BBCB39E77A610D8BA</vt:lpwstr>
  </property>
</Properties>
</file>