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549F85">
      <w:pPr>
        <w:spacing w:beforeLines="100" w:afterLines="100"/>
        <w:jc w:val="center"/>
        <w:rPr>
          <w:rFonts w:hint="default" w:ascii="Times New Roman" w:hAnsi="Times New Roman" w:eastAsia="仿宋" w:cs="Times New Roman"/>
          <w:b/>
          <w:color w:val="auto"/>
          <w:spacing w:val="-6"/>
          <w:kern w:val="0"/>
          <w:sz w:val="48"/>
          <w:szCs w:val="48"/>
          <w:highlight w:val="none"/>
        </w:rPr>
      </w:pPr>
      <w:bookmarkStart w:id="0" w:name="_Toc288849789"/>
      <w:bookmarkStart w:id="1" w:name="_Toc283135687"/>
      <w:bookmarkStart w:id="2" w:name="_Toc288775768"/>
      <w:bookmarkStart w:id="3" w:name="_Toc380584790"/>
      <w:bookmarkStart w:id="4" w:name="_Toc454439585"/>
    </w:p>
    <w:p w14:paraId="66C04F66">
      <w:pPr>
        <w:spacing w:beforeLines="100" w:afterLines="100"/>
        <w:jc w:val="center"/>
        <w:rPr>
          <w:rFonts w:hint="eastAsia" w:ascii="Times New Roman" w:hAnsi="Times New Roman" w:eastAsia="仿宋" w:cs="Times New Roman"/>
          <w:b/>
          <w:color w:val="auto"/>
          <w:spacing w:val="-6"/>
          <w:kern w:val="0"/>
          <w:sz w:val="48"/>
          <w:szCs w:val="48"/>
          <w:highlight w:val="none"/>
          <w:lang w:eastAsia="zh-CN"/>
        </w:rPr>
      </w:pPr>
      <w:r>
        <w:rPr>
          <w:rFonts w:hint="eastAsia" w:eastAsia="仿宋" w:cs="Times New Roman"/>
          <w:b/>
          <w:color w:val="auto"/>
          <w:spacing w:val="-6"/>
          <w:kern w:val="0"/>
          <w:sz w:val="48"/>
          <w:szCs w:val="48"/>
          <w:highlight w:val="none"/>
          <w:lang w:eastAsia="zh-CN"/>
        </w:rPr>
        <w:t>吉林市晟拓工贸有限公司北大湖采石场</w:t>
      </w:r>
    </w:p>
    <w:p w14:paraId="196711B7">
      <w:pPr>
        <w:spacing w:beforeLines="100" w:afterLines="100"/>
        <w:jc w:val="center"/>
        <w:rPr>
          <w:rFonts w:hint="default" w:ascii="Times New Roman" w:hAnsi="Times New Roman" w:eastAsia="黑体" w:cs="Times New Roman"/>
          <w:color w:val="auto"/>
          <w:sz w:val="52"/>
          <w:szCs w:val="52"/>
          <w:highlight w:val="none"/>
        </w:rPr>
      </w:pPr>
      <w:r>
        <w:rPr>
          <w:rFonts w:hint="default" w:ascii="Times New Roman" w:hAnsi="Times New Roman" w:eastAsia="黑体" w:cs="Times New Roman"/>
          <w:color w:val="auto"/>
          <w:kern w:val="0"/>
          <w:sz w:val="52"/>
          <w:szCs w:val="52"/>
          <w:highlight w:val="none"/>
        </w:rPr>
        <w:t>矿山地质环境保护与土地复垦方案</w:t>
      </w:r>
    </w:p>
    <w:p w14:paraId="61D67D4C">
      <w:pPr>
        <w:rPr>
          <w:rFonts w:hint="default" w:ascii="Times New Roman" w:hAnsi="Times New Roman" w:cs="Times New Roman"/>
          <w:color w:val="auto"/>
          <w:sz w:val="44"/>
          <w:szCs w:val="44"/>
          <w:highlight w:val="none"/>
        </w:rPr>
      </w:pPr>
    </w:p>
    <w:p w14:paraId="730C8DBF">
      <w:pPr>
        <w:jc w:val="center"/>
        <w:rPr>
          <w:rFonts w:hint="default" w:ascii="Times New Roman" w:hAnsi="Times New Roman" w:cs="Times New Roman"/>
          <w:color w:val="auto"/>
          <w:sz w:val="44"/>
          <w:szCs w:val="44"/>
          <w:highlight w:val="none"/>
        </w:rPr>
      </w:pPr>
    </w:p>
    <w:p w14:paraId="73A19AD5">
      <w:pPr>
        <w:jc w:val="center"/>
        <w:rPr>
          <w:rFonts w:hint="default" w:ascii="Times New Roman" w:hAnsi="Times New Roman" w:cs="Times New Roman"/>
          <w:color w:val="auto"/>
          <w:sz w:val="44"/>
          <w:szCs w:val="44"/>
          <w:highlight w:val="none"/>
        </w:rPr>
      </w:pPr>
    </w:p>
    <w:p w14:paraId="3A8EF62C">
      <w:pPr>
        <w:jc w:val="center"/>
        <w:rPr>
          <w:rFonts w:hint="default" w:ascii="Times New Roman" w:hAnsi="Times New Roman" w:cs="Times New Roman"/>
          <w:color w:val="auto"/>
          <w:sz w:val="44"/>
          <w:szCs w:val="44"/>
          <w:highlight w:val="none"/>
        </w:rPr>
      </w:pPr>
    </w:p>
    <w:p w14:paraId="7477D786">
      <w:pPr>
        <w:pStyle w:val="14"/>
        <w:rPr>
          <w:rFonts w:hint="default"/>
          <w:color w:val="auto"/>
        </w:rPr>
      </w:pPr>
    </w:p>
    <w:p w14:paraId="4ACD9997">
      <w:pPr>
        <w:pStyle w:val="14"/>
        <w:rPr>
          <w:rFonts w:hint="default" w:ascii="Times New Roman" w:hAnsi="Times New Roman" w:cs="Times New Roman"/>
          <w:color w:val="auto"/>
          <w:sz w:val="44"/>
          <w:szCs w:val="44"/>
          <w:highlight w:val="none"/>
        </w:rPr>
      </w:pPr>
    </w:p>
    <w:p w14:paraId="3ABCF81D">
      <w:pPr>
        <w:rPr>
          <w:rFonts w:hint="default" w:ascii="Times New Roman" w:hAnsi="Times New Roman" w:cs="Times New Roman"/>
          <w:color w:val="auto"/>
          <w:sz w:val="44"/>
          <w:szCs w:val="44"/>
          <w:highlight w:val="none"/>
        </w:rPr>
      </w:pPr>
    </w:p>
    <w:p w14:paraId="521324EF">
      <w:pPr>
        <w:pStyle w:val="14"/>
        <w:rPr>
          <w:rFonts w:hint="default" w:ascii="Times New Roman" w:hAnsi="Times New Roman" w:cs="Times New Roman"/>
          <w:color w:val="auto"/>
          <w:sz w:val="44"/>
          <w:szCs w:val="44"/>
          <w:highlight w:val="none"/>
        </w:rPr>
      </w:pPr>
    </w:p>
    <w:p w14:paraId="512CF47F">
      <w:pPr>
        <w:rPr>
          <w:rFonts w:hint="default" w:ascii="Times New Roman" w:hAnsi="Times New Roman" w:cs="Times New Roman"/>
          <w:color w:val="auto"/>
          <w:sz w:val="44"/>
          <w:szCs w:val="44"/>
          <w:highlight w:val="none"/>
        </w:rPr>
      </w:pPr>
    </w:p>
    <w:p w14:paraId="5AE13B36">
      <w:pPr>
        <w:pStyle w:val="14"/>
        <w:rPr>
          <w:rFonts w:hint="default" w:ascii="Times New Roman" w:hAnsi="Times New Roman" w:cs="Times New Roman"/>
          <w:color w:val="auto"/>
          <w:highlight w:val="none"/>
        </w:rPr>
      </w:pPr>
    </w:p>
    <w:p w14:paraId="21670F18">
      <w:pPr>
        <w:rPr>
          <w:rFonts w:hint="default" w:ascii="Times New Roman" w:hAnsi="Times New Roman" w:cs="Times New Roman"/>
          <w:color w:val="auto"/>
          <w:highlight w:val="none"/>
        </w:rPr>
      </w:pPr>
    </w:p>
    <w:p w14:paraId="50AF02B8">
      <w:pPr>
        <w:pStyle w:val="14"/>
        <w:rPr>
          <w:rFonts w:hint="default" w:ascii="Times New Roman" w:hAnsi="Times New Roman" w:cs="Times New Roman"/>
          <w:color w:val="auto"/>
          <w:highlight w:val="none"/>
        </w:rPr>
      </w:pPr>
    </w:p>
    <w:p w14:paraId="2DD1C966">
      <w:pPr>
        <w:rPr>
          <w:rFonts w:hint="default" w:ascii="Times New Roman" w:hAnsi="Times New Roman" w:cs="Times New Roman"/>
          <w:color w:val="auto"/>
          <w:highlight w:val="none"/>
        </w:rPr>
      </w:pPr>
    </w:p>
    <w:p w14:paraId="41C305CC">
      <w:pPr>
        <w:jc w:val="center"/>
        <w:rPr>
          <w:rFonts w:hint="default" w:ascii="Times New Roman" w:hAnsi="Times New Roman" w:cs="Times New Roman"/>
          <w:color w:val="auto"/>
          <w:sz w:val="44"/>
          <w:szCs w:val="44"/>
          <w:highlight w:val="none"/>
        </w:rPr>
      </w:pPr>
    </w:p>
    <w:p w14:paraId="58609744">
      <w:pPr>
        <w:jc w:val="center"/>
        <w:rPr>
          <w:rFonts w:hint="default" w:ascii="Times New Roman" w:hAnsi="Times New Roman" w:cs="Times New Roman"/>
          <w:color w:val="auto"/>
          <w:sz w:val="44"/>
          <w:szCs w:val="44"/>
          <w:highlight w:val="none"/>
        </w:rPr>
      </w:pPr>
    </w:p>
    <w:p w14:paraId="37424B13">
      <w:pPr>
        <w:jc w:val="center"/>
        <w:rPr>
          <w:rFonts w:hint="default" w:ascii="Times New Roman" w:hAnsi="Times New Roman" w:cs="Times New Roman"/>
          <w:color w:val="auto"/>
          <w:sz w:val="44"/>
          <w:szCs w:val="44"/>
          <w:highlight w:val="none"/>
        </w:rPr>
      </w:pPr>
    </w:p>
    <w:p w14:paraId="35588EC4">
      <w:pPr>
        <w:jc w:val="center"/>
        <w:rPr>
          <w:rFonts w:hint="default" w:ascii="Times New Roman" w:hAnsi="Times New Roman" w:cs="Times New Roman"/>
          <w:color w:val="auto"/>
          <w:sz w:val="44"/>
          <w:szCs w:val="44"/>
          <w:highlight w:val="none"/>
        </w:rPr>
      </w:pPr>
    </w:p>
    <w:p w14:paraId="274DDB33">
      <w:pPr>
        <w:jc w:val="center"/>
        <w:rPr>
          <w:rFonts w:hint="default" w:ascii="Times New Roman" w:hAnsi="Times New Roman" w:cs="Times New Roman"/>
          <w:color w:val="auto"/>
          <w:sz w:val="44"/>
          <w:szCs w:val="44"/>
          <w:highlight w:val="none"/>
        </w:rPr>
      </w:pPr>
    </w:p>
    <w:p w14:paraId="2C693870">
      <w:pPr>
        <w:rPr>
          <w:rFonts w:hint="default" w:ascii="Times New Roman" w:hAnsi="Times New Roman" w:cs="Times New Roman"/>
          <w:color w:val="auto"/>
          <w:sz w:val="44"/>
          <w:szCs w:val="44"/>
          <w:highlight w:val="none"/>
        </w:rPr>
      </w:pPr>
    </w:p>
    <w:p w14:paraId="79018F58">
      <w:pPr>
        <w:keepNext w:val="0"/>
        <w:keepLines w:val="0"/>
        <w:pageBreakBefore w:val="0"/>
        <w:widowControl/>
        <w:kinsoku/>
        <w:wordWrap/>
        <w:overflowPunct/>
        <w:topLinePunct w:val="0"/>
        <w:autoSpaceDE/>
        <w:autoSpaceDN/>
        <w:bidi w:val="0"/>
        <w:adjustRightInd w:val="0"/>
        <w:snapToGrid/>
        <w:ind w:firstLine="0" w:firstLineChars="0"/>
        <w:jc w:val="center"/>
        <w:textAlignment w:val="auto"/>
        <w:rPr>
          <w:rFonts w:hint="default" w:ascii="Times New Roman" w:hAnsi="Times New Roman" w:eastAsia="宋体" w:cs="Times New Roman"/>
          <w:color w:val="auto"/>
          <w:sz w:val="44"/>
          <w:szCs w:val="44"/>
          <w:highlight w:val="none"/>
          <w:lang w:eastAsia="zh-CN"/>
        </w:rPr>
      </w:pPr>
      <w:r>
        <w:rPr>
          <w:rFonts w:hint="eastAsia" w:cs="Times New Roman"/>
          <w:color w:val="auto"/>
          <w:sz w:val="44"/>
          <w:szCs w:val="44"/>
          <w:highlight w:val="none"/>
          <w:lang w:eastAsia="zh-CN"/>
        </w:rPr>
        <w:t>吉林市晟拓工贸有限公司</w:t>
      </w:r>
    </w:p>
    <w:p w14:paraId="0075B192">
      <w:pPr>
        <w:keepNext w:val="0"/>
        <w:keepLines w:val="0"/>
        <w:pageBreakBefore w:val="0"/>
        <w:widowControl/>
        <w:kinsoku/>
        <w:wordWrap/>
        <w:overflowPunct/>
        <w:topLinePunct w:val="0"/>
        <w:autoSpaceDE/>
        <w:autoSpaceDN/>
        <w:bidi w:val="0"/>
        <w:adjustRightInd w:val="0"/>
        <w:snapToGrid/>
        <w:spacing w:line="360" w:lineRule="auto"/>
        <w:ind w:firstLine="0" w:firstLineChars="0"/>
        <w:jc w:val="center"/>
        <w:textAlignment w:val="auto"/>
        <w:rPr>
          <w:rFonts w:hint="default" w:ascii="Times New Roman" w:hAnsi="Times New Roman" w:cs="Times New Roman"/>
          <w:color w:val="auto"/>
          <w:sz w:val="44"/>
          <w:szCs w:val="44"/>
          <w:highlight w:val="none"/>
        </w:rPr>
      </w:pPr>
      <w:r>
        <w:rPr>
          <w:rFonts w:hint="default" w:ascii="Times New Roman" w:hAnsi="Times New Roman" w:cs="Times New Roman"/>
          <w:color w:val="auto"/>
          <w:sz w:val="44"/>
          <w:szCs w:val="44"/>
          <w:highlight w:val="none"/>
          <w:lang w:val="en-US" w:eastAsia="zh-CN"/>
        </w:rPr>
        <w:t>202</w:t>
      </w:r>
      <w:r>
        <w:rPr>
          <w:rFonts w:hint="eastAsia" w:cs="Times New Roman"/>
          <w:color w:val="auto"/>
          <w:sz w:val="44"/>
          <w:szCs w:val="44"/>
          <w:highlight w:val="none"/>
          <w:lang w:val="en-US" w:eastAsia="zh-CN"/>
        </w:rPr>
        <w:t>5</w:t>
      </w:r>
      <w:r>
        <w:rPr>
          <w:rFonts w:hint="default" w:ascii="Times New Roman" w:hAnsi="Times New Roman" w:cs="Times New Roman"/>
          <w:color w:val="auto"/>
          <w:sz w:val="44"/>
          <w:szCs w:val="44"/>
          <w:highlight w:val="none"/>
        </w:rPr>
        <w:t>年</w:t>
      </w:r>
      <w:r>
        <w:rPr>
          <w:rFonts w:hint="eastAsia" w:cs="Times New Roman"/>
          <w:color w:val="auto"/>
          <w:sz w:val="44"/>
          <w:szCs w:val="44"/>
          <w:highlight w:val="none"/>
          <w:lang w:val="en-US" w:eastAsia="zh-CN"/>
        </w:rPr>
        <w:t>5</w:t>
      </w:r>
      <w:r>
        <w:rPr>
          <w:rFonts w:hint="default" w:ascii="Times New Roman" w:hAnsi="Times New Roman" w:cs="Times New Roman"/>
          <w:color w:val="auto"/>
          <w:sz w:val="44"/>
          <w:szCs w:val="44"/>
          <w:highlight w:val="none"/>
        </w:rPr>
        <w:t>月</w:t>
      </w:r>
    </w:p>
    <w:p w14:paraId="2242EB18">
      <w:pPr>
        <w:pStyle w:val="14"/>
        <w:rPr>
          <w:rFonts w:hint="default" w:ascii="Times New Roman" w:hAnsi="Times New Roman" w:cs="Times New Roman"/>
          <w:color w:val="auto"/>
          <w:sz w:val="44"/>
          <w:szCs w:val="44"/>
          <w:highlight w:val="none"/>
        </w:rPr>
      </w:pPr>
    </w:p>
    <w:p w14:paraId="0390A22F">
      <w:pPr>
        <w:pStyle w:val="14"/>
        <w:rPr>
          <w:rFonts w:hint="default" w:ascii="Times New Roman" w:hAnsi="Times New Roman" w:cs="Times New Roman"/>
          <w:color w:val="auto"/>
          <w:sz w:val="44"/>
          <w:szCs w:val="44"/>
          <w:highlight w:val="none"/>
        </w:rPr>
      </w:pPr>
    </w:p>
    <w:p w14:paraId="64C499C9">
      <w:pPr>
        <w:pStyle w:val="14"/>
        <w:rPr>
          <w:rFonts w:hint="default" w:ascii="Times New Roman" w:hAnsi="Times New Roman" w:cs="Times New Roman"/>
          <w:color w:val="auto"/>
          <w:highlight w:val="none"/>
        </w:rPr>
      </w:pPr>
    </w:p>
    <w:p w14:paraId="2F613228">
      <w:pPr>
        <w:rPr>
          <w:rFonts w:hint="default" w:ascii="Times New Roman" w:hAnsi="Times New Roman" w:cs="Times New Roman"/>
          <w:color w:val="auto"/>
          <w:highlight w:val="none"/>
        </w:rPr>
      </w:pPr>
    </w:p>
    <w:p w14:paraId="4AD584F3">
      <w:pPr>
        <w:spacing w:beforeLines="100" w:afterLines="100"/>
        <w:jc w:val="center"/>
        <w:rPr>
          <w:rFonts w:hint="eastAsia" w:ascii="Times New Roman" w:hAnsi="Times New Roman" w:eastAsia="仿宋" w:cs="Times New Roman"/>
          <w:b/>
          <w:color w:val="auto"/>
          <w:spacing w:val="-6"/>
          <w:kern w:val="0"/>
          <w:sz w:val="48"/>
          <w:szCs w:val="48"/>
          <w:highlight w:val="none"/>
          <w:lang w:eastAsia="zh-CN"/>
        </w:rPr>
      </w:pPr>
      <w:r>
        <w:rPr>
          <w:rFonts w:hint="eastAsia" w:eastAsia="仿宋" w:cs="Times New Roman"/>
          <w:b/>
          <w:color w:val="auto"/>
          <w:spacing w:val="-6"/>
          <w:kern w:val="0"/>
          <w:sz w:val="48"/>
          <w:szCs w:val="48"/>
          <w:highlight w:val="none"/>
          <w:lang w:eastAsia="zh-CN"/>
        </w:rPr>
        <w:t>吉林市晟拓工贸有限公司北大湖采石场</w:t>
      </w:r>
    </w:p>
    <w:p w14:paraId="5735EB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color w:val="auto"/>
          <w:sz w:val="52"/>
          <w:szCs w:val="52"/>
          <w:highlight w:val="none"/>
        </w:rPr>
      </w:pPr>
      <w:r>
        <w:rPr>
          <w:rFonts w:hint="default" w:ascii="Times New Roman" w:hAnsi="Times New Roman" w:eastAsia="黑体" w:cs="Times New Roman"/>
          <w:color w:val="auto"/>
          <w:kern w:val="0"/>
          <w:sz w:val="52"/>
          <w:szCs w:val="52"/>
          <w:highlight w:val="none"/>
        </w:rPr>
        <w:t>矿山地质环境保护与土地复垦方案</w:t>
      </w:r>
    </w:p>
    <w:p w14:paraId="08F0D624">
      <w:pPr>
        <w:spacing w:before="312" w:beforeLines="100" w:after="312" w:afterLines="100"/>
        <w:jc w:val="center"/>
        <w:rPr>
          <w:rFonts w:hint="default" w:ascii="Times New Roman" w:hAnsi="Times New Roman" w:eastAsia="黑体" w:cs="Times New Roman"/>
          <w:color w:val="auto"/>
          <w:sz w:val="52"/>
          <w:szCs w:val="52"/>
          <w:highlight w:val="none"/>
        </w:rPr>
      </w:pPr>
    </w:p>
    <w:p w14:paraId="370D6E40">
      <w:pPr>
        <w:jc w:val="center"/>
        <w:rPr>
          <w:rFonts w:hint="default" w:ascii="Times New Roman" w:hAnsi="Times New Roman" w:eastAsia="黑体" w:cs="Times New Roman"/>
          <w:color w:val="auto"/>
          <w:sz w:val="52"/>
          <w:szCs w:val="52"/>
          <w:highlight w:val="none"/>
        </w:rPr>
      </w:pPr>
    </w:p>
    <w:p w14:paraId="2CDDF2CE">
      <w:pPr>
        <w:pStyle w:val="180"/>
        <w:ind w:firstLine="140" w:firstLineChars="50"/>
        <w:rPr>
          <w:rFonts w:hint="default" w:ascii="Times New Roman" w:hAnsi="Times New Roman" w:cs="Times New Roman"/>
          <w:color w:val="auto"/>
          <w:szCs w:val="28"/>
          <w:highlight w:val="none"/>
        </w:rPr>
      </w:pPr>
    </w:p>
    <w:p w14:paraId="081FC138">
      <w:pPr>
        <w:pStyle w:val="180"/>
        <w:ind w:firstLine="140" w:firstLineChars="50"/>
        <w:rPr>
          <w:rFonts w:hint="default" w:ascii="Times New Roman" w:hAnsi="Times New Roman" w:cs="Times New Roman"/>
          <w:color w:val="auto"/>
          <w:szCs w:val="28"/>
          <w:highlight w:val="none"/>
        </w:rPr>
      </w:pPr>
    </w:p>
    <w:p w14:paraId="70084200">
      <w:pPr>
        <w:pStyle w:val="180"/>
        <w:ind w:firstLine="140" w:firstLineChars="50"/>
        <w:rPr>
          <w:rFonts w:hint="default" w:ascii="Times New Roman" w:hAnsi="Times New Roman" w:cs="Times New Roman"/>
          <w:color w:val="auto"/>
          <w:szCs w:val="28"/>
          <w:highlight w:val="none"/>
        </w:rPr>
      </w:pPr>
    </w:p>
    <w:p w14:paraId="08C08DCC">
      <w:pPr>
        <w:pStyle w:val="180"/>
        <w:ind w:firstLine="140" w:firstLineChars="50"/>
        <w:rPr>
          <w:rFonts w:hint="default" w:ascii="Times New Roman" w:hAnsi="Times New Roman" w:cs="Times New Roman"/>
          <w:color w:val="auto"/>
          <w:szCs w:val="28"/>
          <w:highlight w:val="none"/>
        </w:rPr>
      </w:pPr>
    </w:p>
    <w:p w14:paraId="5E02B169">
      <w:pPr>
        <w:pStyle w:val="180"/>
        <w:ind w:firstLine="140" w:firstLineChars="50"/>
        <w:rPr>
          <w:rFonts w:hint="default" w:ascii="Times New Roman" w:hAnsi="Times New Roman" w:cs="Times New Roman"/>
          <w:color w:val="auto"/>
          <w:szCs w:val="28"/>
          <w:highlight w:val="none"/>
        </w:rPr>
      </w:pPr>
    </w:p>
    <w:p w14:paraId="5F603D83">
      <w:pPr>
        <w:pStyle w:val="180"/>
        <w:ind w:firstLine="140" w:firstLineChars="50"/>
        <w:rPr>
          <w:rFonts w:hint="default" w:ascii="Times New Roman" w:hAnsi="Times New Roman" w:cs="Times New Roman"/>
          <w:color w:val="auto"/>
          <w:szCs w:val="28"/>
          <w:highlight w:val="none"/>
        </w:rPr>
      </w:pPr>
    </w:p>
    <w:p w14:paraId="2CF018B1">
      <w:pPr>
        <w:pStyle w:val="180"/>
        <w:ind w:firstLine="140" w:firstLineChars="50"/>
        <w:rPr>
          <w:rFonts w:hint="default" w:ascii="Times New Roman" w:hAnsi="Times New Roman" w:cs="Times New Roman"/>
          <w:color w:val="auto"/>
          <w:szCs w:val="28"/>
          <w:highlight w:val="none"/>
        </w:rPr>
      </w:pPr>
    </w:p>
    <w:p w14:paraId="08C645AE">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宋体" w:cs="Times New Roman"/>
          <w:color w:val="auto"/>
          <w:sz w:val="32"/>
          <w:szCs w:val="32"/>
          <w:highlight w:val="none"/>
          <w:lang w:eastAsia="zh-CN"/>
        </w:rPr>
      </w:pPr>
      <w:r>
        <w:rPr>
          <w:rFonts w:hint="default" w:ascii="Times New Roman" w:hAnsi="Times New Roman" w:cs="Times New Roman"/>
          <w:color w:val="auto"/>
          <w:sz w:val="32"/>
          <w:szCs w:val="32"/>
          <w:highlight w:val="none"/>
        </w:rPr>
        <w:t>申报单位：</w:t>
      </w:r>
      <w:r>
        <w:rPr>
          <w:rFonts w:hint="eastAsia" w:cs="Times New Roman"/>
          <w:color w:val="auto"/>
          <w:sz w:val="32"/>
          <w:szCs w:val="32"/>
          <w:highlight w:val="none"/>
          <w:lang w:eastAsia="zh-CN"/>
        </w:rPr>
        <w:t>吉林市晟拓工贸有限公司</w:t>
      </w:r>
    </w:p>
    <w:p w14:paraId="0B2FFED2">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宋体" w:cs="Times New Roman"/>
          <w:color w:val="auto"/>
          <w:sz w:val="32"/>
          <w:szCs w:val="32"/>
          <w:highlight w:val="none"/>
          <w:lang w:val="en-US" w:eastAsia="zh-CN"/>
        </w:rPr>
      </w:pPr>
      <w:r>
        <w:rPr>
          <w:rFonts w:hint="default" w:ascii="Times New Roman" w:hAnsi="Times New Roman" w:cs="Times New Roman"/>
          <w:color w:val="auto"/>
          <w:sz w:val="32"/>
          <w:szCs w:val="32"/>
          <w:highlight w:val="none"/>
        </w:rPr>
        <w:t>法人代表：</w:t>
      </w:r>
      <w:r>
        <w:rPr>
          <w:rFonts w:hint="eastAsia" w:cs="Times New Roman"/>
          <w:color w:val="auto"/>
          <w:sz w:val="32"/>
          <w:szCs w:val="32"/>
          <w:highlight w:val="none"/>
          <w:lang w:val="en-US" w:eastAsia="zh-CN"/>
        </w:rPr>
        <w:t>李依临</w:t>
      </w:r>
    </w:p>
    <w:p w14:paraId="09EB3BE4">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宋体" w:cs="Times New Roman"/>
          <w:color w:val="auto"/>
          <w:sz w:val="32"/>
          <w:szCs w:val="32"/>
          <w:highlight w:val="none"/>
          <w:lang w:eastAsia="zh-CN"/>
        </w:rPr>
      </w:pPr>
      <w:r>
        <w:rPr>
          <w:rFonts w:hint="default" w:ascii="Times New Roman" w:hAnsi="Times New Roman" w:cs="Times New Roman"/>
          <w:color w:val="auto"/>
          <w:sz w:val="32"/>
          <w:szCs w:val="32"/>
          <w:highlight w:val="none"/>
        </w:rPr>
        <w:t>编制单位：</w:t>
      </w:r>
      <w:r>
        <w:rPr>
          <w:rFonts w:hint="default" w:ascii="Times New Roman" w:hAnsi="Times New Roman" w:cs="Times New Roman"/>
          <w:color w:val="auto"/>
          <w:spacing w:val="-10"/>
          <w:sz w:val="32"/>
          <w:szCs w:val="32"/>
          <w:highlight w:val="none"/>
          <w:lang w:eastAsia="zh-CN"/>
        </w:rPr>
        <w:t>吉林市金福源矿业勘查有限公司</w:t>
      </w:r>
    </w:p>
    <w:p w14:paraId="544251DD">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宋体" w:cs="Times New Roman"/>
          <w:color w:val="auto"/>
          <w:sz w:val="32"/>
          <w:szCs w:val="32"/>
          <w:highlight w:val="none"/>
          <w:lang w:eastAsia="zh-CN"/>
        </w:rPr>
      </w:pPr>
      <w:r>
        <w:rPr>
          <w:rFonts w:hint="default" w:ascii="Times New Roman" w:hAnsi="Times New Roman" w:cs="Times New Roman"/>
          <w:color w:val="auto"/>
          <w:sz w:val="32"/>
          <w:szCs w:val="32"/>
          <w:highlight w:val="none"/>
        </w:rPr>
        <w:t>法人代表：</w:t>
      </w:r>
      <w:r>
        <w:rPr>
          <w:rFonts w:hint="default" w:ascii="Times New Roman" w:hAnsi="Times New Roman" w:cs="Times New Roman"/>
          <w:color w:val="auto"/>
          <w:sz w:val="32"/>
          <w:szCs w:val="32"/>
          <w:highlight w:val="none"/>
          <w:lang w:eastAsia="zh-CN"/>
        </w:rPr>
        <w:t>迟岩</w:t>
      </w:r>
    </w:p>
    <w:p w14:paraId="5CA3D7C8">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宋体" w:cs="Times New Roman"/>
          <w:color w:val="auto"/>
          <w:sz w:val="32"/>
          <w:szCs w:val="32"/>
          <w:highlight w:val="none"/>
          <w:lang w:val="en-US" w:eastAsia="zh-CN"/>
        </w:rPr>
      </w:pPr>
      <w:r>
        <w:rPr>
          <w:rFonts w:hint="default" w:ascii="Times New Roman" w:hAnsi="Times New Roman" w:cs="Times New Roman"/>
          <w:color w:val="auto"/>
          <w:sz w:val="32"/>
          <w:szCs w:val="32"/>
          <w:highlight w:val="none"/>
        </w:rPr>
        <w:t>总工程师：</w:t>
      </w:r>
      <w:r>
        <w:rPr>
          <w:rFonts w:hint="default" w:ascii="Times New Roman" w:hAnsi="Times New Roman" w:cs="Times New Roman"/>
          <w:color w:val="auto"/>
          <w:sz w:val="32"/>
          <w:szCs w:val="32"/>
          <w:highlight w:val="none"/>
          <w:lang w:val="en-US" w:eastAsia="zh-CN"/>
        </w:rPr>
        <w:t>钱丽萍</w:t>
      </w:r>
    </w:p>
    <w:p w14:paraId="58842D3D">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宋体" w:cs="Times New Roman"/>
          <w:color w:val="auto"/>
          <w:sz w:val="32"/>
          <w:szCs w:val="32"/>
          <w:highlight w:val="none"/>
          <w:lang w:val="en-US" w:eastAsia="zh-CN"/>
        </w:rPr>
      </w:pPr>
      <w:r>
        <w:rPr>
          <w:rFonts w:hint="default" w:ascii="Times New Roman" w:hAnsi="Times New Roman" w:cs="Times New Roman"/>
          <w:color w:val="auto"/>
          <w:sz w:val="32"/>
          <w:szCs w:val="32"/>
          <w:highlight w:val="none"/>
        </w:rPr>
        <w:t>项目负责人：</w:t>
      </w:r>
      <w:r>
        <w:rPr>
          <w:rFonts w:hint="default" w:ascii="Times New Roman" w:hAnsi="Times New Roman" w:cs="Times New Roman"/>
          <w:color w:val="auto"/>
          <w:sz w:val="32"/>
          <w:szCs w:val="32"/>
          <w:highlight w:val="none"/>
          <w:lang w:val="en-US" w:eastAsia="zh-CN"/>
        </w:rPr>
        <w:t>钱丽萍</w:t>
      </w:r>
    </w:p>
    <w:p w14:paraId="72C71DA4">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cs="Times New Roman"/>
          <w:color w:val="auto"/>
          <w:sz w:val="32"/>
          <w:szCs w:val="32"/>
          <w:highlight w:val="none"/>
          <w:lang w:val="en-US" w:eastAsia="zh-CN"/>
        </w:rPr>
      </w:pPr>
      <w:r>
        <w:rPr>
          <w:rFonts w:hint="default" w:ascii="Times New Roman" w:hAnsi="Times New Roman" w:cs="Times New Roman"/>
          <w:color w:val="auto"/>
          <w:sz w:val="32"/>
          <w:szCs w:val="32"/>
          <w:highlight w:val="none"/>
        </w:rPr>
        <w:t>编写人员：</w:t>
      </w:r>
      <w:r>
        <w:rPr>
          <w:rFonts w:hint="default" w:ascii="Times New Roman" w:hAnsi="Times New Roman" w:cs="Times New Roman"/>
          <w:color w:val="auto"/>
          <w:sz w:val="32"/>
          <w:szCs w:val="32"/>
          <w:highlight w:val="none"/>
          <w:lang w:val="en-US" w:eastAsia="zh-CN"/>
        </w:rPr>
        <w:t>施旭</w:t>
      </w:r>
      <w:r>
        <w:rPr>
          <w:rFonts w:hint="eastAsia" w:cs="Times New Roman"/>
          <w:color w:val="auto"/>
          <w:sz w:val="32"/>
          <w:szCs w:val="32"/>
          <w:highlight w:val="none"/>
          <w:lang w:val="en-US" w:eastAsia="zh-CN"/>
        </w:rPr>
        <w:t xml:space="preserve">   丁健</w:t>
      </w:r>
      <w:r>
        <w:rPr>
          <w:rFonts w:hint="default" w:ascii="Times New Roman" w:hAnsi="Times New Roman" w:cs="Times New Roman"/>
          <w:color w:val="auto"/>
          <w:sz w:val="32"/>
          <w:szCs w:val="32"/>
          <w:highlight w:val="none"/>
          <w:lang w:val="en-US" w:eastAsia="zh-CN"/>
        </w:rPr>
        <w:t xml:space="preserve">    </w:t>
      </w:r>
      <w:r>
        <w:rPr>
          <w:rFonts w:hint="eastAsia" w:cs="Times New Roman"/>
          <w:color w:val="auto"/>
          <w:sz w:val="32"/>
          <w:szCs w:val="32"/>
          <w:highlight w:val="none"/>
          <w:lang w:val="en-US" w:eastAsia="zh-CN"/>
        </w:rPr>
        <w:t>梁菲</w:t>
      </w:r>
    </w:p>
    <w:p w14:paraId="5867BCE8">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sz w:val="32"/>
          <w:szCs w:val="32"/>
          <w:highlight w:val="none"/>
        </w:rPr>
        <w:t>制图人员：</w:t>
      </w:r>
      <w:r>
        <w:rPr>
          <w:rFonts w:hint="default" w:ascii="Times New Roman" w:hAnsi="Times New Roman" w:cs="Times New Roman"/>
          <w:color w:val="auto"/>
          <w:sz w:val="32"/>
          <w:szCs w:val="32"/>
          <w:highlight w:val="none"/>
          <w:lang w:val="en-US" w:eastAsia="zh-CN"/>
        </w:rPr>
        <w:t>施旭</w:t>
      </w:r>
    </w:p>
    <w:p w14:paraId="6CB54419">
      <w:pPr>
        <w:spacing w:line="360" w:lineRule="auto"/>
        <w:ind w:left="420" w:leftChars="200" w:firstLine="0" w:firstLineChars="0"/>
        <w:rPr>
          <w:rFonts w:hint="default" w:ascii="Times New Roman" w:hAnsi="Times New Roman" w:cs="Times New Roman"/>
          <w:color w:val="auto"/>
          <w:sz w:val="32"/>
          <w:szCs w:val="32"/>
          <w:highlight w:val="none"/>
          <w:lang w:val="en-US" w:eastAsia="zh-CN"/>
        </w:rPr>
      </w:pPr>
    </w:p>
    <w:p w14:paraId="02094F64">
      <w:pPr>
        <w:spacing w:line="360" w:lineRule="auto"/>
        <w:rPr>
          <w:rFonts w:hint="default" w:ascii="Times New Roman" w:hAnsi="Times New Roman" w:cs="Times New Roman"/>
          <w:color w:val="auto"/>
          <w:sz w:val="32"/>
          <w:szCs w:val="32"/>
          <w:highlight w:val="none"/>
        </w:rPr>
        <w:sectPr>
          <w:pgSz w:w="11906" w:h="16838"/>
          <w:pgMar w:top="1440" w:right="1701" w:bottom="1440" w:left="1701" w:header="851" w:footer="992" w:gutter="0"/>
          <w:pgBorders w:offsetFrom="page">
            <w:top w:val="none" w:sz="0" w:space="0"/>
            <w:left w:val="none" w:sz="0" w:space="0"/>
            <w:bottom w:val="none" w:sz="0" w:space="0"/>
            <w:right w:val="none" w:sz="0" w:space="0"/>
          </w:pgBorders>
          <w:pgNumType w:fmt="numberInDash" w:start="1"/>
          <w:cols w:space="720" w:num="1"/>
          <w:titlePg/>
          <w:docGrid w:linePitch="312" w:charSpace="0"/>
        </w:sectPr>
      </w:pPr>
    </w:p>
    <w:p w14:paraId="359DD622">
      <w:pPr>
        <w:spacing w:after="240"/>
        <w:jc w:val="center"/>
        <w:rPr>
          <w:rFonts w:hint="default" w:ascii="Times New Roman" w:hAnsi="Times New Roman" w:cs="Times New Roman"/>
          <w:b/>
          <w:color w:val="auto"/>
          <w:kern w:val="1"/>
          <w:sz w:val="32"/>
          <w:szCs w:val="32"/>
          <w:highlight w:val="none"/>
        </w:rPr>
      </w:pPr>
      <w:r>
        <w:rPr>
          <w:rFonts w:hint="default" w:ascii="Times New Roman" w:hAnsi="Times New Roman" w:cs="Times New Roman"/>
          <w:b/>
          <w:color w:val="auto"/>
          <w:kern w:val="1"/>
          <w:sz w:val="32"/>
          <w:szCs w:val="32"/>
          <w:highlight w:val="none"/>
        </w:rPr>
        <w:t>矿山地质环境保护与土地复垦方案信息表</w:t>
      </w:r>
    </w:p>
    <w:tbl>
      <w:tblPr>
        <w:tblStyle w:val="34"/>
        <w:tblW w:w="8758" w:type="dxa"/>
        <w:tblInd w:w="0" w:type="dxa"/>
        <w:tblLayout w:type="fixed"/>
        <w:tblCellMar>
          <w:top w:w="0" w:type="dxa"/>
          <w:left w:w="108" w:type="dxa"/>
          <w:bottom w:w="0" w:type="dxa"/>
          <w:right w:w="108" w:type="dxa"/>
        </w:tblCellMar>
      </w:tblPr>
      <w:tblGrid>
        <w:gridCol w:w="817"/>
        <w:gridCol w:w="1556"/>
        <w:gridCol w:w="1474"/>
        <w:gridCol w:w="797"/>
        <w:gridCol w:w="1985"/>
        <w:gridCol w:w="237"/>
        <w:gridCol w:w="1892"/>
      </w:tblGrid>
      <w:tr w14:paraId="358FF354">
        <w:tblPrEx>
          <w:tblCellMar>
            <w:top w:w="0" w:type="dxa"/>
            <w:left w:w="108" w:type="dxa"/>
            <w:bottom w:w="0" w:type="dxa"/>
            <w:right w:w="108" w:type="dxa"/>
          </w:tblCellMar>
        </w:tblPrEx>
        <w:trPr>
          <w:trHeight w:val="510" w:hRule="exact"/>
        </w:trPr>
        <w:tc>
          <w:tcPr>
            <w:tcW w:w="817" w:type="dxa"/>
            <w:vMerge w:val="restart"/>
            <w:tcBorders>
              <w:top w:val="single" w:color="000000" w:sz="4" w:space="0"/>
              <w:left w:val="single" w:color="000000" w:sz="4" w:space="0"/>
              <w:bottom w:val="single" w:color="000000" w:sz="4" w:space="0"/>
              <w:right w:val="single" w:color="000000" w:sz="4" w:space="0"/>
            </w:tcBorders>
            <w:noWrap w:val="0"/>
            <w:vAlign w:val="center"/>
          </w:tcPr>
          <w:p w14:paraId="1E4A7D30">
            <w:pPr>
              <w:spacing w:line="360" w:lineRule="auto"/>
              <w:jc w:val="center"/>
              <w:rPr>
                <w:rFonts w:hint="default" w:ascii="Times New Roman" w:hAnsi="Times New Roman" w:cs="Times New Roman"/>
                <w:color w:val="auto"/>
                <w:kern w:val="1"/>
                <w:sz w:val="24"/>
                <w:highlight w:val="none"/>
              </w:rPr>
            </w:pPr>
            <w:r>
              <w:rPr>
                <w:rFonts w:hint="default" w:ascii="Times New Roman" w:hAnsi="Times New Roman" w:cs="Times New Roman"/>
                <w:color w:val="auto"/>
                <w:kern w:val="1"/>
                <w:sz w:val="24"/>
                <w:highlight w:val="none"/>
              </w:rPr>
              <w:t>矿</w:t>
            </w:r>
          </w:p>
          <w:p w14:paraId="201521B5">
            <w:pPr>
              <w:spacing w:line="360" w:lineRule="auto"/>
              <w:jc w:val="center"/>
              <w:rPr>
                <w:rFonts w:hint="default" w:ascii="Times New Roman" w:hAnsi="Times New Roman" w:cs="Times New Roman"/>
                <w:color w:val="auto"/>
                <w:kern w:val="1"/>
                <w:sz w:val="24"/>
                <w:highlight w:val="none"/>
              </w:rPr>
            </w:pPr>
            <w:r>
              <w:rPr>
                <w:rFonts w:hint="default" w:ascii="Times New Roman" w:hAnsi="Times New Roman" w:cs="Times New Roman"/>
                <w:color w:val="auto"/>
                <w:kern w:val="1"/>
                <w:sz w:val="24"/>
                <w:highlight w:val="none"/>
              </w:rPr>
              <w:t>山</w:t>
            </w:r>
          </w:p>
          <w:p w14:paraId="51548475">
            <w:pPr>
              <w:spacing w:line="360" w:lineRule="auto"/>
              <w:jc w:val="center"/>
              <w:rPr>
                <w:rFonts w:hint="default" w:ascii="Times New Roman" w:hAnsi="Times New Roman" w:cs="Times New Roman"/>
                <w:color w:val="auto"/>
                <w:kern w:val="1"/>
                <w:sz w:val="24"/>
                <w:highlight w:val="none"/>
              </w:rPr>
            </w:pPr>
            <w:r>
              <w:rPr>
                <w:rFonts w:hint="default" w:ascii="Times New Roman" w:hAnsi="Times New Roman" w:cs="Times New Roman"/>
                <w:color w:val="auto"/>
                <w:kern w:val="1"/>
                <w:sz w:val="24"/>
                <w:highlight w:val="none"/>
              </w:rPr>
              <w:t>企</w:t>
            </w:r>
          </w:p>
          <w:p w14:paraId="34D99E04">
            <w:pPr>
              <w:spacing w:line="360" w:lineRule="auto"/>
              <w:jc w:val="center"/>
              <w:rPr>
                <w:rFonts w:hint="default" w:ascii="Times New Roman" w:hAnsi="Times New Roman" w:cs="Times New Roman"/>
                <w:color w:val="auto"/>
                <w:kern w:val="1"/>
                <w:sz w:val="24"/>
                <w:highlight w:val="none"/>
              </w:rPr>
            </w:pPr>
            <w:r>
              <w:rPr>
                <w:rFonts w:hint="default" w:ascii="Times New Roman" w:hAnsi="Times New Roman" w:cs="Times New Roman"/>
                <w:color w:val="auto"/>
                <w:kern w:val="1"/>
                <w:sz w:val="24"/>
                <w:highlight w:val="none"/>
              </w:rPr>
              <w:t>业</w:t>
            </w:r>
          </w:p>
        </w:tc>
        <w:tc>
          <w:tcPr>
            <w:tcW w:w="1556" w:type="dxa"/>
            <w:tcBorders>
              <w:top w:val="single" w:color="000000" w:sz="4" w:space="0"/>
              <w:left w:val="single" w:color="000000" w:sz="4" w:space="0"/>
              <w:bottom w:val="single" w:color="000000" w:sz="4" w:space="0"/>
              <w:right w:val="single" w:color="000000" w:sz="4" w:space="0"/>
            </w:tcBorders>
            <w:noWrap w:val="0"/>
            <w:vAlign w:val="center"/>
          </w:tcPr>
          <w:p w14:paraId="4174021D">
            <w:pPr>
              <w:jc w:val="center"/>
              <w:rPr>
                <w:rFonts w:hint="default" w:ascii="Times New Roman" w:hAnsi="Times New Roman" w:cs="Times New Roman"/>
                <w:color w:val="auto"/>
                <w:kern w:val="1"/>
                <w:sz w:val="24"/>
                <w:highlight w:val="none"/>
              </w:rPr>
            </w:pPr>
            <w:r>
              <w:rPr>
                <w:rFonts w:hint="default" w:ascii="Times New Roman" w:hAnsi="Times New Roman" w:cs="Times New Roman"/>
                <w:color w:val="auto"/>
                <w:kern w:val="1"/>
                <w:sz w:val="24"/>
                <w:highlight w:val="none"/>
              </w:rPr>
              <w:t>企业名称</w:t>
            </w:r>
          </w:p>
        </w:tc>
        <w:tc>
          <w:tcPr>
            <w:tcW w:w="6385" w:type="dxa"/>
            <w:gridSpan w:val="5"/>
            <w:tcBorders>
              <w:top w:val="single" w:color="000000" w:sz="4" w:space="0"/>
              <w:left w:val="single" w:color="000000" w:sz="4" w:space="0"/>
              <w:bottom w:val="single" w:color="000000" w:sz="4" w:space="0"/>
              <w:right w:val="single" w:color="000000" w:sz="4" w:space="0"/>
            </w:tcBorders>
            <w:noWrap w:val="0"/>
            <w:vAlign w:val="center"/>
          </w:tcPr>
          <w:p w14:paraId="593BE4F8">
            <w:pPr>
              <w:jc w:val="center"/>
              <w:rPr>
                <w:rFonts w:hint="eastAsia" w:ascii="Times New Roman" w:hAnsi="Times New Roman" w:eastAsia="宋体" w:cs="Times New Roman"/>
                <w:color w:val="auto"/>
                <w:kern w:val="1"/>
                <w:sz w:val="24"/>
                <w:highlight w:val="none"/>
                <w:lang w:eastAsia="zh-CN"/>
              </w:rPr>
            </w:pPr>
            <w:r>
              <w:rPr>
                <w:rFonts w:hint="eastAsia" w:cs="Times New Roman"/>
                <w:color w:val="auto"/>
                <w:kern w:val="1"/>
                <w:sz w:val="24"/>
                <w:highlight w:val="none"/>
                <w:lang w:eastAsia="zh-CN"/>
              </w:rPr>
              <w:t>吉林市晟拓工贸有限公司</w:t>
            </w:r>
          </w:p>
        </w:tc>
      </w:tr>
      <w:tr w14:paraId="52E8A700">
        <w:tblPrEx>
          <w:tblCellMar>
            <w:top w:w="0" w:type="dxa"/>
            <w:left w:w="108" w:type="dxa"/>
            <w:bottom w:w="0" w:type="dxa"/>
            <w:right w:w="108" w:type="dxa"/>
          </w:tblCellMar>
        </w:tblPrEx>
        <w:trPr>
          <w:trHeight w:val="510" w:hRule="exact"/>
        </w:trPr>
        <w:tc>
          <w:tcPr>
            <w:tcW w:w="817" w:type="dxa"/>
            <w:vMerge w:val="continue"/>
            <w:tcBorders>
              <w:top w:val="single" w:color="000000" w:sz="4" w:space="0"/>
              <w:left w:val="single" w:color="000000" w:sz="4" w:space="0"/>
              <w:bottom w:val="single" w:color="000000" w:sz="4" w:space="0"/>
              <w:right w:val="single" w:color="000000" w:sz="4" w:space="0"/>
            </w:tcBorders>
            <w:noWrap w:val="0"/>
            <w:vAlign w:val="top"/>
          </w:tcPr>
          <w:p w14:paraId="7F959CC7">
            <w:pPr>
              <w:jc w:val="left"/>
              <w:rPr>
                <w:rFonts w:hint="default" w:ascii="Times New Roman" w:hAnsi="Times New Roman" w:cs="Times New Roman"/>
                <w:color w:val="auto"/>
                <w:kern w:val="1"/>
                <w:sz w:val="24"/>
                <w:highlight w:val="red"/>
              </w:rPr>
            </w:pPr>
          </w:p>
        </w:tc>
        <w:tc>
          <w:tcPr>
            <w:tcW w:w="1556" w:type="dxa"/>
            <w:tcBorders>
              <w:top w:val="single" w:color="000000" w:sz="4" w:space="0"/>
              <w:left w:val="single" w:color="000000" w:sz="4" w:space="0"/>
              <w:bottom w:val="single" w:color="000000" w:sz="4" w:space="0"/>
              <w:right w:val="single" w:color="000000" w:sz="4" w:space="0"/>
            </w:tcBorders>
            <w:noWrap w:val="0"/>
            <w:vAlign w:val="center"/>
          </w:tcPr>
          <w:p w14:paraId="39B1C12A">
            <w:pPr>
              <w:jc w:val="center"/>
              <w:rPr>
                <w:rFonts w:hint="default" w:ascii="Times New Roman" w:hAnsi="Times New Roman" w:cs="Times New Roman"/>
                <w:color w:val="auto"/>
                <w:kern w:val="1"/>
                <w:sz w:val="24"/>
                <w:highlight w:val="none"/>
              </w:rPr>
            </w:pPr>
            <w:r>
              <w:rPr>
                <w:rFonts w:hint="default" w:ascii="Times New Roman" w:hAnsi="Times New Roman" w:cs="Times New Roman"/>
                <w:color w:val="auto"/>
                <w:kern w:val="1"/>
                <w:sz w:val="24"/>
                <w:highlight w:val="none"/>
              </w:rPr>
              <w:t>法人代表</w:t>
            </w:r>
          </w:p>
        </w:tc>
        <w:tc>
          <w:tcPr>
            <w:tcW w:w="2271" w:type="dxa"/>
            <w:gridSpan w:val="2"/>
            <w:tcBorders>
              <w:top w:val="single" w:color="000000" w:sz="4" w:space="0"/>
              <w:left w:val="single" w:color="000000" w:sz="4" w:space="0"/>
              <w:bottom w:val="single" w:color="000000" w:sz="4" w:space="0"/>
              <w:right w:val="single" w:color="000000" w:sz="4" w:space="0"/>
            </w:tcBorders>
            <w:noWrap w:val="0"/>
            <w:vAlign w:val="center"/>
          </w:tcPr>
          <w:p w14:paraId="62345979">
            <w:pPr>
              <w:jc w:val="center"/>
              <w:rPr>
                <w:rFonts w:hint="default" w:ascii="Times New Roman" w:hAnsi="Times New Roman" w:cs="Times New Roman"/>
                <w:color w:val="auto"/>
                <w:kern w:val="1"/>
                <w:sz w:val="24"/>
                <w:highlight w:val="none"/>
                <w:lang w:val="en-US" w:eastAsia="zh-CN"/>
              </w:rPr>
            </w:pPr>
            <w:r>
              <w:rPr>
                <w:rFonts w:hint="eastAsia" w:cs="Times New Roman"/>
                <w:color w:val="auto"/>
                <w:kern w:val="1"/>
                <w:sz w:val="24"/>
                <w:highlight w:val="none"/>
                <w:lang w:val="en-US" w:eastAsia="zh-CN"/>
              </w:rPr>
              <w:t>李依临</w:t>
            </w:r>
          </w:p>
        </w:tc>
        <w:tc>
          <w:tcPr>
            <w:tcW w:w="1985" w:type="dxa"/>
            <w:tcBorders>
              <w:top w:val="single" w:color="000000" w:sz="4" w:space="0"/>
              <w:left w:val="single" w:color="000000" w:sz="4" w:space="0"/>
              <w:bottom w:val="single" w:color="000000" w:sz="4" w:space="0"/>
              <w:right w:val="single" w:color="000000" w:sz="4" w:space="0"/>
            </w:tcBorders>
            <w:noWrap w:val="0"/>
            <w:vAlign w:val="center"/>
          </w:tcPr>
          <w:p w14:paraId="7B683C20">
            <w:pPr>
              <w:jc w:val="center"/>
              <w:rPr>
                <w:rFonts w:hint="default" w:ascii="Times New Roman" w:hAnsi="Times New Roman" w:cs="Times New Roman"/>
                <w:color w:val="auto"/>
                <w:kern w:val="1"/>
                <w:sz w:val="24"/>
                <w:highlight w:val="red"/>
              </w:rPr>
            </w:pPr>
            <w:r>
              <w:rPr>
                <w:rFonts w:hint="default" w:ascii="Times New Roman" w:hAnsi="Times New Roman" w:cs="Times New Roman"/>
                <w:color w:val="auto"/>
                <w:kern w:val="1"/>
                <w:sz w:val="24"/>
                <w:highlight w:val="none"/>
              </w:rPr>
              <w:t>联系电话</w:t>
            </w:r>
          </w:p>
        </w:tc>
        <w:tc>
          <w:tcPr>
            <w:tcW w:w="2129" w:type="dxa"/>
            <w:gridSpan w:val="2"/>
            <w:tcBorders>
              <w:top w:val="single" w:color="000000" w:sz="4" w:space="0"/>
              <w:left w:val="single" w:color="000000" w:sz="4" w:space="0"/>
              <w:bottom w:val="single" w:color="000000" w:sz="4" w:space="0"/>
              <w:right w:val="single" w:color="000000" w:sz="4" w:space="0"/>
            </w:tcBorders>
            <w:noWrap w:val="0"/>
            <w:vAlign w:val="center"/>
          </w:tcPr>
          <w:p w14:paraId="03C2FF90">
            <w:pPr>
              <w:jc w:val="center"/>
              <w:rPr>
                <w:rFonts w:hint="default" w:ascii="Times New Roman" w:hAnsi="Times New Roman" w:eastAsia="宋体" w:cs="Times New Roman"/>
                <w:color w:val="auto"/>
                <w:kern w:val="1"/>
                <w:sz w:val="24"/>
                <w:highlight w:val="red"/>
                <w:lang w:val="en-US" w:eastAsia="zh-CN"/>
              </w:rPr>
            </w:pPr>
            <w:r>
              <w:rPr>
                <w:rFonts w:hint="eastAsia" w:cs="Times New Roman"/>
                <w:color w:val="auto"/>
                <w:kern w:val="1"/>
                <w:sz w:val="24"/>
                <w:highlight w:val="none"/>
                <w:lang w:val="en-US" w:eastAsia="zh-CN"/>
              </w:rPr>
              <w:t>18686588795</w:t>
            </w:r>
          </w:p>
        </w:tc>
      </w:tr>
      <w:tr w14:paraId="19FA9D23">
        <w:tblPrEx>
          <w:tblCellMar>
            <w:top w:w="0" w:type="dxa"/>
            <w:left w:w="108" w:type="dxa"/>
            <w:bottom w:w="0" w:type="dxa"/>
            <w:right w:w="108" w:type="dxa"/>
          </w:tblCellMar>
        </w:tblPrEx>
        <w:trPr>
          <w:trHeight w:val="510" w:hRule="exact"/>
        </w:trPr>
        <w:tc>
          <w:tcPr>
            <w:tcW w:w="817" w:type="dxa"/>
            <w:vMerge w:val="continue"/>
            <w:tcBorders>
              <w:top w:val="single" w:color="000000" w:sz="4" w:space="0"/>
              <w:left w:val="single" w:color="000000" w:sz="4" w:space="0"/>
              <w:bottom w:val="single" w:color="000000" w:sz="4" w:space="0"/>
              <w:right w:val="single" w:color="000000" w:sz="4" w:space="0"/>
            </w:tcBorders>
            <w:noWrap w:val="0"/>
            <w:vAlign w:val="top"/>
          </w:tcPr>
          <w:p w14:paraId="0D87D829">
            <w:pPr>
              <w:jc w:val="left"/>
              <w:rPr>
                <w:rFonts w:hint="default" w:ascii="Times New Roman" w:hAnsi="Times New Roman" w:cs="Times New Roman"/>
                <w:color w:val="auto"/>
                <w:kern w:val="1"/>
                <w:sz w:val="28"/>
                <w:szCs w:val="28"/>
                <w:highlight w:val="none"/>
              </w:rPr>
            </w:pPr>
          </w:p>
        </w:tc>
        <w:tc>
          <w:tcPr>
            <w:tcW w:w="1556" w:type="dxa"/>
            <w:tcBorders>
              <w:top w:val="single" w:color="000000" w:sz="4" w:space="0"/>
              <w:left w:val="single" w:color="000000" w:sz="4" w:space="0"/>
              <w:bottom w:val="single" w:color="000000" w:sz="4" w:space="0"/>
              <w:right w:val="single" w:color="000000" w:sz="4" w:space="0"/>
            </w:tcBorders>
            <w:noWrap w:val="0"/>
            <w:vAlign w:val="center"/>
          </w:tcPr>
          <w:p w14:paraId="007AFAC8">
            <w:pPr>
              <w:jc w:val="center"/>
              <w:rPr>
                <w:rFonts w:hint="default" w:ascii="Times New Roman" w:hAnsi="Times New Roman" w:cs="Times New Roman"/>
                <w:color w:val="auto"/>
                <w:kern w:val="1"/>
                <w:sz w:val="24"/>
                <w:highlight w:val="none"/>
              </w:rPr>
            </w:pPr>
            <w:r>
              <w:rPr>
                <w:rFonts w:hint="default" w:ascii="Times New Roman" w:hAnsi="Times New Roman" w:cs="Times New Roman"/>
                <w:color w:val="auto"/>
                <w:kern w:val="1"/>
                <w:sz w:val="24"/>
                <w:highlight w:val="none"/>
              </w:rPr>
              <w:t>单位地址</w:t>
            </w:r>
          </w:p>
        </w:tc>
        <w:tc>
          <w:tcPr>
            <w:tcW w:w="6385" w:type="dxa"/>
            <w:gridSpan w:val="5"/>
            <w:tcBorders>
              <w:top w:val="single" w:color="000000" w:sz="4" w:space="0"/>
              <w:left w:val="single" w:color="000000" w:sz="4" w:space="0"/>
              <w:bottom w:val="single" w:color="000000" w:sz="4" w:space="0"/>
              <w:right w:val="single" w:color="000000" w:sz="4" w:space="0"/>
            </w:tcBorders>
            <w:noWrap w:val="0"/>
            <w:vAlign w:val="center"/>
          </w:tcPr>
          <w:p w14:paraId="0830E746">
            <w:pPr>
              <w:jc w:val="center"/>
              <w:rPr>
                <w:rFonts w:hint="default" w:ascii="Times New Roman" w:hAnsi="Times New Roman" w:eastAsia="宋体" w:cs="Times New Roman"/>
                <w:color w:val="auto"/>
                <w:kern w:val="1"/>
                <w:sz w:val="24"/>
                <w:highlight w:val="none"/>
                <w:lang w:val="en-US" w:eastAsia="zh-CN"/>
              </w:rPr>
            </w:pPr>
            <w:r>
              <w:rPr>
                <w:rFonts w:hint="eastAsia" w:cs="Times New Roman"/>
                <w:color w:val="auto"/>
                <w:kern w:val="1"/>
                <w:sz w:val="24"/>
                <w:highlight w:val="none"/>
                <w:lang w:val="en-US" w:eastAsia="zh-CN"/>
              </w:rPr>
              <w:t>吉林省永吉县北大湖镇</w:t>
            </w:r>
          </w:p>
        </w:tc>
      </w:tr>
      <w:tr w14:paraId="207A12E8">
        <w:tblPrEx>
          <w:tblCellMar>
            <w:top w:w="0" w:type="dxa"/>
            <w:left w:w="108" w:type="dxa"/>
            <w:bottom w:w="0" w:type="dxa"/>
            <w:right w:w="108" w:type="dxa"/>
          </w:tblCellMar>
        </w:tblPrEx>
        <w:trPr>
          <w:trHeight w:val="510" w:hRule="exact"/>
        </w:trPr>
        <w:tc>
          <w:tcPr>
            <w:tcW w:w="817" w:type="dxa"/>
            <w:vMerge w:val="continue"/>
            <w:tcBorders>
              <w:top w:val="single" w:color="000000" w:sz="4" w:space="0"/>
              <w:left w:val="single" w:color="000000" w:sz="4" w:space="0"/>
              <w:bottom w:val="single" w:color="000000" w:sz="4" w:space="0"/>
              <w:right w:val="single" w:color="000000" w:sz="4" w:space="0"/>
            </w:tcBorders>
            <w:noWrap w:val="0"/>
            <w:vAlign w:val="top"/>
          </w:tcPr>
          <w:p w14:paraId="5EEB5386">
            <w:pPr>
              <w:jc w:val="left"/>
              <w:rPr>
                <w:rFonts w:hint="default" w:ascii="Times New Roman" w:hAnsi="Times New Roman" w:cs="Times New Roman"/>
                <w:color w:val="auto"/>
                <w:kern w:val="1"/>
                <w:sz w:val="24"/>
                <w:highlight w:val="none"/>
              </w:rPr>
            </w:pPr>
          </w:p>
        </w:tc>
        <w:tc>
          <w:tcPr>
            <w:tcW w:w="1556" w:type="dxa"/>
            <w:tcBorders>
              <w:top w:val="single" w:color="000000" w:sz="4" w:space="0"/>
              <w:left w:val="single" w:color="000000" w:sz="4" w:space="0"/>
              <w:bottom w:val="single" w:color="000000" w:sz="4" w:space="0"/>
              <w:right w:val="single" w:color="000000" w:sz="4" w:space="0"/>
            </w:tcBorders>
            <w:noWrap w:val="0"/>
            <w:vAlign w:val="center"/>
          </w:tcPr>
          <w:p w14:paraId="04A01700">
            <w:pPr>
              <w:jc w:val="center"/>
              <w:rPr>
                <w:rFonts w:hint="default" w:ascii="Times New Roman" w:hAnsi="Times New Roman" w:cs="Times New Roman"/>
                <w:color w:val="auto"/>
                <w:kern w:val="1"/>
                <w:sz w:val="24"/>
                <w:highlight w:val="none"/>
              </w:rPr>
            </w:pPr>
            <w:r>
              <w:rPr>
                <w:rFonts w:hint="default" w:ascii="Times New Roman" w:hAnsi="Times New Roman" w:cs="Times New Roman"/>
                <w:color w:val="auto"/>
                <w:kern w:val="1"/>
                <w:sz w:val="24"/>
                <w:highlight w:val="none"/>
              </w:rPr>
              <w:t>矿山名称</w:t>
            </w:r>
          </w:p>
        </w:tc>
        <w:tc>
          <w:tcPr>
            <w:tcW w:w="6385" w:type="dxa"/>
            <w:gridSpan w:val="5"/>
            <w:tcBorders>
              <w:top w:val="single" w:color="000000" w:sz="4" w:space="0"/>
              <w:left w:val="single" w:color="000000" w:sz="4" w:space="0"/>
              <w:bottom w:val="single" w:color="000000" w:sz="4" w:space="0"/>
              <w:right w:val="single" w:color="000000" w:sz="4" w:space="0"/>
            </w:tcBorders>
            <w:noWrap w:val="0"/>
            <w:vAlign w:val="center"/>
          </w:tcPr>
          <w:p w14:paraId="5CD2FFF5">
            <w:pPr>
              <w:jc w:val="center"/>
              <w:rPr>
                <w:rFonts w:hint="default" w:ascii="Times New Roman" w:hAnsi="Times New Roman" w:cs="Times New Roman"/>
                <w:color w:val="auto"/>
                <w:kern w:val="1"/>
                <w:sz w:val="24"/>
                <w:highlight w:val="none"/>
              </w:rPr>
            </w:pPr>
            <w:r>
              <w:rPr>
                <w:rFonts w:hint="eastAsia" w:cs="Times New Roman"/>
                <w:color w:val="auto"/>
                <w:kern w:val="1"/>
                <w:sz w:val="24"/>
                <w:highlight w:val="none"/>
                <w:lang w:eastAsia="zh-CN"/>
              </w:rPr>
              <w:t>吉林市晟拓工贸有限公司</w:t>
            </w:r>
            <w:r>
              <w:rPr>
                <w:rFonts w:hint="default" w:ascii="Times New Roman" w:hAnsi="Times New Roman" w:cs="Times New Roman"/>
                <w:color w:val="auto"/>
                <w:kern w:val="1"/>
                <w:sz w:val="24"/>
                <w:highlight w:val="none"/>
              </w:rPr>
              <w:t>北大湖采石场</w:t>
            </w:r>
          </w:p>
        </w:tc>
      </w:tr>
      <w:tr w14:paraId="772DA132">
        <w:tblPrEx>
          <w:tblCellMar>
            <w:top w:w="0" w:type="dxa"/>
            <w:left w:w="108" w:type="dxa"/>
            <w:bottom w:w="0" w:type="dxa"/>
            <w:right w:w="108" w:type="dxa"/>
          </w:tblCellMar>
        </w:tblPrEx>
        <w:trPr>
          <w:trHeight w:val="510" w:hRule="exact"/>
        </w:trPr>
        <w:tc>
          <w:tcPr>
            <w:tcW w:w="817" w:type="dxa"/>
            <w:vMerge w:val="continue"/>
            <w:tcBorders>
              <w:top w:val="single" w:color="000000" w:sz="4" w:space="0"/>
              <w:left w:val="single" w:color="000000" w:sz="4" w:space="0"/>
              <w:bottom w:val="single" w:color="000000" w:sz="4" w:space="0"/>
              <w:right w:val="single" w:color="000000" w:sz="4" w:space="0"/>
            </w:tcBorders>
            <w:noWrap w:val="0"/>
            <w:vAlign w:val="top"/>
          </w:tcPr>
          <w:p w14:paraId="7585EE29">
            <w:pPr>
              <w:jc w:val="left"/>
              <w:rPr>
                <w:rFonts w:hint="default" w:ascii="Times New Roman" w:hAnsi="Times New Roman" w:cs="Times New Roman"/>
                <w:color w:val="auto"/>
                <w:kern w:val="1"/>
                <w:sz w:val="24"/>
                <w:highlight w:val="none"/>
              </w:rPr>
            </w:pPr>
          </w:p>
        </w:tc>
        <w:tc>
          <w:tcPr>
            <w:tcW w:w="1556" w:type="dxa"/>
            <w:vMerge w:val="restart"/>
            <w:tcBorders>
              <w:top w:val="single" w:color="000000" w:sz="4" w:space="0"/>
              <w:left w:val="single" w:color="000000" w:sz="4" w:space="0"/>
              <w:bottom w:val="single" w:color="000000" w:sz="4" w:space="0"/>
              <w:right w:val="single" w:color="000000" w:sz="4" w:space="0"/>
            </w:tcBorders>
            <w:noWrap w:val="0"/>
            <w:vAlign w:val="center"/>
          </w:tcPr>
          <w:p w14:paraId="72899459">
            <w:pPr>
              <w:jc w:val="center"/>
              <w:rPr>
                <w:rFonts w:hint="default" w:ascii="Times New Roman" w:hAnsi="Times New Roman" w:cs="Times New Roman"/>
                <w:color w:val="auto"/>
                <w:kern w:val="1"/>
                <w:sz w:val="24"/>
                <w:highlight w:val="none"/>
              </w:rPr>
            </w:pPr>
            <w:r>
              <w:rPr>
                <w:rFonts w:hint="default" w:ascii="Times New Roman" w:hAnsi="Times New Roman" w:cs="Times New Roman"/>
                <w:color w:val="auto"/>
                <w:kern w:val="1"/>
                <w:sz w:val="24"/>
                <w:highlight w:val="none"/>
              </w:rPr>
              <w:t>采矿许可证</w:t>
            </w:r>
          </w:p>
        </w:tc>
        <w:tc>
          <w:tcPr>
            <w:tcW w:w="6385" w:type="dxa"/>
            <w:gridSpan w:val="5"/>
            <w:tcBorders>
              <w:top w:val="single" w:color="000000" w:sz="4" w:space="0"/>
              <w:left w:val="single" w:color="000000" w:sz="4" w:space="0"/>
              <w:bottom w:val="single" w:color="000000" w:sz="4" w:space="0"/>
              <w:right w:val="single" w:color="000000" w:sz="4" w:space="0"/>
            </w:tcBorders>
            <w:noWrap w:val="0"/>
            <w:vAlign w:val="center"/>
          </w:tcPr>
          <w:p w14:paraId="4FA3C06A">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1"/>
                <w:sz w:val="24"/>
                <w:highlight w:val="none"/>
              </w:rPr>
            </w:pPr>
            <w:r>
              <w:rPr>
                <w:rFonts w:hint="default" w:ascii="Times New Roman" w:hAnsi="Times New Roman" w:cs="Times New Roman"/>
                <w:color w:val="auto"/>
                <w:sz w:val="24"/>
                <w:highlight w:val="none"/>
              </w:rPr>
              <w:t xml:space="preserve">□新申请  </w:t>
            </w:r>
            <w:r>
              <w:rPr>
                <w:rFonts w:hint="default" w:ascii="Times New Roman" w:hAnsi="Times New Roman" w:cs="Times New Roman"/>
                <w:color w:val="auto"/>
                <w:sz w:val="24"/>
                <w:highlight w:val="none"/>
              </w:rPr>
              <w:fldChar w:fldCharType="begin"/>
            </w:r>
            <w:r>
              <w:rPr>
                <w:rFonts w:hint="default" w:ascii="Times New Roman" w:hAnsi="Times New Roman" w:cs="Times New Roman"/>
                <w:color w:val="auto"/>
                <w:sz w:val="24"/>
                <w:highlight w:val="none"/>
              </w:rPr>
              <w:instrText xml:space="preserve"> eq \o\ac(□)</w:instrText>
            </w:r>
            <w:r>
              <w:rPr>
                <w:rFonts w:hint="default" w:ascii="Times New Roman" w:hAnsi="Times New Roman" w:cs="Times New Roman"/>
                <w:color w:val="auto"/>
                <w:sz w:val="24"/>
                <w:highlight w:val="none"/>
              </w:rPr>
              <w:fldChar w:fldCharType="end"/>
            </w:r>
            <w:r>
              <w:rPr>
                <w:rFonts w:hint="default" w:ascii="Times New Roman" w:hAnsi="Times New Roman" w:cs="Times New Roman"/>
                <w:color w:val="auto"/>
                <w:sz w:val="24"/>
                <w:highlight w:val="none"/>
              </w:rPr>
              <w:t xml:space="preserve">持有   </w:t>
            </w:r>
            <w:r>
              <w:rPr>
                <w:rFonts w:hint="default" w:ascii="Times New Roman" w:hAnsi="Times New Roman" w:cs="Times New Roman"/>
                <w:color w:val="auto"/>
                <w:sz w:val="24"/>
                <w:highlight w:val="none"/>
              </w:rPr>
              <w:fldChar w:fldCharType="begin"/>
            </w:r>
            <w:r>
              <w:rPr>
                <w:rFonts w:hint="default" w:ascii="Times New Roman" w:hAnsi="Times New Roman" w:cs="Times New Roman"/>
                <w:color w:val="auto"/>
                <w:sz w:val="24"/>
                <w:highlight w:val="none"/>
              </w:rPr>
              <w:instrText xml:space="preserve"> eq \o\ac(□</w:instrText>
            </w:r>
            <w:r>
              <w:rPr>
                <w:rFonts w:hint="eastAsia" w:cs="Times New Roman"/>
                <w:color w:val="auto"/>
                <w:sz w:val="24"/>
                <w:highlight w:val="none"/>
                <w:lang w:eastAsia="zh-CN"/>
              </w:rPr>
              <w:instrText xml:space="preserve">,</w:instrText>
            </w:r>
            <w:r>
              <w:rPr>
                <w:rFonts w:hint="eastAsia" w:cs="Times New Roman"/>
                <w:color w:val="auto"/>
                <w:position w:val="2"/>
                <w:sz w:val="16"/>
                <w:highlight w:val="none"/>
                <w:lang w:eastAsia="zh-CN"/>
              </w:rPr>
              <w:instrText xml:space="preserve">√</w:instrText>
            </w:r>
            <w:r>
              <w:rPr>
                <w:rFonts w:hint="default" w:ascii="Times New Roman" w:hAnsi="Times New Roman" w:cs="Times New Roman"/>
                <w:color w:val="auto"/>
                <w:sz w:val="24"/>
                <w:highlight w:val="none"/>
              </w:rPr>
              <w:instrText xml:space="preserve">)</w:instrText>
            </w:r>
            <w:r>
              <w:rPr>
                <w:rFonts w:hint="default" w:ascii="Times New Roman" w:hAnsi="Times New Roman" w:cs="Times New Roman"/>
                <w:color w:val="auto"/>
                <w:sz w:val="24"/>
                <w:highlight w:val="none"/>
              </w:rPr>
              <w:fldChar w:fldCharType="end"/>
            </w:r>
            <w:r>
              <w:rPr>
                <w:rFonts w:hint="default" w:ascii="Times New Roman" w:hAnsi="Times New Roman" w:cs="Times New Roman"/>
                <w:color w:val="auto"/>
                <w:sz w:val="24"/>
                <w:highlight w:val="none"/>
              </w:rPr>
              <w:t>变更</w:t>
            </w:r>
          </w:p>
        </w:tc>
      </w:tr>
      <w:tr w14:paraId="6DD05A37">
        <w:tblPrEx>
          <w:tblCellMar>
            <w:top w:w="0" w:type="dxa"/>
            <w:left w:w="108" w:type="dxa"/>
            <w:bottom w:w="0" w:type="dxa"/>
            <w:right w:w="108" w:type="dxa"/>
          </w:tblCellMar>
        </w:tblPrEx>
        <w:trPr>
          <w:trHeight w:val="510" w:hRule="exact"/>
        </w:trPr>
        <w:tc>
          <w:tcPr>
            <w:tcW w:w="817" w:type="dxa"/>
            <w:vMerge w:val="continue"/>
            <w:tcBorders>
              <w:top w:val="single" w:color="000000" w:sz="4" w:space="0"/>
              <w:left w:val="single" w:color="000000" w:sz="4" w:space="0"/>
              <w:bottom w:val="single" w:color="000000" w:sz="4" w:space="0"/>
              <w:right w:val="single" w:color="000000" w:sz="4" w:space="0"/>
            </w:tcBorders>
            <w:noWrap w:val="0"/>
            <w:vAlign w:val="top"/>
          </w:tcPr>
          <w:p w14:paraId="00C1F618">
            <w:pPr>
              <w:jc w:val="left"/>
              <w:rPr>
                <w:rFonts w:hint="default" w:ascii="Times New Roman" w:hAnsi="Times New Roman" w:cs="Times New Roman"/>
                <w:color w:val="auto"/>
                <w:kern w:val="1"/>
                <w:sz w:val="24"/>
                <w:highlight w:val="none"/>
              </w:rPr>
            </w:pPr>
          </w:p>
        </w:tc>
        <w:tc>
          <w:tcPr>
            <w:tcW w:w="155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68732A7">
            <w:pPr>
              <w:jc w:val="left"/>
              <w:rPr>
                <w:rFonts w:hint="default" w:ascii="Times New Roman" w:hAnsi="Times New Roman" w:cs="Times New Roman"/>
                <w:color w:val="auto"/>
                <w:kern w:val="1"/>
                <w:sz w:val="24"/>
                <w:highlight w:val="none"/>
              </w:rPr>
            </w:pPr>
          </w:p>
        </w:tc>
        <w:tc>
          <w:tcPr>
            <w:tcW w:w="6385" w:type="dxa"/>
            <w:gridSpan w:val="5"/>
            <w:tcBorders>
              <w:top w:val="single" w:color="000000" w:sz="4" w:space="0"/>
              <w:left w:val="single" w:color="000000" w:sz="4" w:space="0"/>
              <w:bottom w:val="single" w:color="000000" w:sz="4" w:space="0"/>
              <w:right w:val="single" w:color="000000" w:sz="4" w:space="0"/>
            </w:tcBorders>
            <w:noWrap w:val="0"/>
            <w:vAlign w:val="center"/>
          </w:tcPr>
          <w:p w14:paraId="615B624F">
            <w:pPr>
              <w:rPr>
                <w:rFonts w:hint="default" w:ascii="Times New Roman" w:hAnsi="Times New Roman" w:eastAsia="宋体" w:cs="Times New Roman"/>
                <w:color w:val="auto"/>
                <w:kern w:val="1"/>
                <w:sz w:val="24"/>
                <w:highlight w:val="none"/>
                <w:lang w:eastAsia="zh-CN"/>
              </w:rPr>
            </w:pPr>
            <w:r>
              <w:rPr>
                <w:rFonts w:hint="default" w:ascii="Times New Roman" w:hAnsi="Times New Roman" w:cs="Times New Roman"/>
                <w:color w:val="auto"/>
                <w:kern w:val="1"/>
                <w:sz w:val="24"/>
                <w:highlight w:val="none"/>
              </w:rPr>
              <w:t>以上情况请选择一种并打</w:t>
            </w:r>
            <w:r>
              <w:rPr>
                <w:rFonts w:hint="eastAsia" w:ascii="Times New Roman" w:hAnsi="Times New Roman" w:cs="Times New Roman"/>
                <w:color w:val="auto"/>
                <w:kern w:val="1"/>
                <w:sz w:val="24"/>
                <w:highlight w:val="none"/>
                <w:lang w:eastAsia="zh-CN"/>
              </w:rPr>
              <w:t>“</w:t>
            </w:r>
            <w:r>
              <w:rPr>
                <w:rFonts w:hint="default" w:ascii="Times New Roman" w:hAnsi="Times New Roman" w:cs="Times New Roman"/>
                <w:color w:val="auto"/>
                <w:kern w:val="1"/>
                <w:sz w:val="24"/>
                <w:highlight w:val="none"/>
              </w:rPr>
              <w:t>√</w:t>
            </w:r>
            <w:r>
              <w:rPr>
                <w:rFonts w:hint="eastAsia" w:ascii="Times New Roman" w:hAnsi="Times New Roman" w:cs="Times New Roman"/>
                <w:color w:val="auto"/>
                <w:kern w:val="1"/>
                <w:sz w:val="24"/>
                <w:highlight w:val="none"/>
                <w:lang w:eastAsia="zh-CN"/>
              </w:rPr>
              <w:t>”</w:t>
            </w:r>
          </w:p>
        </w:tc>
      </w:tr>
      <w:tr w14:paraId="7CAD07FC">
        <w:tblPrEx>
          <w:tblCellMar>
            <w:top w:w="0" w:type="dxa"/>
            <w:left w:w="108" w:type="dxa"/>
            <w:bottom w:w="0" w:type="dxa"/>
            <w:right w:w="108" w:type="dxa"/>
          </w:tblCellMar>
        </w:tblPrEx>
        <w:trPr>
          <w:trHeight w:val="510" w:hRule="exact"/>
        </w:trPr>
        <w:tc>
          <w:tcPr>
            <w:tcW w:w="817" w:type="dxa"/>
            <w:vMerge w:val="restart"/>
            <w:tcBorders>
              <w:top w:val="single" w:color="000000" w:sz="4" w:space="0"/>
              <w:left w:val="single" w:color="000000" w:sz="4" w:space="0"/>
              <w:bottom w:val="single" w:color="000000" w:sz="4" w:space="0"/>
              <w:right w:val="single" w:color="000000" w:sz="4" w:space="0"/>
            </w:tcBorders>
            <w:noWrap w:val="0"/>
            <w:vAlign w:val="center"/>
          </w:tcPr>
          <w:p w14:paraId="0D718C22">
            <w:pPr>
              <w:spacing w:line="480" w:lineRule="auto"/>
              <w:jc w:val="center"/>
              <w:rPr>
                <w:rFonts w:hint="default" w:ascii="Times New Roman" w:hAnsi="Times New Roman" w:cs="Times New Roman"/>
                <w:color w:val="auto"/>
                <w:kern w:val="1"/>
                <w:sz w:val="24"/>
                <w:highlight w:val="none"/>
              </w:rPr>
            </w:pPr>
            <w:r>
              <w:rPr>
                <w:rFonts w:hint="default" w:ascii="Times New Roman" w:hAnsi="Times New Roman" w:cs="Times New Roman"/>
                <w:color w:val="auto"/>
                <w:kern w:val="1"/>
                <w:sz w:val="24"/>
                <w:highlight w:val="none"/>
              </w:rPr>
              <w:t>编</w:t>
            </w:r>
          </w:p>
          <w:p w14:paraId="00BE5B11">
            <w:pPr>
              <w:spacing w:line="480" w:lineRule="auto"/>
              <w:jc w:val="center"/>
              <w:rPr>
                <w:rFonts w:hint="default" w:ascii="Times New Roman" w:hAnsi="Times New Roman" w:cs="Times New Roman"/>
                <w:color w:val="auto"/>
                <w:kern w:val="1"/>
                <w:sz w:val="24"/>
                <w:highlight w:val="none"/>
              </w:rPr>
            </w:pPr>
            <w:r>
              <w:rPr>
                <w:rFonts w:hint="default" w:ascii="Times New Roman" w:hAnsi="Times New Roman" w:cs="Times New Roman"/>
                <w:color w:val="auto"/>
                <w:kern w:val="1"/>
                <w:sz w:val="24"/>
                <w:highlight w:val="none"/>
              </w:rPr>
              <w:t>制</w:t>
            </w:r>
          </w:p>
          <w:p w14:paraId="595131B4">
            <w:pPr>
              <w:spacing w:line="480" w:lineRule="auto"/>
              <w:jc w:val="center"/>
              <w:rPr>
                <w:rFonts w:hint="default" w:ascii="Times New Roman" w:hAnsi="Times New Roman" w:cs="Times New Roman"/>
                <w:color w:val="auto"/>
                <w:kern w:val="1"/>
                <w:sz w:val="24"/>
                <w:highlight w:val="none"/>
              </w:rPr>
            </w:pPr>
            <w:r>
              <w:rPr>
                <w:rFonts w:hint="default" w:ascii="Times New Roman" w:hAnsi="Times New Roman" w:cs="Times New Roman"/>
                <w:color w:val="auto"/>
                <w:kern w:val="1"/>
                <w:sz w:val="24"/>
                <w:highlight w:val="none"/>
              </w:rPr>
              <w:t>单</w:t>
            </w:r>
          </w:p>
          <w:p w14:paraId="719D057F">
            <w:pPr>
              <w:spacing w:line="480" w:lineRule="auto"/>
              <w:jc w:val="center"/>
              <w:rPr>
                <w:rFonts w:hint="default" w:ascii="Times New Roman" w:hAnsi="Times New Roman" w:cs="Times New Roman"/>
                <w:color w:val="auto"/>
                <w:kern w:val="1"/>
                <w:sz w:val="24"/>
                <w:highlight w:val="none"/>
              </w:rPr>
            </w:pPr>
            <w:r>
              <w:rPr>
                <w:rFonts w:hint="default" w:ascii="Times New Roman" w:hAnsi="Times New Roman" w:cs="Times New Roman"/>
                <w:color w:val="auto"/>
                <w:kern w:val="1"/>
                <w:sz w:val="24"/>
                <w:highlight w:val="none"/>
              </w:rPr>
              <w:t>位</w:t>
            </w:r>
          </w:p>
        </w:tc>
        <w:tc>
          <w:tcPr>
            <w:tcW w:w="1556" w:type="dxa"/>
            <w:tcBorders>
              <w:top w:val="single" w:color="000000" w:sz="4" w:space="0"/>
              <w:left w:val="single" w:color="000000" w:sz="4" w:space="0"/>
              <w:bottom w:val="single" w:color="000000" w:sz="4" w:space="0"/>
              <w:right w:val="single" w:color="000000" w:sz="4" w:space="0"/>
            </w:tcBorders>
            <w:noWrap w:val="0"/>
            <w:vAlign w:val="center"/>
          </w:tcPr>
          <w:p w14:paraId="674FBB3F">
            <w:pPr>
              <w:jc w:val="center"/>
              <w:rPr>
                <w:rFonts w:hint="default" w:ascii="Times New Roman" w:hAnsi="Times New Roman" w:cs="Times New Roman"/>
                <w:color w:val="auto"/>
                <w:kern w:val="1"/>
                <w:sz w:val="24"/>
                <w:highlight w:val="none"/>
              </w:rPr>
            </w:pPr>
            <w:r>
              <w:rPr>
                <w:rFonts w:hint="default" w:ascii="Times New Roman" w:hAnsi="Times New Roman" w:cs="Times New Roman"/>
                <w:color w:val="auto"/>
                <w:kern w:val="1"/>
                <w:sz w:val="24"/>
                <w:highlight w:val="none"/>
              </w:rPr>
              <w:t>单位名称</w:t>
            </w:r>
          </w:p>
        </w:tc>
        <w:tc>
          <w:tcPr>
            <w:tcW w:w="6385" w:type="dxa"/>
            <w:gridSpan w:val="5"/>
            <w:tcBorders>
              <w:top w:val="single" w:color="000000" w:sz="4" w:space="0"/>
              <w:left w:val="single" w:color="000000" w:sz="4" w:space="0"/>
              <w:bottom w:val="single" w:color="000000" w:sz="4" w:space="0"/>
              <w:right w:val="single" w:color="000000" w:sz="4" w:space="0"/>
            </w:tcBorders>
            <w:noWrap w:val="0"/>
            <w:vAlign w:val="center"/>
          </w:tcPr>
          <w:p w14:paraId="29DC8D57">
            <w:pPr>
              <w:jc w:val="center"/>
              <w:rPr>
                <w:rFonts w:hint="default" w:ascii="Times New Roman" w:hAnsi="Times New Roman" w:cs="Times New Roman"/>
                <w:color w:val="auto"/>
                <w:kern w:val="1"/>
                <w:sz w:val="24"/>
                <w:highlight w:val="none"/>
              </w:rPr>
            </w:pPr>
            <w:r>
              <w:rPr>
                <w:rFonts w:hint="default" w:ascii="Times New Roman" w:hAnsi="Times New Roman" w:cs="Times New Roman"/>
                <w:color w:val="auto"/>
                <w:sz w:val="24"/>
                <w:highlight w:val="none"/>
                <w:lang w:eastAsia="zh-CN"/>
              </w:rPr>
              <w:t>吉林市金福源矿业勘查有限公司</w:t>
            </w:r>
          </w:p>
        </w:tc>
      </w:tr>
      <w:tr w14:paraId="0560223B">
        <w:tblPrEx>
          <w:tblCellMar>
            <w:top w:w="0" w:type="dxa"/>
            <w:left w:w="108" w:type="dxa"/>
            <w:bottom w:w="0" w:type="dxa"/>
            <w:right w:w="108" w:type="dxa"/>
          </w:tblCellMar>
        </w:tblPrEx>
        <w:trPr>
          <w:trHeight w:val="510" w:hRule="exact"/>
        </w:trPr>
        <w:tc>
          <w:tcPr>
            <w:tcW w:w="817" w:type="dxa"/>
            <w:vMerge w:val="continue"/>
            <w:tcBorders>
              <w:top w:val="single" w:color="000000" w:sz="4" w:space="0"/>
              <w:left w:val="single" w:color="000000" w:sz="4" w:space="0"/>
              <w:bottom w:val="single" w:color="000000" w:sz="4" w:space="0"/>
              <w:right w:val="single" w:color="000000" w:sz="4" w:space="0"/>
            </w:tcBorders>
            <w:noWrap w:val="0"/>
            <w:vAlign w:val="top"/>
          </w:tcPr>
          <w:p w14:paraId="5039071E">
            <w:pPr>
              <w:jc w:val="left"/>
              <w:rPr>
                <w:rFonts w:hint="default" w:ascii="Times New Roman" w:hAnsi="Times New Roman" w:cs="Times New Roman"/>
                <w:color w:val="auto"/>
                <w:kern w:val="1"/>
                <w:sz w:val="24"/>
                <w:highlight w:val="none"/>
              </w:rPr>
            </w:pPr>
          </w:p>
        </w:tc>
        <w:tc>
          <w:tcPr>
            <w:tcW w:w="1556" w:type="dxa"/>
            <w:tcBorders>
              <w:top w:val="single" w:color="000000" w:sz="4" w:space="0"/>
              <w:left w:val="single" w:color="000000" w:sz="4" w:space="0"/>
              <w:bottom w:val="single" w:color="000000" w:sz="4" w:space="0"/>
              <w:right w:val="single" w:color="000000" w:sz="4" w:space="0"/>
            </w:tcBorders>
            <w:noWrap w:val="0"/>
            <w:vAlign w:val="center"/>
          </w:tcPr>
          <w:p w14:paraId="238CC7D8">
            <w:pPr>
              <w:jc w:val="center"/>
              <w:rPr>
                <w:rFonts w:hint="default" w:ascii="Times New Roman" w:hAnsi="Times New Roman" w:cs="Times New Roman"/>
                <w:color w:val="auto"/>
                <w:kern w:val="1"/>
                <w:sz w:val="24"/>
                <w:highlight w:val="none"/>
              </w:rPr>
            </w:pPr>
            <w:r>
              <w:rPr>
                <w:rFonts w:hint="default" w:ascii="Times New Roman" w:hAnsi="Times New Roman" w:cs="Times New Roman"/>
                <w:color w:val="auto"/>
                <w:kern w:val="1"/>
                <w:sz w:val="24"/>
                <w:highlight w:val="none"/>
              </w:rPr>
              <w:t>法人代表</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F8AF6CA">
            <w:pPr>
              <w:jc w:val="center"/>
              <w:rPr>
                <w:rFonts w:hint="default" w:ascii="Times New Roman" w:hAnsi="Times New Roman" w:cs="Times New Roman"/>
                <w:color w:val="auto"/>
                <w:kern w:val="1"/>
                <w:sz w:val="24"/>
                <w:highlight w:val="none"/>
              </w:rPr>
            </w:pPr>
            <w:r>
              <w:rPr>
                <w:color w:val="auto"/>
                <w:sz w:val="24"/>
              </w:rPr>
              <w:t>迟 岩</w:t>
            </w:r>
          </w:p>
        </w:tc>
        <w:tc>
          <w:tcPr>
            <w:tcW w:w="3019" w:type="dxa"/>
            <w:gridSpan w:val="3"/>
            <w:tcBorders>
              <w:top w:val="single" w:color="000000" w:sz="4" w:space="0"/>
              <w:left w:val="single" w:color="000000" w:sz="4" w:space="0"/>
              <w:bottom w:val="single" w:color="000000" w:sz="4" w:space="0"/>
              <w:right w:val="single" w:color="000000" w:sz="4" w:space="0"/>
            </w:tcBorders>
            <w:noWrap w:val="0"/>
            <w:vAlign w:val="center"/>
          </w:tcPr>
          <w:p w14:paraId="51A3F1C7">
            <w:pPr>
              <w:jc w:val="center"/>
              <w:rPr>
                <w:rFonts w:hint="default" w:ascii="Times New Roman" w:hAnsi="Times New Roman" w:cs="Times New Roman"/>
                <w:color w:val="auto"/>
                <w:kern w:val="1"/>
                <w:sz w:val="24"/>
                <w:highlight w:val="none"/>
              </w:rPr>
            </w:pPr>
            <w:r>
              <w:rPr>
                <w:color w:val="auto"/>
                <w:sz w:val="24"/>
              </w:rPr>
              <w:t>联系电话</w:t>
            </w:r>
          </w:p>
        </w:tc>
        <w:tc>
          <w:tcPr>
            <w:tcW w:w="1892" w:type="dxa"/>
            <w:tcBorders>
              <w:top w:val="single" w:color="000000" w:sz="4" w:space="0"/>
              <w:left w:val="single" w:color="000000" w:sz="4" w:space="0"/>
              <w:bottom w:val="single" w:color="000000" w:sz="4" w:space="0"/>
              <w:right w:val="single" w:color="000000" w:sz="4" w:space="0"/>
            </w:tcBorders>
            <w:noWrap w:val="0"/>
            <w:vAlign w:val="center"/>
          </w:tcPr>
          <w:p w14:paraId="63141015">
            <w:pPr>
              <w:jc w:val="center"/>
              <w:rPr>
                <w:rFonts w:hint="default" w:ascii="Times New Roman" w:hAnsi="Times New Roman" w:cs="Times New Roman"/>
                <w:color w:val="auto"/>
                <w:kern w:val="1"/>
                <w:sz w:val="24"/>
                <w:highlight w:val="none"/>
              </w:rPr>
            </w:pPr>
            <w:r>
              <w:rPr>
                <w:rFonts w:hint="eastAsia" w:cs="Times New Roman"/>
                <w:color w:val="auto"/>
                <w:sz w:val="24"/>
                <w:szCs w:val="24"/>
                <w:highlight w:val="none"/>
                <w:lang w:val="en-US" w:eastAsia="zh-CN"/>
              </w:rPr>
              <w:t>13314376387</w:t>
            </w:r>
          </w:p>
        </w:tc>
      </w:tr>
      <w:tr w14:paraId="142DCDC5">
        <w:tblPrEx>
          <w:tblCellMar>
            <w:top w:w="0" w:type="dxa"/>
            <w:left w:w="108" w:type="dxa"/>
            <w:bottom w:w="0" w:type="dxa"/>
            <w:right w:w="108" w:type="dxa"/>
          </w:tblCellMar>
        </w:tblPrEx>
        <w:trPr>
          <w:trHeight w:val="510" w:hRule="exact"/>
        </w:trPr>
        <w:tc>
          <w:tcPr>
            <w:tcW w:w="817" w:type="dxa"/>
            <w:vMerge w:val="continue"/>
            <w:tcBorders>
              <w:top w:val="single" w:color="000000" w:sz="4" w:space="0"/>
              <w:left w:val="single" w:color="000000" w:sz="4" w:space="0"/>
              <w:bottom w:val="single" w:color="000000" w:sz="4" w:space="0"/>
              <w:right w:val="single" w:color="000000" w:sz="4" w:space="0"/>
            </w:tcBorders>
            <w:noWrap w:val="0"/>
            <w:vAlign w:val="top"/>
          </w:tcPr>
          <w:p w14:paraId="3D5532EB">
            <w:pPr>
              <w:jc w:val="left"/>
              <w:rPr>
                <w:rFonts w:hint="default" w:ascii="Times New Roman" w:hAnsi="Times New Roman" w:cs="Times New Roman"/>
                <w:color w:val="auto"/>
                <w:kern w:val="1"/>
                <w:sz w:val="24"/>
                <w:highlight w:val="none"/>
              </w:rPr>
            </w:pPr>
          </w:p>
        </w:tc>
        <w:tc>
          <w:tcPr>
            <w:tcW w:w="1556" w:type="dxa"/>
            <w:vMerge w:val="restart"/>
            <w:tcBorders>
              <w:top w:val="single" w:color="000000" w:sz="4" w:space="0"/>
              <w:left w:val="single" w:color="000000" w:sz="4" w:space="0"/>
              <w:bottom w:val="single" w:color="000000" w:sz="4" w:space="0"/>
              <w:right w:val="single" w:color="000000" w:sz="4" w:space="0"/>
            </w:tcBorders>
            <w:noWrap w:val="0"/>
            <w:vAlign w:val="center"/>
          </w:tcPr>
          <w:p w14:paraId="5FFF392B">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color w:val="auto"/>
                <w:kern w:val="1"/>
                <w:sz w:val="24"/>
                <w:highlight w:val="none"/>
              </w:rPr>
            </w:pPr>
            <w:r>
              <w:rPr>
                <w:rFonts w:hint="default" w:ascii="Times New Roman" w:hAnsi="Times New Roman" w:cs="Times New Roman"/>
                <w:color w:val="auto"/>
                <w:kern w:val="1"/>
                <w:sz w:val="24"/>
                <w:highlight w:val="none"/>
              </w:rPr>
              <w:t>主</w:t>
            </w:r>
          </w:p>
          <w:p w14:paraId="698A5CE6">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color w:val="auto"/>
                <w:kern w:val="1"/>
                <w:sz w:val="24"/>
                <w:highlight w:val="none"/>
              </w:rPr>
            </w:pPr>
            <w:r>
              <w:rPr>
                <w:rFonts w:hint="default" w:ascii="Times New Roman" w:hAnsi="Times New Roman" w:cs="Times New Roman"/>
                <w:color w:val="auto"/>
                <w:kern w:val="1"/>
                <w:sz w:val="24"/>
                <w:highlight w:val="none"/>
              </w:rPr>
              <w:t>要</w:t>
            </w:r>
          </w:p>
          <w:p w14:paraId="59407CC4">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color w:val="auto"/>
                <w:kern w:val="1"/>
                <w:sz w:val="24"/>
                <w:highlight w:val="none"/>
              </w:rPr>
            </w:pPr>
            <w:r>
              <w:rPr>
                <w:rFonts w:hint="default" w:ascii="Times New Roman" w:hAnsi="Times New Roman" w:cs="Times New Roman"/>
                <w:color w:val="auto"/>
                <w:kern w:val="1"/>
                <w:sz w:val="24"/>
                <w:highlight w:val="none"/>
              </w:rPr>
              <w:t>编</w:t>
            </w:r>
          </w:p>
          <w:p w14:paraId="5F2E1003">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color w:val="auto"/>
                <w:kern w:val="1"/>
                <w:sz w:val="24"/>
                <w:highlight w:val="none"/>
              </w:rPr>
            </w:pPr>
            <w:r>
              <w:rPr>
                <w:rFonts w:hint="default" w:ascii="Times New Roman" w:hAnsi="Times New Roman" w:cs="Times New Roman"/>
                <w:color w:val="auto"/>
                <w:kern w:val="1"/>
                <w:sz w:val="24"/>
                <w:highlight w:val="none"/>
              </w:rPr>
              <w:t>制</w:t>
            </w:r>
          </w:p>
          <w:p w14:paraId="08505E3A">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color w:val="auto"/>
                <w:kern w:val="1"/>
                <w:sz w:val="24"/>
                <w:highlight w:val="none"/>
              </w:rPr>
            </w:pPr>
            <w:r>
              <w:rPr>
                <w:rFonts w:hint="default" w:ascii="Times New Roman" w:hAnsi="Times New Roman" w:cs="Times New Roman"/>
                <w:color w:val="auto"/>
                <w:kern w:val="1"/>
                <w:sz w:val="24"/>
                <w:highlight w:val="none"/>
              </w:rPr>
              <w:t>人</w:t>
            </w:r>
          </w:p>
          <w:p w14:paraId="2D97B823">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color w:val="auto"/>
                <w:kern w:val="1"/>
                <w:sz w:val="24"/>
                <w:highlight w:val="none"/>
              </w:rPr>
            </w:pPr>
            <w:r>
              <w:rPr>
                <w:rFonts w:hint="default" w:ascii="Times New Roman" w:hAnsi="Times New Roman" w:cs="Times New Roman"/>
                <w:color w:val="auto"/>
                <w:kern w:val="1"/>
                <w:sz w:val="24"/>
                <w:highlight w:val="none"/>
              </w:rPr>
              <w:t>员</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EC0FD0E">
            <w:pPr>
              <w:jc w:val="center"/>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姓名</w:t>
            </w:r>
          </w:p>
        </w:tc>
        <w:tc>
          <w:tcPr>
            <w:tcW w:w="3019" w:type="dxa"/>
            <w:gridSpan w:val="3"/>
            <w:tcBorders>
              <w:top w:val="single" w:color="000000" w:sz="4" w:space="0"/>
              <w:left w:val="single" w:color="000000" w:sz="4" w:space="0"/>
              <w:bottom w:val="single" w:color="000000" w:sz="4" w:space="0"/>
              <w:right w:val="single" w:color="000000" w:sz="4" w:space="0"/>
            </w:tcBorders>
            <w:noWrap w:val="0"/>
            <w:vAlign w:val="center"/>
          </w:tcPr>
          <w:p w14:paraId="5E1E7E6E">
            <w:pPr>
              <w:jc w:val="center"/>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职责</w:t>
            </w:r>
          </w:p>
        </w:tc>
        <w:tc>
          <w:tcPr>
            <w:tcW w:w="1892" w:type="dxa"/>
            <w:tcBorders>
              <w:top w:val="single" w:color="000000" w:sz="4" w:space="0"/>
              <w:left w:val="single" w:color="000000" w:sz="4" w:space="0"/>
              <w:bottom w:val="single" w:color="000000" w:sz="4" w:space="0"/>
              <w:right w:val="single" w:color="000000" w:sz="4" w:space="0"/>
            </w:tcBorders>
            <w:noWrap w:val="0"/>
            <w:vAlign w:val="center"/>
          </w:tcPr>
          <w:p w14:paraId="41B4D11C">
            <w:pPr>
              <w:jc w:val="center"/>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联系电话</w:t>
            </w:r>
          </w:p>
        </w:tc>
      </w:tr>
      <w:tr w14:paraId="34ABA9ED">
        <w:tblPrEx>
          <w:tblCellMar>
            <w:top w:w="0" w:type="dxa"/>
            <w:left w:w="108" w:type="dxa"/>
            <w:bottom w:w="0" w:type="dxa"/>
            <w:right w:w="108" w:type="dxa"/>
          </w:tblCellMar>
        </w:tblPrEx>
        <w:trPr>
          <w:trHeight w:val="510" w:hRule="exact"/>
        </w:trPr>
        <w:tc>
          <w:tcPr>
            <w:tcW w:w="817" w:type="dxa"/>
            <w:vMerge w:val="continue"/>
            <w:tcBorders>
              <w:top w:val="single" w:color="000000" w:sz="4" w:space="0"/>
              <w:left w:val="single" w:color="000000" w:sz="4" w:space="0"/>
              <w:bottom w:val="single" w:color="000000" w:sz="4" w:space="0"/>
              <w:right w:val="single" w:color="000000" w:sz="4" w:space="0"/>
            </w:tcBorders>
            <w:noWrap w:val="0"/>
            <w:vAlign w:val="top"/>
          </w:tcPr>
          <w:p w14:paraId="2D5241FF">
            <w:pPr>
              <w:jc w:val="left"/>
              <w:rPr>
                <w:rFonts w:hint="default" w:ascii="Times New Roman" w:hAnsi="Times New Roman" w:cs="Times New Roman"/>
                <w:color w:val="auto"/>
                <w:kern w:val="1"/>
                <w:sz w:val="24"/>
                <w:highlight w:val="none"/>
              </w:rPr>
            </w:pPr>
          </w:p>
        </w:tc>
        <w:tc>
          <w:tcPr>
            <w:tcW w:w="155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458A1C9">
            <w:pPr>
              <w:jc w:val="left"/>
              <w:rPr>
                <w:rFonts w:hint="default" w:ascii="Times New Roman" w:hAnsi="Times New Roman" w:cs="Times New Roman"/>
                <w:color w:val="auto"/>
                <w:kern w:val="1"/>
                <w:sz w:val="24"/>
                <w:highlight w:val="none"/>
              </w:rPr>
            </w:pP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D273008">
            <w:pPr>
              <w:jc w:val="center"/>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钱丽萍</w:t>
            </w:r>
          </w:p>
        </w:tc>
        <w:tc>
          <w:tcPr>
            <w:tcW w:w="3019" w:type="dxa"/>
            <w:gridSpan w:val="3"/>
            <w:tcBorders>
              <w:top w:val="single" w:color="000000" w:sz="4" w:space="0"/>
              <w:left w:val="single" w:color="000000" w:sz="4" w:space="0"/>
              <w:bottom w:val="single" w:color="000000" w:sz="4" w:space="0"/>
              <w:right w:val="single" w:color="000000" w:sz="4" w:space="0"/>
            </w:tcBorders>
            <w:noWrap w:val="0"/>
            <w:vAlign w:val="center"/>
          </w:tcPr>
          <w:p w14:paraId="52C57EBB">
            <w:pPr>
              <w:jc w:val="center"/>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项目负责</w:t>
            </w:r>
          </w:p>
        </w:tc>
        <w:tc>
          <w:tcPr>
            <w:tcW w:w="1892" w:type="dxa"/>
            <w:tcBorders>
              <w:top w:val="single" w:color="000000" w:sz="4" w:space="0"/>
              <w:left w:val="single" w:color="000000" w:sz="4" w:space="0"/>
              <w:bottom w:val="single" w:color="000000" w:sz="4" w:space="0"/>
              <w:right w:val="single" w:color="000000" w:sz="4" w:space="0"/>
            </w:tcBorders>
            <w:noWrap w:val="0"/>
            <w:vAlign w:val="center"/>
          </w:tcPr>
          <w:p w14:paraId="547A6561">
            <w:pPr>
              <w:jc w:val="center"/>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13314376657</w:t>
            </w:r>
          </w:p>
        </w:tc>
      </w:tr>
      <w:tr w14:paraId="387DCABB">
        <w:tblPrEx>
          <w:tblCellMar>
            <w:top w:w="0" w:type="dxa"/>
            <w:left w:w="108" w:type="dxa"/>
            <w:bottom w:w="0" w:type="dxa"/>
            <w:right w:w="108" w:type="dxa"/>
          </w:tblCellMar>
        </w:tblPrEx>
        <w:trPr>
          <w:trHeight w:val="510" w:hRule="exact"/>
        </w:trPr>
        <w:tc>
          <w:tcPr>
            <w:tcW w:w="817" w:type="dxa"/>
            <w:vMerge w:val="continue"/>
            <w:tcBorders>
              <w:top w:val="single" w:color="000000" w:sz="4" w:space="0"/>
              <w:left w:val="single" w:color="000000" w:sz="4" w:space="0"/>
              <w:bottom w:val="single" w:color="000000" w:sz="4" w:space="0"/>
              <w:right w:val="single" w:color="000000" w:sz="4" w:space="0"/>
            </w:tcBorders>
            <w:noWrap w:val="0"/>
            <w:vAlign w:val="top"/>
          </w:tcPr>
          <w:p w14:paraId="3C9DFE73">
            <w:pPr>
              <w:jc w:val="left"/>
              <w:rPr>
                <w:rFonts w:hint="default" w:ascii="Times New Roman" w:hAnsi="Times New Roman" w:cs="Times New Roman"/>
                <w:color w:val="auto"/>
                <w:kern w:val="1"/>
                <w:sz w:val="24"/>
                <w:highlight w:val="none"/>
              </w:rPr>
            </w:pPr>
          </w:p>
        </w:tc>
        <w:tc>
          <w:tcPr>
            <w:tcW w:w="155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E91FAC5">
            <w:pPr>
              <w:jc w:val="left"/>
              <w:rPr>
                <w:rFonts w:hint="default" w:ascii="Times New Roman" w:hAnsi="Times New Roman" w:cs="Times New Roman"/>
                <w:color w:val="auto"/>
                <w:kern w:val="1"/>
                <w:sz w:val="24"/>
                <w:highlight w:val="none"/>
              </w:rPr>
            </w:pP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36A57EA">
            <w:pPr>
              <w:jc w:val="center"/>
              <w:rPr>
                <w:rFonts w:hint="default" w:ascii="Times New Roman" w:hAnsi="Times New Roman" w:cs="Times New Roman"/>
                <w:color w:val="auto"/>
                <w:sz w:val="24"/>
                <w:highlight w:val="none"/>
                <w:lang w:eastAsia="zh-CN"/>
              </w:rPr>
            </w:pPr>
            <w:r>
              <w:rPr>
                <w:rFonts w:hint="eastAsia" w:cs="Times New Roman"/>
                <w:color w:val="auto"/>
                <w:sz w:val="24"/>
                <w:highlight w:val="none"/>
                <w:lang w:eastAsia="zh-CN"/>
              </w:rPr>
              <w:t>丁</w:t>
            </w:r>
            <w:r>
              <w:rPr>
                <w:rFonts w:hint="eastAsia" w:cs="Times New Roman"/>
                <w:color w:val="auto"/>
                <w:sz w:val="24"/>
                <w:highlight w:val="none"/>
                <w:lang w:val="en-US" w:eastAsia="zh-CN"/>
              </w:rPr>
              <w:t xml:space="preserve">  </w:t>
            </w:r>
            <w:r>
              <w:rPr>
                <w:rFonts w:hint="eastAsia" w:cs="Times New Roman"/>
                <w:color w:val="auto"/>
                <w:sz w:val="24"/>
                <w:highlight w:val="none"/>
                <w:lang w:eastAsia="zh-CN"/>
              </w:rPr>
              <w:t>健</w:t>
            </w:r>
          </w:p>
        </w:tc>
        <w:tc>
          <w:tcPr>
            <w:tcW w:w="3019" w:type="dxa"/>
            <w:gridSpan w:val="3"/>
            <w:tcBorders>
              <w:top w:val="single" w:color="000000" w:sz="4" w:space="0"/>
              <w:left w:val="single" w:color="000000" w:sz="4" w:space="0"/>
              <w:bottom w:val="single" w:color="000000" w:sz="4" w:space="0"/>
              <w:right w:val="single" w:color="000000" w:sz="4" w:space="0"/>
            </w:tcBorders>
            <w:noWrap w:val="0"/>
            <w:vAlign w:val="center"/>
          </w:tcPr>
          <w:p w14:paraId="2E1E2F25">
            <w:pPr>
              <w:jc w:val="center"/>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报告编写</w:t>
            </w:r>
          </w:p>
        </w:tc>
        <w:tc>
          <w:tcPr>
            <w:tcW w:w="1892" w:type="dxa"/>
            <w:tcBorders>
              <w:top w:val="single" w:color="000000" w:sz="4" w:space="0"/>
              <w:left w:val="single" w:color="000000" w:sz="4" w:space="0"/>
              <w:bottom w:val="single" w:color="000000" w:sz="4" w:space="0"/>
              <w:right w:val="single" w:color="000000" w:sz="4" w:space="0"/>
            </w:tcBorders>
            <w:noWrap w:val="0"/>
            <w:vAlign w:val="center"/>
          </w:tcPr>
          <w:p w14:paraId="63ADDA3A">
            <w:pPr>
              <w:jc w:val="center"/>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1</w:t>
            </w:r>
            <w:r>
              <w:rPr>
                <w:rFonts w:hint="eastAsia" w:cs="Times New Roman"/>
                <w:color w:val="auto"/>
                <w:sz w:val="24"/>
                <w:highlight w:val="none"/>
                <w:lang w:val="en-US" w:eastAsia="zh-CN"/>
              </w:rPr>
              <w:t>3314371927</w:t>
            </w:r>
          </w:p>
        </w:tc>
      </w:tr>
      <w:tr w14:paraId="76AFE28A">
        <w:tblPrEx>
          <w:tblCellMar>
            <w:top w:w="0" w:type="dxa"/>
            <w:left w:w="108" w:type="dxa"/>
            <w:bottom w:w="0" w:type="dxa"/>
            <w:right w:w="108" w:type="dxa"/>
          </w:tblCellMar>
        </w:tblPrEx>
        <w:trPr>
          <w:trHeight w:val="510" w:hRule="exact"/>
        </w:trPr>
        <w:tc>
          <w:tcPr>
            <w:tcW w:w="817" w:type="dxa"/>
            <w:vMerge w:val="continue"/>
            <w:tcBorders>
              <w:top w:val="single" w:color="000000" w:sz="4" w:space="0"/>
              <w:left w:val="single" w:color="000000" w:sz="4" w:space="0"/>
              <w:bottom w:val="single" w:color="000000" w:sz="4" w:space="0"/>
              <w:right w:val="single" w:color="000000" w:sz="4" w:space="0"/>
            </w:tcBorders>
            <w:noWrap w:val="0"/>
            <w:vAlign w:val="top"/>
          </w:tcPr>
          <w:p w14:paraId="5BC442BD">
            <w:pPr>
              <w:jc w:val="left"/>
              <w:rPr>
                <w:rFonts w:hint="default" w:ascii="Times New Roman" w:hAnsi="Times New Roman" w:cs="Times New Roman"/>
                <w:color w:val="auto"/>
                <w:kern w:val="1"/>
                <w:sz w:val="24"/>
                <w:highlight w:val="none"/>
              </w:rPr>
            </w:pPr>
          </w:p>
        </w:tc>
        <w:tc>
          <w:tcPr>
            <w:tcW w:w="155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D49917">
            <w:pPr>
              <w:jc w:val="left"/>
              <w:rPr>
                <w:rFonts w:hint="default" w:ascii="Times New Roman" w:hAnsi="Times New Roman" w:cs="Times New Roman"/>
                <w:color w:val="auto"/>
                <w:kern w:val="1"/>
                <w:sz w:val="24"/>
                <w:highlight w:val="none"/>
              </w:rPr>
            </w:pP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F572953">
            <w:pPr>
              <w:jc w:val="center"/>
              <w:rPr>
                <w:rFonts w:hint="default" w:ascii="Times New Roman" w:hAnsi="Times New Roman" w:cs="Times New Roman"/>
                <w:color w:val="auto"/>
                <w:sz w:val="24"/>
                <w:highlight w:val="none"/>
                <w:lang w:eastAsia="zh-CN"/>
              </w:rPr>
            </w:pPr>
            <w:r>
              <w:rPr>
                <w:rFonts w:hint="eastAsia" w:cs="Times New Roman"/>
                <w:color w:val="auto"/>
                <w:kern w:val="1"/>
                <w:sz w:val="24"/>
                <w:highlight w:val="none"/>
                <w:lang w:val="en-US" w:eastAsia="zh-CN"/>
              </w:rPr>
              <w:t>梁  菲</w:t>
            </w:r>
          </w:p>
        </w:tc>
        <w:tc>
          <w:tcPr>
            <w:tcW w:w="3019" w:type="dxa"/>
            <w:gridSpan w:val="3"/>
            <w:tcBorders>
              <w:top w:val="single" w:color="000000" w:sz="4" w:space="0"/>
              <w:left w:val="single" w:color="000000" w:sz="4" w:space="0"/>
              <w:bottom w:val="single" w:color="000000" w:sz="4" w:space="0"/>
              <w:right w:val="single" w:color="000000" w:sz="4" w:space="0"/>
            </w:tcBorders>
            <w:noWrap w:val="0"/>
            <w:vAlign w:val="center"/>
          </w:tcPr>
          <w:p w14:paraId="5DF3FB13">
            <w:pPr>
              <w:jc w:val="center"/>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报告编写</w:t>
            </w:r>
          </w:p>
        </w:tc>
        <w:tc>
          <w:tcPr>
            <w:tcW w:w="1892" w:type="dxa"/>
            <w:tcBorders>
              <w:top w:val="single" w:color="000000" w:sz="4" w:space="0"/>
              <w:left w:val="single" w:color="000000" w:sz="4" w:space="0"/>
              <w:bottom w:val="single" w:color="000000" w:sz="4" w:space="0"/>
              <w:right w:val="single" w:color="000000" w:sz="4" w:space="0"/>
            </w:tcBorders>
            <w:noWrap w:val="0"/>
            <w:vAlign w:val="center"/>
          </w:tcPr>
          <w:p w14:paraId="3175A9A7">
            <w:pPr>
              <w:jc w:val="center"/>
              <w:rPr>
                <w:rFonts w:hint="default" w:ascii="Times New Roman" w:hAnsi="Times New Roman" w:cs="Times New Roman"/>
                <w:color w:val="auto"/>
                <w:sz w:val="24"/>
                <w:highlight w:val="none"/>
                <w:lang w:val="en-US" w:eastAsia="zh-CN"/>
              </w:rPr>
            </w:pPr>
            <w:r>
              <w:rPr>
                <w:rFonts w:hint="default" w:ascii="Times New Roman" w:hAnsi="Times New Roman" w:cs="Times New Roman"/>
                <w:bCs/>
                <w:color w:val="auto"/>
                <w:sz w:val="24"/>
                <w:highlight w:val="none"/>
              </w:rPr>
              <w:t>13843219881</w:t>
            </w:r>
          </w:p>
        </w:tc>
      </w:tr>
      <w:tr w14:paraId="7EB9A6B4">
        <w:tblPrEx>
          <w:tblCellMar>
            <w:top w:w="0" w:type="dxa"/>
            <w:left w:w="108" w:type="dxa"/>
            <w:bottom w:w="0" w:type="dxa"/>
            <w:right w:w="108" w:type="dxa"/>
          </w:tblCellMar>
        </w:tblPrEx>
        <w:trPr>
          <w:trHeight w:val="510" w:hRule="exact"/>
        </w:trPr>
        <w:tc>
          <w:tcPr>
            <w:tcW w:w="817" w:type="dxa"/>
            <w:vMerge w:val="continue"/>
            <w:tcBorders>
              <w:top w:val="single" w:color="000000" w:sz="4" w:space="0"/>
              <w:left w:val="single" w:color="000000" w:sz="4" w:space="0"/>
              <w:bottom w:val="single" w:color="000000" w:sz="4" w:space="0"/>
              <w:right w:val="single" w:color="000000" w:sz="4" w:space="0"/>
            </w:tcBorders>
            <w:noWrap w:val="0"/>
            <w:vAlign w:val="top"/>
          </w:tcPr>
          <w:p w14:paraId="024343F8">
            <w:pPr>
              <w:jc w:val="left"/>
              <w:rPr>
                <w:rFonts w:hint="default" w:ascii="Times New Roman" w:hAnsi="Times New Roman" w:cs="Times New Roman"/>
                <w:color w:val="auto"/>
                <w:kern w:val="1"/>
                <w:sz w:val="24"/>
                <w:highlight w:val="none"/>
              </w:rPr>
            </w:pPr>
          </w:p>
        </w:tc>
        <w:tc>
          <w:tcPr>
            <w:tcW w:w="155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75E633E">
            <w:pPr>
              <w:jc w:val="left"/>
              <w:rPr>
                <w:rFonts w:hint="default" w:ascii="Times New Roman" w:hAnsi="Times New Roman" w:cs="Times New Roman"/>
                <w:color w:val="auto"/>
                <w:kern w:val="1"/>
                <w:sz w:val="24"/>
                <w:highlight w:val="none"/>
              </w:rPr>
            </w:pP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F8529F9">
            <w:pPr>
              <w:jc w:val="center"/>
              <w:rPr>
                <w:rFonts w:hint="default" w:ascii="Times New Roman" w:hAnsi="Times New Roman" w:cs="Times New Roman"/>
                <w:color w:val="auto"/>
                <w:kern w:val="2"/>
                <w:sz w:val="24"/>
                <w:szCs w:val="24"/>
                <w:highlight w:val="none"/>
                <w:lang w:val="en-US" w:eastAsia="zh-CN" w:bidi="ar-SA"/>
              </w:rPr>
            </w:pPr>
            <w:r>
              <w:rPr>
                <w:rFonts w:hint="eastAsia" w:cs="Times New Roman"/>
                <w:color w:val="auto"/>
                <w:sz w:val="24"/>
                <w:highlight w:val="none"/>
                <w:lang w:val="en-US" w:eastAsia="zh-CN"/>
              </w:rPr>
              <w:t>施  旭</w:t>
            </w:r>
          </w:p>
        </w:tc>
        <w:tc>
          <w:tcPr>
            <w:tcW w:w="3019" w:type="dxa"/>
            <w:gridSpan w:val="3"/>
            <w:tcBorders>
              <w:top w:val="single" w:color="000000" w:sz="4" w:space="0"/>
              <w:left w:val="single" w:color="000000" w:sz="4" w:space="0"/>
              <w:bottom w:val="single" w:color="000000" w:sz="4" w:space="0"/>
              <w:right w:val="single" w:color="000000" w:sz="4" w:space="0"/>
            </w:tcBorders>
            <w:noWrap w:val="0"/>
            <w:vAlign w:val="center"/>
          </w:tcPr>
          <w:p w14:paraId="353916C9">
            <w:pPr>
              <w:jc w:val="center"/>
              <w:rPr>
                <w:rFonts w:hint="default" w:ascii="Times New Roman" w:hAnsi="Times New Roman" w:cs="Times New Roman"/>
                <w:color w:val="auto"/>
                <w:kern w:val="2"/>
                <w:sz w:val="24"/>
                <w:szCs w:val="24"/>
                <w:highlight w:val="none"/>
                <w:lang w:val="en-US" w:eastAsia="zh-CN" w:bidi="ar-SA"/>
              </w:rPr>
            </w:pPr>
            <w:r>
              <w:rPr>
                <w:rFonts w:hint="default" w:ascii="Times New Roman" w:hAnsi="Times New Roman" w:cs="Times New Roman"/>
                <w:color w:val="auto"/>
                <w:sz w:val="24"/>
                <w:highlight w:val="none"/>
                <w:lang w:val="en-US" w:eastAsia="zh-CN"/>
              </w:rPr>
              <w:t>报告编写、制图</w:t>
            </w:r>
          </w:p>
        </w:tc>
        <w:tc>
          <w:tcPr>
            <w:tcW w:w="1892" w:type="dxa"/>
            <w:tcBorders>
              <w:top w:val="single" w:color="000000" w:sz="4" w:space="0"/>
              <w:left w:val="single" w:color="000000" w:sz="4" w:space="0"/>
              <w:bottom w:val="single" w:color="000000" w:sz="4" w:space="0"/>
              <w:right w:val="single" w:color="000000" w:sz="4" w:space="0"/>
            </w:tcBorders>
            <w:noWrap w:val="0"/>
            <w:vAlign w:val="center"/>
          </w:tcPr>
          <w:p w14:paraId="44D330BB">
            <w:pPr>
              <w:jc w:val="center"/>
              <w:rPr>
                <w:rFonts w:hint="default" w:ascii="Times New Roman" w:hAnsi="Times New Roman" w:cs="Times New Roman"/>
                <w:color w:val="auto"/>
                <w:kern w:val="2"/>
                <w:sz w:val="24"/>
                <w:szCs w:val="24"/>
                <w:highlight w:val="none"/>
                <w:lang w:val="en-US" w:eastAsia="zh-CN" w:bidi="ar-SA"/>
              </w:rPr>
            </w:pPr>
            <w:r>
              <w:rPr>
                <w:rFonts w:hint="default" w:ascii="Times New Roman" w:hAnsi="Times New Roman" w:cs="Times New Roman"/>
                <w:color w:val="auto"/>
                <w:sz w:val="24"/>
                <w:highlight w:val="none"/>
                <w:lang w:val="en-US" w:eastAsia="zh-CN"/>
              </w:rPr>
              <w:t>1</w:t>
            </w:r>
            <w:r>
              <w:rPr>
                <w:rFonts w:hint="eastAsia" w:cs="Times New Roman"/>
                <w:color w:val="auto"/>
                <w:sz w:val="24"/>
                <w:highlight w:val="none"/>
                <w:lang w:val="en-US" w:eastAsia="zh-CN"/>
              </w:rPr>
              <w:t>7767809996</w:t>
            </w:r>
          </w:p>
        </w:tc>
      </w:tr>
      <w:tr w14:paraId="65F6615E">
        <w:tblPrEx>
          <w:tblCellMar>
            <w:top w:w="0" w:type="dxa"/>
            <w:left w:w="108" w:type="dxa"/>
            <w:bottom w:w="0" w:type="dxa"/>
            <w:right w:w="108" w:type="dxa"/>
          </w:tblCellMar>
        </w:tblPrEx>
        <w:trPr>
          <w:trHeight w:val="5609" w:hRule="exact"/>
        </w:trPr>
        <w:tc>
          <w:tcPr>
            <w:tcW w:w="817" w:type="dxa"/>
            <w:tcBorders>
              <w:top w:val="single" w:color="000000" w:sz="4" w:space="0"/>
              <w:left w:val="single" w:color="000000" w:sz="4" w:space="0"/>
              <w:bottom w:val="single" w:color="000000" w:sz="4" w:space="0"/>
              <w:right w:val="single" w:color="000000" w:sz="4" w:space="0"/>
            </w:tcBorders>
            <w:noWrap w:val="0"/>
            <w:vAlign w:val="center"/>
          </w:tcPr>
          <w:p w14:paraId="1999B65B">
            <w:pPr>
              <w:spacing w:line="360" w:lineRule="auto"/>
              <w:jc w:val="center"/>
              <w:rPr>
                <w:rFonts w:hint="default" w:ascii="Times New Roman" w:hAnsi="Times New Roman" w:cs="Times New Roman"/>
                <w:color w:val="auto"/>
                <w:kern w:val="1"/>
                <w:sz w:val="24"/>
                <w:highlight w:val="none"/>
              </w:rPr>
            </w:pPr>
            <w:r>
              <w:rPr>
                <w:rFonts w:hint="default" w:ascii="Times New Roman" w:hAnsi="Times New Roman" w:cs="Times New Roman"/>
                <w:color w:val="auto"/>
                <w:kern w:val="1"/>
                <w:sz w:val="24"/>
                <w:highlight w:val="none"/>
              </w:rPr>
              <w:t>审</w:t>
            </w:r>
          </w:p>
          <w:p w14:paraId="29A3DF1C">
            <w:pPr>
              <w:spacing w:line="360" w:lineRule="auto"/>
              <w:jc w:val="center"/>
              <w:rPr>
                <w:rFonts w:hint="default" w:ascii="Times New Roman" w:hAnsi="Times New Roman" w:cs="Times New Roman"/>
                <w:color w:val="auto"/>
                <w:kern w:val="1"/>
                <w:sz w:val="24"/>
                <w:highlight w:val="none"/>
              </w:rPr>
            </w:pPr>
            <w:r>
              <w:rPr>
                <w:rFonts w:hint="default" w:ascii="Times New Roman" w:hAnsi="Times New Roman" w:cs="Times New Roman"/>
                <w:color w:val="auto"/>
                <w:kern w:val="1"/>
                <w:sz w:val="24"/>
                <w:highlight w:val="none"/>
              </w:rPr>
              <w:t>查</w:t>
            </w:r>
          </w:p>
          <w:p w14:paraId="6CFDED41">
            <w:pPr>
              <w:spacing w:line="360" w:lineRule="auto"/>
              <w:jc w:val="center"/>
              <w:rPr>
                <w:rFonts w:hint="default" w:ascii="Times New Roman" w:hAnsi="Times New Roman" w:cs="Times New Roman"/>
                <w:color w:val="auto"/>
                <w:kern w:val="1"/>
                <w:sz w:val="24"/>
                <w:highlight w:val="none"/>
              </w:rPr>
            </w:pPr>
            <w:r>
              <w:rPr>
                <w:rFonts w:hint="default" w:ascii="Times New Roman" w:hAnsi="Times New Roman" w:cs="Times New Roman"/>
                <w:color w:val="auto"/>
                <w:kern w:val="1"/>
                <w:sz w:val="24"/>
                <w:highlight w:val="none"/>
              </w:rPr>
              <w:t>申</w:t>
            </w:r>
          </w:p>
          <w:p w14:paraId="07C1DA0B">
            <w:pPr>
              <w:spacing w:line="360" w:lineRule="auto"/>
              <w:jc w:val="center"/>
              <w:rPr>
                <w:rFonts w:hint="default" w:ascii="Times New Roman" w:hAnsi="Times New Roman" w:cs="Times New Roman"/>
                <w:color w:val="auto"/>
                <w:kern w:val="1"/>
                <w:sz w:val="24"/>
                <w:highlight w:val="none"/>
              </w:rPr>
            </w:pPr>
            <w:r>
              <w:rPr>
                <w:rFonts w:hint="default" w:ascii="Times New Roman" w:hAnsi="Times New Roman" w:cs="Times New Roman"/>
                <w:color w:val="auto"/>
                <w:kern w:val="1"/>
                <w:sz w:val="24"/>
                <w:highlight w:val="none"/>
              </w:rPr>
              <w:t>请</w:t>
            </w:r>
          </w:p>
        </w:tc>
        <w:tc>
          <w:tcPr>
            <w:tcW w:w="7941" w:type="dxa"/>
            <w:gridSpan w:val="6"/>
            <w:tcBorders>
              <w:top w:val="single" w:color="000000" w:sz="4" w:space="0"/>
              <w:left w:val="single" w:color="000000" w:sz="4" w:space="0"/>
              <w:bottom w:val="single" w:color="000000" w:sz="4" w:space="0"/>
              <w:right w:val="single" w:color="000000" w:sz="4" w:space="0"/>
            </w:tcBorders>
            <w:noWrap w:val="0"/>
            <w:vAlign w:val="top"/>
          </w:tcPr>
          <w:p w14:paraId="6FEBCDB4">
            <w:pPr>
              <w:ind w:firstLine="480"/>
              <w:rPr>
                <w:rFonts w:hint="default" w:ascii="Times New Roman" w:hAnsi="Times New Roman" w:cs="Times New Roman"/>
                <w:color w:val="auto"/>
                <w:kern w:val="1"/>
                <w:sz w:val="24"/>
                <w:highlight w:val="none"/>
              </w:rPr>
            </w:pPr>
          </w:p>
          <w:p w14:paraId="5B59F3E4">
            <w:pPr>
              <w:spacing w:line="276" w:lineRule="auto"/>
              <w:ind w:firstLine="480"/>
              <w:rPr>
                <w:rFonts w:hint="default" w:ascii="Times New Roman" w:hAnsi="Times New Roman" w:cs="Times New Roman"/>
                <w:color w:val="auto"/>
                <w:kern w:val="1"/>
                <w:sz w:val="24"/>
                <w:highlight w:val="none"/>
              </w:rPr>
            </w:pPr>
            <w:r>
              <w:rPr>
                <w:rFonts w:hint="default" w:ascii="Times New Roman" w:hAnsi="Times New Roman" w:cs="Times New Roman"/>
                <w:color w:val="auto"/>
                <w:kern w:val="1"/>
                <w:sz w:val="24"/>
                <w:highlight w:val="none"/>
              </w:rPr>
              <w:t>我单位已按要求编制矿山地质环境保护与土地复垦方案，保证方案中所引数据的真实性，同意按国家相关保密规定对文本进行相应处理后进行公示，承诺按批准后的方案做好矿山地质环境保护与土地复垦工作。</w:t>
            </w:r>
          </w:p>
          <w:p w14:paraId="59130599">
            <w:pPr>
              <w:spacing w:line="276" w:lineRule="auto"/>
              <w:ind w:firstLine="480"/>
              <w:rPr>
                <w:rFonts w:hint="default" w:ascii="Times New Roman" w:hAnsi="Times New Roman" w:cs="Times New Roman"/>
                <w:color w:val="auto"/>
                <w:kern w:val="1"/>
                <w:sz w:val="24"/>
                <w:highlight w:val="none"/>
              </w:rPr>
            </w:pPr>
            <w:r>
              <w:rPr>
                <w:rFonts w:hint="default" w:ascii="Times New Roman" w:hAnsi="Times New Roman" w:cs="Times New Roman"/>
                <w:color w:val="auto"/>
                <w:kern w:val="1"/>
                <w:sz w:val="24"/>
                <w:highlight w:val="none"/>
              </w:rPr>
              <w:t>请予以审查。</w:t>
            </w:r>
          </w:p>
          <w:p w14:paraId="2576D136">
            <w:pPr>
              <w:ind w:firstLine="480"/>
              <w:rPr>
                <w:rFonts w:hint="default" w:ascii="Times New Roman" w:hAnsi="Times New Roman" w:cs="Times New Roman"/>
                <w:color w:val="auto"/>
                <w:kern w:val="1"/>
                <w:sz w:val="24"/>
                <w:highlight w:val="none"/>
              </w:rPr>
            </w:pPr>
          </w:p>
          <w:p w14:paraId="5B18C050">
            <w:pPr>
              <w:ind w:firstLine="480"/>
              <w:jc w:val="right"/>
              <w:rPr>
                <w:rFonts w:hint="default" w:ascii="Times New Roman" w:hAnsi="Times New Roman" w:cs="Times New Roman"/>
                <w:color w:val="auto"/>
                <w:kern w:val="1"/>
                <w:sz w:val="24"/>
                <w:highlight w:val="none"/>
                <w:lang w:bidi="ar"/>
              </w:rPr>
            </w:pPr>
          </w:p>
          <w:p w14:paraId="230CCE11">
            <w:pPr>
              <w:pStyle w:val="14"/>
              <w:rPr>
                <w:rFonts w:hint="default" w:ascii="Times New Roman" w:hAnsi="Times New Roman" w:cs="Times New Roman"/>
                <w:color w:val="auto"/>
                <w:highlight w:val="none"/>
              </w:rPr>
            </w:pPr>
          </w:p>
          <w:p w14:paraId="377809F3">
            <w:pPr>
              <w:pStyle w:val="14"/>
              <w:rPr>
                <w:rFonts w:hint="default" w:ascii="Times New Roman" w:hAnsi="Times New Roman" w:cs="Times New Roman"/>
                <w:color w:val="auto"/>
                <w:highlight w:val="none"/>
              </w:rPr>
            </w:pPr>
          </w:p>
          <w:p w14:paraId="3697A8D7">
            <w:pPr>
              <w:ind w:firstLine="480"/>
              <w:jc w:val="right"/>
              <w:rPr>
                <w:rFonts w:hint="default" w:ascii="Times New Roman" w:hAnsi="Times New Roman" w:cs="Times New Roman"/>
                <w:color w:val="auto"/>
                <w:kern w:val="1"/>
                <w:sz w:val="24"/>
                <w:highlight w:val="none"/>
                <w:lang w:bidi="ar"/>
              </w:rPr>
            </w:pPr>
          </w:p>
          <w:p w14:paraId="7ABA756A">
            <w:pPr>
              <w:ind w:firstLine="480"/>
              <w:jc w:val="center"/>
              <w:rPr>
                <w:rFonts w:hint="default" w:ascii="Times New Roman" w:hAnsi="Times New Roman" w:cs="Times New Roman"/>
                <w:color w:val="auto"/>
                <w:kern w:val="1"/>
                <w:sz w:val="24"/>
                <w:highlight w:val="none"/>
              </w:rPr>
            </w:pPr>
            <w:r>
              <w:rPr>
                <w:rFonts w:hint="default" w:ascii="Times New Roman" w:hAnsi="Times New Roman" w:cs="Times New Roman"/>
                <w:color w:val="auto"/>
                <w:kern w:val="1"/>
                <w:sz w:val="24"/>
                <w:highlight w:val="none"/>
                <w:lang w:bidi="ar"/>
              </w:rPr>
              <w:t xml:space="preserve">                        申请单位（矿山企业）盖章</w:t>
            </w:r>
          </w:p>
          <w:p w14:paraId="4D451869">
            <w:pPr>
              <w:ind w:firstLine="480"/>
              <w:jc w:val="right"/>
              <w:rPr>
                <w:rFonts w:hint="default" w:ascii="Times New Roman" w:hAnsi="Times New Roman" w:cs="Times New Roman"/>
                <w:color w:val="auto"/>
                <w:kern w:val="1"/>
                <w:sz w:val="24"/>
                <w:highlight w:val="none"/>
              </w:rPr>
            </w:pPr>
          </w:p>
          <w:p w14:paraId="5A53DE04">
            <w:pPr>
              <w:ind w:firstLine="480"/>
              <w:jc w:val="right"/>
              <w:rPr>
                <w:rFonts w:hint="default" w:ascii="Times New Roman" w:hAnsi="Times New Roman" w:cs="Times New Roman"/>
                <w:color w:val="auto"/>
                <w:kern w:val="1"/>
                <w:sz w:val="24"/>
                <w:highlight w:val="none"/>
              </w:rPr>
            </w:pPr>
          </w:p>
          <w:p w14:paraId="33AB1948">
            <w:pPr>
              <w:rPr>
                <w:rFonts w:hint="default" w:ascii="Times New Roman" w:hAnsi="Times New Roman" w:cs="Times New Roman"/>
                <w:color w:val="auto"/>
                <w:kern w:val="1"/>
                <w:sz w:val="24"/>
                <w:highlight w:val="none"/>
              </w:rPr>
            </w:pPr>
          </w:p>
          <w:p w14:paraId="57DBDDF3">
            <w:pPr>
              <w:ind w:firstLine="480"/>
              <w:jc w:val="left"/>
              <w:rPr>
                <w:rFonts w:hint="default" w:ascii="Times New Roman" w:hAnsi="Times New Roman" w:cs="Times New Roman"/>
                <w:b/>
                <w:bCs/>
                <w:color w:val="auto"/>
                <w:kern w:val="1"/>
                <w:sz w:val="24"/>
                <w:highlight w:val="none"/>
                <w:lang w:val="en-US"/>
              </w:rPr>
            </w:pPr>
            <w:r>
              <w:rPr>
                <w:rFonts w:hint="default" w:ascii="Times New Roman" w:hAnsi="Times New Roman" w:cs="Times New Roman"/>
                <w:color w:val="auto"/>
                <w:kern w:val="1"/>
                <w:sz w:val="24"/>
                <w:highlight w:val="none"/>
              </w:rPr>
              <w:t>联系人：</w:t>
            </w:r>
            <w:r>
              <w:rPr>
                <w:rFonts w:hint="eastAsia" w:cs="Times New Roman"/>
                <w:color w:val="auto"/>
                <w:kern w:val="1"/>
                <w:sz w:val="24"/>
                <w:highlight w:val="none"/>
                <w:lang w:val="en-US" w:eastAsia="zh-CN"/>
              </w:rPr>
              <w:t>马志超</w:t>
            </w:r>
            <w:r>
              <w:rPr>
                <w:rFonts w:hint="default" w:ascii="Times New Roman" w:hAnsi="Times New Roman" w:cs="Times New Roman"/>
                <w:color w:val="auto"/>
                <w:kern w:val="1"/>
                <w:sz w:val="24"/>
                <w:highlight w:val="none"/>
              </w:rPr>
              <w:t xml:space="preserve">         </w:t>
            </w:r>
            <w:r>
              <w:rPr>
                <w:rFonts w:hint="default" w:ascii="Times New Roman" w:hAnsi="Times New Roman" w:cs="Times New Roman"/>
                <w:color w:val="auto"/>
                <w:kern w:val="1"/>
                <w:sz w:val="24"/>
                <w:highlight w:val="none"/>
                <w:lang w:val="en-US" w:eastAsia="zh-CN"/>
              </w:rPr>
              <w:t xml:space="preserve">   </w:t>
            </w:r>
            <w:r>
              <w:rPr>
                <w:rFonts w:hint="default" w:ascii="Times New Roman" w:hAnsi="Times New Roman" w:cs="Times New Roman"/>
                <w:color w:val="auto"/>
                <w:kern w:val="1"/>
                <w:sz w:val="24"/>
                <w:highlight w:val="none"/>
              </w:rPr>
              <w:t xml:space="preserve"> 联系电话：</w:t>
            </w:r>
            <w:r>
              <w:rPr>
                <w:rFonts w:hint="eastAsia" w:cs="Times New Roman"/>
                <w:color w:val="auto"/>
                <w:kern w:val="1"/>
                <w:sz w:val="24"/>
                <w:highlight w:val="none"/>
                <w:lang w:val="en-US" w:eastAsia="zh-CN"/>
              </w:rPr>
              <w:t>18686588795</w:t>
            </w:r>
          </w:p>
        </w:tc>
      </w:tr>
    </w:tbl>
    <w:p w14:paraId="59390D5D">
      <w:pPr>
        <w:pStyle w:val="14"/>
        <w:rPr>
          <w:rFonts w:hint="default" w:ascii="Times New Roman" w:hAnsi="Times New Roman" w:cs="Times New Roman"/>
          <w:color w:val="auto"/>
          <w:sz w:val="44"/>
          <w:szCs w:val="44"/>
          <w:highlight w:val="none"/>
        </w:rPr>
      </w:pPr>
    </w:p>
    <w:p w14:paraId="48956151">
      <w:pPr>
        <w:spacing w:line="360" w:lineRule="auto"/>
        <w:ind w:firstLine="3080" w:firstLineChars="700"/>
        <w:rPr>
          <w:rFonts w:hint="default" w:ascii="Times New Roman" w:hAnsi="Times New Roman" w:cs="Times New Roman"/>
          <w:color w:val="auto"/>
          <w:sz w:val="44"/>
          <w:szCs w:val="44"/>
          <w:highlight w:val="none"/>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Borders w:offsetFrom="page">
            <w:top w:val="none" w:sz="0" w:space="0"/>
            <w:left w:val="none" w:sz="0" w:space="0"/>
            <w:bottom w:val="none" w:sz="0" w:space="0"/>
            <w:right w:val="none" w:sz="0" w:space="0"/>
          </w:pgBorders>
          <w:cols w:space="720" w:num="1"/>
          <w:docGrid w:type="lines" w:linePitch="312" w:charSpace="0"/>
        </w:sectPr>
      </w:pPr>
    </w:p>
    <w:p w14:paraId="07188209">
      <w:pPr>
        <w:spacing w:line="360" w:lineRule="auto"/>
        <w:ind w:firstLine="3500" w:firstLineChars="125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目    录</w:t>
      </w:r>
    </w:p>
    <w:p w14:paraId="57F66F13">
      <w:pPr>
        <w:pStyle w:val="24"/>
        <w:tabs>
          <w:tab w:val="right" w:leader="dot" w:pos="8306"/>
        </w:tabs>
        <w:rPr>
          <w:color w:val="auto"/>
          <w:highlight w:val="none"/>
        </w:rPr>
      </w:pPr>
      <w:r>
        <w:rPr>
          <w:rFonts w:hint="default" w:ascii="Times New Roman" w:hAnsi="Times New Roman" w:cs="Times New Roman"/>
          <w:b w:val="0"/>
          <w:bCs w:val="0"/>
          <w:color w:val="auto"/>
          <w:sz w:val="24"/>
          <w:highlight w:val="none"/>
        </w:rPr>
        <w:fldChar w:fldCharType="begin"/>
      </w:r>
      <w:r>
        <w:rPr>
          <w:rFonts w:hint="default" w:ascii="Times New Roman" w:hAnsi="Times New Roman" w:cs="Times New Roman"/>
          <w:b w:val="0"/>
          <w:bCs w:val="0"/>
          <w:color w:val="auto"/>
          <w:sz w:val="24"/>
          <w:highlight w:val="none"/>
        </w:rPr>
        <w:instrText xml:space="preserve"> TOC \o "1-2" \h \z \u </w:instrText>
      </w:r>
      <w:r>
        <w:rPr>
          <w:rFonts w:hint="default" w:ascii="Times New Roman" w:hAnsi="Times New Roman" w:cs="Times New Roman"/>
          <w:b w:val="0"/>
          <w:bCs w:val="0"/>
          <w:color w:val="auto"/>
          <w:sz w:val="24"/>
          <w:highlight w:val="none"/>
        </w:rPr>
        <w:fldChar w:fldCharType="separate"/>
      </w:r>
      <w:r>
        <w:rPr>
          <w:rFonts w:hint="default" w:ascii="Times New Roman" w:hAnsi="Times New Roman" w:cs="Times New Roman"/>
          <w:bCs w:val="0"/>
          <w:color w:val="auto"/>
          <w:highlight w:val="none"/>
        </w:rPr>
        <w:fldChar w:fldCharType="begin"/>
      </w:r>
      <w:r>
        <w:rPr>
          <w:rFonts w:hint="default" w:ascii="Times New Roman" w:hAnsi="Times New Roman" w:cs="Times New Roman"/>
          <w:bCs w:val="0"/>
          <w:color w:val="auto"/>
          <w:highlight w:val="none"/>
        </w:rPr>
        <w:instrText xml:space="preserve"> HYPERLINK \l _Toc19556 </w:instrText>
      </w:r>
      <w:r>
        <w:rPr>
          <w:rFonts w:hint="default" w:ascii="Times New Roman" w:hAnsi="Times New Roman" w:cs="Times New Roman"/>
          <w:bCs w:val="0"/>
          <w:color w:val="auto"/>
          <w:highlight w:val="none"/>
        </w:rPr>
        <w:fldChar w:fldCharType="separate"/>
      </w:r>
      <w:r>
        <w:rPr>
          <w:rFonts w:hint="default" w:ascii="Times New Roman" w:hAnsi="Times New Roman" w:eastAsia="黑体" w:cs="Times New Roman"/>
          <w:color w:val="auto"/>
          <w:szCs w:val="32"/>
          <w:highlight w:val="none"/>
        </w:rPr>
        <w:t>前  言</w:t>
      </w:r>
      <w:r>
        <w:rPr>
          <w:color w:val="auto"/>
          <w:highlight w:val="none"/>
        </w:rPr>
        <w:tab/>
      </w:r>
      <w:r>
        <w:rPr>
          <w:color w:val="auto"/>
          <w:highlight w:val="none"/>
        </w:rPr>
        <w:fldChar w:fldCharType="begin"/>
      </w:r>
      <w:r>
        <w:rPr>
          <w:color w:val="auto"/>
          <w:highlight w:val="none"/>
        </w:rPr>
        <w:instrText xml:space="preserve"> PAGEREF _Toc19556 \h </w:instrText>
      </w:r>
      <w:r>
        <w:rPr>
          <w:color w:val="auto"/>
          <w:highlight w:val="none"/>
        </w:rPr>
        <w:fldChar w:fldCharType="separate"/>
      </w:r>
      <w:r>
        <w:rPr>
          <w:color w:val="auto"/>
          <w:highlight w:val="none"/>
        </w:rPr>
        <w:t>1</w:t>
      </w:r>
      <w:r>
        <w:rPr>
          <w:color w:val="auto"/>
          <w:highlight w:val="none"/>
        </w:rPr>
        <w:fldChar w:fldCharType="end"/>
      </w:r>
      <w:r>
        <w:rPr>
          <w:rFonts w:hint="default" w:ascii="Times New Roman" w:hAnsi="Times New Roman" w:cs="Times New Roman"/>
          <w:bCs w:val="0"/>
          <w:color w:val="auto"/>
          <w:highlight w:val="none"/>
        </w:rPr>
        <w:fldChar w:fldCharType="end"/>
      </w:r>
    </w:p>
    <w:p w14:paraId="2B3F2646">
      <w:pPr>
        <w:pStyle w:val="28"/>
        <w:tabs>
          <w:tab w:val="right" w:leader="dot" w:pos="8306"/>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_Toc24790 </w:instrText>
      </w:r>
      <w:r>
        <w:rPr>
          <w:rFonts w:hint="default" w:ascii="Times New Roman" w:hAnsi="Times New Roman" w:cs="Times New Roman"/>
          <w:color w:val="auto"/>
          <w:highlight w:val="none"/>
        </w:rPr>
        <w:fldChar w:fldCharType="separate"/>
      </w:r>
      <w:r>
        <w:rPr>
          <w:rFonts w:hint="default" w:ascii="Times New Roman" w:hAnsi="Times New Roman" w:eastAsia="黑体" w:cs="Times New Roman"/>
          <w:color w:val="auto"/>
          <w:szCs w:val="30"/>
          <w:highlight w:val="none"/>
        </w:rPr>
        <w:t>一、任务的由来</w:t>
      </w:r>
      <w:r>
        <w:rPr>
          <w:color w:val="auto"/>
          <w:highlight w:val="none"/>
        </w:rPr>
        <w:tab/>
      </w:r>
      <w:r>
        <w:rPr>
          <w:color w:val="auto"/>
          <w:highlight w:val="none"/>
        </w:rPr>
        <w:fldChar w:fldCharType="begin"/>
      </w:r>
      <w:r>
        <w:rPr>
          <w:color w:val="auto"/>
          <w:highlight w:val="none"/>
        </w:rPr>
        <w:instrText xml:space="preserve"> PAGEREF _Toc24790 \h </w:instrText>
      </w:r>
      <w:r>
        <w:rPr>
          <w:color w:val="auto"/>
          <w:highlight w:val="none"/>
        </w:rPr>
        <w:fldChar w:fldCharType="separate"/>
      </w:r>
      <w:r>
        <w:rPr>
          <w:color w:val="auto"/>
          <w:highlight w:val="none"/>
        </w:rPr>
        <w:t>1</w:t>
      </w:r>
      <w:r>
        <w:rPr>
          <w:color w:val="auto"/>
          <w:highlight w:val="none"/>
        </w:rPr>
        <w:fldChar w:fldCharType="end"/>
      </w:r>
      <w:r>
        <w:rPr>
          <w:rFonts w:hint="default" w:ascii="Times New Roman" w:hAnsi="Times New Roman" w:cs="Times New Roman"/>
          <w:color w:val="auto"/>
          <w:highlight w:val="none"/>
        </w:rPr>
        <w:fldChar w:fldCharType="end"/>
      </w:r>
    </w:p>
    <w:p w14:paraId="3440FF97">
      <w:pPr>
        <w:pStyle w:val="28"/>
        <w:tabs>
          <w:tab w:val="right" w:leader="dot" w:pos="8306"/>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_Toc30236 </w:instrText>
      </w:r>
      <w:r>
        <w:rPr>
          <w:rFonts w:hint="default" w:ascii="Times New Roman" w:hAnsi="Times New Roman" w:cs="Times New Roman"/>
          <w:color w:val="auto"/>
          <w:highlight w:val="none"/>
        </w:rPr>
        <w:fldChar w:fldCharType="separate"/>
      </w:r>
      <w:r>
        <w:rPr>
          <w:rFonts w:hint="default" w:ascii="Times New Roman" w:hAnsi="Times New Roman" w:eastAsia="黑体" w:cs="Times New Roman"/>
          <w:color w:val="auto"/>
          <w:szCs w:val="30"/>
          <w:highlight w:val="none"/>
        </w:rPr>
        <w:t>二、编制目的</w:t>
      </w:r>
      <w:r>
        <w:rPr>
          <w:color w:val="auto"/>
          <w:highlight w:val="none"/>
        </w:rPr>
        <w:tab/>
      </w:r>
      <w:r>
        <w:rPr>
          <w:color w:val="auto"/>
          <w:highlight w:val="none"/>
        </w:rPr>
        <w:fldChar w:fldCharType="begin"/>
      </w:r>
      <w:r>
        <w:rPr>
          <w:color w:val="auto"/>
          <w:highlight w:val="none"/>
        </w:rPr>
        <w:instrText xml:space="preserve"> PAGEREF _Toc30236 \h </w:instrText>
      </w:r>
      <w:r>
        <w:rPr>
          <w:color w:val="auto"/>
          <w:highlight w:val="none"/>
        </w:rPr>
        <w:fldChar w:fldCharType="separate"/>
      </w:r>
      <w:r>
        <w:rPr>
          <w:color w:val="auto"/>
          <w:highlight w:val="none"/>
        </w:rPr>
        <w:t>1</w:t>
      </w:r>
      <w:r>
        <w:rPr>
          <w:color w:val="auto"/>
          <w:highlight w:val="none"/>
        </w:rPr>
        <w:fldChar w:fldCharType="end"/>
      </w:r>
      <w:r>
        <w:rPr>
          <w:rFonts w:hint="default" w:ascii="Times New Roman" w:hAnsi="Times New Roman" w:cs="Times New Roman"/>
          <w:color w:val="auto"/>
          <w:highlight w:val="none"/>
        </w:rPr>
        <w:fldChar w:fldCharType="end"/>
      </w:r>
    </w:p>
    <w:p w14:paraId="62168254">
      <w:pPr>
        <w:pStyle w:val="28"/>
        <w:tabs>
          <w:tab w:val="right" w:leader="dot" w:pos="8306"/>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_Toc31272 </w:instrText>
      </w:r>
      <w:r>
        <w:rPr>
          <w:rFonts w:hint="default" w:ascii="Times New Roman" w:hAnsi="Times New Roman" w:cs="Times New Roman"/>
          <w:color w:val="auto"/>
          <w:highlight w:val="none"/>
        </w:rPr>
        <w:fldChar w:fldCharType="separate"/>
      </w:r>
      <w:r>
        <w:rPr>
          <w:rFonts w:hint="default" w:ascii="Times New Roman" w:hAnsi="Times New Roman" w:eastAsia="黑体" w:cs="Times New Roman"/>
          <w:color w:val="auto"/>
          <w:szCs w:val="30"/>
          <w:highlight w:val="none"/>
        </w:rPr>
        <w:t>三、编制依据</w:t>
      </w:r>
      <w:r>
        <w:rPr>
          <w:color w:val="auto"/>
          <w:highlight w:val="none"/>
        </w:rPr>
        <w:tab/>
      </w:r>
      <w:r>
        <w:rPr>
          <w:color w:val="auto"/>
          <w:highlight w:val="none"/>
        </w:rPr>
        <w:fldChar w:fldCharType="begin"/>
      </w:r>
      <w:r>
        <w:rPr>
          <w:color w:val="auto"/>
          <w:highlight w:val="none"/>
        </w:rPr>
        <w:instrText xml:space="preserve"> PAGEREF _Toc31272 \h </w:instrText>
      </w:r>
      <w:r>
        <w:rPr>
          <w:color w:val="auto"/>
          <w:highlight w:val="none"/>
        </w:rPr>
        <w:fldChar w:fldCharType="separate"/>
      </w:r>
      <w:r>
        <w:rPr>
          <w:color w:val="auto"/>
          <w:highlight w:val="none"/>
        </w:rPr>
        <w:t>2</w:t>
      </w:r>
      <w:r>
        <w:rPr>
          <w:color w:val="auto"/>
          <w:highlight w:val="none"/>
        </w:rPr>
        <w:fldChar w:fldCharType="end"/>
      </w:r>
      <w:r>
        <w:rPr>
          <w:rFonts w:hint="default" w:ascii="Times New Roman" w:hAnsi="Times New Roman" w:cs="Times New Roman"/>
          <w:color w:val="auto"/>
          <w:highlight w:val="none"/>
        </w:rPr>
        <w:fldChar w:fldCharType="end"/>
      </w:r>
    </w:p>
    <w:p w14:paraId="2D1879D8">
      <w:pPr>
        <w:pStyle w:val="28"/>
        <w:tabs>
          <w:tab w:val="right" w:leader="dot" w:pos="8306"/>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_Toc12120 </w:instrText>
      </w:r>
      <w:r>
        <w:rPr>
          <w:rFonts w:hint="default" w:ascii="Times New Roman" w:hAnsi="Times New Roman" w:cs="Times New Roman"/>
          <w:color w:val="auto"/>
          <w:highlight w:val="none"/>
        </w:rPr>
        <w:fldChar w:fldCharType="separate"/>
      </w:r>
      <w:r>
        <w:rPr>
          <w:rFonts w:hint="default" w:ascii="Times New Roman" w:hAnsi="Times New Roman" w:eastAsia="黑体" w:cs="Times New Roman"/>
          <w:color w:val="auto"/>
          <w:szCs w:val="30"/>
          <w:highlight w:val="none"/>
        </w:rPr>
        <w:t>四、方案的适用年限</w:t>
      </w:r>
      <w:r>
        <w:rPr>
          <w:color w:val="auto"/>
          <w:highlight w:val="none"/>
        </w:rPr>
        <w:tab/>
      </w:r>
      <w:r>
        <w:rPr>
          <w:color w:val="auto"/>
          <w:highlight w:val="none"/>
        </w:rPr>
        <w:fldChar w:fldCharType="begin"/>
      </w:r>
      <w:r>
        <w:rPr>
          <w:color w:val="auto"/>
          <w:highlight w:val="none"/>
        </w:rPr>
        <w:instrText xml:space="preserve"> PAGEREF _Toc12120 \h </w:instrText>
      </w:r>
      <w:r>
        <w:rPr>
          <w:color w:val="auto"/>
          <w:highlight w:val="none"/>
        </w:rPr>
        <w:fldChar w:fldCharType="separate"/>
      </w:r>
      <w:r>
        <w:rPr>
          <w:color w:val="auto"/>
          <w:highlight w:val="none"/>
        </w:rPr>
        <w:t>5</w:t>
      </w:r>
      <w:r>
        <w:rPr>
          <w:color w:val="auto"/>
          <w:highlight w:val="none"/>
        </w:rPr>
        <w:fldChar w:fldCharType="end"/>
      </w:r>
      <w:r>
        <w:rPr>
          <w:rFonts w:hint="default" w:ascii="Times New Roman" w:hAnsi="Times New Roman" w:cs="Times New Roman"/>
          <w:color w:val="auto"/>
          <w:highlight w:val="none"/>
        </w:rPr>
        <w:fldChar w:fldCharType="end"/>
      </w:r>
    </w:p>
    <w:p w14:paraId="200C85FB">
      <w:pPr>
        <w:pStyle w:val="28"/>
        <w:tabs>
          <w:tab w:val="right" w:leader="dot" w:pos="8306"/>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_Toc25852 </w:instrText>
      </w:r>
      <w:r>
        <w:rPr>
          <w:rFonts w:hint="default" w:ascii="Times New Roman" w:hAnsi="Times New Roman" w:cs="Times New Roman"/>
          <w:color w:val="auto"/>
          <w:highlight w:val="none"/>
        </w:rPr>
        <w:fldChar w:fldCharType="separate"/>
      </w:r>
      <w:r>
        <w:rPr>
          <w:rFonts w:hint="default" w:ascii="Times New Roman" w:hAnsi="Times New Roman" w:eastAsia="黑体" w:cs="Times New Roman"/>
          <w:color w:val="auto"/>
          <w:szCs w:val="30"/>
          <w:highlight w:val="none"/>
        </w:rPr>
        <w:t>五、编制工作概况</w:t>
      </w:r>
      <w:r>
        <w:rPr>
          <w:color w:val="auto"/>
          <w:highlight w:val="none"/>
        </w:rPr>
        <w:tab/>
      </w:r>
      <w:r>
        <w:rPr>
          <w:color w:val="auto"/>
          <w:highlight w:val="none"/>
        </w:rPr>
        <w:fldChar w:fldCharType="begin"/>
      </w:r>
      <w:r>
        <w:rPr>
          <w:color w:val="auto"/>
          <w:highlight w:val="none"/>
        </w:rPr>
        <w:instrText xml:space="preserve"> PAGEREF _Toc25852 \h </w:instrText>
      </w:r>
      <w:r>
        <w:rPr>
          <w:color w:val="auto"/>
          <w:highlight w:val="none"/>
        </w:rPr>
        <w:fldChar w:fldCharType="separate"/>
      </w:r>
      <w:r>
        <w:rPr>
          <w:color w:val="auto"/>
          <w:highlight w:val="none"/>
        </w:rPr>
        <w:t>6</w:t>
      </w:r>
      <w:r>
        <w:rPr>
          <w:color w:val="auto"/>
          <w:highlight w:val="none"/>
        </w:rPr>
        <w:fldChar w:fldCharType="end"/>
      </w:r>
      <w:r>
        <w:rPr>
          <w:rFonts w:hint="default" w:ascii="Times New Roman" w:hAnsi="Times New Roman" w:cs="Times New Roman"/>
          <w:color w:val="auto"/>
          <w:highlight w:val="none"/>
        </w:rPr>
        <w:fldChar w:fldCharType="end"/>
      </w:r>
    </w:p>
    <w:p w14:paraId="681D358D">
      <w:pPr>
        <w:pStyle w:val="24"/>
        <w:tabs>
          <w:tab w:val="right" w:leader="dot" w:pos="8306"/>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_Toc14570 </w:instrText>
      </w:r>
      <w:r>
        <w:rPr>
          <w:rFonts w:hint="default" w:ascii="Times New Roman" w:hAnsi="Times New Roman" w:cs="Times New Roman"/>
          <w:color w:val="auto"/>
          <w:highlight w:val="none"/>
        </w:rPr>
        <w:fldChar w:fldCharType="separate"/>
      </w:r>
      <w:r>
        <w:rPr>
          <w:rFonts w:hint="default" w:ascii="Times New Roman" w:hAnsi="Times New Roman" w:eastAsia="黑体" w:cs="Times New Roman"/>
          <w:color w:val="auto"/>
          <w:szCs w:val="32"/>
          <w:highlight w:val="none"/>
        </w:rPr>
        <w:t>第一章 矿山基本概况</w:t>
      </w:r>
      <w:r>
        <w:rPr>
          <w:color w:val="auto"/>
          <w:highlight w:val="none"/>
        </w:rPr>
        <w:tab/>
      </w:r>
      <w:r>
        <w:rPr>
          <w:color w:val="auto"/>
          <w:highlight w:val="none"/>
        </w:rPr>
        <w:fldChar w:fldCharType="begin"/>
      </w:r>
      <w:r>
        <w:rPr>
          <w:color w:val="auto"/>
          <w:highlight w:val="none"/>
        </w:rPr>
        <w:instrText xml:space="preserve"> PAGEREF _Toc14570 \h </w:instrText>
      </w:r>
      <w:r>
        <w:rPr>
          <w:color w:val="auto"/>
          <w:highlight w:val="none"/>
        </w:rPr>
        <w:fldChar w:fldCharType="separate"/>
      </w:r>
      <w:r>
        <w:rPr>
          <w:color w:val="auto"/>
          <w:highlight w:val="none"/>
        </w:rPr>
        <w:t>9</w:t>
      </w:r>
      <w:r>
        <w:rPr>
          <w:color w:val="auto"/>
          <w:highlight w:val="none"/>
        </w:rPr>
        <w:fldChar w:fldCharType="end"/>
      </w:r>
      <w:r>
        <w:rPr>
          <w:rFonts w:hint="default" w:ascii="Times New Roman" w:hAnsi="Times New Roman" w:cs="Times New Roman"/>
          <w:color w:val="auto"/>
          <w:highlight w:val="none"/>
        </w:rPr>
        <w:fldChar w:fldCharType="end"/>
      </w:r>
    </w:p>
    <w:p w14:paraId="7EB0C899">
      <w:pPr>
        <w:pStyle w:val="28"/>
        <w:tabs>
          <w:tab w:val="right" w:leader="dot" w:pos="8306"/>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_Toc16709 </w:instrText>
      </w:r>
      <w:r>
        <w:rPr>
          <w:rFonts w:hint="default" w:ascii="Times New Roman" w:hAnsi="Times New Roman" w:cs="Times New Roman"/>
          <w:color w:val="auto"/>
          <w:highlight w:val="none"/>
        </w:rPr>
        <w:fldChar w:fldCharType="separate"/>
      </w:r>
      <w:r>
        <w:rPr>
          <w:rFonts w:hint="default" w:ascii="Times New Roman" w:hAnsi="Times New Roman" w:eastAsia="黑体" w:cs="Times New Roman"/>
          <w:color w:val="auto"/>
          <w:szCs w:val="28"/>
          <w:highlight w:val="none"/>
        </w:rPr>
        <w:t>一、矿山简介</w:t>
      </w:r>
      <w:r>
        <w:rPr>
          <w:color w:val="auto"/>
          <w:highlight w:val="none"/>
        </w:rPr>
        <w:tab/>
      </w:r>
      <w:r>
        <w:rPr>
          <w:color w:val="auto"/>
          <w:highlight w:val="none"/>
        </w:rPr>
        <w:fldChar w:fldCharType="begin"/>
      </w:r>
      <w:r>
        <w:rPr>
          <w:color w:val="auto"/>
          <w:highlight w:val="none"/>
        </w:rPr>
        <w:instrText xml:space="preserve"> PAGEREF _Toc16709 \h </w:instrText>
      </w:r>
      <w:r>
        <w:rPr>
          <w:color w:val="auto"/>
          <w:highlight w:val="none"/>
        </w:rPr>
        <w:fldChar w:fldCharType="separate"/>
      </w:r>
      <w:r>
        <w:rPr>
          <w:color w:val="auto"/>
          <w:highlight w:val="none"/>
        </w:rPr>
        <w:t>9</w:t>
      </w:r>
      <w:r>
        <w:rPr>
          <w:color w:val="auto"/>
          <w:highlight w:val="none"/>
        </w:rPr>
        <w:fldChar w:fldCharType="end"/>
      </w:r>
      <w:r>
        <w:rPr>
          <w:rFonts w:hint="default" w:ascii="Times New Roman" w:hAnsi="Times New Roman" w:cs="Times New Roman"/>
          <w:color w:val="auto"/>
          <w:highlight w:val="none"/>
        </w:rPr>
        <w:fldChar w:fldCharType="end"/>
      </w:r>
    </w:p>
    <w:p w14:paraId="14E6EBD6">
      <w:pPr>
        <w:pStyle w:val="28"/>
        <w:tabs>
          <w:tab w:val="right" w:leader="dot" w:pos="8306"/>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_Toc13235 </w:instrText>
      </w:r>
      <w:r>
        <w:rPr>
          <w:rFonts w:hint="default" w:ascii="Times New Roman" w:hAnsi="Times New Roman" w:cs="Times New Roman"/>
          <w:color w:val="auto"/>
          <w:highlight w:val="none"/>
        </w:rPr>
        <w:fldChar w:fldCharType="separate"/>
      </w:r>
      <w:r>
        <w:rPr>
          <w:rFonts w:hint="default" w:ascii="Times New Roman" w:hAnsi="Times New Roman" w:eastAsia="黑体" w:cs="Times New Roman"/>
          <w:color w:val="auto"/>
          <w:szCs w:val="28"/>
          <w:highlight w:val="none"/>
        </w:rPr>
        <w:t>二、矿区范围及拐点坐标</w:t>
      </w:r>
      <w:r>
        <w:rPr>
          <w:color w:val="auto"/>
          <w:highlight w:val="none"/>
        </w:rPr>
        <w:tab/>
      </w:r>
      <w:r>
        <w:rPr>
          <w:color w:val="auto"/>
          <w:highlight w:val="none"/>
        </w:rPr>
        <w:fldChar w:fldCharType="begin"/>
      </w:r>
      <w:r>
        <w:rPr>
          <w:color w:val="auto"/>
          <w:highlight w:val="none"/>
        </w:rPr>
        <w:instrText xml:space="preserve"> PAGEREF _Toc13235 \h </w:instrText>
      </w:r>
      <w:r>
        <w:rPr>
          <w:color w:val="auto"/>
          <w:highlight w:val="none"/>
        </w:rPr>
        <w:fldChar w:fldCharType="separate"/>
      </w:r>
      <w:r>
        <w:rPr>
          <w:color w:val="auto"/>
          <w:highlight w:val="none"/>
        </w:rPr>
        <w:t>11</w:t>
      </w:r>
      <w:r>
        <w:rPr>
          <w:color w:val="auto"/>
          <w:highlight w:val="none"/>
        </w:rPr>
        <w:fldChar w:fldCharType="end"/>
      </w:r>
      <w:r>
        <w:rPr>
          <w:rFonts w:hint="default" w:ascii="Times New Roman" w:hAnsi="Times New Roman" w:cs="Times New Roman"/>
          <w:color w:val="auto"/>
          <w:highlight w:val="none"/>
        </w:rPr>
        <w:fldChar w:fldCharType="end"/>
      </w:r>
    </w:p>
    <w:p w14:paraId="7386AAAB">
      <w:pPr>
        <w:pStyle w:val="28"/>
        <w:tabs>
          <w:tab w:val="right" w:leader="dot" w:pos="8306"/>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_Toc12824 </w:instrText>
      </w:r>
      <w:r>
        <w:rPr>
          <w:rFonts w:hint="default" w:ascii="Times New Roman" w:hAnsi="Times New Roman" w:cs="Times New Roman"/>
          <w:color w:val="auto"/>
          <w:highlight w:val="none"/>
        </w:rPr>
        <w:fldChar w:fldCharType="separate"/>
      </w:r>
      <w:r>
        <w:rPr>
          <w:rFonts w:hint="default" w:ascii="Times New Roman" w:hAnsi="Times New Roman" w:eastAsia="黑体" w:cs="Times New Roman"/>
          <w:color w:val="auto"/>
          <w:szCs w:val="28"/>
          <w:highlight w:val="none"/>
        </w:rPr>
        <w:t>三、矿山开发利用方案概述</w:t>
      </w:r>
      <w:r>
        <w:rPr>
          <w:color w:val="auto"/>
          <w:highlight w:val="none"/>
        </w:rPr>
        <w:tab/>
      </w:r>
      <w:r>
        <w:rPr>
          <w:color w:val="auto"/>
          <w:highlight w:val="none"/>
        </w:rPr>
        <w:fldChar w:fldCharType="begin"/>
      </w:r>
      <w:r>
        <w:rPr>
          <w:color w:val="auto"/>
          <w:highlight w:val="none"/>
        </w:rPr>
        <w:instrText xml:space="preserve"> PAGEREF _Toc12824 \h </w:instrText>
      </w:r>
      <w:r>
        <w:rPr>
          <w:color w:val="auto"/>
          <w:highlight w:val="none"/>
        </w:rPr>
        <w:fldChar w:fldCharType="separate"/>
      </w:r>
      <w:r>
        <w:rPr>
          <w:color w:val="auto"/>
          <w:highlight w:val="none"/>
        </w:rPr>
        <w:t>12</w:t>
      </w:r>
      <w:r>
        <w:rPr>
          <w:color w:val="auto"/>
          <w:highlight w:val="none"/>
        </w:rPr>
        <w:fldChar w:fldCharType="end"/>
      </w:r>
      <w:r>
        <w:rPr>
          <w:rFonts w:hint="default" w:ascii="Times New Roman" w:hAnsi="Times New Roman" w:cs="Times New Roman"/>
          <w:color w:val="auto"/>
          <w:highlight w:val="none"/>
        </w:rPr>
        <w:fldChar w:fldCharType="end"/>
      </w:r>
    </w:p>
    <w:p w14:paraId="1C5CB412">
      <w:pPr>
        <w:pStyle w:val="28"/>
        <w:tabs>
          <w:tab w:val="right" w:leader="dot" w:pos="8306"/>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_Toc3404 </w:instrText>
      </w:r>
      <w:r>
        <w:rPr>
          <w:rFonts w:hint="default" w:ascii="Times New Roman" w:hAnsi="Times New Roman" w:cs="Times New Roman"/>
          <w:color w:val="auto"/>
          <w:highlight w:val="none"/>
        </w:rPr>
        <w:fldChar w:fldCharType="separate"/>
      </w:r>
      <w:r>
        <w:rPr>
          <w:rFonts w:hint="default" w:ascii="Times New Roman" w:hAnsi="Times New Roman" w:eastAsia="黑体" w:cs="Times New Roman"/>
          <w:color w:val="auto"/>
          <w:szCs w:val="28"/>
          <w:highlight w:val="none"/>
        </w:rPr>
        <w:t>四、矿山开采历史及现状</w:t>
      </w:r>
      <w:r>
        <w:rPr>
          <w:color w:val="auto"/>
          <w:highlight w:val="none"/>
        </w:rPr>
        <w:tab/>
      </w:r>
      <w:r>
        <w:rPr>
          <w:color w:val="auto"/>
          <w:highlight w:val="none"/>
        </w:rPr>
        <w:fldChar w:fldCharType="begin"/>
      </w:r>
      <w:r>
        <w:rPr>
          <w:color w:val="auto"/>
          <w:highlight w:val="none"/>
        </w:rPr>
        <w:instrText xml:space="preserve"> PAGEREF _Toc3404 \h </w:instrText>
      </w:r>
      <w:r>
        <w:rPr>
          <w:color w:val="auto"/>
          <w:highlight w:val="none"/>
        </w:rPr>
        <w:fldChar w:fldCharType="separate"/>
      </w:r>
      <w:r>
        <w:rPr>
          <w:color w:val="auto"/>
          <w:highlight w:val="none"/>
        </w:rPr>
        <w:t>19</w:t>
      </w:r>
      <w:r>
        <w:rPr>
          <w:color w:val="auto"/>
          <w:highlight w:val="none"/>
        </w:rPr>
        <w:fldChar w:fldCharType="end"/>
      </w:r>
      <w:r>
        <w:rPr>
          <w:rFonts w:hint="default" w:ascii="Times New Roman" w:hAnsi="Times New Roman" w:cs="Times New Roman"/>
          <w:color w:val="auto"/>
          <w:highlight w:val="none"/>
        </w:rPr>
        <w:fldChar w:fldCharType="end"/>
      </w:r>
    </w:p>
    <w:p w14:paraId="3AEE5BEF">
      <w:pPr>
        <w:pStyle w:val="24"/>
        <w:tabs>
          <w:tab w:val="right" w:leader="dot" w:pos="8306"/>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_Toc12857 </w:instrText>
      </w:r>
      <w:r>
        <w:rPr>
          <w:rFonts w:hint="default" w:ascii="Times New Roman" w:hAnsi="Times New Roman" w:cs="Times New Roman"/>
          <w:color w:val="auto"/>
          <w:highlight w:val="none"/>
        </w:rPr>
        <w:fldChar w:fldCharType="separate"/>
      </w:r>
      <w:r>
        <w:rPr>
          <w:rFonts w:hint="default" w:ascii="Times New Roman" w:hAnsi="Times New Roman" w:eastAsia="黑体" w:cs="Times New Roman"/>
          <w:bCs/>
          <w:color w:val="auto"/>
          <w:kern w:val="44"/>
          <w:szCs w:val="32"/>
          <w:highlight w:val="none"/>
          <w:lang w:val="en-US" w:eastAsia="zh-CN" w:bidi="ar-SA"/>
        </w:rPr>
        <w:t>第二章  矿区基础信息</w:t>
      </w:r>
      <w:r>
        <w:rPr>
          <w:color w:val="auto"/>
          <w:highlight w:val="none"/>
        </w:rPr>
        <w:tab/>
      </w:r>
      <w:r>
        <w:rPr>
          <w:color w:val="auto"/>
          <w:highlight w:val="none"/>
        </w:rPr>
        <w:fldChar w:fldCharType="begin"/>
      </w:r>
      <w:r>
        <w:rPr>
          <w:color w:val="auto"/>
          <w:highlight w:val="none"/>
        </w:rPr>
        <w:instrText xml:space="preserve"> PAGEREF _Toc12857 \h </w:instrText>
      </w:r>
      <w:r>
        <w:rPr>
          <w:color w:val="auto"/>
          <w:highlight w:val="none"/>
        </w:rPr>
        <w:fldChar w:fldCharType="separate"/>
      </w:r>
      <w:r>
        <w:rPr>
          <w:color w:val="auto"/>
          <w:highlight w:val="none"/>
        </w:rPr>
        <w:t>21</w:t>
      </w:r>
      <w:r>
        <w:rPr>
          <w:color w:val="auto"/>
          <w:highlight w:val="none"/>
        </w:rPr>
        <w:fldChar w:fldCharType="end"/>
      </w:r>
      <w:r>
        <w:rPr>
          <w:rFonts w:hint="default" w:ascii="Times New Roman" w:hAnsi="Times New Roman" w:cs="Times New Roman"/>
          <w:color w:val="auto"/>
          <w:highlight w:val="none"/>
        </w:rPr>
        <w:fldChar w:fldCharType="end"/>
      </w:r>
    </w:p>
    <w:p w14:paraId="6A05D8D7">
      <w:pPr>
        <w:pStyle w:val="28"/>
        <w:tabs>
          <w:tab w:val="right" w:leader="dot" w:pos="8306"/>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_Toc13002 </w:instrText>
      </w:r>
      <w:r>
        <w:rPr>
          <w:rFonts w:hint="default" w:ascii="Times New Roman" w:hAnsi="Times New Roman" w:cs="Times New Roman"/>
          <w:color w:val="auto"/>
          <w:highlight w:val="none"/>
        </w:rPr>
        <w:fldChar w:fldCharType="separate"/>
      </w:r>
      <w:r>
        <w:rPr>
          <w:rFonts w:hint="default" w:ascii="Times New Roman" w:hAnsi="Times New Roman" w:eastAsia="黑体" w:cs="Times New Roman"/>
          <w:bCs/>
          <w:color w:val="auto"/>
          <w:szCs w:val="30"/>
          <w:highlight w:val="none"/>
        </w:rPr>
        <w:t>一、矿区自然地理</w:t>
      </w:r>
      <w:r>
        <w:rPr>
          <w:color w:val="auto"/>
          <w:highlight w:val="none"/>
        </w:rPr>
        <w:tab/>
      </w:r>
      <w:r>
        <w:rPr>
          <w:color w:val="auto"/>
          <w:highlight w:val="none"/>
        </w:rPr>
        <w:fldChar w:fldCharType="begin"/>
      </w:r>
      <w:r>
        <w:rPr>
          <w:color w:val="auto"/>
          <w:highlight w:val="none"/>
        </w:rPr>
        <w:instrText xml:space="preserve"> PAGEREF _Toc13002 \h </w:instrText>
      </w:r>
      <w:r>
        <w:rPr>
          <w:color w:val="auto"/>
          <w:highlight w:val="none"/>
        </w:rPr>
        <w:fldChar w:fldCharType="separate"/>
      </w:r>
      <w:r>
        <w:rPr>
          <w:color w:val="auto"/>
          <w:highlight w:val="none"/>
        </w:rPr>
        <w:t>21</w:t>
      </w:r>
      <w:r>
        <w:rPr>
          <w:color w:val="auto"/>
          <w:highlight w:val="none"/>
        </w:rPr>
        <w:fldChar w:fldCharType="end"/>
      </w:r>
      <w:r>
        <w:rPr>
          <w:rFonts w:hint="default" w:ascii="Times New Roman" w:hAnsi="Times New Roman" w:cs="Times New Roman"/>
          <w:color w:val="auto"/>
          <w:highlight w:val="none"/>
        </w:rPr>
        <w:fldChar w:fldCharType="end"/>
      </w:r>
    </w:p>
    <w:p w14:paraId="5580B904">
      <w:pPr>
        <w:pStyle w:val="28"/>
        <w:tabs>
          <w:tab w:val="right" w:leader="dot" w:pos="8306"/>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_Toc27198 </w:instrText>
      </w:r>
      <w:r>
        <w:rPr>
          <w:rFonts w:hint="default" w:ascii="Times New Roman" w:hAnsi="Times New Roman" w:cs="Times New Roman"/>
          <w:color w:val="auto"/>
          <w:highlight w:val="none"/>
        </w:rPr>
        <w:fldChar w:fldCharType="separate"/>
      </w:r>
      <w:r>
        <w:rPr>
          <w:rFonts w:hint="default" w:ascii="Times New Roman" w:hAnsi="Times New Roman" w:eastAsia="黑体" w:cs="Times New Roman"/>
          <w:bCs/>
          <w:color w:val="auto"/>
          <w:szCs w:val="30"/>
          <w:highlight w:val="none"/>
        </w:rPr>
        <w:t>二、矿区地质环境背景</w:t>
      </w:r>
      <w:r>
        <w:rPr>
          <w:color w:val="auto"/>
          <w:highlight w:val="none"/>
        </w:rPr>
        <w:tab/>
      </w:r>
      <w:r>
        <w:rPr>
          <w:color w:val="auto"/>
          <w:highlight w:val="none"/>
        </w:rPr>
        <w:fldChar w:fldCharType="begin"/>
      </w:r>
      <w:r>
        <w:rPr>
          <w:color w:val="auto"/>
          <w:highlight w:val="none"/>
        </w:rPr>
        <w:instrText xml:space="preserve"> PAGEREF _Toc27198 \h </w:instrText>
      </w:r>
      <w:r>
        <w:rPr>
          <w:color w:val="auto"/>
          <w:highlight w:val="none"/>
        </w:rPr>
        <w:fldChar w:fldCharType="separate"/>
      </w:r>
      <w:r>
        <w:rPr>
          <w:color w:val="auto"/>
          <w:highlight w:val="none"/>
        </w:rPr>
        <w:t>24</w:t>
      </w:r>
      <w:r>
        <w:rPr>
          <w:color w:val="auto"/>
          <w:highlight w:val="none"/>
        </w:rPr>
        <w:fldChar w:fldCharType="end"/>
      </w:r>
      <w:r>
        <w:rPr>
          <w:rFonts w:hint="default" w:ascii="Times New Roman" w:hAnsi="Times New Roman" w:cs="Times New Roman"/>
          <w:color w:val="auto"/>
          <w:highlight w:val="none"/>
        </w:rPr>
        <w:fldChar w:fldCharType="end"/>
      </w:r>
    </w:p>
    <w:p w14:paraId="3610AD9B">
      <w:pPr>
        <w:pStyle w:val="28"/>
        <w:tabs>
          <w:tab w:val="right" w:leader="dot" w:pos="8306"/>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_Toc17113 </w:instrText>
      </w:r>
      <w:r>
        <w:rPr>
          <w:rFonts w:hint="default" w:ascii="Times New Roman" w:hAnsi="Times New Roman" w:cs="Times New Roman"/>
          <w:color w:val="auto"/>
          <w:highlight w:val="none"/>
        </w:rPr>
        <w:fldChar w:fldCharType="separate"/>
      </w:r>
      <w:r>
        <w:rPr>
          <w:rFonts w:hint="default" w:ascii="Times New Roman" w:hAnsi="Times New Roman" w:eastAsia="黑体" w:cs="Times New Roman"/>
          <w:bCs/>
          <w:color w:val="auto"/>
          <w:szCs w:val="30"/>
          <w:highlight w:val="none"/>
        </w:rPr>
        <w:t>三、矿区社会经济概况</w:t>
      </w:r>
      <w:r>
        <w:rPr>
          <w:color w:val="auto"/>
          <w:highlight w:val="none"/>
        </w:rPr>
        <w:tab/>
      </w:r>
      <w:r>
        <w:rPr>
          <w:color w:val="auto"/>
          <w:highlight w:val="none"/>
        </w:rPr>
        <w:fldChar w:fldCharType="begin"/>
      </w:r>
      <w:r>
        <w:rPr>
          <w:color w:val="auto"/>
          <w:highlight w:val="none"/>
        </w:rPr>
        <w:instrText xml:space="preserve"> PAGEREF _Toc17113 \h </w:instrText>
      </w:r>
      <w:r>
        <w:rPr>
          <w:color w:val="auto"/>
          <w:highlight w:val="none"/>
        </w:rPr>
        <w:fldChar w:fldCharType="separate"/>
      </w:r>
      <w:r>
        <w:rPr>
          <w:color w:val="auto"/>
          <w:highlight w:val="none"/>
        </w:rPr>
        <w:t>28</w:t>
      </w:r>
      <w:r>
        <w:rPr>
          <w:color w:val="auto"/>
          <w:highlight w:val="none"/>
        </w:rPr>
        <w:fldChar w:fldCharType="end"/>
      </w:r>
      <w:r>
        <w:rPr>
          <w:rFonts w:hint="default" w:ascii="Times New Roman" w:hAnsi="Times New Roman" w:cs="Times New Roman"/>
          <w:color w:val="auto"/>
          <w:highlight w:val="none"/>
        </w:rPr>
        <w:fldChar w:fldCharType="end"/>
      </w:r>
    </w:p>
    <w:p w14:paraId="4AF7C7C9">
      <w:pPr>
        <w:pStyle w:val="28"/>
        <w:tabs>
          <w:tab w:val="right" w:leader="dot" w:pos="8306"/>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_Toc31952 </w:instrText>
      </w:r>
      <w:r>
        <w:rPr>
          <w:rFonts w:hint="default" w:ascii="Times New Roman" w:hAnsi="Times New Roman" w:cs="Times New Roman"/>
          <w:color w:val="auto"/>
          <w:highlight w:val="none"/>
        </w:rPr>
        <w:fldChar w:fldCharType="separate"/>
      </w:r>
      <w:r>
        <w:rPr>
          <w:rFonts w:hint="default" w:ascii="Times New Roman" w:hAnsi="Times New Roman" w:eastAsia="黑体" w:cs="Times New Roman"/>
          <w:bCs/>
          <w:color w:val="auto"/>
          <w:szCs w:val="30"/>
          <w:highlight w:val="none"/>
        </w:rPr>
        <w:t>四、矿区土地利用现状</w:t>
      </w:r>
      <w:r>
        <w:rPr>
          <w:color w:val="auto"/>
          <w:highlight w:val="none"/>
        </w:rPr>
        <w:tab/>
      </w:r>
      <w:r>
        <w:rPr>
          <w:color w:val="auto"/>
          <w:highlight w:val="none"/>
        </w:rPr>
        <w:fldChar w:fldCharType="begin"/>
      </w:r>
      <w:r>
        <w:rPr>
          <w:color w:val="auto"/>
          <w:highlight w:val="none"/>
        </w:rPr>
        <w:instrText xml:space="preserve"> PAGEREF _Toc31952 \h </w:instrText>
      </w:r>
      <w:r>
        <w:rPr>
          <w:color w:val="auto"/>
          <w:highlight w:val="none"/>
        </w:rPr>
        <w:fldChar w:fldCharType="separate"/>
      </w:r>
      <w:r>
        <w:rPr>
          <w:color w:val="auto"/>
          <w:highlight w:val="none"/>
        </w:rPr>
        <w:t>29</w:t>
      </w:r>
      <w:r>
        <w:rPr>
          <w:color w:val="auto"/>
          <w:highlight w:val="none"/>
        </w:rPr>
        <w:fldChar w:fldCharType="end"/>
      </w:r>
      <w:r>
        <w:rPr>
          <w:rFonts w:hint="default" w:ascii="Times New Roman" w:hAnsi="Times New Roman" w:cs="Times New Roman"/>
          <w:color w:val="auto"/>
          <w:highlight w:val="none"/>
        </w:rPr>
        <w:fldChar w:fldCharType="end"/>
      </w:r>
    </w:p>
    <w:p w14:paraId="71389AD4">
      <w:pPr>
        <w:pStyle w:val="28"/>
        <w:tabs>
          <w:tab w:val="right" w:leader="dot" w:pos="8306"/>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_Toc390 </w:instrText>
      </w:r>
      <w:r>
        <w:rPr>
          <w:rFonts w:hint="default" w:ascii="Times New Roman" w:hAnsi="Times New Roman" w:cs="Times New Roman"/>
          <w:color w:val="auto"/>
          <w:highlight w:val="none"/>
        </w:rPr>
        <w:fldChar w:fldCharType="separate"/>
      </w:r>
      <w:r>
        <w:rPr>
          <w:rFonts w:hint="default" w:ascii="Times New Roman" w:hAnsi="Times New Roman" w:eastAsia="黑体" w:cs="Times New Roman"/>
          <w:bCs/>
          <w:color w:val="auto"/>
          <w:szCs w:val="30"/>
          <w:highlight w:val="none"/>
        </w:rPr>
        <w:t>五、矿山及周边其他人类重大工程活动</w:t>
      </w:r>
      <w:r>
        <w:rPr>
          <w:color w:val="auto"/>
          <w:highlight w:val="none"/>
        </w:rPr>
        <w:tab/>
      </w:r>
      <w:r>
        <w:rPr>
          <w:color w:val="auto"/>
          <w:highlight w:val="none"/>
        </w:rPr>
        <w:fldChar w:fldCharType="begin"/>
      </w:r>
      <w:r>
        <w:rPr>
          <w:color w:val="auto"/>
          <w:highlight w:val="none"/>
        </w:rPr>
        <w:instrText xml:space="preserve"> PAGEREF _Toc390 \h </w:instrText>
      </w:r>
      <w:r>
        <w:rPr>
          <w:color w:val="auto"/>
          <w:highlight w:val="none"/>
        </w:rPr>
        <w:fldChar w:fldCharType="separate"/>
      </w:r>
      <w:r>
        <w:rPr>
          <w:color w:val="auto"/>
          <w:highlight w:val="none"/>
        </w:rPr>
        <w:t>29</w:t>
      </w:r>
      <w:r>
        <w:rPr>
          <w:color w:val="auto"/>
          <w:highlight w:val="none"/>
        </w:rPr>
        <w:fldChar w:fldCharType="end"/>
      </w:r>
      <w:r>
        <w:rPr>
          <w:rFonts w:hint="default" w:ascii="Times New Roman" w:hAnsi="Times New Roman" w:cs="Times New Roman"/>
          <w:color w:val="auto"/>
          <w:highlight w:val="none"/>
        </w:rPr>
        <w:fldChar w:fldCharType="end"/>
      </w:r>
    </w:p>
    <w:p w14:paraId="268806D5">
      <w:pPr>
        <w:pStyle w:val="28"/>
        <w:tabs>
          <w:tab w:val="right" w:leader="dot" w:pos="8306"/>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_Toc8642 </w:instrText>
      </w:r>
      <w:r>
        <w:rPr>
          <w:rFonts w:hint="default" w:ascii="Times New Roman" w:hAnsi="Times New Roman" w:cs="Times New Roman"/>
          <w:color w:val="auto"/>
          <w:highlight w:val="none"/>
        </w:rPr>
        <w:fldChar w:fldCharType="separate"/>
      </w:r>
      <w:r>
        <w:rPr>
          <w:rFonts w:hint="default" w:ascii="Times New Roman" w:hAnsi="Times New Roman" w:eastAsia="黑体" w:cs="Times New Roman"/>
          <w:bCs/>
          <w:color w:val="auto"/>
          <w:szCs w:val="30"/>
          <w:highlight w:val="none"/>
        </w:rPr>
        <w:t>六、矿山及周边矿山地质环境治理与土地复垦案例分析</w:t>
      </w:r>
      <w:r>
        <w:rPr>
          <w:color w:val="auto"/>
          <w:highlight w:val="none"/>
        </w:rPr>
        <w:tab/>
      </w:r>
      <w:r>
        <w:rPr>
          <w:color w:val="auto"/>
          <w:highlight w:val="none"/>
        </w:rPr>
        <w:fldChar w:fldCharType="begin"/>
      </w:r>
      <w:r>
        <w:rPr>
          <w:color w:val="auto"/>
          <w:highlight w:val="none"/>
        </w:rPr>
        <w:instrText xml:space="preserve"> PAGEREF _Toc8642 \h </w:instrText>
      </w:r>
      <w:r>
        <w:rPr>
          <w:color w:val="auto"/>
          <w:highlight w:val="none"/>
        </w:rPr>
        <w:fldChar w:fldCharType="separate"/>
      </w:r>
      <w:r>
        <w:rPr>
          <w:color w:val="auto"/>
          <w:highlight w:val="none"/>
        </w:rPr>
        <w:t>29</w:t>
      </w:r>
      <w:r>
        <w:rPr>
          <w:color w:val="auto"/>
          <w:highlight w:val="none"/>
        </w:rPr>
        <w:fldChar w:fldCharType="end"/>
      </w:r>
      <w:r>
        <w:rPr>
          <w:rFonts w:hint="default" w:ascii="Times New Roman" w:hAnsi="Times New Roman" w:cs="Times New Roman"/>
          <w:color w:val="auto"/>
          <w:highlight w:val="none"/>
        </w:rPr>
        <w:fldChar w:fldCharType="end"/>
      </w:r>
    </w:p>
    <w:p w14:paraId="699BBE70">
      <w:pPr>
        <w:pStyle w:val="24"/>
        <w:tabs>
          <w:tab w:val="right" w:leader="dot" w:pos="8306"/>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_Toc9063 </w:instrText>
      </w:r>
      <w:r>
        <w:rPr>
          <w:rFonts w:hint="default" w:ascii="Times New Roman" w:hAnsi="Times New Roman" w:cs="Times New Roman"/>
          <w:color w:val="auto"/>
          <w:highlight w:val="none"/>
        </w:rPr>
        <w:fldChar w:fldCharType="separate"/>
      </w:r>
      <w:r>
        <w:rPr>
          <w:rFonts w:hint="default" w:ascii="Times New Roman" w:hAnsi="Times New Roman" w:eastAsia="黑体" w:cs="Times New Roman"/>
          <w:color w:val="auto"/>
          <w:szCs w:val="32"/>
          <w:highlight w:val="none"/>
        </w:rPr>
        <w:t>第三章  矿山地质环境影响和土地损毁评估</w:t>
      </w:r>
      <w:r>
        <w:rPr>
          <w:color w:val="auto"/>
          <w:highlight w:val="none"/>
        </w:rPr>
        <w:tab/>
      </w:r>
      <w:r>
        <w:rPr>
          <w:color w:val="auto"/>
          <w:highlight w:val="none"/>
        </w:rPr>
        <w:fldChar w:fldCharType="begin"/>
      </w:r>
      <w:r>
        <w:rPr>
          <w:color w:val="auto"/>
          <w:highlight w:val="none"/>
        </w:rPr>
        <w:instrText xml:space="preserve"> PAGEREF _Toc9063 \h </w:instrText>
      </w:r>
      <w:r>
        <w:rPr>
          <w:color w:val="auto"/>
          <w:highlight w:val="none"/>
        </w:rPr>
        <w:fldChar w:fldCharType="separate"/>
      </w:r>
      <w:r>
        <w:rPr>
          <w:color w:val="auto"/>
          <w:highlight w:val="none"/>
        </w:rPr>
        <w:t>34</w:t>
      </w:r>
      <w:r>
        <w:rPr>
          <w:color w:val="auto"/>
          <w:highlight w:val="none"/>
        </w:rPr>
        <w:fldChar w:fldCharType="end"/>
      </w:r>
      <w:r>
        <w:rPr>
          <w:rFonts w:hint="default" w:ascii="Times New Roman" w:hAnsi="Times New Roman" w:cs="Times New Roman"/>
          <w:color w:val="auto"/>
          <w:highlight w:val="none"/>
        </w:rPr>
        <w:fldChar w:fldCharType="end"/>
      </w:r>
    </w:p>
    <w:p w14:paraId="23EC9054">
      <w:pPr>
        <w:pStyle w:val="28"/>
        <w:tabs>
          <w:tab w:val="right" w:leader="dot" w:pos="8306"/>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_Toc28443 </w:instrText>
      </w:r>
      <w:r>
        <w:rPr>
          <w:rFonts w:hint="default" w:ascii="Times New Roman" w:hAnsi="Times New Roman" w:cs="Times New Roman"/>
          <w:color w:val="auto"/>
          <w:highlight w:val="none"/>
        </w:rPr>
        <w:fldChar w:fldCharType="separate"/>
      </w:r>
      <w:r>
        <w:rPr>
          <w:rFonts w:hint="default" w:ascii="Times New Roman" w:hAnsi="Times New Roman" w:eastAsia="黑体" w:cs="Times New Roman"/>
          <w:bCs/>
          <w:color w:val="auto"/>
          <w:szCs w:val="30"/>
          <w:highlight w:val="none"/>
        </w:rPr>
        <w:t>一、矿山地质环境与土地资源调查概述</w:t>
      </w:r>
      <w:r>
        <w:rPr>
          <w:color w:val="auto"/>
          <w:highlight w:val="none"/>
        </w:rPr>
        <w:tab/>
      </w:r>
      <w:r>
        <w:rPr>
          <w:color w:val="auto"/>
          <w:highlight w:val="none"/>
        </w:rPr>
        <w:fldChar w:fldCharType="begin"/>
      </w:r>
      <w:r>
        <w:rPr>
          <w:color w:val="auto"/>
          <w:highlight w:val="none"/>
        </w:rPr>
        <w:instrText xml:space="preserve"> PAGEREF _Toc28443 \h </w:instrText>
      </w:r>
      <w:r>
        <w:rPr>
          <w:color w:val="auto"/>
          <w:highlight w:val="none"/>
        </w:rPr>
        <w:fldChar w:fldCharType="separate"/>
      </w:r>
      <w:r>
        <w:rPr>
          <w:color w:val="auto"/>
          <w:highlight w:val="none"/>
        </w:rPr>
        <w:t>34</w:t>
      </w:r>
      <w:r>
        <w:rPr>
          <w:color w:val="auto"/>
          <w:highlight w:val="none"/>
        </w:rPr>
        <w:fldChar w:fldCharType="end"/>
      </w:r>
      <w:r>
        <w:rPr>
          <w:rFonts w:hint="default" w:ascii="Times New Roman" w:hAnsi="Times New Roman" w:cs="Times New Roman"/>
          <w:color w:val="auto"/>
          <w:highlight w:val="none"/>
        </w:rPr>
        <w:fldChar w:fldCharType="end"/>
      </w:r>
    </w:p>
    <w:p w14:paraId="19ED3C71">
      <w:pPr>
        <w:pStyle w:val="28"/>
        <w:tabs>
          <w:tab w:val="right" w:leader="dot" w:pos="8306"/>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_Toc29450 </w:instrText>
      </w:r>
      <w:r>
        <w:rPr>
          <w:rFonts w:hint="default" w:ascii="Times New Roman" w:hAnsi="Times New Roman" w:cs="Times New Roman"/>
          <w:color w:val="auto"/>
          <w:highlight w:val="none"/>
        </w:rPr>
        <w:fldChar w:fldCharType="separate"/>
      </w:r>
      <w:r>
        <w:rPr>
          <w:rFonts w:hint="default" w:ascii="Times New Roman" w:hAnsi="Times New Roman" w:eastAsia="黑体" w:cs="Times New Roman"/>
          <w:bCs/>
          <w:color w:val="auto"/>
          <w:szCs w:val="30"/>
          <w:highlight w:val="none"/>
        </w:rPr>
        <w:t>二、矿山地质环境影响评估</w:t>
      </w:r>
      <w:r>
        <w:rPr>
          <w:color w:val="auto"/>
          <w:highlight w:val="none"/>
        </w:rPr>
        <w:tab/>
      </w:r>
      <w:r>
        <w:rPr>
          <w:color w:val="auto"/>
          <w:highlight w:val="none"/>
        </w:rPr>
        <w:fldChar w:fldCharType="begin"/>
      </w:r>
      <w:r>
        <w:rPr>
          <w:color w:val="auto"/>
          <w:highlight w:val="none"/>
        </w:rPr>
        <w:instrText xml:space="preserve"> PAGEREF _Toc29450 \h </w:instrText>
      </w:r>
      <w:r>
        <w:rPr>
          <w:color w:val="auto"/>
          <w:highlight w:val="none"/>
        </w:rPr>
        <w:fldChar w:fldCharType="separate"/>
      </w:r>
      <w:r>
        <w:rPr>
          <w:color w:val="auto"/>
          <w:highlight w:val="none"/>
        </w:rPr>
        <w:t>34</w:t>
      </w:r>
      <w:r>
        <w:rPr>
          <w:color w:val="auto"/>
          <w:highlight w:val="none"/>
        </w:rPr>
        <w:fldChar w:fldCharType="end"/>
      </w:r>
      <w:r>
        <w:rPr>
          <w:rFonts w:hint="default" w:ascii="Times New Roman" w:hAnsi="Times New Roman" w:cs="Times New Roman"/>
          <w:color w:val="auto"/>
          <w:highlight w:val="none"/>
        </w:rPr>
        <w:fldChar w:fldCharType="end"/>
      </w:r>
    </w:p>
    <w:p w14:paraId="7010EB50">
      <w:pPr>
        <w:pStyle w:val="28"/>
        <w:tabs>
          <w:tab w:val="right" w:leader="dot" w:pos="8306"/>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_Toc26443 </w:instrText>
      </w:r>
      <w:r>
        <w:rPr>
          <w:rFonts w:hint="default" w:ascii="Times New Roman" w:hAnsi="Times New Roman" w:cs="Times New Roman"/>
          <w:color w:val="auto"/>
          <w:highlight w:val="none"/>
        </w:rPr>
        <w:fldChar w:fldCharType="separate"/>
      </w:r>
      <w:r>
        <w:rPr>
          <w:rFonts w:hint="default" w:ascii="Times New Roman" w:hAnsi="Times New Roman" w:eastAsia="黑体" w:cs="Times New Roman"/>
          <w:bCs/>
          <w:color w:val="auto"/>
          <w:szCs w:val="30"/>
          <w:highlight w:val="none"/>
        </w:rPr>
        <w:t>三、矿山土地损毁预测与评估</w:t>
      </w:r>
      <w:r>
        <w:rPr>
          <w:color w:val="auto"/>
          <w:highlight w:val="none"/>
        </w:rPr>
        <w:tab/>
      </w:r>
      <w:r>
        <w:rPr>
          <w:color w:val="auto"/>
          <w:highlight w:val="none"/>
        </w:rPr>
        <w:fldChar w:fldCharType="begin"/>
      </w:r>
      <w:r>
        <w:rPr>
          <w:color w:val="auto"/>
          <w:highlight w:val="none"/>
        </w:rPr>
        <w:instrText xml:space="preserve"> PAGEREF _Toc26443 \h </w:instrText>
      </w:r>
      <w:r>
        <w:rPr>
          <w:color w:val="auto"/>
          <w:highlight w:val="none"/>
        </w:rPr>
        <w:fldChar w:fldCharType="separate"/>
      </w:r>
      <w:r>
        <w:rPr>
          <w:color w:val="auto"/>
          <w:highlight w:val="none"/>
        </w:rPr>
        <w:t>42</w:t>
      </w:r>
      <w:r>
        <w:rPr>
          <w:color w:val="auto"/>
          <w:highlight w:val="none"/>
        </w:rPr>
        <w:fldChar w:fldCharType="end"/>
      </w:r>
      <w:r>
        <w:rPr>
          <w:rFonts w:hint="default" w:ascii="Times New Roman" w:hAnsi="Times New Roman" w:cs="Times New Roman"/>
          <w:color w:val="auto"/>
          <w:highlight w:val="none"/>
        </w:rPr>
        <w:fldChar w:fldCharType="end"/>
      </w:r>
    </w:p>
    <w:p w14:paraId="403350B5">
      <w:pPr>
        <w:pStyle w:val="28"/>
        <w:tabs>
          <w:tab w:val="right" w:leader="dot" w:pos="8306"/>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_Toc10958 </w:instrText>
      </w:r>
      <w:r>
        <w:rPr>
          <w:rFonts w:hint="default" w:ascii="Times New Roman" w:hAnsi="Times New Roman" w:cs="Times New Roman"/>
          <w:color w:val="auto"/>
          <w:highlight w:val="none"/>
        </w:rPr>
        <w:fldChar w:fldCharType="separate"/>
      </w:r>
      <w:r>
        <w:rPr>
          <w:rFonts w:hint="default" w:ascii="Times New Roman" w:hAnsi="Times New Roman" w:eastAsia="黑体" w:cs="Times New Roman"/>
          <w:bCs/>
          <w:color w:val="auto"/>
          <w:szCs w:val="30"/>
          <w:highlight w:val="none"/>
        </w:rPr>
        <w:t>四、矿山地质环境治理分区与土地复垦范围</w:t>
      </w:r>
      <w:r>
        <w:rPr>
          <w:color w:val="auto"/>
          <w:highlight w:val="none"/>
        </w:rPr>
        <w:tab/>
      </w:r>
      <w:r>
        <w:rPr>
          <w:color w:val="auto"/>
          <w:highlight w:val="none"/>
        </w:rPr>
        <w:fldChar w:fldCharType="begin"/>
      </w:r>
      <w:r>
        <w:rPr>
          <w:color w:val="auto"/>
          <w:highlight w:val="none"/>
        </w:rPr>
        <w:instrText xml:space="preserve"> PAGEREF _Toc10958 \h </w:instrText>
      </w:r>
      <w:r>
        <w:rPr>
          <w:color w:val="auto"/>
          <w:highlight w:val="none"/>
        </w:rPr>
        <w:fldChar w:fldCharType="separate"/>
      </w:r>
      <w:r>
        <w:rPr>
          <w:color w:val="auto"/>
          <w:highlight w:val="none"/>
        </w:rPr>
        <w:t>45</w:t>
      </w:r>
      <w:r>
        <w:rPr>
          <w:color w:val="auto"/>
          <w:highlight w:val="none"/>
        </w:rPr>
        <w:fldChar w:fldCharType="end"/>
      </w:r>
      <w:r>
        <w:rPr>
          <w:rFonts w:hint="default" w:ascii="Times New Roman" w:hAnsi="Times New Roman" w:cs="Times New Roman"/>
          <w:color w:val="auto"/>
          <w:highlight w:val="none"/>
        </w:rPr>
        <w:fldChar w:fldCharType="end"/>
      </w:r>
    </w:p>
    <w:p w14:paraId="30FF16D5">
      <w:pPr>
        <w:pStyle w:val="24"/>
        <w:tabs>
          <w:tab w:val="right" w:leader="dot" w:pos="8306"/>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_Toc24094 </w:instrText>
      </w:r>
      <w:r>
        <w:rPr>
          <w:rFonts w:hint="default" w:ascii="Times New Roman" w:hAnsi="Times New Roman" w:cs="Times New Roman"/>
          <w:color w:val="auto"/>
          <w:highlight w:val="none"/>
        </w:rPr>
        <w:fldChar w:fldCharType="separate"/>
      </w:r>
      <w:r>
        <w:rPr>
          <w:rFonts w:hint="default" w:ascii="Times New Roman" w:hAnsi="Times New Roman" w:eastAsia="黑体" w:cs="Times New Roman"/>
          <w:color w:val="auto"/>
          <w:szCs w:val="32"/>
          <w:highlight w:val="none"/>
        </w:rPr>
        <w:t>第四章  矿山地质环境治理与土地复垦可行性分析</w:t>
      </w:r>
      <w:r>
        <w:rPr>
          <w:color w:val="auto"/>
          <w:highlight w:val="none"/>
        </w:rPr>
        <w:tab/>
      </w:r>
      <w:r>
        <w:rPr>
          <w:color w:val="auto"/>
          <w:highlight w:val="none"/>
        </w:rPr>
        <w:fldChar w:fldCharType="begin"/>
      </w:r>
      <w:r>
        <w:rPr>
          <w:color w:val="auto"/>
          <w:highlight w:val="none"/>
        </w:rPr>
        <w:instrText xml:space="preserve"> PAGEREF _Toc24094 \h </w:instrText>
      </w:r>
      <w:r>
        <w:rPr>
          <w:color w:val="auto"/>
          <w:highlight w:val="none"/>
        </w:rPr>
        <w:fldChar w:fldCharType="separate"/>
      </w:r>
      <w:r>
        <w:rPr>
          <w:color w:val="auto"/>
          <w:highlight w:val="none"/>
        </w:rPr>
        <w:t>51</w:t>
      </w:r>
      <w:r>
        <w:rPr>
          <w:color w:val="auto"/>
          <w:highlight w:val="none"/>
        </w:rPr>
        <w:fldChar w:fldCharType="end"/>
      </w:r>
      <w:r>
        <w:rPr>
          <w:rFonts w:hint="default" w:ascii="Times New Roman" w:hAnsi="Times New Roman" w:cs="Times New Roman"/>
          <w:color w:val="auto"/>
          <w:highlight w:val="none"/>
        </w:rPr>
        <w:fldChar w:fldCharType="end"/>
      </w:r>
    </w:p>
    <w:p w14:paraId="7553052E">
      <w:pPr>
        <w:pStyle w:val="28"/>
        <w:tabs>
          <w:tab w:val="right" w:leader="dot" w:pos="8306"/>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_Toc28309 </w:instrText>
      </w:r>
      <w:r>
        <w:rPr>
          <w:rFonts w:hint="default" w:ascii="Times New Roman" w:hAnsi="Times New Roman" w:cs="Times New Roman"/>
          <w:color w:val="auto"/>
          <w:highlight w:val="none"/>
        </w:rPr>
        <w:fldChar w:fldCharType="separate"/>
      </w:r>
      <w:r>
        <w:rPr>
          <w:rFonts w:hint="default" w:ascii="Times New Roman" w:hAnsi="Times New Roman" w:eastAsia="黑体" w:cs="Times New Roman"/>
          <w:bCs/>
          <w:color w:val="auto"/>
          <w:szCs w:val="30"/>
          <w:highlight w:val="none"/>
        </w:rPr>
        <w:t>一、矿山地质环境治理可行性分析</w:t>
      </w:r>
      <w:r>
        <w:rPr>
          <w:color w:val="auto"/>
          <w:highlight w:val="none"/>
        </w:rPr>
        <w:tab/>
      </w:r>
      <w:r>
        <w:rPr>
          <w:color w:val="auto"/>
          <w:highlight w:val="none"/>
        </w:rPr>
        <w:fldChar w:fldCharType="begin"/>
      </w:r>
      <w:r>
        <w:rPr>
          <w:color w:val="auto"/>
          <w:highlight w:val="none"/>
        </w:rPr>
        <w:instrText xml:space="preserve"> PAGEREF _Toc28309 \h </w:instrText>
      </w:r>
      <w:r>
        <w:rPr>
          <w:color w:val="auto"/>
          <w:highlight w:val="none"/>
        </w:rPr>
        <w:fldChar w:fldCharType="separate"/>
      </w:r>
      <w:r>
        <w:rPr>
          <w:color w:val="auto"/>
          <w:highlight w:val="none"/>
        </w:rPr>
        <w:t>51</w:t>
      </w:r>
      <w:r>
        <w:rPr>
          <w:color w:val="auto"/>
          <w:highlight w:val="none"/>
        </w:rPr>
        <w:fldChar w:fldCharType="end"/>
      </w:r>
      <w:r>
        <w:rPr>
          <w:rFonts w:hint="default" w:ascii="Times New Roman" w:hAnsi="Times New Roman" w:cs="Times New Roman"/>
          <w:color w:val="auto"/>
          <w:highlight w:val="none"/>
        </w:rPr>
        <w:fldChar w:fldCharType="end"/>
      </w:r>
    </w:p>
    <w:p w14:paraId="140A0C93">
      <w:pPr>
        <w:pStyle w:val="28"/>
        <w:tabs>
          <w:tab w:val="right" w:leader="dot" w:pos="8306"/>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_Toc4649 </w:instrText>
      </w:r>
      <w:r>
        <w:rPr>
          <w:rFonts w:hint="default" w:ascii="Times New Roman" w:hAnsi="Times New Roman" w:cs="Times New Roman"/>
          <w:color w:val="auto"/>
          <w:highlight w:val="none"/>
        </w:rPr>
        <w:fldChar w:fldCharType="separate"/>
      </w:r>
      <w:r>
        <w:rPr>
          <w:rFonts w:hint="default" w:ascii="Times New Roman" w:hAnsi="Times New Roman" w:eastAsia="黑体" w:cs="Times New Roman"/>
          <w:bCs/>
          <w:color w:val="auto"/>
          <w:szCs w:val="30"/>
          <w:highlight w:val="none"/>
        </w:rPr>
        <w:t>二、矿区土地复垦可行性分析</w:t>
      </w:r>
      <w:r>
        <w:rPr>
          <w:color w:val="auto"/>
          <w:highlight w:val="none"/>
        </w:rPr>
        <w:tab/>
      </w:r>
      <w:r>
        <w:rPr>
          <w:color w:val="auto"/>
          <w:highlight w:val="none"/>
        </w:rPr>
        <w:fldChar w:fldCharType="begin"/>
      </w:r>
      <w:r>
        <w:rPr>
          <w:color w:val="auto"/>
          <w:highlight w:val="none"/>
        </w:rPr>
        <w:instrText xml:space="preserve"> PAGEREF _Toc4649 \h </w:instrText>
      </w:r>
      <w:r>
        <w:rPr>
          <w:color w:val="auto"/>
          <w:highlight w:val="none"/>
        </w:rPr>
        <w:fldChar w:fldCharType="separate"/>
      </w:r>
      <w:r>
        <w:rPr>
          <w:color w:val="auto"/>
          <w:highlight w:val="none"/>
        </w:rPr>
        <w:t>53</w:t>
      </w:r>
      <w:r>
        <w:rPr>
          <w:color w:val="auto"/>
          <w:highlight w:val="none"/>
        </w:rPr>
        <w:fldChar w:fldCharType="end"/>
      </w:r>
      <w:r>
        <w:rPr>
          <w:rFonts w:hint="default" w:ascii="Times New Roman" w:hAnsi="Times New Roman" w:cs="Times New Roman"/>
          <w:color w:val="auto"/>
          <w:highlight w:val="none"/>
        </w:rPr>
        <w:fldChar w:fldCharType="end"/>
      </w:r>
    </w:p>
    <w:p w14:paraId="0D88E76D">
      <w:pPr>
        <w:pStyle w:val="24"/>
        <w:tabs>
          <w:tab w:val="right" w:leader="dot" w:pos="8306"/>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_Toc27631 </w:instrText>
      </w:r>
      <w:r>
        <w:rPr>
          <w:rFonts w:hint="default" w:ascii="Times New Roman" w:hAnsi="Times New Roman" w:cs="Times New Roman"/>
          <w:color w:val="auto"/>
          <w:highlight w:val="none"/>
        </w:rPr>
        <w:fldChar w:fldCharType="separate"/>
      </w:r>
      <w:r>
        <w:rPr>
          <w:rFonts w:hint="default" w:ascii="Times New Roman" w:hAnsi="Times New Roman" w:cs="Times New Roman"/>
          <w:bCs w:val="0"/>
          <w:color w:val="auto"/>
          <w:szCs w:val="32"/>
          <w:highlight w:val="none"/>
        </w:rPr>
        <w:t>第五章  矿山地质环境治理与土地复垦工程</w:t>
      </w:r>
      <w:r>
        <w:rPr>
          <w:color w:val="auto"/>
          <w:highlight w:val="none"/>
        </w:rPr>
        <w:tab/>
      </w:r>
      <w:r>
        <w:rPr>
          <w:color w:val="auto"/>
          <w:highlight w:val="none"/>
        </w:rPr>
        <w:fldChar w:fldCharType="begin"/>
      </w:r>
      <w:r>
        <w:rPr>
          <w:color w:val="auto"/>
          <w:highlight w:val="none"/>
        </w:rPr>
        <w:instrText xml:space="preserve"> PAGEREF _Toc27631 \h </w:instrText>
      </w:r>
      <w:r>
        <w:rPr>
          <w:color w:val="auto"/>
          <w:highlight w:val="none"/>
        </w:rPr>
        <w:fldChar w:fldCharType="separate"/>
      </w:r>
      <w:r>
        <w:rPr>
          <w:color w:val="auto"/>
          <w:highlight w:val="none"/>
        </w:rPr>
        <w:t>62</w:t>
      </w:r>
      <w:r>
        <w:rPr>
          <w:color w:val="auto"/>
          <w:highlight w:val="none"/>
        </w:rPr>
        <w:fldChar w:fldCharType="end"/>
      </w:r>
      <w:r>
        <w:rPr>
          <w:rFonts w:hint="default" w:ascii="Times New Roman" w:hAnsi="Times New Roman" w:cs="Times New Roman"/>
          <w:color w:val="auto"/>
          <w:highlight w:val="none"/>
        </w:rPr>
        <w:fldChar w:fldCharType="end"/>
      </w:r>
    </w:p>
    <w:p w14:paraId="079CC421">
      <w:pPr>
        <w:pStyle w:val="28"/>
        <w:tabs>
          <w:tab w:val="right" w:leader="dot" w:pos="8306"/>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_Toc1737 </w:instrText>
      </w:r>
      <w:r>
        <w:rPr>
          <w:rFonts w:hint="default" w:ascii="Times New Roman" w:hAnsi="Times New Roman" w:cs="Times New Roman"/>
          <w:color w:val="auto"/>
          <w:highlight w:val="none"/>
        </w:rPr>
        <w:fldChar w:fldCharType="separate"/>
      </w:r>
      <w:r>
        <w:rPr>
          <w:rFonts w:hint="default" w:ascii="Times New Roman" w:hAnsi="Times New Roman" w:eastAsia="黑体" w:cs="Times New Roman"/>
          <w:bCs/>
          <w:color w:val="auto"/>
          <w:szCs w:val="30"/>
          <w:highlight w:val="none"/>
        </w:rPr>
        <w:t>一、矿山地质环境保护与土地复垦预防</w:t>
      </w:r>
      <w:r>
        <w:rPr>
          <w:color w:val="auto"/>
          <w:highlight w:val="none"/>
        </w:rPr>
        <w:tab/>
      </w:r>
      <w:r>
        <w:rPr>
          <w:color w:val="auto"/>
          <w:highlight w:val="none"/>
        </w:rPr>
        <w:fldChar w:fldCharType="begin"/>
      </w:r>
      <w:r>
        <w:rPr>
          <w:color w:val="auto"/>
          <w:highlight w:val="none"/>
        </w:rPr>
        <w:instrText xml:space="preserve"> PAGEREF _Toc1737 \h </w:instrText>
      </w:r>
      <w:r>
        <w:rPr>
          <w:color w:val="auto"/>
          <w:highlight w:val="none"/>
        </w:rPr>
        <w:fldChar w:fldCharType="separate"/>
      </w:r>
      <w:r>
        <w:rPr>
          <w:color w:val="auto"/>
          <w:highlight w:val="none"/>
        </w:rPr>
        <w:t>62</w:t>
      </w:r>
      <w:r>
        <w:rPr>
          <w:color w:val="auto"/>
          <w:highlight w:val="none"/>
        </w:rPr>
        <w:fldChar w:fldCharType="end"/>
      </w:r>
      <w:r>
        <w:rPr>
          <w:rFonts w:hint="default" w:ascii="Times New Roman" w:hAnsi="Times New Roman" w:cs="Times New Roman"/>
          <w:color w:val="auto"/>
          <w:highlight w:val="none"/>
        </w:rPr>
        <w:fldChar w:fldCharType="end"/>
      </w:r>
    </w:p>
    <w:p w14:paraId="0285CF32">
      <w:pPr>
        <w:pStyle w:val="28"/>
        <w:tabs>
          <w:tab w:val="right" w:leader="dot" w:pos="8306"/>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_Toc7338 </w:instrText>
      </w:r>
      <w:r>
        <w:rPr>
          <w:rFonts w:hint="default" w:ascii="Times New Roman" w:hAnsi="Times New Roman" w:cs="Times New Roman"/>
          <w:color w:val="auto"/>
          <w:highlight w:val="none"/>
        </w:rPr>
        <w:fldChar w:fldCharType="separate"/>
      </w:r>
      <w:r>
        <w:rPr>
          <w:rFonts w:hint="default" w:ascii="Times New Roman" w:hAnsi="Times New Roman" w:eastAsia="黑体" w:cs="Times New Roman"/>
          <w:bCs/>
          <w:color w:val="auto"/>
          <w:szCs w:val="30"/>
          <w:highlight w:val="none"/>
        </w:rPr>
        <w:t>二、矿山地质灾害治理</w:t>
      </w:r>
      <w:r>
        <w:rPr>
          <w:color w:val="auto"/>
          <w:highlight w:val="none"/>
        </w:rPr>
        <w:tab/>
      </w:r>
      <w:r>
        <w:rPr>
          <w:color w:val="auto"/>
          <w:highlight w:val="none"/>
        </w:rPr>
        <w:fldChar w:fldCharType="begin"/>
      </w:r>
      <w:r>
        <w:rPr>
          <w:color w:val="auto"/>
          <w:highlight w:val="none"/>
        </w:rPr>
        <w:instrText xml:space="preserve"> PAGEREF _Toc7338 \h </w:instrText>
      </w:r>
      <w:r>
        <w:rPr>
          <w:color w:val="auto"/>
          <w:highlight w:val="none"/>
        </w:rPr>
        <w:fldChar w:fldCharType="separate"/>
      </w:r>
      <w:r>
        <w:rPr>
          <w:color w:val="auto"/>
          <w:highlight w:val="none"/>
        </w:rPr>
        <w:t>66</w:t>
      </w:r>
      <w:r>
        <w:rPr>
          <w:color w:val="auto"/>
          <w:highlight w:val="none"/>
        </w:rPr>
        <w:fldChar w:fldCharType="end"/>
      </w:r>
      <w:r>
        <w:rPr>
          <w:rFonts w:hint="default" w:ascii="Times New Roman" w:hAnsi="Times New Roman" w:cs="Times New Roman"/>
          <w:color w:val="auto"/>
          <w:highlight w:val="none"/>
        </w:rPr>
        <w:fldChar w:fldCharType="end"/>
      </w:r>
    </w:p>
    <w:p w14:paraId="736CE561">
      <w:pPr>
        <w:pStyle w:val="28"/>
        <w:tabs>
          <w:tab w:val="right" w:leader="dot" w:pos="8306"/>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_Toc19177 </w:instrText>
      </w:r>
      <w:r>
        <w:rPr>
          <w:rFonts w:hint="default" w:ascii="Times New Roman" w:hAnsi="Times New Roman" w:cs="Times New Roman"/>
          <w:color w:val="auto"/>
          <w:highlight w:val="none"/>
        </w:rPr>
        <w:fldChar w:fldCharType="separate"/>
      </w:r>
      <w:r>
        <w:rPr>
          <w:rFonts w:hint="default" w:ascii="Times New Roman" w:hAnsi="Times New Roman" w:eastAsia="黑体" w:cs="Times New Roman"/>
          <w:bCs/>
          <w:color w:val="auto"/>
          <w:szCs w:val="30"/>
          <w:highlight w:val="none"/>
        </w:rPr>
        <w:t>三、矿区土地复垦</w:t>
      </w:r>
      <w:r>
        <w:rPr>
          <w:color w:val="auto"/>
          <w:highlight w:val="none"/>
        </w:rPr>
        <w:tab/>
      </w:r>
      <w:r>
        <w:rPr>
          <w:color w:val="auto"/>
          <w:highlight w:val="none"/>
        </w:rPr>
        <w:fldChar w:fldCharType="begin"/>
      </w:r>
      <w:r>
        <w:rPr>
          <w:color w:val="auto"/>
          <w:highlight w:val="none"/>
        </w:rPr>
        <w:instrText xml:space="preserve"> PAGEREF _Toc19177 \h </w:instrText>
      </w:r>
      <w:r>
        <w:rPr>
          <w:color w:val="auto"/>
          <w:highlight w:val="none"/>
        </w:rPr>
        <w:fldChar w:fldCharType="separate"/>
      </w:r>
      <w:r>
        <w:rPr>
          <w:color w:val="auto"/>
          <w:highlight w:val="none"/>
        </w:rPr>
        <w:t>70</w:t>
      </w:r>
      <w:r>
        <w:rPr>
          <w:color w:val="auto"/>
          <w:highlight w:val="none"/>
        </w:rPr>
        <w:fldChar w:fldCharType="end"/>
      </w:r>
      <w:r>
        <w:rPr>
          <w:rFonts w:hint="default" w:ascii="Times New Roman" w:hAnsi="Times New Roman" w:cs="Times New Roman"/>
          <w:color w:val="auto"/>
          <w:highlight w:val="none"/>
        </w:rPr>
        <w:fldChar w:fldCharType="end"/>
      </w:r>
    </w:p>
    <w:p w14:paraId="673DC2C3">
      <w:pPr>
        <w:pStyle w:val="28"/>
        <w:tabs>
          <w:tab w:val="right" w:leader="dot" w:pos="8306"/>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_Toc18165 </w:instrText>
      </w:r>
      <w:r>
        <w:rPr>
          <w:rFonts w:hint="default" w:ascii="Times New Roman" w:hAnsi="Times New Roman" w:cs="Times New Roman"/>
          <w:color w:val="auto"/>
          <w:highlight w:val="none"/>
        </w:rPr>
        <w:fldChar w:fldCharType="separate"/>
      </w:r>
      <w:r>
        <w:rPr>
          <w:rFonts w:hint="default" w:ascii="Times New Roman" w:hAnsi="Times New Roman" w:eastAsia="黑体" w:cs="Times New Roman"/>
          <w:bCs/>
          <w:color w:val="auto"/>
          <w:szCs w:val="30"/>
          <w:highlight w:val="none"/>
        </w:rPr>
        <w:t>四、含水层破坏修复</w:t>
      </w:r>
      <w:r>
        <w:rPr>
          <w:color w:val="auto"/>
          <w:highlight w:val="none"/>
        </w:rPr>
        <w:tab/>
      </w:r>
      <w:r>
        <w:rPr>
          <w:color w:val="auto"/>
          <w:highlight w:val="none"/>
        </w:rPr>
        <w:fldChar w:fldCharType="begin"/>
      </w:r>
      <w:r>
        <w:rPr>
          <w:color w:val="auto"/>
          <w:highlight w:val="none"/>
        </w:rPr>
        <w:instrText xml:space="preserve"> PAGEREF _Toc18165 \h </w:instrText>
      </w:r>
      <w:r>
        <w:rPr>
          <w:color w:val="auto"/>
          <w:highlight w:val="none"/>
        </w:rPr>
        <w:fldChar w:fldCharType="separate"/>
      </w:r>
      <w:r>
        <w:rPr>
          <w:color w:val="auto"/>
          <w:highlight w:val="none"/>
        </w:rPr>
        <w:t>78</w:t>
      </w:r>
      <w:r>
        <w:rPr>
          <w:color w:val="auto"/>
          <w:highlight w:val="none"/>
        </w:rPr>
        <w:fldChar w:fldCharType="end"/>
      </w:r>
      <w:r>
        <w:rPr>
          <w:rFonts w:hint="default" w:ascii="Times New Roman" w:hAnsi="Times New Roman" w:cs="Times New Roman"/>
          <w:color w:val="auto"/>
          <w:highlight w:val="none"/>
        </w:rPr>
        <w:fldChar w:fldCharType="end"/>
      </w:r>
    </w:p>
    <w:p w14:paraId="0A40D1D7">
      <w:pPr>
        <w:pStyle w:val="28"/>
        <w:tabs>
          <w:tab w:val="right" w:leader="dot" w:pos="8306"/>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_Toc31530 </w:instrText>
      </w:r>
      <w:r>
        <w:rPr>
          <w:rFonts w:hint="default" w:ascii="Times New Roman" w:hAnsi="Times New Roman" w:cs="Times New Roman"/>
          <w:color w:val="auto"/>
          <w:highlight w:val="none"/>
        </w:rPr>
        <w:fldChar w:fldCharType="separate"/>
      </w:r>
      <w:r>
        <w:rPr>
          <w:rFonts w:hint="default" w:ascii="Times New Roman" w:hAnsi="Times New Roman" w:eastAsia="黑体" w:cs="Times New Roman"/>
          <w:bCs/>
          <w:color w:val="auto"/>
          <w:szCs w:val="30"/>
          <w:highlight w:val="none"/>
        </w:rPr>
        <w:t>五、水土环境污染修复</w:t>
      </w:r>
      <w:r>
        <w:rPr>
          <w:color w:val="auto"/>
          <w:highlight w:val="none"/>
        </w:rPr>
        <w:tab/>
      </w:r>
      <w:r>
        <w:rPr>
          <w:color w:val="auto"/>
          <w:highlight w:val="none"/>
        </w:rPr>
        <w:fldChar w:fldCharType="begin"/>
      </w:r>
      <w:r>
        <w:rPr>
          <w:color w:val="auto"/>
          <w:highlight w:val="none"/>
        </w:rPr>
        <w:instrText xml:space="preserve"> PAGEREF _Toc31530 \h </w:instrText>
      </w:r>
      <w:r>
        <w:rPr>
          <w:color w:val="auto"/>
          <w:highlight w:val="none"/>
        </w:rPr>
        <w:fldChar w:fldCharType="separate"/>
      </w:r>
      <w:r>
        <w:rPr>
          <w:color w:val="auto"/>
          <w:highlight w:val="none"/>
        </w:rPr>
        <w:t>78</w:t>
      </w:r>
      <w:r>
        <w:rPr>
          <w:color w:val="auto"/>
          <w:highlight w:val="none"/>
        </w:rPr>
        <w:fldChar w:fldCharType="end"/>
      </w:r>
      <w:r>
        <w:rPr>
          <w:rFonts w:hint="default" w:ascii="Times New Roman" w:hAnsi="Times New Roman" w:cs="Times New Roman"/>
          <w:color w:val="auto"/>
          <w:highlight w:val="none"/>
        </w:rPr>
        <w:fldChar w:fldCharType="end"/>
      </w:r>
    </w:p>
    <w:p w14:paraId="61A2AE2A">
      <w:pPr>
        <w:pStyle w:val="28"/>
        <w:tabs>
          <w:tab w:val="right" w:leader="dot" w:pos="8306"/>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_Toc28527 </w:instrText>
      </w:r>
      <w:r>
        <w:rPr>
          <w:rFonts w:hint="default" w:ascii="Times New Roman" w:hAnsi="Times New Roman" w:cs="Times New Roman"/>
          <w:color w:val="auto"/>
          <w:highlight w:val="none"/>
        </w:rPr>
        <w:fldChar w:fldCharType="separate"/>
      </w:r>
      <w:r>
        <w:rPr>
          <w:rFonts w:hint="default" w:ascii="Times New Roman" w:hAnsi="Times New Roman" w:eastAsia="黑体" w:cs="Times New Roman"/>
          <w:bCs/>
          <w:color w:val="auto"/>
          <w:szCs w:val="30"/>
          <w:highlight w:val="none"/>
        </w:rPr>
        <w:t>六、矿山地质环境监测</w:t>
      </w:r>
      <w:r>
        <w:rPr>
          <w:color w:val="auto"/>
          <w:highlight w:val="none"/>
        </w:rPr>
        <w:tab/>
      </w:r>
      <w:r>
        <w:rPr>
          <w:color w:val="auto"/>
          <w:highlight w:val="none"/>
        </w:rPr>
        <w:fldChar w:fldCharType="begin"/>
      </w:r>
      <w:r>
        <w:rPr>
          <w:color w:val="auto"/>
          <w:highlight w:val="none"/>
        </w:rPr>
        <w:instrText xml:space="preserve"> PAGEREF _Toc28527 \h </w:instrText>
      </w:r>
      <w:r>
        <w:rPr>
          <w:color w:val="auto"/>
          <w:highlight w:val="none"/>
        </w:rPr>
        <w:fldChar w:fldCharType="separate"/>
      </w:r>
      <w:r>
        <w:rPr>
          <w:color w:val="auto"/>
          <w:highlight w:val="none"/>
        </w:rPr>
        <w:t>78</w:t>
      </w:r>
      <w:r>
        <w:rPr>
          <w:color w:val="auto"/>
          <w:highlight w:val="none"/>
        </w:rPr>
        <w:fldChar w:fldCharType="end"/>
      </w:r>
      <w:r>
        <w:rPr>
          <w:rFonts w:hint="default" w:ascii="Times New Roman" w:hAnsi="Times New Roman" w:cs="Times New Roman"/>
          <w:color w:val="auto"/>
          <w:highlight w:val="none"/>
        </w:rPr>
        <w:fldChar w:fldCharType="end"/>
      </w:r>
    </w:p>
    <w:p w14:paraId="7050BADD">
      <w:pPr>
        <w:pStyle w:val="28"/>
        <w:tabs>
          <w:tab w:val="right" w:leader="dot" w:pos="8306"/>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_Toc550 </w:instrText>
      </w:r>
      <w:r>
        <w:rPr>
          <w:rFonts w:hint="default" w:ascii="Times New Roman" w:hAnsi="Times New Roman" w:cs="Times New Roman"/>
          <w:color w:val="auto"/>
          <w:highlight w:val="none"/>
        </w:rPr>
        <w:fldChar w:fldCharType="separate"/>
      </w:r>
      <w:r>
        <w:rPr>
          <w:rFonts w:hint="default" w:ascii="Times New Roman" w:hAnsi="Times New Roman" w:eastAsia="黑体" w:cs="Times New Roman"/>
          <w:bCs/>
          <w:color w:val="auto"/>
          <w:szCs w:val="30"/>
          <w:highlight w:val="none"/>
        </w:rPr>
        <w:t>七、矿区土地复垦监测和管护</w:t>
      </w:r>
      <w:r>
        <w:rPr>
          <w:color w:val="auto"/>
          <w:highlight w:val="none"/>
        </w:rPr>
        <w:tab/>
      </w:r>
      <w:r>
        <w:rPr>
          <w:color w:val="auto"/>
          <w:highlight w:val="none"/>
        </w:rPr>
        <w:fldChar w:fldCharType="begin"/>
      </w:r>
      <w:r>
        <w:rPr>
          <w:color w:val="auto"/>
          <w:highlight w:val="none"/>
        </w:rPr>
        <w:instrText xml:space="preserve"> PAGEREF _Toc550 \h </w:instrText>
      </w:r>
      <w:r>
        <w:rPr>
          <w:color w:val="auto"/>
          <w:highlight w:val="none"/>
        </w:rPr>
        <w:fldChar w:fldCharType="separate"/>
      </w:r>
      <w:r>
        <w:rPr>
          <w:color w:val="auto"/>
          <w:highlight w:val="none"/>
        </w:rPr>
        <w:t>81</w:t>
      </w:r>
      <w:r>
        <w:rPr>
          <w:color w:val="auto"/>
          <w:highlight w:val="none"/>
        </w:rPr>
        <w:fldChar w:fldCharType="end"/>
      </w:r>
      <w:r>
        <w:rPr>
          <w:rFonts w:hint="default" w:ascii="Times New Roman" w:hAnsi="Times New Roman" w:cs="Times New Roman"/>
          <w:color w:val="auto"/>
          <w:highlight w:val="none"/>
        </w:rPr>
        <w:fldChar w:fldCharType="end"/>
      </w:r>
    </w:p>
    <w:p w14:paraId="3A956B11">
      <w:pPr>
        <w:pStyle w:val="24"/>
        <w:tabs>
          <w:tab w:val="right" w:leader="dot" w:pos="8306"/>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_Toc21723 </w:instrText>
      </w:r>
      <w:r>
        <w:rPr>
          <w:rFonts w:hint="default" w:ascii="Times New Roman" w:hAnsi="Times New Roman" w:cs="Times New Roman"/>
          <w:color w:val="auto"/>
          <w:highlight w:val="none"/>
        </w:rPr>
        <w:fldChar w:fldCharType="separate"/>
      </w:r>
      <w:r>
        <w:rPr>
          <w:rFonts w:hint="default" w:ascii="Times New Roman" w:hAnsi="Times New Roman" w:eastAsia="黑体" w:cs="Times New Roman"/>
          <w:color w:val="auto"/>
          <w:szCs w:val="32"/>
          <w:highlight w:val="none"/>
        </w:rPr>
        <w:t>第六章  矿山地质环境治理与土地复垦工作部署</w:t>
      </w:r>
      <w:r>
        <w:rPr>
          <w:color w:val="auto"/>
          <w:highlight w:val="none"/>
        </w:rPr>
        <w:tab/>
      </w:r>
      <w:r>
        <w:rPr>
          <w:color w:val="auto"/>
          <w:highlight w:val="none"/>
        </w:rPr>
        <w:fldChar w:fldCharType="begin"/>
      </w:r>
      <w:r>
        <w:rPr>
          <w:color w:val="auto"/>
          <w:highlight w:val="none"/>
        </w:rPr>
        <w:instrText xml:space="preserve"> PAGEREF _Toc21723 \h </w:instrText>
      </w:r>
      <w:r>
        <w:rPr>
          <w:color w:val="auto"/>
          <w:highlight w:val="none"/>
        </w:rPr>
        <w:fldChar w:fldCharType="separate"/>
      </w:r>
      <w:r>
        <w:rPr>
          <w:color w:val="auto"/>
          <w:highlight w:val="none"/>
        </w:rPr>
        <w:t>83</w:t>
      </w:r>
      <w:r>
        <w:rPr>
          <w:color w:val="auto"/>
          <w:highlight w:val="none"/>
        </w:rPr>
        <w:fldChar w:fldCharType="end"/>
      </w:r>
      <w:r>
        <w:rPr>
          <w:rFonts w:hint="default" w:ascii="Times New Roman" w:hAnsi="Times New Roman" w:cs="Times New Roman"/>
          <w:color w:val="auto"/>
          <w:highlight w:val="none"/>
        </w:rPr>
        <w:fldChar w:fldCharType="end"/>
      </w:r>
    </w:p>
    <w:p w14:paraId="26A44210">
      <w:pPr>
        <w:pStyle w:val="28"/>
        <w:tabs>
          <w:tab w:val="right" w:leader="dot" w:pos="8306"/>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_Toc28640 </w:instrText>
      </w:r>
      <w:r>
        <w:rPr>
          <w:rFonts w:hint="default" w:ascii="Times New Roman" w:hAnsi="Times New Roman" w:cs="Times New Roman"/>
          <w:color w:val="auto"/>
          <w:highlight w:val="none"/>
        </w:rPr>
        <w:fldChar w:fldCharType="separate"/>
      </w:r>
      <w:r>
        <w:rPr>
          <w:rFonts w:hint="default" w:ascii="Times New Roman" w:hAnsi="Times New Roman" w:eastAsia="黑体" w:cs="Times New Roman"/>
          <w:bCs/>
          <w:color w:val="auto"/>
          <w:szCs w:val="30"/>
          <w:highlight w:val="none"/>
        </w:rPr>
        <w:t>一、总体工作部署</w:t>
      </w:r>
      <w:r>
        <w:rPr>
          <w:color w:val="auto"/>
          <w:highlight w:val="none"/>
        </w:rPr>
        <w:tab/>
      </w:r>
      <w:r>
        <w:rPr>
          <w:color w:val="auto"/>
          <w:highlight w:val="none"/>
        </w:rPr>
        <w:fldChar w:fldCharType="begin"/>
      </w:r>
      <w:r>
        <w:rPr>
          <w:color w:val="auto"/>
          <w:highlight w:val="none"/>
        </w:rPr>
        <w:instrText xml:space="preserve"> PAGEREF _Toc28640 \h </w:instrText>
      </w:r>
      <w:r>
        <w:rPr>
          <w:color w:val="auto"/>
          <w:highlight w:val="none"/>
        </w:rPr>
        <w:fldChar w:fldCharType="separate"/>
      </w:r>
      <w:r>
        <w:rPr>
          <w:color w:val="auto"/>
          <w:highlight w:val="none"/>
        </w:rPr>
        <w:t>83</w:t>
      </w:r>
      <w:r>
        <w:rPr>
          <w:color w:val="auto"/>
          <w:highlight w:val="none"/>
        </w:rPr>
        <w:fldChar w:fldCharType="end"/>
      </w:r>
      <w:r>
        <w:rPr>
          <w:rFonts w:hint="default" w:ascii="Times New Roman" w:hAnsi="Times New Roman" w:cs="Times New Roman"/>
          <w:color w:val="auto"/>
          <w:highlight w:val="none"/>
        </w:rPr>
        <w:fldChar w:fldCharType="end"/>
      </w:r>
    </w:p>
    <w:p w14:paraId="7B858E83">
      <w:pPr>
        <w:pStyle w:val="28"/>
        <w:tabs>
          <w:tab w:val="right" w:leader="dot" w:pos="8306"/>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_Toc2644 </w:instrText>
      </w:r>
      <w:r>
        <w:rPr>
          <w:rFonts w:hint="default" w:ascii="Times New Roman" w:hAnsi="Times New Roman" w:cs="Times New Roman"/>
          <w:color w:val="auto"/>
          <w:highlight w:val="none"/>
        </w:rPr>
        <w:fldChar w:fldCharType="separate"/>
      </w:r>
      <w:r>
        <w:rPr>
          <w:rFonts w:hint="default" w:ascii="Times New Roman" w:hAnsi="Times New Roman" w:eastAsia="黑体" w:cs="Times New Roman"/>
          <w:bCs/>
          <w:color w:val="auto"/>
          <w:szCs w:val="30"/>
          <w:highlight w:val="none"/>
        </w:rPr>
        <w:t>二、阶段实施计划</w:t>
      </w:r>
      <w:r>
        <w:rPr>
          <w:color w:val="auto"/>
          <w:highlight w:val="none"/>
        </w:rPr>
        <w:tab/>
      </w:r>
      <w:r>
        <w:rPr>
          <w:color w:val="auto"/>
          <w:highlight w:val="none"/>
        </w:rPr>
        <w:fldChar w:fldCharType="begin"/>
      </w:r>
      <w:r>
        <w:rPr>
          <w:color w:val="auto"/>
          <w:highlight w:val="none"/>
        </w:rPr>
        <w:instrText xml:space="preserve"> PAGEREF _Toc2644 \h </w:instrText>
      </w:r>
      <w:r>
        <w:rPr>
          <w:color w:val="auto"/>
          <w:highlight w:val="none"/>
        </w:rPr>
        <w:fldChar w:fldCharType="separate"/>
      </w:r>
      <w:r>
        <w:rPr>
          <w:color w:val="auto"/>
          <w:highlight w:val="none"/>
        </w:rPr>
        <w:t>83</w:t>
      </w:r>
      <w:r>
        <w:rPr>
          <w:color w:val="auto"/>
          <w:highlight w:val="none"/>
        </w:rPr>
        <w:fldChar w:fldCharType="end"/>
      </w:r>
      <w:r>
        <w:rPr>
          <w:rFonts w:hint="default" w:ascii="Times New Roman" w:hAnsi="Times New Roman" w:cs="Times New Roman"/>
          <w:color w:val="auto"/>
          <w:highlight w:val="none"/>
        </w:rPr>
        <w:fldChar w:fldCharType="end"/>
      </w:r>
    </w:p>
    <w:p w14:paraId="0B1B1818">
      <w:pPr>
        <w:pStyle w:val="24"/>
        <w:tabs>
          <w:tab w:val="right" w:leader="dot" w:pos="8306"/>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_Toc18850 </w:instrText>
      </w:r>
      <w:r>
        <w:rPr>
          <w:rFonts w:hint="default" w:ascii="Times New Roman" w:hAnsi="Times New Roman" w:cs="Times New Roman"/>
          <w:color w:val="auto"/>
          <w:highlight w:val="none"/>
        </w:rPr>
        <w:fldChar w:fldCharType="separate"/>
      </w:r>
      <w:r>
        <w:rPr>
          <w:rFonts w:hint="default" w:ascii="Times New Roman" w:hAnsi="Times New Roman" w:eastAsia="黑体" w:cs="Times New Roman"/>
          <w:color w:val="auto"/>
          <w:szCs w:val="32"/>
          <w:highlight w:val="none"/>
        </w:rPr>
        <w:t>第七章  经费估算与进度安排</w:t>
      </w:r>
      <w:r>
        <w:rPr>
          <w:color w:val="auto"/>
          <w:highlight w:val="none"/>
        </w:rPr>
        <w:tab/>
      </w:r>
      <w:r>
        <w:rPr>
          <w:color w:val="auto"/>
          <w:highlight w:val="none"/>
        </w:rPr>
        <w:fldChar w:fldCharType="begin"/>
      </w:r>
      <w:r>
        <w:rPr>
          <w:color w:val="auto"/>
          <w:highlight w:val="none"/>
        </w:rPr>
        <w:instrText xml:space="preserve"> PAGEREF _Toc18850 \h </w:instrText>
      </w:r>
      <w:r>
        <w:rPr>
          <w:color w:val="auto"/>
          <w:highlight w:val="none"/>
        </w:rPr>
        <w:fldChar w:fldCharType="separate"/>
      </w:r>
      <w:r>
        <w:rPr>
          <w:color w:val="auto"/>
          <w:highlight w:val="none"/>
        </w:rPr>
        <w:t>86</w:t>
      </w:r>
      <w:r>
        <w:rPr>
          <w:color w:val="auto"/>
          <w:highlight w:val="none"/>
        </w:rPr>
        <w:fldChar w:fldCharType="end"/>
      </w:r>
      <w:r>
        <w:rPr>
          <w:rFonts w:hint="default" w:ascii="Times New Roman" w:hAnsi="Times New Roman" w:cs="Times New Roman"/>
          <w:color w:val="auto"/>
          <w:highlight w:val="none"/>
        </w:rPr>
        <w:fldChar w:fldCharType="end"/>
      </w:r>
    </w:p>
    <w:p w14:paraId="14D17536">
      <w:pPr>
        <w:pStyle w:val="28"/>
        <w:tabs>
          <w:tab w:val="right" w:leader="dot" w:pos="8306"/>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_Toc11311 </w:instrText>
      </w:r>
      <w:r>
        <w:rPr>
          <w:rFonts w:hint="default" w:ascii="Times New Roman" w:hAnsi="Times New Roman" w:cs="Times New Roman"/>
          <w:color w:val="auto"/>
          <w:highlight w:val="none"/>
        </w:rPr>
        <w:fldChar w:fldCharType="separate"/>
      </w:r>
      <w:r>
        <w:rPr>
          <w:rFonts w:hint="default" w:ascii="Times New Roman" w:hAnsi="Times New Roman" w:eastAsia="黑体" w:cs="Times New Roman"/>
          <w:bCs/>
          <w:color w:val="auto"/>
          <w:szCs w:val="30"/>
          <w:highlight w:val="none"/>
        </w:rPr>
        <w:t>一、经费估算依据</w:t>
      </w:r>
      <w:r>
        <w:rPr>
          <w:color w:val="auto"/>
          <w:highlight w:val="none"/>
        </w:rPr>
        <w:tab/>
      </w:r>
      <w:r>
        <w:rPr>
          <w:color w:val="auto"/>
          <w:highlight w:val="none"/>
        </w:rPr>
        <w:fldChar w:fldCharType="begin"/>
      </w:r>
      <w:r>
        <w:rPr>
          <w:color w:val="auto"/>
          <w:highlight w:val="none"/>
        </w:rPr>
        <w:instrText xml:space="preserve"> PAGEREF _Toc11311 \h </w:instrText>
      </w:r>
      <w:r>
        <w:rPr>
          <w:color w:val="auto"/>
          <w:highlight w:val="none"/>
        </w:rPr>
        <w:fldChar w:fldCharType="separate"/>
      </w:r>
      <w:r>
        <w:rPr>
          <w:color w:val="auto"/>
          <w:highlight w:val="none"/>
        </w:rPr>
        <w:t>86</w:t>
      </w:r>
      <w:r>
        <w:rPr>
          <w:color w:val="auto"/>
          <w:highlight w:val="none"/>
        </w:rPr>
        <w:fldChar w:fldCharType="end"/>
      </w:r>
      <w:r>
        <w:rPr>
          <w:rFonts w:hint="default" w:ascii="Times New Roman" w:hAnsi="Times New Roman" w:cs="Times New Roman"/>
          <w:color w:val="auto"/>
          <w:highlight w:val="none"/>
        </w:rPr>
        <w:fldChar w:fldCharType="end"/>
      </w:r>
    </w:p>
    <w:p w14:paraId="682F34F5">
      <w:pPr>
        <w:pStyle w:val="28"/>
        <w:tabs>
          <w:tab w:val="right" w:leader="dot" w:pos="8306"/>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_Toc32211 </w:instrText>
      </w:r>
      <w:r>
        <w:rPr>
          <w:rFonts w:hint="default" w:ascii="Times New Roman" w:hAnsi="Times New Roman" w:cs="Times New Roman"/>
          <w:color w:val="auto"/>
          <w:highlight w:val="none"/>
        </w:rPr>
        <w:fldChar w:fldCharType="separate"/>
      </w:r>
      <w:r>
        <w:rPr>
          <w:rFonts w:hint="default" w:ascii="Times New Roman" w:hAnsi="Times New Roman" w:eastAsia="黑体" w:cs="Times New Roman"/>
          <w:color w:val="auto"/>
          <w:szCs w:val="30"/>
          <w:highlight w:val="none"/>
        </w:rPr>
        <w:t>二、矿山地质环境治理工程经费估算</w:t>
      </w:r>
      <w:r>
        <w:rPr>
          <w:color w:val="auto"/>
          <w:highlight w:val="none"/>
        </w:rPr>
        <w:tab/>
      </w:r>
      <w:r>
        <w:rPr>
          <w:color w:val="auto"/>
          <w:highlight w:val="none"/>
        </w:rPr>
        <w:fldChar w:fldCharType="begin"/>
      </w:r>
      <w:r>
        <w:rPr>
          <w:color w:val="auto"/>
          <w:highlight w:val="none"/>
        </w:rPr>
        <w:instrText xml:space="preserve"> PAGEREF _Toc32211 \h </w:instrText>
      </w:r>
      <w:r>
        <w:rPr>
          <w:color w:val="auto"/>
          <w:highlight w:val="none"/>
        </w:rPr>
        <w:fldChar w:fldCharType="separate"/>
      </w:r>
      <w:r>
        <w:rPr>
          <w:color w:val="auto"/>
          <w:highlight w:val="none"/>
        </w:rPr>
        <w:t>89</w:t>
      </w:r>
      <w:r>
        <w:rPr>
          <w:color w:val="auto"/>
          <w:highlight w:val="none"/>
        </w:rPr>
        <w:fldChar w:fldCharType="end"/>
      </w:r>
      <w:r>
        <w:rPr>
          <w:rFonts w:hint="default" w:ascii="Times New Roman" w:hAnsi="Times New Roman" w:cs="Times New Roman"/>
          <w:color w:val="auto"/>
          <w:highlight w:val="none"/>
        </w:rPr>
        <w:fldChar w:fldCharType="end"/>
      </w:r>
    </w:p>
    <w:p w14:paraId="64E920C9">
      <w:pPr>
        <w:pStyle w:val="28"/>
        <w:tabs>
          <w:tab w:val="right" w:leader="dot" w:pos="8306"/>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_Toc19700 </w:instrText>
      </w:r>
      <w:r>
        <w:rPr>
          <w:rFonts w:hint="default" w:ascii="Times New Roman" w:hAnsi="Times New Roman" w:cs="Times New Roman"/>
          <w:color w:val="auto"/>
          <w:highlight w:val="none"/>
        </w:rPr>
        <w:fldChar w:fldCharType="separate"/>
      </w:r>
      <w:r>
        <w:rPr>
          <w:rFonts w:hint="default" w:ascii="Times New Roman" w:hAnsi="Times New Roman" w:eastAsia="黑体" w:cs="Times New Roman"/>
          <w:bCs/>
          <w:color w:val="auto"/>
          <w:szCs w:val="30"/>
          <w:highlight w:val="none"/>
        </w:rPr>
        <w:t>三、土地复垦工程经费估算</w:t>
      </w:r>
      <w:r>
        <w:rPr>
          <w:color w:val="auto"/>
          <w:highlight w:val="none"/>
        </w:rPr>
        <w:tab/>
      </w:r>
      <w:r>
        <w:rPr>
          <w:color w:val="auto"/>
          <w:highlight w:val="none"/>
        </w:rPr>
        <w:fldChar w:fldCharType="begin"/>
      </w:r>
      <w:r>
        <w:rPr>
          <w:color w:val="auto"/>
          <w:highlight w:val="none"/>
        </w:rPr>
        <w:instrText xml:space="preserve"> PAGEREF _Toc19700 \h </w:instrText>
      </w:r>
      <w:r>
        <w:rPr>
          <w:color w:val="auto"/>
          <w:highlight w:val="none"/>
        </w:rPr>
        <w:fldChar w:fldCharType="separate"/>
      </w:r>
      <w:r>
        <w:rPr>
          <w:color w:val="auto"/>
          <w:highlight w:val="none"/>
        </w:rPr>
        <w:t>95</w:t>
      </w:r>
      <w:r>
        <w:rPr>
          <w:color w:val="auto"/>
          <w:highlight w:val="none"/>
        </w:rPr>
        <w:fldChar w:fldCharType="end"/>
      </w:r>
      <w:r>
        <w:rPr>
          <w:rFonts w:hint="default" w:ascii="Times New Roman" w:hAnsi="Times New Roman" w:cs="Times New Roman"/>
          <w:color w:val="auto"/>
          <w:highlight w:val="none"/>
        </w:rPr>
        <w:fldChar w:fldCharType="end"/>
      </w:r>
    </w:p>
    <w:p w14:paraId="65DBF2A6">
      <w:pPr>
        <w:pStyle w:val="28"/>
        <w:tabs>
          <w:tab w:val="right" w:leader="dot" w:pos="8306"/>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_Toc17301 </w:instrText>
      </w:r>
      <w:r>
        <w:rPr>
          <w:rFonts w:hint="default" w:ascii="Times New Roman" w:hAnsi="Times New Roman" w:cs="Times New Roman"/>
          <w:color w:val="auto"/>
          <w:highlight w:val="none"/>
        </w:rPr>
        <w:fldChar w:fldCharType="separate"/>
      </w:r>
      <w:r>
        <w:rPr>
          <w:rFonts w:hint="default" w:ascii="Times New Roman" w:hAnsi="Times New Roman" w:eastAsia="黑体" w:cs="Times New Roman"/>
          <w:bCs/>
          <w:color w:val="auto"/>
          <w:szCs w:val="30"/>
          <w:highlight w:val="none"/>
        </w:rPr>
        <w:t>四、总投资估算与近年费用安排</w:t>
      </w:r>
      <w:r>
        <w:rPr>
          <w:color w:val="auto"/>
          <w:highlight w:val="none"/>
        </w:rPr>
        <w:tab/>
      </w:r>
      <w:r>
        <w:rPr>
          <w:color w:val="auto"/>
          <w:highlight w:val="none"/>
        </w:rPr>
        <w:fldChar w:fldCharType="begin"/>
      </w:r>
      <w:r>
        <w:rPr>
          <w:color w:val="auto"/>
          <w:highlight w:val="none"/>
        </w:rPr>
        <w:instrText xml:space="preserve"> PAGEREF _Toc17301 \h </w:instrText>
      </w:r>
      <w:r>
        <w:rPr>
          <w:color w:val="auto"/>
          <w:highlight w:val="none"/>
        </w:rPr>
        <w:fldChar w:fldCharType="separate"/>
      </w:r>
      <w:r>
        <w:rPr>
          <w:color w:val="auto"/>
          <w:highlight w:val="none"/>
        </w:rPr>
        <w:t>102</w:t>
      </w:r>
      <w:r>
        <w:rPr>
          <w:color w:val="auto"/>
          <w:highlight w:val="none"/>
        </w:rPr>
        <w:fldChar w:fldCharType="end"/>
      </w:r>
      <w:r>
        <w:rPr>
          <w:rFonts w:hint="default" w:ascii="Times New Roman" w:hAnsi="Times New Roman" w:cs="Times New Roman"/>
          <w:color w:val="auto"/>
          <w:highlight w:val="none"/>
        </w:rPr>
        <w:fldChar w:fldCharType="end"/>
      </w:r>
    </w:p>
    <w:p w14:paraId="04D898BB">
      <w:pPr>
        <w:pStyle w:val="24"/>
        <w:tabs>
          <w:tab w:val="right" w:leader="dot" w:pos="8306"/>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_Toc25365 </w:instrText>
      </w:r>
      <w:r>
        <w:rPr>
          <w:rFonts w:hint="default" w:ascii="Times New Roman" w:hAnsi="Times New Roman" w:cs="Times New Roman"/>
          <w:color w:val="auto"/>
          <w:highlight w:val="none"/>
        </w:rPr>
        <w:fldChar w:fldCharType="separate"/>
      </w:r>
      <w:r>
        <w:rPr>
          <w:rFonts w:hint="default" w:ascii="Times New Roman" w:hAnsi="Times New Roman" w:eastAsia="黑体" w:cs="Times New Roman"/>
          <w:color w:val="auto"/>
          <w:szCs w:val="32"/>
          <w:highlight w:val="none"/>
        </w:rPr>
        <w:t>第八章   保障措施与效益分析</w:t>
      </w:r>
      <w:r>
        <w:rPr>
          <w:color w:val="auto"/>
          <w:highlight w:val="none"/>
        </w:rPr>
        <w:tab/>
      </w:r>
      <w:r>
        <w:rPr>
          <w:color w:val="auto"/>
          <w:highlight w:val="none"/>
        </w:rPr>
        <w:fldChar w:fldCharType="begin"/>
      </w:r>
      <w:r>
        <w:rPr>
          <w:color w:val="auto"/>
          <w:highlight w:val="none"/>
        </w:rPr>
        <w:instrText xml:space="preserve"> PAGEREF _Toc25365 \h </w:instrText>
      </w:r>
      <w:r>
        <w:rPr>
          <w:color w:val="auto"/>
          <w:highlight w:val="none"/>
        </w:rPr>
        <w:fldChar w:fldCharType="separate"/>
      </w:r>
      <w:r>
        <w:rPr>
          <w:color w:val="auto"/>
          <w:highlight w:val="none"/>
        </w:rPr>
        <w:t>105</w:t>
      </w:r>
      <w:r>
        <w:rPr>
          <w:color w:val="auto"/>
          <w:highlight w:val="none"/>
        </w:rPr>
        <w:fldChar w:fldCharType="end"/>
      </w:r>
      <w:r>
        <w:rPr>
          <w:rFonts w:hint="default" w:ascii="Times New Roman" w:hAnsi="Times New Roman" w:cs="Times New Roman"/>
          <w:color w:val="auto"/>
          <w:highlight w:val="none"/>
        </w:rPr>
        <w:fldChar w:fldCharType="end"/>
      </w:r>
    </w:p>
    <w:p w14:paraId="28FED65D">
      <w:pPr>
        <w:pStyle w:val="28"/>
        <w:tabs>
          <w:tab w:val="right" w:leader="dot" w:pos="8306"/>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_Toc11298 </w:instrText>
      </w:r>
      <w:r>
        <w:rPr>
          <w:rFonts w:hint="default" w:ascii="Times New Roman" w:hAnsi="Times New Roman" w:cs="Times New Roman"/>
          <w:color w:val="auto"/>
          <w:highlight w:val="none"/>
        </w:rPr>
        <w:fldChar w:fldCharType="separate"/>
      </w:r>
      <w:r>
        <w:rPr>
          <w:rFonts w:hint="default" w:ascii="Times New Roman" w:hAnsi="Times New Roman" w:eastAsia="黑体" w:cs="Times New Roman"/>
          <w:bCs/>
          <w:color w:val="auto"/>
          <w:szCs w:val="30"/>
          <w:highlight w:val="none"/>
        </w:rPr>
        <w:t>一、组织保障</w:t>
      </w:r>
      <w:r>
        <w:rPr>
          <w:color w:val="auto"/>
          <w:highlight w:val="none"/>
        </w:rPr>
        <w:tab/>
      </w:r>
      <w:r>
        <w:rPr>
          <w:color w:val="auto"/>
          <w:highlight w:val="none"/>
        </w:rPr>
        <w:fldChar w:fldCharType="begin"/>
      </w:r>
      <w:r>
        <w:rPr>
          <w:color w:val="auto"/>
          <w:highlight w:val="none"/>
        </w:rPr>
        <w:instrText xml:space="preserve"> PAGEREF _Toc11298 \h </w:instrText>
      </w:r>
      <w:r>
        <w:rPr>
          <w:color w:val="auto"/>
          <w:highlight w:val="none"/>
        </w:rPr>
        <w:fldChar w:fldCharType="separate"/>
      </w:r>
      <w:r>
        <w:rPr>
          <w:color w:val="auto"/>
          <w:highlight w:val="none"/>
        </w:rPr>
        <w:t>105</w:t>
      </w:r>
      <w:r>
        <w:rPr>
          <w:color w:val="auto"/>
          <w:highlight w:val="none"/>
        </w:rPr>
        <w:fldChar w:fldCharType="end"/>
      </w:r>
      <w:r>
        <w:rPr>
          <w:rFonts w:hint="default" w:ascii="Times New Roman" w:hAnsi="Times New Roman" w:cs="Times New Roman"/>
          <w:color w:val="auto"/>
          <w:highlight w:val="none"/>
        </w:rPr>
        <w:fldChar w:fldCharType="end"/>
      </w:r>
    </w:p>
    <w:p w14:paraId="0F716F32">
      <w:pPr>
        <w:pStyle w:val="28"/>
        <w:tabs>
          <w:tab w:val="right" w:leader="dot" w:pos="8306"/>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_Toc1344 </w:instrText>
      </w:r>
      <w:r>
        <w:rPr>
          <w:rFonts w:hint="default" w:ascii="Times New Roman" w:hAnsi="Times New Roman" w:cs="Times New Roman"/>
          <w:color w:val="auto"/>
          <w:highlight w:val="none"/>
        </w:rPr>
        <w:fldChar w:fldCharType="separate"/>
      </w:r>
      <w:r>
        <w:rPr>
          <w:rFonts w:hint="default" w:ascii="Times New Roman" w:hAnsi="Times New Roman" w:eastAsia="黑体" w:cs="Times New Roman"/>
          <w:bCs/>
          <w:color w:val="auto"/>
          <w:szCs w:val="30"/>
          <w:highlight w:val="none"/>
        </w:rPr>
        <w:t>二、技术保障</w:t>
      </w:r>
      <w:r>
        <w:rPr>
          <w:color w:val="auto"/>
          <w:highlight w:val="none"/>
        </w:rPr>
        <w:tab/>
      </w:r>
      <w:r>
        <w:rPr>
          <w:color w:val="auto"/>
          <w:highlight w:val="none"/>
        </w:rPr>
        <w:fldChar w:fldCharType="begin"/>
      </w:r>
      <w:r>
        <w:rPr>
          <w:color w:val="auto"/>
          <w:highlight w:val="none"/>
        </w:rPr>
        <w:instrText xml:space="preserve"> PAGEREF _Toc1344 \h </w:instrText>
      </w:r>
      <w:r>
        <w:rPr>
          <w:color w:val="auto"/>
          <w:highlight w:val="none"/>
        </w:rPr>
        <w:fldChar w:fldCharType="separate"/>
      </w:r>
      <w:r>
        <w:rPr>
          <w:color w:val="auto"/>
          <w:highlight w:val="none"/>
        </w:rPr>
        <w:t>105</w:t>
      </w:r>
      <w:r>
        <w:rPr>
          <w:color w:val="auto"/>
          <w:highlight w:val="none"/>
        </w:rPr>
        <w:fldChar w:fldCharType="end"/>
      </w:r>
      <w:r>
        <w:rPr>
          <w:rFonts w:hint="default" w:ascii="Times New Roman" w:hAnsi="Times New Roman" w:cs="Times New Roman"/>
          <w:color w:val="auto"/>
          <w:highlight w:val="none"/>
        </w:rPr>
        <w:fldChar w:fldCharType="end"/>
      </w:r>
    </w:p>
    <w:p w14:paraId="0906E0CA">
      <w:pPr>
        <w:pStyle w:val="28"/>
        <w:tabs>
          <w:tab w:val="right" w:leader="dot" w:pos="8306"/>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_Toc7236 </w:instrText>
      </w:r>
      <w:r>
        <w:rPr>
          <w:rFonts w:hint="default" w:ascii="Times New Roman" w:hAnsi="Times New Roman" w:cs="Times New Roman"/>
          <w:color w:val="auto"/>
          <w:highlight w:val="none"/>
        </w:rPr>
        <w:fldChar w:fldCharType="separate"/>
      </w:r>
      <w:r>
        <w:rPr>
          <w:rFonts w:hint="default" w:ascii="Times New Roman" w:hAnsi="Times New Roman" w:eastAsia="黑体" w:cs="Times New Roman"/>
          <w:bCs/>
          <w:color w:val="auto"/>
          <w:szCs w:val="30"/>
          <w:highlight w:val="none"/>
        </w:rPr>
        <w:t>三、资金保障</w:t>
      </w:r>
      <w:r>
        <w:rPr>
          <w:color w:val="auto"/>
          <w:highlight w:val="none"/>
        </w:rPr>
        <w:tab/>
      </w:r>
      <w:r>
        <w:rPr>
          <w:color w:val="auto"/>
          <w:highlight w:val="none"/>
        </w:rPr>
        <w:fldChar w:fldCharType="begin"/>
      </w:r>
      <w:r>
        <w:rPr>
          <w:color w:val="auto"/>
          <w:highlight w:val="none"/>
        </w:rPr>
        <w:instrText xml:space="preserve"> PAGEREF _Toc7236 \h </w:instrText>
      </w:r>
      <w:r>
        <w:rPr>
          <w:color w:val="auto"/>
          <w:highlight w:val="none"/>
        </w:rPr>
        <w:fldChar w:fldCharType="separate"/>
      </w:r>
      <w:r>
        <w:rPr>
          <w:color w:val="auto"/>
          <w:highlight w:val="none"/>
        </w:rPr>
        <w:t>106</w:t>
      </w:r>
      <w:r>
        <w:rPr>
          <w:color w:val="auto"/>
          <w:highlight w:val="none"/>
        </w:rPr>
        <w:fldChar w:fldCharType="end"/>
      </w:r>
      <w:r>
        <w:rPr>
          <w:rFonts w:hint="default" w:ascii="Times New Roman" w:hAnsi="Times New Roman" w:cs="Times New Roman"/>
          <w:color w:val="auto"/>
          <w:highlight w:val="none"/>
        </w:rPr>
        <w:fldChar w:fldCharType="end"/>
      </w:r>
    </w:p>
    <w:p w14:paraId="35255F33">
      <w:pPr>
        <w:pStyle w:val="28"/>
        <w:tabs>
          <w:tab w:val="right" w:leader="dot" w:pos="8306"/>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_Toc29326 </w:instrText>
      </w:r>
      <w:r>
        <w:rPr>
          <w:rFonts w:hint="default" w:ascii="Times New Roman" w:hAnsi="Times New Roman" w:cs="Times New Roman"/>
          <w:color w:val="auto"/>
          <w:highlight w:val="none"/>
        </w:rPr>
        <w:fldChar w:fldCharType="separate"/>
      </w:r>
      <w:r>
        <w:rPr>
          <w:rFonts w:hint="default" w:ascii="Times New Roman" w:hAnsi="Times New Roman" w:eastAsia="黑体" w:cs="Times New Roman"/>
          <w:bCs/>
          <w:color w:val="auto"/>
          <w:szCs w:val="30"/>
          <w:highlight w:val="none"/>
        </w:rPr>
        <w:t>四、监管保障</w:t>
      </w:r>
      <w:r>
        <w:rPr>
          <w:color w:val="auto"/>
          <w:highlight w:val="none"/>
        </w:rPr>
        <w:tab/>
      </w:r>
      <w:r>
        <w:rPr>
          <w:color w:val="auto"/>
          <w:highlight w:val="none"/>
        </w:rPr>
        <w:fldChar w:fldCharType="begin"/>
      </w:r>
      <w:r>
        <w:rPr>
          <w:color w:val="auto"/>
          <w:highlight w:val="none"/>
        </w:rPr>
        <w:instrText xml:space="preserve"> PAGEREF _Toc29326 \h </w:instrText>
      </w:r>
      <w:r>
        <w:rPr>
          <w:color w:val="auto"/>
          <w:highlight w:val="none"/>
        </w:rPr>
        <w:fldChar w:fldCharType="separate"/>
      </w:r>
      <w:r>
        <w:rPr>
          <w:color w:val="auto"/>
          <w:highlight w:val="none"/>
        </w:rPr>
        <w:t>108</w:t>
      </w:r>
      <w:r>
        <w:rPr>
          <w:color w:val="auto"/>
          <w:highlight w:val="none"/>
        </w:rPr>
        <w:fldChar w:fldCharType="end"/>
      </w:r>
      <w:r>
        <w:rPr>
          <w:rFonts w:hint="default" w:ascii="Times New Roman" w:hAnsi="Times New Roman" w:cs="Times New Roman"/>
          <w:color w:val="auto"/>
          <w:highlight w:val="none"/>
        </w:rPr>
        <w:fldChar w:fldCharType="end"/>
      </w:r>
    </w:p>
    <w:p w14:paraId="59786CB7">
      <w:pPr>
        <w:pStyle w:val="28"/>
        <w:tabs>
          <w:tab w:val="right" w:leader="dot" w:pos="8306"/>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_Toc22109 </w:instrText>
      </w:r>
      <w:r>
        <w:rPr>
          <w:rFonts w:hint="default" w:ascii="Times New Roman" w:hAnsi="Times New Roman" w:cs="Times New Roman"/>
          <w:color w:val="auto"/>
          <w:highlight w:val="none"/>
        </w:rPr>
        <w:fldChar w:fldCharType="separate"/>
      </w:r>
      <w:r>
        <w:rPr>
          <w:rFonts w:hint="default" w:ascii="Times New Roman" w:hAnsi="Times New Roman" w:eastAsia="黑体" w:cs="Times New Roman"/>
          <w:bCs/>
          <w:color w:val="auto"/>
          <w:szCs w:val="30"/>
          <w:highlight w:val="none"/>
        </w:rPr>
        <w:t>五、效益分析</w:t>
      </w:r>
      <w:r>
        <w:rPr>
          <w:color w:val="auto"/>
          <w:highlight w:val="none"/>
        </w:rPr>
        <w:tab/>
      </w:r>
      <w:r>
        <w:rPr>
          <w:color w:val="auto"/>
          <w:highlight w:val="none"/>
        </w:rPr>
        <w:fldChar w:fldCharType="begin"/>
      </w:r>
      <w:r>
        <w:rPr>
          <w:color w:val="auto"/>
          <w:highlight w:val="none"/>
        </w:rPr>
        <w:instrText xml:space="preserve"> PAGEREF _Toc22109 \h </w:instrText>
      </w:r>
      <w:r>
        <w:rPr>
          <w:color w:val="auto"/>
          <w:highlight w:val="none"/>
        </w:rPr>
        <w:fldChar w:fldCharType="separate"/>
      </w:r>
      <w:r>
        <w:rPr>
          <w:color w:val="auto"/>
          <w:highlight w:val="none"/>
        </w:rPr>
        <w:t>109</w:t>
      </w:r>
      <w:r>
        <w:rPr>
          <w:color w:val="auto"/>
          <w:highlight w:val="none"/>
        </w:rPr>
        <w:fldChar w:fldCharType="end"/>
      </w:r>
      <w:r>
        <w:rPr>
          <w:rFonts w:hint="default" w:ascii="Times New Roman" w:hAnsi="Times New Roman" w:cs="Times New Roman"/>
          <w:color w:val="auto"/>
          <w:highlight w:val="none"/>
        </w:rPr>
        <w:fldChar w:fldCharType="end"/>
      </w:r>
    </w:p>
    <w:p w14:paraId="35C8AB81">
      <w:pPr>
        <w:pStyle w:val="28"/>
        <w:tabs>
          <w:tab w:val="right" w:leader="dot" w:pos="8306"/>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_Toc3290 </w:instrText>
      </w:r>
      <w:r>
        <w:rPr>
          <w:rFonts w:hint="default" w:ascii="Times New Roman" w:hAnsi="Times New Roman" w:cs="Times New Roman"/>
          <w:color w:val="auto"/>
          <w:highlight w:val="none"/>
        </w:rPr>
        <w:fldChar w:fldCharType="separate"/>
      </w:r>
      <w:r>
        <w:rPr>
          <w:rFonts w:hint="default" w:ascii="Times New Roman" w:hAnsi="Times New Roman" w:eastAsia="黑体" w:cs="Times New Roman"/>
          <w:bCs/>
          <w:color w:val="auto"/>
          <w:szCs w:val="30"/>
          <w:highlight w:val="none"/>
        </w:rPr>
        <w:t>六、公众参与</w:t>
      </w:r>
      <w:r>
        <w:rPr>
          <w:color w:val="auto"/>
          <w:highlight w:val="none"/>
        </w:rPr>
        <w:tab/>
      </w:r>
      <w:r>
        <w:rPr>
          <w:color w:val="auto"/>
          <w:highlight w:val="none"/>
        </w:rPr>
        <w:fldChar w:fldCharType="begin"/>
      </w:r>
      <w:r>
        <w:rPr>
          <w:color w:val="auto"/>
          <w:highlight w:val="none"/>
        </w:rPr>
        <w:instrText xml:space="preserve"> PAGEREF _Toc3290 \h </w:instrText>
      </w:r>
      <w:r>
        <w:rPr>
          <w:color w:val="auto"/>
          <w:highlight w:val="none"/>
        </w:rPr>
        <w:fldChar w:fldCharType="separate"/>
      </w:r>
      <w:r>
        <w:rPr>
          <w:color w:val="auto"/>
          <w:highlight w:val="none"/>
        </w:rPr>
        <w:t>110</w:t>
      </w:r>
      <w:r>
        <w:rPr>
          <w:color w:val="auto"/>
          <w:highlight w:val="none"/>
        </w:rPr>
        <w:fldChar w:fldCharType="end"/>
      </w:r>
      <w:r>
        <w:rPr>
          <w:rFonts w:hint="default" w:ascii="Times New Roman" w:hAnsi="Times New Roman" w:cs="Times New Roman"/>
          <w:color w:val="auto"/>
          <w:highlight w:val="none"/>
        </w:rPr>
        <w:fldChar w:fldCharType="end"/>
      </w:r>
    </w:p>
    <w:p w14:paraId="6FCBCBBA">
      <w:pPr>
        <w:pStyle w:val="24"/>
        <w:tabs>
          <w:tab w:val="right" w:leader="dot" w:pos="8306"/>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_Toc16854 </w:instrText>
      </w:r>
      <w:r>
        <w:rPr>
          <w:rFonts w:hint="default" w:ascii="Times New Roman" w:hAnsi="Times New Roman" w:cs="Times New Roman"/>
          <w:color w:val="auto"/>
          <w:highlight w:val="none"/>
        </w:rPr>
        <w:fldChar w:fldCharType="separate"/>
      </w:r>
      <w:r>
        <w:rPr>
          <w:rFonts w:hint="default" w:ascii="Times New Roman" w:hAnsi="Times New Roman" w:eastAsia="黑体" w:cs="Times New Roman"/>
          <w:color w:val="auto"/>
          <w:szCs w:val="32"/>
          <w:highlight w:val="none"/>
        </w:rPr>
        <w:t>第九章  结论与建议</w:t>
      </w:r>
      <w:r>
        <w:rPr>
          <w:color w:val="auto"/>
          <w:highlight w:val="none"/>
        </w:rPr>
        <w:tab/>
      </w:r>
      <w:r>
        <w:rPr>
          <w:color w:val="auto"/>
          <w:highlight w:val="none"/>
        </w:rPr>
        <w:fldChar w:fldCharType="begin"/>
      </w:r>
      <w:r>
        <w:rPr>
          <w:color w:val="auto"/>
          <w:highlight w:val="none"/>
        </w:rPr>
        <w:instrText xml:space="preserve"> PAGEREF _Toc16854 \h </w:instrText>
      </w:r>
      <w:r>
        <w:rPr>
          <w:color w:val="auto"/>
          <w:highlight w:val="none"/>
        </w:rPr>
        <w:fldChar w:fldCharType="separate"/>
      </w:r>
      <w:r>
        <w:rPr>
          <w:color w:val="auto"/>
          <w:highlight w:val="none"/>
        </w:rPr>
        <w:t>113</w:t>
      </w:r>
      <w:r>
        <w:rPr>
          <w:color w:val="auto"/>
          <w:highlight w:val="none"/>
        </w:rPr>
        <w:fldChar w:fldCharType="end"/>
      </w:r>
      <w:r>
        <w:rPr>
          <w:rFonts w:hint="default" w:ascii="Times New Roman" w:hAnsi="Times New Roman" w:cs="Times New Roman"/>
          <w:color w:val="auto"/>
          <w:highlight w:val="none"/>
        </w:rPr>
        <w:fldChar w:fldCharType="end"/>
      </w:r>
    </w:p>
    <w:p w14:paraId="671B15CA">
      <w:pPr>
        <w:pStyle w:val="28"/>
        <w:tabs>
          <w:tab w:val="right" w:leader="dot" w:pos="8306"/>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_Toc24314 </w:instrText>
      </w:r>
      <w:r>
        <w:rPr>
          <w:rFonts w:hint="default" w:ascii="Times New Roman" w:hAnsi="Times New Roman" w:cs="Times New Roman"/>
          <w:color w:val="auto"/>
          <w:highlight w:val="none"/>
        </w:rPr>
        <w:fldChar w:fldCharType="separate"/>
      </w:r>
      <w:r>
        <w:rPr>
          <w:rFonts w:hint="default" w:ascii="Times New Roman" w:hAnsi="Times New Roman" w:eastAsia="黑体" w:cs="Times New Roman"/>
          <w:bCs/>
          <w:color w:val="auto"/>
          <w:szCs w:val="30"/>
          <w:highlight w:val="none"/>
        </w:rPr>
        <w:t>一、结论</w:t>
      </w:r>
      <w:r>
        <w:rPr>
          <w:color w:val="auto"/>
          <w:highlight w:val="none"/>
        </w:rPr>
        <w:tab/>
      </w:r>
      <w:r>
        <w:rPr>
          <w:color w:val="auto"/>
          <w:highlight w:val="none"/>
        </w:rPr>
        <w:fldChar w:fldCharType="begin"/>
      </w:r>
      <w:r>
        <w:rPr>
          <w:color w:val="auto"/>
          <w:highlight w:val="none"/>
        </w:rPr>
        <w:instrText xml:space="preserve"> PAGEREF _Toc24314 \h </w:instrText>
      </w:r>
      <w:r>
        <w:rPr>
          <w:color w:val="auto"/>
          <w:highlight w:val="none"/>
        </w:rPr>
        <w:fldChar w:fldCharType="separate"/>
      </w:r>
      <w:r>
        <w:rPr>
          <w:color w:val="auto"/>
          <w:highlight w:val="none"/>
        </w:rPr>
        <w:t>113</w:t>
      </w:r>
      <w:r>
        <w:rPr>
          <w:color w:val="auto"/>
          <w:highlight w:val="none"/>
        </w:rPr>
        <w:fldChar w:fldCharType="end"/>
      </w:r>
      <w:r>
        <w:rPr>
          <w:rFonts w:hint="default" w:ascii="Times New Roman" w:hAnsi="Times New Roman" w:cs="Times New Roman"/>
          <w:color w:val="auto"/>
          <w:highlight w:val="none"/>
        </w:rPr>
        <w:fldChar w:fldCharType="end"/>
      </w:r>
    </w:p>
    <w:p w14:paraId="0392722A">
      <w:pPr>
        <w:pStyle w:val="28"/>
        <w:tabs>
          <w:tab w:val="right" w:leader="dot" w:pos="8306"/>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_Toc17141 </w:instrText>
      </w:r>
      <w:r>
        <w:rPr>
          <w:rFonts w:hint="default" w:ascii="Times New Roman" w:hAnsi="Times New Roman" w:cs="Times New Roman"/>
          <w:color w:val="auto"/>
          <w:highlight w:val="none"/>
        </w:rPr>
        <w:fldChar w:fldCharType="separate"/>
      </w:r>
      <w:r>
        <w:rPr>
          <w:rFonts w:hint="default" w:ascii="Times New Roman" w:hAnsi="Times New Roman" w:eastAsia="黑体" w:cs="Times New Roman"/>
          <w:bCs/>
          <w:color w:val="auto"/>
          <w:szCs w:val="30"/>
          <w:highlight w:val="none"/>
        </w:rPr>
        <w:t>二、建议</w:t>
      </w:r>
      <w:r>
        <w:rPr>
          <w:color w:val="auto"/>
          <w:highlight w:val="none"/>
        </w:rPr>
        <w:tab/>
      </w:r>
      <w:r>
        <w:rPr>
          <w:color w:val="auto"/>
          <w:highlight w:val="none"/>
        </w:rPr>
        <w:fldChar w:fldCharType="begin"/>
      </w:r>
      <w:r>
        <w:rPr>
          <w:color w:val="auto"/>
          <w:highlight w:val="none"/>
        </w:rPr>
        <w:instrText xml:space="preserve"> PAGEREF _Toc17141 \h </w:instrText>
      </w:r>
      <w:r>
        <w:rPr>
          <w:color w:val="auto"/>
          <w:highlight w:val="none"/>
        </w:rPr>
        <w:fldChar w:fldCharType="separate"/>
      </w:r>
      <w:r>
        <w:rPr>
          <w:color w:val="auto"/>
          <w:highlight w:val="none"/>
        </w:rPr>
        <w:t>114</w:t>
      </w:r>
      <w:r>
        <w:rPr>
          <w:color w:val="auto"/>
          <w:highlight w:val="none"/>
        </w:rPr>
        <w:fldChar w:fldCharType="end"/>
      </w:r>
      <w:r>
        <w:rPr>
          <w:rFonts w:hint="default" w:ascii="Times New Roman" w:hAnsi="Times New Roman" w:cs="Times New Roman"/>
          <w:color w:val="auto"/>
          <w:highlight w:val="none"/>
        </w:rPr>
        <w:fldChar w:fldCharType="end"/>
      </w:r>
    </w:p>
    <w:p w14:paraId="4C7D4E31">
      <w:pPr>
        <w:spacing w:line="360" w:lineRule="auto"/>
        <w:ind w:firstLine="420" w:firstLineChars="200"/>
        <w:rPr>
          <w:rFonts w:hint="default" w:ascii="Times New Roman" w:hAnsi="Times New Roman" w:cs="Times New Roman"/>
          <w:color w:val="auto"/>
          <w:sz w:val="24"/>
          <w:highlight w:val="none"/>
        </w:rPr>
      </w:pPr>
      <w:r>
        <w:rPr>
          <w:rFonts w:hint="default" w:ascii="Times New Roman" w:hAnsi="Times New Roman" w:cs="Times New Roman"/>
          <w:color w:val="auto"/>
          <w:highlight w:val="none"/>
        </w:rPr>
        <w:fldChar w:fldCharType="end"/>
      </w:r>
    </w:p>
    <w:p w14:paraId="43F7ACF6">
      <w:pPr>
        <w:spacing w:line="360" w:lineRule="auto"/>
        <w:ind w:firstLine="480" w:firstLineChars="200"/>
        <w:rPr>
          <w:rFonts w:hint="default" w:ascii="Times New Roman" w:hAnsi="Times New Roman" w:cs="Times New Roman"/>
          <w:color w:val="auto"/>
          <w:sz w:val="24"/>
          <w:highlight w:val="none"/>
        </w:rPr>
      </w:pPr>
    </w:p>
    <w:p w14:paraId="1DB74BAB">
      <w:pPr>
        <w:spacing w:line="360" w:lineRule="auto"/>
        <w:ind w:firstLine="480" w:firstLineChars="200"/>
        <w:rPr>
          <w:rFonts w:hint="default" w:ascii="Times New Roman" w:hAnsi="Times New Roman" w:cs="Times New Roman"/>
          <w:color w:val="auto"/>
          <w:sz w:val="24"/>
          <w:highlight w:val="none"/>
        </w:rPr>
      </w:pPr>
    </w:p>
    <w:p w14:paraId="00966A6A">
      <w:pPr>
        <w:spacing w:line="360" w:lineRule="auto"/>
        <w:ind w:firstLine="480" w:firstLineChars="200"/>
        <w:rPr>
          <w:rFonts w:hint="default" w:ascii="Times New Roman" w:hAnsi="Times New Roman" w:cs="Times New Roman"/>
          <w:color w:val="auto"/>
          <w:sz w:val="24"/>
          <w:highlight w:val="none"/>
        </w:rPr>
      </w:pPr>
    </w:p>
    <w:p w14:paraId="65991C91">
      <w:pPr>
        <w:spacing w:line="360" w:lineRule="auto"/>
        <w:ind w:firstLine="480" w:firstLineChars="200"/>
        <w:rPr>
          <w:rFonts w:hint="default" w:ascii="Times New Roman" w:hAnsi="Times New Roman" w:cs="Times New Roman"/>
          <w:color w:val="auto"/>
          <w:sz w:val="24"/>
          <w:highlight w:val="none"/>
        </w:rPr>
      </w:pPr>
    </w:p>
    <w:p w14:paraId="15EA0B01">
      <w:pPr>
        <w:spacing w:line="360" w:lineRule="auto"/>
        <w:ind w:firstLine="480" w:firstLineChars="200"/>
        <w:rPr>
          <w:rFonts w:hint="default" w:ascii="Times New Roman" w:hAnsi="Times New Roman" w:cs="Times New Roman"/>
          <w:color w:val="auto"/>
          <w:sz w:val="24"/>
          <w:highlight w:val="none"/>
        </w:rPr>
      </w:pPr>
    </w:p>
    <w:p w14:paraId="5ABA6D17">
      <w:pPr>
        <w:spacing w:line="360" w:lineRule="auto"/>
        <w:ind w:firstLine="480" w:firstLineChars="200"/>
        <w:rPr>
          <w:rFonts w:hint="default" w:ascii="Times New Roman" w:hAnsi="Times New Roman" w:cs="Times New Roman"/>
          <w:color w:val="auto"/>
          <w:sz w:val="24"/>
          <w:highlight w:val="none"/>
        </w:rPr>
      </w:pPr>
    </w:p>
    <w:p w14:paraId="03BB2C0C">
      <w:pPr>
        <w:spacing w:line="360" w:lineRule="auto"/>
        <w:ind w:firstLine="480" w:firstLineChars="200"/>
        <w:rPr>
          <w:rFonts w:hint="default" w:ascii="Times New Roman" w:hAnsi="Times New Roman" w:cs="Times New Roman"/>
          <w:color w:val="auto"/>
          <w:sz w:val="24"/>
          <w:highlight w:val="none"/>
        </w:rPr>
      </w:pPr>
    </w:p>
    <w:p w14:paraId="5625BACB">
      <w:pPr>
        <w:spacing w:line="360" w:lineRule="auto"/>
        <w:ind w:firstLine="480" w:firstLineChars="200"/>
        <w:rPr>
          <w:rFonts w:hint="default" w:ascii="Times New Roman" w:hAnsi="Times New Roman" w:cs="Times New Roman"/>
          <w:color w:val="auto"/>
          <w:sz w:val="24"/>
          <w:highlight w:val="none"/>
        </w:rPr>
      </w:pPr>
    </w:p>
    <w:p w14:paraId="13A5A204">
      <w:pPr>
        <w:spacing w:line="360" w:lineRule="auto"/>
        <w:ind w:firstLine="480" w:firstLineChars="200"/>
        <w:rPr>
          <w:rFonts w:hint="default" w:ascii="Times New Roman" w:hAnsi="Times New Roman" w:cs="Times New Roman"/>
          <w:color w:val="auto"/>
          <w:sz w:val="24"/>
          <w:highlight w:val="none"/>
        </w:rPr>
      </w:pPr>
    </w:p>
    <w:p w14:paraId="74E54EEF">
      <w:pPr>
        <w:spacing w:line="360" w:lineRule="auto"/>
        <w:ind w:firstLine="480" w:firstLineChars="200"/>
        <w:rPr>
          <w:rFonts w:hint="default" w:ascii="Times New Roman" w:hAnsi="Times New Roman" w:cs="Times New Roman"/>
          <w:color w:val="auto"/>
          <w:sz w:val="24"/>
          <w:highlight w:val="none"/>
        </w:rPr>
      </w:pPr>
    </w:p>
    <w:p w14:paraId="6615CFFA">
      <w:pPr>
        <w:spacing w:line="360" w:lineRule="auto"/>
        <w:ind w:firstLine="480" w:firstLineChars="200"/>
        <w:rPr>
          <w:rFonts w:hint="default" w:ascii="Times New Roman" w:hAnsi="Times New Roman" w:cs="Times New Roman"/>
          <w:color w:val="auto"/>
          <w:sz w:val="24"/>
          <w:highlight w:val="none"/>
        </w:rPr>
      </w:pPr>
    </w:p>
    <w:p w14:paraId="19D58662">
      <w:pPr>
        <w:keepNext w:val="0"/>
        <w:keepLines w:val="0"/>
        <w:pageBreakBefore w:val="0"/>
        <w:widowControl/>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cs="Times New Roman"/>
          <w:b w:val="0"/>
          <w:bCs/>
          <w:color w:val="auto"/>
          <w:sz w:val="24"/>
          <w:szCs w:val="24"/>
          <w:highlight w:val="none"/>
        </w:rPr>
      </w:pPr>
      <w:r>
        <w:rPr>
          <w:rFonts w:hint="default" w:ascii="Times New Roman" w:hAnsi="Times New Roman" w:cs="Times New Roman"/>
          <w:color w:val="auto"/>
          <w:sz w:val="24"/>
          <w:highlight w:val="none"/>
        </w:rPr>
        <w:br w:type="page"/>
      </w:r>
      <w:bookmarkStart w:id="5" w:name="_Toc487105241"/>
      <w:r>
        <w:rPr>
          <w:rFonts w:hint="default" w:ascii="Times New Roman" w:hAnsi="Times New Roman" w:cs="Times New Roman"/>
          <w:b/>
          <w:bCs w:val="0"/>
          <w:color w:val="auto"/>
          <w:sz w:val="24"/>
          <w:szCs w:val="24"/>
          <w:highlight w:val="none"/>
        </w:rPr>
        <w:t xml:space="preserve">一、附图 </w:t>
      </w:r>
    </w:p>
    <w:p w14:paraId="427DC306">
      <w:pPr>
        <w:keepNext w:val="0"/>
        <w:keepLines w:val="0"/>
        <w:pageBreakBefore w:val="0"/>
        <w:widowControl/>
        <w:kinsoku/>
        <w:wordWrap/>
        <w:overflowPunct/>
        <w:topLinePunct w:val="0"/>
        <w:autoSpaceDE/>
        <w:autoSpaceDN/>
        <w:bidi w:val="0"/>
        <w:adjustRightInd/>
        <w:snapToGrid/>
        <w:spacing w:line="440" w:lineRule="exact"/>
        <w:ind w:left="0" w:leftChars="0" w:firstLine="480" w:firstLineChars="200"/>
        <w:textAlignment w:val="auto"/>
        <w:rPr>
          <w:rFonts w:hint="default" w:ascii="Times New Roman" w:hAnsi="Times New Roman" w:cs="Times New Roman"/>
          <w:b w:val="0"/>
          <w:bCs/>
          <w:color w:val="auto"/>
          <w:sz w:val="24"/>
          <w:szCs w:val="24"/>
          <w:highlight w:val="none"/>
        </w:rPr>
      </w:pPr>
      <w:r>
        <w:rPr>
          <w:rFonts w:hint="default" w:ascii="Times New Roman" w:hAnsi="Times New Roman" w:cs="Times New Roman"/>
          <w:b w:val="0"/>
          <w:bCs/>
          <w:color w:val="auto"/>
          <w:sz w:val="24"/>
          <w:szCs w:val="24"/>
          <w:highlight w:val="none"/>
        </w:rPr>
        <w:t>（一）</w:t>
      </w:r>
      <w:r>
        <w:rPr>
          <w:rFonts w:hint="eastAsia" w:cs="Times New Roman"/>
          <w:b w:val="0"/>
          <w:bCs/>
          <w:color w:val="auto"/>
          <w:sz w:val="24"/>
          <w:szCs w:val="24"/>
          <w:highlight w:val="none"/>
          <w:lang w:eastAsia="zh-CN"/>
        </w:rPr>
        <w:t>吉林市晟拓工贸有限公司北大湖采石场</w:t>
      </w:r>
      <w:r>
        <w:rPr>
          <w:rFonts w:hint="default" w:ascii="Times New Roman" w:hAnsi="Times New Roman" w:cs="Times New Roman"/>
          <w:b w:val="0"/>
          <w:bCs/>
          <w:color w:val="auto"/>
          <w:sz w:val="24"/>
          <w:szCs w:val="24"/>
          <w:highlight w:val="none"/>
        </w:rPr>
        <w:t>矿山地质环境问题现状图</w:t>
      </w:r>
    </w:p>
    <w:p w14:paraId="4A33C2F4">
      <w:pPr>
        <w:keepNext w:val="0"/>
        <w:keepLines w:val="0"/>
        <w:pageBreakBefore w:val="0"/>
        <w:widowControl/>
        <w:kinsoku/>
        <w:wordWrap/>
        <w:overflowPunct/>
        <w:topLinePunct w:val="0"/>
        <w:autoSpaceDE/>
        <w:autoSpaceDN/>
        <w:bidi w:val="0"/>
        <w:adjustRightInd/>
        <w:snapToGrid/>
        <w:spacing w:line="440" w:lineRule="exact"/>
        <w:ind w:left="0" w:leftChars="0" w:firstLine="480" w:firstLineChars="200"/>
        <w:textAlignment w:val="auto"/>
        <w:rPr>
          <w:rFonts w:hint="default" w:ascii="Times New Roman" w:hAnsi="Times New Roman" w:cs="Times New Roman"/>
          <w:b w:val="0"/>
          <w:bCs/>
          <w:color w:val="auto"/>
          <w:sz w:val="24"/>
          <w:szCs w:val="24"/>
          <w:highlight w:val="none"/>
        </w:rPr>
      </w:pPr>
      <w:r>
        <w:rPr>
          <w:rFonts w:hint="default" w:ascii="Times New Roman" w:hAnsi="Times New Roman" w:cs="Times New Roman"/>
          <w:b w:val="0"/>
          <w:bCs/>
          <w:color w:val="auto"/>
          <w:sz w:val="24"/>
          <w:szCs w:val="24"/>
          <w:highlight w:val="none"/>
        </w:rPr>
        <w:t>（二）</w:t>
      </w:r>
      <w:r>
        <w:rPr>
          <w:rFonts w:hint="eastAsia" w:cs="Times New Roman"/>
          <w:b w:val="0"/>
          <w:bCs/>
          <w:color w:val="auto"/>
          <w:sz w:val="24"/>
          <w:szCs w:val="24"/>
          <w:highlight w:val="none"/>
          <w:lang w:eastAsia="zh-CN"/>
        </w:rPr>
        <w:t>吉林市晟拓工贸有限公司北大湖采石场</w:t>
      </w:r>
      <w:r>
        <w:rPr>
          <w:rFonts w:hint="default" w:ascii="Times New Roman" w:hAnsi="Times New Roman" w:cs="Times New Roman"/>
          <w:b w:val="0"/>
          <w:bCs/>
          <w:color w:val="auto"/>
          <w:sz w:val="24"/>
          <w:szCs w:val="24"/>
          <w:highlight w:val="none"/>
          <w:lang w:val="en-US" w:eastAsia="zh-CN"/>
        </w:rPr>
        <w:t>矿区</w:t>
      </w:r>
      <w:r>
        <w:rPr>
          <w:rFonts w:hint="default" w:ascii="Times New Roman" w:hAnsi="Times New Roman" w:cs="Times New Roman"/>
          <w:b w:val="0"/>
          <w:bCs/>
          <w:color w:val="auto"/>
          <w:sz w:val="24"/>
          <w:szCs w:val="24"/>
          <w:highlight w:val="none"/>
        </w:rPr>
        <w:t>土地利用现状图</w:t>
      </w:r>
    </w:p>
    <w:p w14:paraId="012F5D78">
      <w:pPr>
        <w:keepNext w:val="0"/>
        <w:keepLines w:val="0"/>
        <w:pageBreakBefore w:val="0"/>
        <w:widowControl/>
        <w:kinsoku/>
        <w:wordWrap/>
        <w:overflowPunct/>
        <w:topLinePunct w:val="0"/>
        <w:autoSpaceDE/>
        <w:autoSpaceDN/>
        <w:bidi w:val="0"/>
        <w:adjustRightInd/>
        <w:snapToGrid/>
        <w:spacing w:line="440" w:lineRule="exact"/>
        <w:ind w:left="0" w:leftChars="0" w:firstLine="480" w:firstLineChars="200"/>
        <w:textAlignment w:val="auto"/>
        <w:rPr>
          <w:rFonts w:hint="default" w:ascii="Times New Roman" w:hAnsi="Times New Roman" w:cs="Times New Roman"/>
          <w:b w:val="0"/>
          <w:bCs/>
          <w:color w:val="auto"/>
          <w:sz w:val="24"/>
          <w:szCs w:val="24"/>
          <w:highlight w:val="none"/>
        </w:rPr>
      </w:pPr>
      <w:r>
        <w:rPr>
          <w:rFonts w:hint="default" w:ascii="Times New Roman" w:hAnsi="Times New Roman" w:cs="Times New Roman"/>
          <w:b w:val="0"/>
          <w:bCs/>
          <w:color w:val="auto"/>
          <w:sz w:val="24"/>
          <w:szCs w:val="24"/>
          <w:highlight w:val="none"/>
        </w:rPr>
        <w:t>（三）</w:t>
      </w:r>
      <w:r>
        <w:rPr>
          <w:rFonts w:hint="eastAsia" w:cs="Times New Roman"/>
          <w:b w:val="0"/>
          <w:bCs/>
          <w:color w:val="auto"/>
          <w:sz w:val="24"/>
          <w:szCs w:val="24"/>
          <w:highlight w:val="none"/>
          <w:lang w:eastAsia="zh-CN"/>
        </w:rPr>
        <w:t>吉林市晟拓工贸有限公司北大湖采石场</w:t>
      </w:r>
      <w:r>
        <w:rPr>
          <w:rFonts w:hint="default" w:ascii="Times New Roman" w:hAnsi="Times New Roman" w:cs="Times New Roman"/>
          <w:b w:val="0"/>
          <w:bCs/>
          <w:color w:val="auto"/>
          <w:sz w:val="24"/>
          <w:szCs w:val="24"/>
          <w:highlight w:val="none"/>
        </w:rPr>
        <w:t>矿山地质环境问题预测图</w:t>
      </w:r>
    </w:p>
    <w:p w14:paraId="1A8BBCAE">
      <w:pPr>
        <w:keepNext w:val="0"/>
        <w:keepLines w:val="0"/>
        <w:pageBreakBefore w:val="0"/>
        <w:widowControl/>
        <w:kinsoku/>
        <w:wordWrap/>
        <w:overflowPunct/>
        <w:topLinePunct w:val="0"/>
        <w:autoSpaceDE/>
        <w:autoSpaceDN/>
        <w:bidi w:val="0"/>
        <w:adjustRightInd/>
        <w:snapToGrid/>
        <w:spacing w:line="440" w:lineRule="exact"/>
        <w:ind w:left="0" w:leftChars="0" w:firstLine="480" w:firstLineChars="200"/>
        <w:textAlignment w:val="auto"/>
        <w:rPr>
          <w:rFonts w:hint="default" w:ascii="Times New Roman" w:hAnsi="Times New Roman" w:cs="Times New Roman"/>
          <w:b w:val="0"/>
          <w:bCs/>
          <w:color w:val="auto"/>
          <w:sz w:val="24"/>
          <w:szCs w:val="24"/>
          <w:highlight w:val="none"/>
        </w:rPr>
      </w:pPr>
      <w:r>
        <w:rPr>
          <w:rFonts w:hint="default" w:ascii="Times New Roman" w:hAnsi="Times New Roman" w:cs="Times New Roman"/>
          <w:b w:val="0"/>
          <w:bCs/>
          <w:color w:val="auto"/>
          <w:sz w:val="24"/>
          <w:szCs w:val="24"/>
          <w:highlight w:val="none"/>
        </w:rPr>
        <w:t>（四）</w:t>
      </w:r>
      <w:r>
        <w:rPr>
          <w:rFonts w:hint="eastAsia" w:cs="Times New Roman"/>
          <w:b w:val="0"/>
          <w:bCs/>
          <w:color w:val="auto"/>
          <w:sz w:val="24"/>
          <w:szCs w:val="24"/>
          <w:highlight w:val="none"/>
          <w:lang w:eastAsia="zh-CN"/>
        </w:rPr>
        <w:t>吉林市晟拓工贸有限公司北大湖采石场</w:t>
      </w:r>
      <w:r>
        <w:rPr>
          <w:rFonts w:hint="default" w:ascii="Times New Roman" w:hAnsi="Times New Roman" w:cs="Times New Roman"/>
          <w:b w:val="0"/>
          <w:bCs/>
          <w:color w:val="auto"/>
          <w:sz w:val="24"/>
          <w:szCs w:val="24"/>
          <w:highlight w:val="none"/>
          <w:lang w:val="en-US" w:eastAsia="zh-CN"/>
        </w:rPr>
        <w:t>矿区</w:t>
      </w:r>
      <w:r>
        <w:rPr>
          <w:rFonts w:hint="default" w:ascii="Times New Roman" w:hAnsi="Times New Roman" w:cs="Times New Roman"/>
          <w:b w:val="0"/>
          <w:bCs/>
          <w:color w:val="auto"/>
          <w:sz w:val="24"/>
          <w:szCs w:val="24"/>
          <w:highlight w:val="none"/>
        </w:rPr>
        <w:t>土地损毁预测图</w:t>
      </w:r>
    </w:p>
    <w:p w14:paraId="1D6FACD2">
      <w:pPr>
        <w:keepNext w:val="0"/>
        <w:keepLines w:val="0"/>
        <w:pageBreakBefore w:val="0"/>
        <w:widowControl/>
        <w:kinsoku/>
        <w:wordWrap/>
        <w:overflowPunct/>
        <w:topLinePunct w:val="0"/>
        <w:autoSpaceDE/>
        <w:autoSpaceDN/>
        <w:bidi w:val="0"/>
        <w:adjustRightInd/>
        <w:snapToGrid/>
        <w:spacing w:line="440" w:lineRule="exact"/>
        <w:ind w:left="0" w:leftChars="0" w:firstLine="480" w:firstLineChars="200"/>
        <w:textAlignment w:val="auto"/>
        <w:rPr>
          <w:rFonts w:hint="default" w:ascii="Times New Roman" w:hAnsi="Times New Roman" w:cs="Times New Roman"/>
          <w:b w:val="0"/>
          <w:bCs/>
          <w:color w:val="auto"/>
          <w:sz w:val="24"/>
          <w:szCs w:val="24"/>
          <w:highlight w:val="none"/>
        </w:rPr>
      </w:pPr>
      <w:r>
        <w:rPr>
          <w:rFonts w:hint="default" w:ascii="Times New Roman" w:hAnsi="Times New Roman" w:cs="Times New Roman"/>
          <w:b w:val="0"/>
          <w:bCs/>
          <w:color w:val="auto"/>
          <w:sz w:val="24"/>
          <w:szCs w:val="24"/>
          <w:highlight w:val="none"/>
        </w:rPr>
        <w:t>（五）</w:t>
      </w:r>
      <w:r>
        <w:rPr>
          <w:rFonts w:hint="eastAsia" w:cs="Times New Roman"/>
          <w:b w:val="0"/>
          <w:bCs/>
          <w:color w:val="auto"/>
          <w:sz w:val="24"/>
          <w:szCs w:val="24"/>
          <w:highlight w:val="none"/>
          <w:lang w:eastAsia="zh-CN"/>
        </w:rPr>
        <w:t>吉林市晟拓工贸有限公司北大湖采石场</w:t>
      </w:r>
      <w:r>
        <w:rPr>
          <w:rFonts w:hint="default" w:ascii="Times New Roman" w:hAnsi="Times New Roman" w:cs="Times New Roman"/>
          <w:b w:val="0"/>
          <w:bCs/>
          <w:color w:val="auto"/>
          <w:sz w:val="24"/>
          <w:szCs w:val="24"/>
          <w:highlight w:val="none"/>
          <w:lang w:val="en-US" w:eastAsia="zh-CN"/>
        </w:rPr>
        <w:t>矿区</w:t>
      </w:r>
      <w:r>
        <w:rPr>
          <w:rFonts w:hint="default" w:ascii="Times New Roman" w:hAnsi="Times New Roman" w:cs="Times New Roman"/>
          <w:b w:val="0"/>
          <w:bCs/>
          <w:color w:val="auto"/>
          <w:sz w:val="24"/>
          <w:szCs w:val="24"/>
          <w:highlight w:val="none"/>
        </w:rPr>
        <w:t>土地复垦规划图</w:t>
      </w:r>
    </w:p>
    <w:p w14:paraId="2B567FA8">
      <w:pPr>
        <w:keepNext w:val="0"/>
        <w:keepLines w:val="0"/>
        <w:pageBreakBefore w:val="0"/>
        <w:widowControl/>
        <w:kinsoku/>
        <w:wordWrap/>
        <w:overflowPunct/>
        <w:topLinePunct w:val="0"/>
        <w:autoSpaceDE/>
        <w:autoSpaceDN/>
        <w:bidi w:val="0"/>
        <w:adjustRightInd/>
        <w:snapToGrid/>
        <w:spacing w:line="440" w:lineRule="exact"/>
        <w:ind w:left="0" w:leftChars="0" w:firstLine="436" w:firstLineChars="200"/>
        <w:textAlignment w:val="auto"/>
        <w:rPr>
          <w:rFonts w:hint="default" w:ascii="Times New Roman" w:hAnsi="Times New Roman" w:cs="Times New Roman"/>
          <w:b w:val="0"/>
          <w:bCs/>
          <w:color w:val="auto"/>
          <w:spacing w:val="-11"/>
          <w:sz w:val="24"/>
          <w:szCs w:val="24"/>
          <w:highlight w:val="none"/>
        </w:rPr>
      </w:pPr>
      <w:r>
        <w:rPr>
          <w:rFonts w:hint="default" w:ascii="Times New Roman" w:hAnsi="Times New Roman" w:cs="Times New Roman"/>
          <w:b w:val="0"/>
          <w:bCs/>
          <w:color w:val="auto"/>
          <w:spacing w:val="-11"/>
          <w:sz w:val="24"/>
          <w:szCs w:val="24"/>
          <w:highlight w:val="none"/>
        </w:rPr>
        <w:t>（六）</w:t>
      </w:r>
      <w:r>
        <w:rPr>
          <w:rFonts w:hint="eastAsia" w:cs="Times New Roman"/>
          <w:b w:val="0"/>
          <w:bCs/>
          <w:color w:val="auto"/>
          <w:spacing w:val="-11"/>
          <w:sz w:val="24"/>
          <w:szCs w:val="24"/>
          <w:highlight w:val="none"/>
          <w:lang w:eastAsia="zh-CN"/>
        </w:rPr>
        <w:t>吉林市晟拓工贸有限公司北大湖采石场</w:t>
      </w:r>
      <w:r>
        <w:rPr>
          <w:rFonts w:hint="default" w:ascii="Times New Roman" w:hAnsi="Times New Roman" w:cs="Times New Roman"/>
          <w:b w:val="0"/>
          <w:bCs/>
          <w:color w:val="auto"/>
          <w:spacing w:val="-11"/>
          <w:sz w:val="24"/>
          <w:szCs w:val="24"/>
          <w:highlight w:val="none"/>
        </w:rPr>
        <w:t>矿山地质环境治理工程布置图</w:t>
      </w:r>
    </w:p>
    <w:p w14:paraId="7A35CA34">
      <w:pPr>
        <w:keepNext w:val="0"/>
        <w:keepLines w:val="0"/>
        <w:pageBreakBefore w:val="0"/>
        <w:widowControl/>
        <w:kinsoku/>
        <w:wordWrap/>
        <w:overflowPunct/>
        <w:topLinePunct w:val="0"/>
        <w:autoSpaceDE/>
        <w:autoSpaceDN/>
        <w:bidi w:val="0"/>
        <w:adjustRightInd/>
        <w:snapToGrid/>
        <w:spacing w:line="440" w:lineRule="exact"/>
        <w:ind w:left="0" w:leftChars="0" w:firstLine="436" w:firstLineChars="200"/>
        <w:textAlignment w:val="auto"/>
        <w:rPr>
          <w:rFonts w:hint="default" w:ascii="Times New Roman" w:hAnsi="Times New Roman" w:cs="Times New Roman"/>
          <w:b w:val="0"/>
          <w:bCs/>
          <w:color w:val="auto"/>
          <w:spacing w:val="-11"/>
          <w:sz w:val="24"/>
          <w:szCs w:val="24"/>
          <w:highlight w:val="none"/>
        </w:rPr>
      </w:pPr>
      <w:r>
        <w:rPr>
          <w:rFonts w:hint="default" w:ascii="Times New Roman" w:hAnsi="Times New Roman" w:cs="Times New Roman"/>
          <w:b w:val="0"/>
          <w:bCs/>
          <w:color w:val="auto"/>
          <w:spacing w:val="-11"/>
          <w:sz w:val="24"/>
          <w:szCs w:val="24"/>
          <w:highlight w:val="none"/>
        </w:rPr>
        <w:t>（七）</w:t>
      </w:r>
      <w:r>
        <w:rPr>
          <w:rFonts w:hint="eastAsia" w:cs="Times New Roman"/>
          <w:b w:val="0"/>
          <w:bCs/>
          <w:color w:val="auto"/>
          <w:spacing w:val="-11"/>
          <w:sz w:val="24"/>
          <w:szCs w:val="24"/>
          <w:highlight w:val="none"/>
          <w:lang w:eastAsia="zh-CN"/>
        </w:rPr>
        <w:t>吉林市晟拓工贸有限公司北大湖采石场</w:t>
      </w:r>
      <w:r>
        <w:rPr>
          <w:rFonts w:hint="eastAsia" w:ascii="Times New Roman" w:hAnsi="Times New Roman" w:cs="Times New Roman"/>
          <w:b w:val="0"/>
          <w:bCs/>
          <w:color w:val="auto"/>
          <w:spacing w:val="-11"/>
          <w:sz w:val="24"/>
          <w:szCs w:val="24"/>
          <w:highlight w:val="none"/>
          <w:lang w:val="en-US" w:eastAsia="zh-CN"/>
        </w:rPr>
        <w:t>矿山地质环境调查</w:t>
      </w:r>
      <w:r>
        <w:rPr>
          <w:rFonts w:hint="default" w:ascii="Times New Roman" w:hAnsi="Times New Roman" w:cs="Times New Roman"/>
          <w:b w:val="0"/>
          <w:bCs/>
          <w:color w:val="auto"/>
          <w:spacing w:val="-11"/>
          <w:sz w:val="24"/>
          <w:szCs w:val="24"/>
          <w:highlight w:val="none"/>
        </w:rPr>
        <w:t>实际材料图</w:t>
      </w:r>
      <w:bookmarkStart w:id="6" w:name="_Hlk18394911"/>
    </w:p>
    <w:p w14:paraId="13A4C9FD">
      <w:pPr>
        <w:pStyle w:val="14"/>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default" w:eastAsia="宋体"/>
          <w:color w:val="auto"/>
          <w:highlight w:val="none"/>
          <w:lang w:val="en-US" w:eastAsia="zh-CN"/>
        </w:rPr>
      </w:pPr>
      <w:r>
        <w:rPr>
          <w:rFonts w:hint="eastAsia" w:ascii="Times New Roman" w:hAnsi="Times New Roman" w:cs="Times New Roman"/>
          <w:b w:val="0"/>
          <w:bCs/>
          <w:color w:val="auto"/>
          <w:sz w:val="24"/>
          <w:szCs w:val="24"/>
          <w:highlight w:val="none"/>
          <w:lang w:eastAsia="zh-CN"/>
        </w:rPr>
        <w:t>（</w:t>
      </w:r>
      <w:r>
        <w:rPr>
          <w:rFonts w:hint="eastAsia" w:ascii="Times New Roman" w:hAnsi="Times New Roman" w:cs="Times New Roman"/>
          <w:b w:val="0"/>
          <w:bCs/>
          <w:color w:val="auto"/>
          <w:sz w:val="24"/>
          <w:szCs w:val="24"/>
          <w:highlight w:val="none"/>
          <w:lang w:val="en-US" w:eastAsia="zh-CN"/>
        </w:rPr>
        <w:t>八</w:t>
      </w:r>
      <w:r>
        <w:rPr>
          <w:rFonts w:hint="eastAsia" w:ascii="Times New Roman" w:hAnsi="Times New Roman" w:cs="Times New Roman"/>
          <w:b w:val="0"/>
          <w:bCs/>
          <w:color w:val="auto"/>
          <w:sz w:val="24"/>
          <w:szCs w:val="24"/>
          <w:highlight w:val="none"/>
          <w:lang w:eastAsia="zh-CN"/>
        </w:rPr>
        <w:t>）</w:t>
      </w:r>
      <w:r>
        <w:rPr>
          <w:rFonts w:hint="eastAsia" w:cs="Times New Roman"/>
          <w:b w:val="0"/>
          <w:bCs/>
          <w:color w:val="auto"/>
          <w:sz w:val="24"/>
          <w:szCs w:val="24"/>
          <w:highlight w:val="none"/>
          <w:lang w:eastAsia="zh-CN"/>
        </w:rPr>
        <w:t>吉林市晟拓工贸有限公司北大湖采石场</w:t>
      </w:r>
      <w:r>
        <w:rPr>
          <w:rFonts w:hint="eastAsia" w:cs="Times New Roman"/>
          <w:b w:val="0"/>
          <w:bCs/>
          <w:color w:val="auto"/>
          <w:sz w:val="24"/>
          <w:szCs w:val="24"/>
          <w:highlight w:val="none"/>
          <w:lang w:val="en-US" w:eastAsia="zh-CN"/>
        </w:rPr>
        <w:t>开采终了治理复垦剖面图</w:t>
      </w:r>
    </w:p>
    <w:p w14:paraId="185AB528">
      <w:pPr>
        <w:keepNext w:val="0"/>
        <w:keepLines w:val="0"/>
        <w:pageBreakBefore w:val="0"/>
        <w:widowControl/>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宋体" w:cs="Times New Roman"/>
          <w:color w:val="auto"/>
          <w:kern w:val="1"/>
          <w:sz w:val="24"/>
          <w:szCs w:val="24"/>
          <w:highlight w:val="none"/>
        </w:rPr>
      </w:pPr>
      <w:r>
        <w:rPr>
          <w:rFonts w:hint="default" w:ascii="Times New Roman" w:hAnsi="Times New Roman" w:eastAsia="宋体" w:cs="Times New Roman"/>
          <w:b/>
          <w:bCs/>
          <w:color w:val="auto"/>
          <w:kern w:val="1"/>
          <w:sz w:val="24"/>
          <w:szCs w:val="24"/>
          <w:highlight w:val="none"/>
        </w:rPr>
        <w:t>二、附表</w:t>
      </w:r>
    </w:p>
    <w:p w14:paraId="6168D45D">
      <w:pPr>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jc w:val="left"/>
        <w:textAlignment w:val="auto"/>
        <w:rPr>
          <w:rFonts w:hint="default" w:ascii="Times New Roman" w:hAnsi="Times New Roman" w:eastAsia="宋体" w:cs="Times New Roman"/>
          <w:color w:val="auto"/>
          <w:kern w:val="1"/>
          <w:sz w:val="24"/>
          <w:szCs w:val="24"/>
          <w:highlight w:val="none"/>
        </w:rPr>
      </w:pPr>
      <w:r>
        <w:rPr>
          <w:rFonts w:hint="default" w:ascii="Times New Roman" w:hAnsi="Times New Roman" w:eastAsia="宋体" w:cs="Times New Roman"/>
          <w:color w:val="auto"/>
          <w:kern w:val="1"/>
          <w:sz w:val="24"/>
          <w:szCs w:val="24"/>
          <w:highlight w:val="none"/>
        </w:rPr>
        <w:t>1、矿山地质环境现状调查表</w:t>
      </w:r>
    </w:p>
    <w:p w14:paraId="6548C6F5">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default" w:ascii="Times New Roman" w:hAnsi="Times New Roman" w:eastAsia="宋体" w:cs="Times New Roman"/>
          <w:b/>
          <w:bCs/>
          <w:color w:val="auto"/>
          <w:kern w:val="1"/>
          <w:sz w:val="24"/>
          <w:szCs w:val="24"/>
          <w:highlight w:val="none"/>
        </w:rPr>
      </w:pPr>
      <w:r>
        <w:rPr>
          <w:rFonts w:hint="default" w:ascii="Times New Roman" w:hAnsi="Times New Roman" w:eastAsia="宋体" w:cs="Times New Roman"/>
          <w:b/>
          <w:bCs/>
          <w:color w:val="auto"/>
          <w:kern w:val="1"/>
          <w:sz w:val="24"/>
          <w:szCs w:val="24"/>
          <w:highlight w:val="none"/>
        </w:rPr>
        <w:t>三、附件</w:t>
      </w:r>
    </w:p>
    <w:p w14:paraId="335CD194">
      <w:pPr>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jc w:val="left"/>
        <w:textAlignment w:val="auto"/>
        <w:rPr>
          <w:rFonts w:hint="default" w:ascii="Times New Roman" w:hAnsi="Times New Roman" w:eastAsia="宋体" w:cs="Times New Roman"/>
          <w:color w:val="auto"/>
          <w:kern w:val="1"/>
          <w:sz w:val="24"/>
          <w:szCs w:val="24"/>
          <w:highlight w:val="none"/>
          <w:lang w:val="en-US" w:eastAsia="zh-CN"/>
        </w:rPr>
      </w:pPr>
      <w:r>
        <w:rPr>
          <w:rFonts w:hint="default" w:ascii="Times New Roman" w:hAnsi="Times New Roman" w:eastAsia="宋体" w:cs="Times New Roman"/>
          <w:color w:val="auto"/>
          <w:kern w:val="1"/>
          <w:sz w:val="24"/>
          <w:szCs w:val="24"/>
          <w:highlight w:val="none"/>
          <w:lang w:val="en-US" w:eastAsia="zh-CN"/>
        </w:rPr>
        <w:t>1、公众参与意见表</w:t>
      </w:r>
    </w:p>
    <w:p w14:paraId="0C8425AD">
      <w:pPr>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jc w:val="left"/>
        <w:textAlignment w:val="auto"/>
        <w:rPr>
          <w:rFonts w:hint="default" w:ascii="Times New Roman" w:hAnsi="Times New Roman" w:eastAsia="宋体" w:cs="Times New Roman"/>
          <w:color w:val="auto"/>
          <w:kern w:val="1"/>
          <w:sz w:val="24"/>
          <w:szCs w:val="24"/>
          <w:highlight w:val="none"/>
          <w:lang w:val="en-US" w:eastAsia="zh-CN"/>
        </w:rPr>
      </w:pPr>
      <w:r>
        <w:rPr>
          <w:rFonts w:hint="default" w:ascii="Times New Roman" w:hAnsi="Times New Roman" w:eastAsia="宋体" w:cs="Times New Roman"/>
          <w:color w:val="auto"/>
          <w:kern w:val="1"/>
          <w:sz w:val="24"/>
          <w:szCs w:val="24"/>
          <w:highlight w:val="none"/>
          <w:lang w:val="en-US" w:eastAsia="zh-CN"/>
        </w:rPr>
        <w:t>2、方案编制委托书</w:t>
      </w:r>
    </w:p>
    <w:p w14:paraId="5AD8F25A">
      <w:pPr>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jc w:val="left"/>
        <w:textAlignment w:val="auto"/>
        <w:rPr>
          <w:rFonts w:hint="default" w:ascii="Times New Roman" w:hAnsi="Times New Roman" w:eastAsia="宋体" w:cs="Times New Roman"/>
          <w:color w:val="auto"/>
          <w:kern w:val="1"/>
          <w:sz w:val="24"/>
          <w:szCs w:val="24"/>
          <w:highlight w:val="none"/>
          <w:lang w:val="en-US" w:eastAsia="zh-CN"/>
        </w:rPr>
      </w:pPr>
      <w:r>
        <w:rPr>
          <w:rFonts w:hint="default" w:ascii="Times New Roman" w:hAnsi="Times New Roman" w:eastAsia="宋体" w:cs="Times New Roman"/>
          <w:color w:val="auto"/>
          <w:kern w:val="1"/>
          <w:sz w:val="24"/>
          <w:szCs w:val="24"/>
          <w:highlight w:val="none"/>
          <w:lang w:val="en-US" w:eastAsia="zh-CN"/>
        </w:rPr>
        <w:t>3、采矿许可证</w:t>
      </w:r>
    </w:p>
    <w:p w14:paraId="0CD1793B">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b/>
          <w:bCs/>
          <w:color w:val="auto"/>
          <w:kern w:val="1"/>
          <w:sz w:val="24"/>
          <w:szCs w:val="24"/>
          <w:highlight w:val="none"/>
          <w:lang w:val="en-US" w:eastAsia="zh-CN"/>
        </w:rPr>
        <w:t>四、其他附件</w:t>
      </w:r>
    </w:p>
    <w:p w14:paraId="6D722B51">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left"/>
        <w:textAlignment w:val="auto"/>
        <w:rPr>
          <w:rFonts w:hint="default" w:ascii="Times New Roman" w:hAnsi="Times New Roman" w:eastAsia="宋体" w:cs="Times New Roman"/>
          <w:color w:val="auto"/>
          <w:kern w:val="1"/>
          <w:sz w:val="24"/>
          <w:szCs w:val="24"/>
          <w:highlight w:val="none"/>
          <w:lang w:eastAsia="zh-CN"/>
        </w:rPr>
      </w:pPr>
      <w:r>
        <w:rPr>
          <w:rFonts w:hint="default" w:ascii="Times New Roman" w:hAnsi="Times New Roman" w:eastAsia="宋体" w:cs="Times New Roman"/>
          <w:color w:val="auto"/>
          <w:kern w:val="1"/>
          <w:sz w:val="24"/>
          <w:szCs w:val="24"/>
          <w:highlight w:val="none"/>
        </w:rPr>
        <w:t>1、</w:t>
      </w:r>
      <w:r>
        <w:rPr>
          <w:rFonts w:hint="default" w:ascii="Times New Roman" w:hAnsi="Times New Roman" w:eastAsia="宋体" w:cs="Times New Roman"/>
          <w:color w:val="auto"/>
          <w:kern w:val="1"/>
          <w:sz w:val="24"/>
          <w:szCs w:val="24"/>
          <w:highlight w:val="none"/>
          <w:lang w:eastAsia="zh-CN"/>
        </w:rPr>
        <w:t>存储矿山地质环境治理恢复基金承诺书</w:t>
      </w:r>
    </w:p>
    <w:p w14:paraId="1509DF7E">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left"/>
        <w:textAlignment w:val="auto"/>
        <w:rPr>
          <w:rFonts w:hint="default" w:ascii="Times New Roman" w:hAnsi="Times New Roman" w:eastAsia="宋体" w:cs="Times New Roman"/>
          <w:color w:val="auto"/>
          <w:kern w:val="1"/>
          <w:sz w:val="24"/>
          <w:szCs w:val="24"/>
          <w:highlight w:val="none"/>
        </w:rPr>
      </w:pPr>
      <w:r>
        <w:rPr>
          <w:rFonts w:hint="default" w:ascii="Times New Roman" w:hAnsi="Times New Roman" w:eastAsia="宋体" w:cs="Times New Roman"/>
          <w:color w:val="auto"/>
          <w:kern w:val="1"/>
          <w:sz w:val="24"/>
          <w:szCs w:val="24"/>
          <w:highlight w:val="none"/>
          <w:lang w:val="en-US" w:eastAsia="zh-CN"/>
        </w:rPr>
        <w:t>2、原始资料真实性承诺</w:t>
      </w:r>
    </w:p>
    <w:p w14:paraId="21C7315B">
      <w:pPr>
        <w:pStyle w:val="14"/>
        <w:keepNext w:val="0"/>
        <w:keepLines w:val="0"/>
        <w:pageBreakBefore w:val="0"/>
        <w:widowControl w:val="0"/>
        <w:kinsoku/>
        <w:wordWrap/>
        <w:overflowPunct/>
        <w:topLinePunct w:val="0"/>
        <w:autoSpaceDE/>
        <w:autoSpaceDN/>
        <w:bidi w:val="0"/>
        <w:adjustRightInd/>
        <w:snapToGrid/>
        <w:spacing w:after="0" w:line="440" w:lineRule="exact"/>
        <w:ind w:right="0" w:rightChars="0" w:firstLine="480" w:firstLineChars="200"/>
        <w:textAlignment w:val="auto"/>
        <w:rPr>
          <w:rFonts w:hint="default" w:ascii="Times New Roman" w:hAnsi="Times New Roman" w:eastAsia="宋体" w:cs="Times New Roman"/>
          <w:color w:val="auto"/>
          <w:kern w:val="1"/>
          <w:sz w:val="24"/>
          <w:szCs w:val="24"/>
          <w:highlight w:val="none"/>
          <w:lang w:val="en-US" w:eastAsia="zh-CN"/>
        </w:rPr>
      </w:pPr>
      <w:r>
        <w:rPr>
          <w:rFonts w:hint="default" w:ascii="Times New Roman" w:hAnsi="Times New Roman" w:eastAsia="宋体" w:cs="Times New Roman"/>
          <w:color w:val="auto"/>
          <w:kern w:val="1"/>
          <w:sz w:val="24"/>
          <w:szCs w:val="24"/>
          <w:highlight w:val="none"/>
          <w:lang w:val="en-US" w:eastAsia="zh-CN"/>
        </w:rPr>
        <w:t>3、采矿权人履行《方案》承诺书</w:t>
      </w:r>
    </w:p>
    <w:p w14:paraId="53B0300A">
      <w:pPr>
        <w:pStyle w:val="14"/>
        <w:keepNext w:val="0"/>
        <w:keepLines w:val="0"/>
        <w:pageBreakBefore w:val="0"/>
        <w:widowControl w:val="0"/>
        <w:kinsoku/>
        <w:wordWrap/>
        <w:overflowPunct/>
        <w:topLinePunct w:val="0"/>
        <w:autoSpaceDE/>
        <w:autoSpaceDN/>
        <w:bidi w:val="0"/>
        <w:adjustRightInd/>
        <w:snapToGrid/>
        <w:spacing w:after="0" w:line="440" w:lineRule="exact"/>
        <w:ind w:right="0" w:rightChars="0" w:firstLine="480" w:firstLineChars="200"/>
        <w:textAlignment w:val="auto"/>
        <w:rPr>
          <w:rFonts w:hint="default" w:ascii="Times New Roman" w:hAnsi="Times New Roman" w:eastAsia="宋体" w:cs="Times New Roman"/>
          <w:color w:val="auto"/>
          <w:kern w:val="1"/>
          <w:sz w:val="24"/>
          <w:szCs w:val="24"/>
          <w:highlight w:val="none"/>
          <w:lang w:val="en-US" w:eastAsia="zh-CN"/>
        </w:rPr>
      </w:pPr>
      <w:r>
        <w:rPr>
          <w:rFonts w:hint="default" w:ascii="Times New Roman" w:hAnsi="Times New Roman" w:eastAsia="宋体" w:cs="Times New Roman"/>
          <w:color w:val="auto"/>
          <w:kern w:val="1"/>
          <w:sz w:val="24"/>
          <w:szCs w:val="24"/>
          <w:highlight w:val="none"/>
          <w:lang w:val="en-US" w:eastAsia="zh-CN"/>
        </w:rPr>
        <w:t>4、采矿权人对《方案》的意见</w:t>
      </w:r>
    </w:p>
    <w:p w14:paraId="73886CAC">
      <w:pPr>
        <w:pStyle w:val="14"/>
        <w:keepNext w:val="0"/>
        <w:keepLines w:val="0"/>
        <w:pageBreakBefore w:val="0"/>
        <w:widowControl w:val="0"/>
        <w:kinsoku/>
        <w:wordWrap/>
        <w:overflowPunct/>
        <w:topLinePunct w:val="0"/>
        <w:autoSpaceDE/>
        <w:autoSpaceDN/>
        <w:bidi w:val="0"/>
        <w:adjustRightInd/>
        <w:snapToGrid/>
        <w:spacing w:after="0" w:line="440" w:lineRule="exact"/>
        <w:ind w:right="0" w:rightChars="0" w:firstLine="48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eastAsia="宋体" w:cs="Times New Roman"/>
          <w:color w:val="auto"/>
          <w:kern w:val="1"/>
          <w:sz w:val="24"/>
          <w:szCs w:val="24"/>
          <w:highlight w:val="none"/>
          <w:lang w:val="en-US" w:eastAsia="zh-CN"/>
        </w:rPr>
        <w:t>5、属地自然资源局对方案的意见</w:t>
      </w:r>
    </w:p>
    <w:p w14:paraId="330EFF52">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left"/>
        <w:textAlignment w:val="auto"/>
        <w:rPr>
          <w:rFonts w:hint="default" w:ascii="Times New Roman" w:hAnsi="Times New Roman" w:eastAsia="宋体" w:cs="Times New Roman"/>
          <w:color w:val="auto"/>
          <w:kern w:val="1"/>
          <w:sz w:val="24"/>
          <w:szCs w:val="24"/>
          <w:highlight w:val="none"/>
        </w:rPr>
      </w:pPr>
      <w:r>
        <w:rPr>
          <w:rFonts w:hint="default" w:ascii="Times New Roman" w:hAnsi="Times New Roman" w:eastAsia="宋体" w:cs="Times New Roman"/>
          <w:color w:val="auto"/>
          <w:kern w:val="1"/>
          <w:sz w:val="24"/>
          <w:szCs w:val="24"/>
          <w:highlight w:val="none"/>
          <w:lang w:val="en-US" w:eastAsia="zh-CN"/>
        </w:rPr>
        <w:t>6</w:t>
      </w:r>
      <w:r>
        <w:rPr>
          <w:rFonts w:hint="default" w:ascii="Times New Roman" w:hAnsi="Times New Roman" w:eastAsia="宋体" w:cs="Times New Roman"/>
          <w:color w:val="auto"/>
          <w:kern w:val="1"/>
          <w:sz w:val="24"/>
          <w:szCs w:val="24"/>
          <w:highlight w:val="none"/>
        </w:rPr>
        <w:t>、土地权属人对方案的意见</w:t>
      </w:r>
    </w:p>
    <w:p w14:paraId="2A673D95">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left"/>
        <w:textAlignment w:val="auto"/>
        <w:rPr>
          <w:rFonts w:hint="default" w:ascii="Times New Roman" w:hAnsi="Times New Roman" w:eastAsia="宋体" w:cs="Times New Roman"/>
          <w:color w:val="auto"/>
          <w:kern w:val="1"/>
          <w:sz w:val="24"/>
          <w:szCs w:val="24"/>
          <w:highlight w:val="none"/>
        </w:rPr>
      </w:pPr>
      <w:r>
        <w:rPr>
          <w:rFonts w:hint="default" w:ascii="Times New Roman" w:hAnsi="Times New Roman" w:eastAsia="宋体" w:cs="Times New Roman"/>
          <w:color w:val="auto"/>
          <w:kern w:val="1"/>
          <w:sz w:val="24"/>
          <w:szCs w:val="24"/>
          <w:highlight w:val="none"/>
          <w:lang w:val="en-US" w:eastAsia="zh-CN"/>
        </w:rPr>
        <w:t>7</w:t>
      </w:r>
      <w:r>
        <w:rPr>
          <w:rFonts w:hint="default" w:ascii="Times New Roman" w:hAnsi="Times New Roman" w:eastAsia="宋体" w:cs="Times New Roman"/>
          <w:color w:val="auto"/>
          <w:kern w:val="1"/>
          <w:sz w:val="24"/>
          <w:szCs w:val="24"/>
          <w:highlight w:val="none"/>
        </w:rPr>
        <w:t>、土地权属证明</w:t>
      </w:r>
    </w:p>
    <w:p w14:paraId="0B454097">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left"/>
        <w:textAlignment w:val="auto"/>
        <w:rPr>
          <w:rFonts w:hint="default" w:ascii="Times New Roman" w:hAnsi="Times New Roman" w:eastAsia="宋体" w:cs="Times New Roman"/>
          <w:color w:val="auto"/>
          <w:kern w:val="1"/>
          <w:sz w:val="24"/>
          <w:szCs w:val="24"/>
          <w:highlight w:val="none"/>
          <w:lang w:val="en-US" w:eastAsia="zh-CN"/>
        </w:rPr>
      </w:pPr>
      <w:r>
        <w:rPr>
          <w:rFonts w:hint="default" w:ascii="Times New Roman" w:hAnsi="Times New Roman" w:eastAsia="宋体" w:cs="Times New Roman"/>
          <w:color w:val="auto"/>
          <w:kern w:val="1"/>
          <w:sz w:val="24"/>
          <w:szCs w:val="24"/>
          <w:highlight w:val="none"/>
          <w:lang w:val="en-US" w:eastAsia="zh-CN"/>
        </w:rPr>
        <w:t>8、开发利用方案审查意见</w:t>
      </w:r>
    </w:p>
    <w:p w14:paraId="06C04144">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left"/>
        <w:textAlignment w:val="auto"/>
        <w:rPr>
          <w:rFonts w:hint="default" w:ascii="Times New Roman" w:hAnsi="Times New Roman" w:eastAsia="宋体" w:cs="Times New Roman"/>
          <w:color w:val="auto"/>
          <w:kern w:val="1"/>
          <w:sz w:val="24"/>
          <w:szCs w:val="24"/>
          <w:highlight w:val="none"/>
          <w:lang w:val="en-US" w:eastAsia="zh-CN"/>
        </w:rPr>
      </w:pPr>
      <w:r>
        <w:rPr>
          <w:rFonts w:hint="eastAsia" w:cs="Times New Roman"/>
          <w:color w:val="auto"/>
          <w:kern w:val="1"/>
          <w:sz w:val="24"/>
          <w:szCs w:val="24"/>
          <w:highlight w:val="none"/>
          <w:lang w:val="en-US" w:eastAsia="zh-CN"/>
        </w:rPr>
        <w:t>9</w:t>
      </w:r>
      <w:r>
        <w:rPr>
          <w:rFonts w:hint="default" w:ascii="Times New Roman" w:hAnsi="Times New Roman" w:eastAsia="宋体" w:cs="Times New Roman"/>
          <w:color w:val="auto"/>
          <w:kern w:val="1"/>
          <w:sz w:val="24"/>
          <w:szCs w:val="24"/>
          <w:highlight w:val="none"/>
          <w:lang w:val="en-US" w:eastAsia="zh-CN"/>
        </w:rPr>
        <w:t>、上期矿山地质环境保护与土地复垦方案意见</w:t>
      </w:r>
      <w:bookmarkStart w:id="369" w:name="_GoBack"/>
      <w:bookmarkEnd w:id="369"/>
    </w:p>
    <w:p w14:paraId="2BD78360">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left"/>
        <w:textAlignment w:val="auto"/>
        <w:rPr>
          <w:rFonts w:hint="default" w:ascii="Times New Roman" w:hAnsi="Times New Roman" w:eastAsia="宋体" w:cs="Times New Roman"/>
          <w:color w:val="auto"/>
          <w:kern w:val="1"/>
          <w:sz w:val="24"/>
          <w:szCs w:val="24"/>
          <w:highlight w:val="none"/>
          <w:lang w:val="en-US" w:eastAsia="zh-CN"/>
        </w:rPr>
      </w:pPr>
      <w:r>
        <w:rPr>
          <w:rFonts w:hint="default" w:ascii="Times New Roman" w:hAnsi="Times New Roman" w:eastAsia="宋体" w:cs="Times New Roman"/>
          <w:color w:val="auto"/>
          <w:kern w:val="1"/>
          <w:sz w:val="24"/>
          <w:szCs w:val="24"/>
          <w:highlight w:val="none"/>
          <w:lang w:val="en-US" w:eastAsia="zh-CN"/>
        </w:rPr>
        <w:t>1</w:t>
      </w:r>
      <w:r>
        <w:rPr>
          <w:rFonts w:hint="eastAsia" w:cs="Times New Roman"/>
          <w:color w:val="auto"/>
          <w:kern w:val="1"/>
          <w:sz w:val="24"/>
          <w:szCs w:val="24"/>
          <w:highlight w:val="none"/>
          <w:lang w:val="en-US" w:eastAsia="zh-CN"/>
        </w:rPr>
        <w:t>0</w:t>
      </w:r>
      <w:r>
        <w:rPr>
          <w:rFonts w:hint="default" w:ascii="Times New Roman" w:hAnsi="Times New Roman" w:eastAsia="宋体" w:cs="Times New Roman"/>
          <w:color w:val="auto"/>
          <w:kern w:val="1"/>
          <w:sz w:val="24"/>
          <w:szCs w:val="24"/>
          <w:highlight w:val="none"/>
          <w:lang w:val="en-US" w:eastAsia="zh-CN"/>
        </w:rPr>
        <w:t>、</w:t>
      </w:r>
      <w:r>
        <w:rPr>
          <w:rFonts w:hint="eastAsia" w:cs="Times New Roman"/>
          <w:color w:val="auto"/>
          <w:kern w:val="1"/>
          <w:sz w:val="24"/>
          <w:szCs w:val="24"/>
          <w:highlight w:val="none"/>
          <w:lang w:val="en-US" w:eastAsia="zh-CN"/>
        </w:rPr>
        <w:t>储量核实评审意见</w:t>
      </w:r>
    </w:p>
    <w:p w14:paraId="0C26A1D4">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left"/>
        <w:textAlignment w:val="auto"/>
        <w:rPr>
          <w:rFonts w:hint="eastAsia" w:ascii="Times New Roman" w:hAnsi="Times New Roman" w:eastAsia="宋体" w:cs="Times New Roman"/>
          <w:color w:val="auto"/>
          <w:kern w:val="1"/>
          <w:sz w:val="24"/>
          <w:szCs w:val="24"/>
          <w:highlight w:val="none"/>
          <w:lang w:val="en-US" w:eastAsia="zh-CN"/>
        </w:rPr>
      </w:pPr>
      <w:r>
        <w:rPr>
          <w:rFonts w:hint="eastAsia" w:ascii="Times New Roman" w:hAnsi="Times New Roman" w:eastAsia="宋体" w:cs="Times New Roman"/>
          <w:color w:val="auto"/>
          <w:kern w:val="1"/>
          <w:sz w:val="24"/>
          <w:szCs w:val="24"/>
          <w:highlight w:val="none"/>
          <w:lang w:val="en-US" w:eastAsia="zh-CN"/>
        </w:rPr>
        <w:t>1</w:t>
      </w:r>
      <w:r>
        <w:rPr>
          <w:rFonts w:hint="eastAsia" w:cs="Times New Roman"/>
          <w:color w:val="auto"/>
          <w:kern w:val="1"/>
          <w:sz w:val="24"/>
          <w:szCs w:val="24"/>
          <w:highlight w:val="none"/>
          <w:lang w:val="en-US" w:eastAsia="zh-CN"/>
        </w:rPr>
        <w:t>1</w:t>
      </w:r>
      <w:r>
        <w:rPr>
          <w:rFonts w:hint="eastAsia" w:ascii="Times New Roman" w:hAnsi="Times New Roman" w:eastAsia="宋体" w:cs="Times New Roman"/>
          <w:color w:val="auto"/>
          <w:kern w:val="1"/>
          <w:sz w:val="24"/>
          <w:szCs w:val="24"/>
          <w:highlight w:val="none"/>
          <w:lang w:val="en-US" w:eastAsia="zh-CN"/>
        </w:rPr>
        <w:t>、法院执行裁定书</w:t>
      </w:r>
    </w:p>
    <w:p w14:paraId="039D2120">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left"/>
        <w:textAlignment w:val="auto"/>
        <w:rPr>
          <w:rFonts w:hint="default" w:ascii="Times New Roman" w:hAnsi="Times New Roman" w:eastAsia="宋体" w:cs="Times New Roman"/>
          <w:color w:val="auto"/>
          <w:kern w:val="1"/>
          <w:sz w:val="24"/>
          <w:szCs w:val="24"/>
          <w:highlight w:val="none"/>
          <w:lang w:val="en-US" w:eastAsia="zh-CN"/>
        </w:rPr>
      </w:pPr>
      <w:r>
        <w:rPr>
          <w:rFonts w:hint="default" w:ascii="Times New Roman" w:hAnsi="Times New Roman" w:eastAsia="宋体" w:cs="Times New Roman"/>
          <w:color w:val="auto"/>
          <w:kern w:val="1"/>
          <w:sz w:val="24"/>
          <w:szCs w:val="24"/>
          <w:highlight w:val="none"/>
          <w:lang w:val="en-US" w:eastAsia="zh-CN"/>
        </w:rPr>
        <w:t>1</w:t>
      </w:r>
      <w:r>
        <w:rPr>
          <w:rFonts w:hint="eastAsia" w:cs="Times New Roman"/>
          <w:color w:val="auto"/>
          <w:kern w:val="1"/>
          <w:sz w:val="24"/>
          <w:szCs w:val="24"/>
          <w:highlight w:val="none"/>
          <w:lang w:val="en-US" w:eastAsia="zh-CN"/>
        </w:rPr>
        <w:t>2、</w:t>
      </w:r>
      <w:r>
        <w:rPr>
          <w:rFonts w:hint="default" w:ascii="Times New Roman" w:hAnsi="Times New Roman" w:eastAsia="宋体" w:cs="Times New Roman"/>
          <w:color w:val="auto"/>
          <w:kern w:val="1"/>
          <w:sz w:val="24"/>
          <w:szCs w:val="24"/>
          <w:highlight w:val="none"/>
          <w:lang w:val="en-US" w:eastAsia="zh-CN"/>
        </w:rPr>
        <w:t>采矿权评估报告书</w:t>
      </w:r>
    </w:p>
    <w:p w14:paraId="56B7DCA2">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left"/>
        <w:textAlignment w:val="auto"/>
        <w:rPr>
          <w:rFonts w:hint="default" w:ascii="Times New Roman" w:hAnsi="Times New Roman" w:eastAsia="宋体" w:cs="Times New Roman"/>
          <w:color w:val="auto"/>
          <w:kern w:val="1"/>
          <w:sz w:val="24"/>
          <w:szCs w:val="24"/>
          <w:highlight w:val="none"/>
          <w:lang w:val="en-US" w:eastAsia="zh-CN"/>
        </w:rPr>
        <w:sectPr>
          <w:footerReference r:id="rId9" w:type="default"/>
          <w:pgSz w:w="11906" w:h="16838"/>
          <w:pgMar w:top="1260" w:right="1800" w:bottom="1360" w:left="1800" w:header="851" w:footer="992" w:gutter="0"/>
          <w:pgBorders w:offsetFrom="page">
            <w:top w:val="none" w:sz="0" w:space="0"/>
            <w:left w:val="none" w:sz="0" w:space="0"/>
            <w:bottom w:val="none" w:sz="0" w:space="0"/>
            <w:right w:val="none" w:sz="0" w:space="0"/>
          </w:pgBorders>
          <w:pgNumType w:start="1"/>
          <w:cols w:space="720" w:num="1"/>
          <w:docGrid w:type="lines" w:linePitch="312" w:charSpace="0"/>
        </w:sectPr>
      </w:pPr>
    </w:p>
    <w:bookmarkEnd w:id="6"/>
    <w:p w14:paraId="456EC0A5">
      <w:pPr>
        <w:pStyle w:val="3"/>
        <w:jc w:val="center"/>
        <w:rPr>
          <w:rFonts w:hint="default" w:ascii="Times New Roman" w:hAnsi="Times New Roman" w:eastAsia="黑体" w:cs="Times New Roman"/>
          <w:b w:val="0"/>
          <w:color w:val="auto"/>
          <w:sz w:val="32"/>
          <w:szCs w:val="32"/>
          <w:highlight w:val="none"/>
        </w:rPr>
      </w:pPr>
      <w:bookmarkStart w:id="7" w:name="_Toc19556"/>
      <w:r>
        <w:rPr>
          <w:rFonts w:hint="default" w:ascii="Times New Roman" w:hAnsi="Times New Roman" w:eastAsia="黑体" w:cs="Times New Roman"/>
          <w:b w:val="0"/>
          <w:color w:val="auto"/>
          <w:sz w:val="32"/>
          <w:szCs w:val="32"/>
          <w:highlight w:val="none"/>
        </w:rPr>
        <w:t>前  言</w:t>
      </w:r>
      <w:bookmarkEnd w:id="0"/>
      <w:bookmarkEnd w:id="1"/>
      <w:bookmarkEnd w:id="2"/>
      <w:bookmarkEnd w:id="3"/>
      <w:bookmarkEnd w:id="4"/>
      <w:bookmarkEnd w:id="5"/>
      <w:bookmarkEnd w:id="7"/>
    </w:p>
    <w:p w14:paraId="335DE8DC">
      <w:pPr>
        <w:pStyle w:val="4"/>
        <w:ind w:firstLine="0" w:firstLineChars="0"/>
        <w:rPr>
          <w:rFonts w:hint="default" w:ascii="Times New Roman" w:hAnsi="Times New Roman" w:eastAsia="黑体" w:cs="Times New Roman"/>
          <w:b w:val="0"/>
          <w:color w:val="auto"/>
          <w:sz w:val="30"/>
          <w:szCs w:val="30"/>
          <w:highlight w:val="none"/>
        </w:rPr>
      </w:pPr>
      <w:bookmarkStart w:id="8" w:name="_Toc288849790"/>
      <w:bookmarkStart w:id="9" w:name="_Toc380584791"/>
      <w:bookmarkStart w:id="10" w:name="_Toc288775769"/>
      <w:bookmarkStart w:id="11" w:name="_Toc283135688"/>
      <w:bookmarkStart w:id="12" w:name="_Toc24790"/>
      <w:bookmarkStart w:id="13" w:name="_Toc454439586"/>
      <w:bookmarkStart w:id="14" w:name="_Toc487105242"/>
      <w:bookmarkStart w:id="15" w:name="_Toc270766122"/>
      <w:bookmarkStart w:id="16" w:name="_Toc270767049"/>
      <w:bookmarkStart w:id="17" w:name="_Toc256151417"/>
      <w:r>
        <w:rPr>
          <w:rFonts w:hint="default" w:ascii="Times New Roman" w:hAnsi="Times New Roman" w:eastAsia="黑体" w:cs="Times New Roman"/>
          <w:b w:val="0"/>
          <w:color w:val="auto"/>
          <w:sz w:val="30"/>
          <w:szCs w:val="30"/>
          <w:highlight w:val="none"/>
        </w:rPr>
        <w:t>一、任务的由来</w:t>
      </w:r>
      <w:bookmarkEnd w:id="8"/>
      <w:bookmarkEnd w:id="9"/>
      <w:bookmarkEnd w:id="10"/>
      <w:bookmarkEnd w:id="11"/>
      <w:bookmarkEnd w:id="12"/>
      <w:bookmarkEnd w:id="13"/>
      <w:bookmarkEnd w:id="14"/>
    </w:p>
    <w:p w14:paraId="1A3CBE22">
      <w:pPr>
        <w:pStyle w:val="14"/>
        <w:spacing w:line="360" w:lineRule="auto"/>
        <w:ind w:firstLine="480" w:firstLineChars="200"/>
        <w:rPr>
          <w:rFonts w:hint="eastAsia" w:cs="Times New Roman"/>
          <w:color w:val="auto"/>
          <w:sz w:val="24"/>
          <w:szCs w:val="24"/>
          <w:highlight w:val="none"/>
          <w:lang w:val="en-US" w:eastAsia="zh-CN"/>
        </w:rPr>
      </w:pPr>
      <w:bookmarkStart w:id="18" w:name="_Toc487105243"/>
      <w:r>
        <w:rPr>
          <w:rFonts w:hint="eastAsia" w:cs="Times New Roman"/>
          <w:color w:val="auto"/>
          <w:sz w:val="24"/>
          <w:szCs w:val="24"/>
          <w:highlight w:val="none"/>
          <w:lang w:eastAsia="zh-CN"/>
        </w:rPr>
        <w:t>吉林市晟拓工贸有限公司北大湖采石场</w:t>
      </w:r>
      <w:r>
        <w:rPr>
          <w:rFonts w:hint="default" w:ascii="Times New Roman" w:hAnsi="Times New Roman" w:cs="Times New Roman"/>
          <w:color w:val="auto"/>
          <w:sz w:val="24"/>
          <w:szCs w:val="24"/>
          <w:highlight w:val="none"/>
        </w:rPr>
        <w:t>（以下简称</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北大湖采石场</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目前</w:t>
      </w:r>
      <w:r>
        <w:rPr>
          <w:rFonts w:hint="default" w:ascii="Times New Roman" w:hAnsi="Times New Roman" w:cs="Times New Roman"/>
          <w:color w:val="auto"/>
          <w:sz w:val="24"/>
          <w:szCs w:val="24"/>
          <w:highlight w:val="none"/>
        </w:rPr>
        <w:t>隶属于</w:t>
      </w:r>
      <w:r>
        <w:rPr>
          <w:rFonts w:hint="eastAsia" w:cs="Times New Roman"/>
          <w:color w:val="auto"/>
          <w:sz w:val="24"/>
          <w:szCs w:val="24"/>
          <w:highlight w:val="none"/>
          <w:lang w:eastAsia="zh-CN"/>
        </w:rPr>
        <w:t>吉林市晟拓工贸有限公司。</w:t>
      </w:r>
      <w:r>
        <w:rPr>
          <w:rFonts w:hint="eastAsia" w:cs="Times New Roman"/>
          <w:color w:val="auto"/>
          <w:sz w:val="24"/>
          <w:szCs w:val="24"/>
          <w:highlight w:val="none"/>
          <w:lang w:val="en-US" w:eastAsia="zh-CN"/>
        </w:rPr>
        <w:t>该矿山原采矿权人为吉林市衡永源工贸有限公司，已被列为被执行人，该采矿权已由永吉县自然资源局予以查封，自2023年2月27日至2025年3月27日。根据吉林市昌邑区人民法院的执行裁定书（附件11），将采矿权人变更为吉林市晟拓工贸有限公司。</w:t>
      </w:r>
    </w:p>
    <w:p w14:paraId="11271956">
      <w:pPr>
        <w:pStyle w:val="14"/>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根据《国土资源部办公厅关于做好矿山地质环境保护与土地复垦方案编报有关工作的通知》（国土资规〔2016〕21号）等文件要求，</w:t>
      </w:r>
      <w:r>
        <w:rPr>
          <w:rFonts w:hint="eastAsia" w:ascii="Times New Roman" w:hAnsi="Times New Roman" w:cs="Times New Roman"/>
          <w:color w:val="auto"/>
          <w:sz w:val="24"/>
          <w:szCs w:val="24"/>
          <w:highlight w:val="none"/>
          <w:lang w:eastAsia="zh-CN"/>
        </w:rPr>
        <w:t>“在办理采矿权变更时，涉及扩大开采规模、扩大矿区范围、变更开采方式的，应当重新编制或修订矿山地质环境保护与土地复垦方案。</w:t>
      </w:r>
      <w:r>
        <w:rPr>
          <w:rFonts w:hint="default" w:ascii="Times New Roman" w:hAnsi="Times New Roman" w:cs="Times New Roman"/>
          <w:color w:val="auto"/>
          <w:sz w:val="24"/>
          <w:szCs w:val="24"/>
          <w:highlight w:val="none"/>
        </w:rPr>
        <w:t>在办理采矿权延续时，矿山地质环境保护与土地复垦方案超过适用期或方案剩余服务期少于采矿权延续时间的，应当重新编制或修编</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eastAsia="zh-CN"/>
        </w:rPr>
        <w:t>吉林市晟拓工贸有限公司北大湖采石场</w:t>
      </w:r>
      <w:r>
        <w:rPr>
          <w:rFonts w:hint="eastAsia" w:cs="Times New Roman"/>
          <w:color w:val="auto"/>
          <w:sz w:val="24"/>
          <w:szCs w:val="24"/>
          <w:highlight w:val="none"/>
          <w:lang w:val="en-US" w:eastAsia="zh-CN"/>
        </w:rPr>
        <w:t>变更了采矿权人名称，且</w:t>
      </w:r>
      <w:r>
        <w:rPr>
          <w:rFonts w:hint="default" w:ascii="Times New Roman" w:hAnsi="Times New Roman" w:cs="Times New Roman"/>
          <w:color w:val="auto"/>
          <w:sz w:val="24"/>
          <w:szCs w:val="24"/>
          <w:highlight w:val="none"/>
        </w:rPr>
        <w:t>原矿山地质环境保护与土地复垦方案</w:t>
      </w:r>
      <w:r>
        <w:rPr>
          <w:rFonts w:hint="default" w:ascii="Times New Roman" w:hAnsi="Times New Roman" w:cs="Times New Roman"/>
          <w:color w:val="auto"/>
          <w:sz w:val="24"/>
          <w:szCs w:val="24"/>
          <w:highlight w:val="none"/>
          <w:lang w:val="en-US" w:eastAsia="zh-CN"/>
        </w:rPr>
        <w:t>剩余服务期少于采矿权延续时间</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因此</w:t>
      </w:r>
      <w:r>
        <w:rPr>
          <w:rFonts w:hint="eastAsia" w:cs="Times New Roman"/>
          <w:color w:val="auto"/>
          <w:sz w:val="24"/>
          <w:szCs w:val="24"/>
          <w:highlight w:val="none"/>
          <w:lang w:eastAsia="zh-CN"/>
        </w:rPr>
        <w:t>吉林市晟拓工贸有限公司北大湖采石场</w:t>
      </w:r>
      <w:r>
        <w:rPr>
          <w:rFonts w:hint="default" w:ascii="Times New Roman" w:hAnsi="Times New Roman" w:cs="Times New Roman"/>
          <w:color w:val="auto"/>
          <w:sz w:val="24"/>
          <w:szCs w:val="24"/>
          <w:highlight w:val="none"/>
          <w:lang w:val="en-US" w:eastAsia="zh-CN"/>
        </w:rPr>
        <w:t>委托吉林市金福源矿业勘查有限公司</w:t>
      </w:r>
      <w:r>
        <w:rPr>
          <w:rFonts w:hint="default" w:ascii="Times New Roman" w:hAnsi="Times New Roman" w:cs="Times New Roman"/>
          <w:color w:val="auto"/>
          <w:sz w:val="24"/>
          <w:szCs w:val="24"/>
          <w:highlight w:val="none"/>
        </w:rPr>
        <w:t>开展《</w:t>
      </w:r>
      <w:r>
        <w:rPr>
          <w:rFonts w:hint="eastAsia" w:cs="Times New Roman"/>
          <w:color w:val="auto"/>
          <w:sz w:val="24"/>
          <w:szCs w:val="24"/>
          <w:highlight w:val="none"/>
          <w:lang w:eastAsia="zh-CN"/>
        </w:rPr>
        <w:t>吉林市晟拓工贸有限公司北大湖采石场</w:t>
      </w:r>
      <w:r>
        <w:rPr>
          <w:rFonts w:hint="default" w:ascii="Times New Roman" w:hAnsi="Times New Roman" w:cs="Times New Roman"/>
          <w:color w:val="auto"/>
          <w:sz w:val="24"/>
          <w:szCs w:val="24"/>
          <w:highlight w:val="none"/>
        </w:rPr>
        <w:t>矿山地质环境保护与土地复垦方案》（以下简称《方案》）的编制工作。</w:t>
      </w:r>
    </w:p>
    <w:p w14:paraId="4804AEF0">
      <w:pPr>
        <w:pStyle w:val="4"/>
        <w:ind w:firstLine="0" w:firstLineChars="0"/>
        <w:rPr>
          <w:rFonts w:hint="default" w:ascii="Times New Roman" w:hAnsi="Times New Roman" w:eastAsia="黑体" w:cs="Times New Roman"/>
          <w:b w:val="0"/>
          <w:color w:val="auto"/>
          <w:sz w:val="30"/>
          <w:szCs w:val="30"/>
          <w:highlight w:val="none"/>
        </w:rPr>
      </w:pPr>
      <w:bookmarkStart w:id="19" w:name="_Toc30236"/>
      <w:r>
        <w:rPr>
          <w:rFonts w:hint="default" w:ascii="Times New Roman" w:hAnsi="Times New Roman" w:eastAsia="黑体" w:cs="Times New Roman"/>
          <w:b w:val="0"/>
          <w:color w:val="auto"/>
          <w:sz w:val="30"/>
          <w:szCs w:val="30"/>
          <w:highlight w:val="none"/>
        </w:rPr>
        <w:t>二、编制目的</w:t>
      </w:r>
      <w:bookmarkEnd w:id="18"/>
      <w:bookmarkEnd w:id="19"/>
    </w:p>
    <w:p w14:paraId="3BD66A92">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编制《方案》的目的是：为</w:t>
      </w:r>
      <w:r>
        <w:rPr>
          <w:rFonts w:hint="eastAsia" w:cs="Times New Roman"/>
          <w:color w:val="auto"/>
          <w:sz w:val="24"/>
          <w:highlight w:val="none"/>
          <w:lang w:eastAsia="zh-CN"/>
        </w:rPr>
        <w:t>北大湖采石场</w:t>
      </w:r>
      <w:r>
        <w:rPr>
          <w:rFonts w:hint="default" w:ascii="Times New Roman" w:hAnsi="Times New Roman" w:cs="Times New Roman"/>
          <w:color w:val="auto"/>
          <w:sz w:val="24"/>
          <w:highlight w:val="none"/>
        </w:rPr>
        <w:t>合理开发利用矿产资源、保护矿山地质环境、保护耕地，减少矿产资源勘查开采活动造成矿山地质环境和土地资源的影响和破坏程度，促进矿产资源合理开发利用和经济社会、资源环境的协调发展提供技术依据，同时为自然资源主管部门对矿山地质环境保护与土地复垦实施情况监管提供了依据。</w:t>
      </w:r>
    </w:p>
    <w:bookmarkEnd w:id="15"/>
    <w:bookmarkEnd w:id="16"/>
    <w:bookmarkEnd w:id="17"/>
    <w:p w14:paraId="109FAF14">
      <w:pPr>
        <w:pStyle w:val="4"/>
        <w:ind w:firstLine="0" w:firstLineChars="0"/>
        <w:rPr>
          <w:rFonts w:hint="default" w:ascii="Times New Roman" w:hAnsi="Times New Roman" w:eastAsia="黑体" w:cs="Times New Roman"/>
          <w:b w:val="0"/>
          <w:color w:val="auto"/>
          <w:sz w:val="30"/>
          <w:szCs w:val="30"/>
          <w:highlight w:val="none"/>
        </w:rPr>
      </w:pPr>
      <w:bookmarkStart w:id="20" w:name="_Toc283135689"/>
      <w:bookmarkStart w:id="21" w:name="_Toc454439587"/>
      <w:bookmarkStart w:id="22" w:name="_Toc487105244"/>
      <w:bookmarkStart w:id="23" w:name="_Toc288849791"/>
      <w:bookmarkStart w:id="24" w:name="_Toc270767050"/>
      <w:bookmarkStart w:id="25" w:name="_Toc380584792"/>
      <w:bookmarkStart w:id="26" w:name="_Toc31272"/>
      <w:bookmarkStart w:id="27" w:name="_Toc256151418"/>
      <w:bookmarkStart w:id="28" w:name="_Toc288775770"/>
      <w:bookmarkStart w:id="29" w:name="_Toc270766123"/>
      <w:bookmarkStart w:id="30" w:name="_Toc288775771"/>
      <w:bookmarkStart w:id="31" w:name="_Toc283135690"/>
      <w:bookmarkStart w:id="32" w:name="_Toc270766124"/>
      <w:bookmarkStart w:id="33" w:name="_Toc270767051"/>
      <w:bookmarkStart w:id="34" w:name="_Toc288849792"/>
      <w:bookmarkStart w:id="35" w:name="_Toc256151419"/>
      <w:r>
        <w:rPr>
          <w:rFonts w:hint="default" w:ascii="Times New Roman" w:hAnsi="Times New Roman" w:eastAsia="黑体" w:cs="Times New Roman"/>
          <w:b w:val="0"/>
          <w:color w:val="auto"/>
          <w:sz w:val="30"/>
          <w:szCs w:val="30"/>
          <w:highlight w:val="none"/>
        </w:rPr>
        <w:t>三、编制依据</w:t>
      </w:r>
      <w:bookmarkEnd w:id="20"/>
      <w:bookmarkEnd w:id="21"/>
      <w:bookmarkEnd w:id="22"/>
      <w:bookmarkEnd w:id="23"/>
      <w:bookmarkEnd w:id="24"/>
      <w:bookmarkEnd w:id="25"/>
      <w:bookmarkEnd w:id="26"/>
      <w:bookmarkEnd w:id="27"/>
      <w:bookmarkEnd w:id="28"/>
      <w:bookmarkEnd w:id="29"/>
    </w:p>
    <w:p w14:paraId="25048923">
      <w:pPr>
        <w:pStyle w:val="5"/>
        <w:rPr>
          <w:rFonts w:hint="default" w:ascii="Times New Roman" w:hAnsi="Times New Roman" w:eastAsia="黑体" w:cs="Times New Roman"/>
          <w:color w:val="auto"/>
          <w:szCs w:val="28"/>
          <w:highlight w:val="none"/>
        </w:rPr>
      </w:pPr>
      <w:bookmarkStart w:id="36" w:name="_Toc487105245"/>
      <w:r>
        <w:rPr>
          <w:rFonts w:hint="default" w:ascii="Times New Roman" w:hAnsi="Times New Roman" w:eastAsia="黑体" w:cs="Times New Roman"/>
          <w:color w:val="auto"/>
          <w:szCs w:val="28"/>
          <w:highlight w:val="none"/>
        </w:rPr>
        <w:t>（一）法律法规</w:t>
      </w:r>
      <w:bookmarkEnd w:id="36"/>
      <w:bookmarkStart w:id="37" w:name="_Toc487105246"/>
    </w:p>
    <w:p w14:paraId="1DD33AC9">
      <w:pPr>
        <w:pStyle w:val="119"/>
        <w:adjustRightInd w:val="0"/>
        <w:spacing w:line="360" w:lineRule="auto"/>
        <w:ind w:firstLine="48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1、《中华人民共和国环境保护法》（2015年1月1日）；</w:t>
      </w:r>
    </w:p>
    <w:p w14:paraId="3459486F">
      <w:pPr>
        <w:pStyle w:val="119"/>
        <w:adjustRightInd w:val="0"/>
        <w:spacing w:line="360" w:lineRule="auto"/>
        <w:ind w:firstLine="48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2、《中华人民共和国矿产资源法》（2009年修正）；</w:t>
      </w:r>
    </w:p>
    <w:p w14:paraId="1E640C35">
      <w:pPr>
        <w:pStyle w:val="119"/>
        <w:adjustRightInd w:val="0"/>
        <w:spacing w:line="360" w:lineRule="auto"/>
        <w:ind w:firstLine="48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3、《中华人民共和国土地管理法》（2020年1月1日）；</w:t>
      </w:r>
    </w:p>
    <w:p w14:paraId="47D693BA">
      <w:pPr>
        <w:pStyle w:val="119"/>
        <w:adjustRightInd w:val="0"/>
        <w:spacing w:line="360" w:lineRule="auto"/>
        <w:ind w:firstLine="48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4、《中华人民共和国土地管理法实施条例》（2021年4月21日修订通过，自2021年9月1日起施行）；</w:t>
      </w:r>
    </w:p>
    <w:p w14:paraId="1357B88A">
      <w:pPr>
        <w:pStyle w:val="119"/>
        <w:adjustRightInd w:val="0"/>
        <w:spacing w:line="360" w:lineRule="auto"/>
        <w:ind w:firstLine="48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5、《中华人民共和国环境影响评价法》（2016年修订）；</w:t>
      </w:r>
    </w:p>
    <w:p w14:paraId="689F7CDB">
      <w:pPr>
        <w:pStyle w:val="119"/>
        <w:adjustRightInd w:val="0"/>
        <w:spacing w:line="360" w:lineRule="auto"/>
        <w:ind w:firstLine="48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6、《中华人民共和国水土保持法》（2011年）；</w:t>
      </w:r>
    </w:p>
    <w:p w14:paraId="3652A9B6">
      <w:pPr>
        <w:pStyle w:val="119"/>
        <w:adjustRightInd w:val="0"/>
        <w:spacing w:line="360" w:lineRule="auto"/>
        <w:ind w:firstLine="48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7、《土地复垦条例》（2011年3月5日）；</w:t>
      </w:r>
    </w:p>
    <w:p w14:paraId="6E9D1CF6">
      <w:pPr>
        <w:pStyle w:val="119"/>
        <w:adjustRightInd w:val="0"/>
        <w:spacing w:line="360" w:lineRule="auto"/>
        <w:ind w:firstLine="48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8、《土地复垦条例实施办法》（2019年7月16日修正）；</w:t>
      </w:r>
    </w:p>
    <w:p w14:paraId="58BE3A9A">
      <w:pPr>
        <w:pStyle w:val="119"/>
        <w:adjustRightInd w:val="0"/>
        <w:spacing w:line="360" w:lineRule="auto"/>
        <w:ind w:firstLine="48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9、《基本农田保护条例》（</w:t>
      </w:r>
      <w:r>
        <w:rPr>
          <w:rFonts w:hint="default" w:ascii="Times New Roman" w:hAnsi="Times New Roman" w:eastAsia="宋体" w:cs="Times New Roman"/>
          <w:color w:val="auto"/>
          <w:sz w:val="24"/>
          <w:highlight w:val="none"/>
        </w:rPr>
        <w:t>2011年1月8日修订</w:t>
      </w:r>
      <w:r>
        <w:rPr>
          <w:rFonts w:hint="default" w:ascii="Times New Roman" w:hAnsi="Times New Roman" w:cs="Times New Roman"/>
          <w:color w:val="auto"/>
          <w:sz w:val="24"/>
          <w:highlight w:val="none"/>
        </w:rPr>
        <w:t>）；</w:t>
      </w:r>
    </w:p>
    <w:p w14:paraId="405BADF3">
      <w:pPr>
        <w:pStyle w:val="119"/>
        <w:adjustRightInd w:val="0"/>
        <w:spacing w:line="360" w:lineRule="auto"/>
        <w:ind w:firstLine="48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10、《中华人民共和国农业法》（2013年1月1日）；</w:t>
      </w:r>
    </w:p>
    <w:p w14:paraId="06A3EEB1">
      <w:pPr>
        <w:pStyle w:val="119"/>
        <w:adjustRightInd w:val="0"/>
        <w:spacing w:line="360" w:lineRule="auto"/>
        <w:ind w:firstLine="48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11、《中华人民共和国水污染防治法》（2018年1月1日）；</w:t>
      </w:r>
    </w:p>
    <w:p w14:paraId="696BA940">
      <w:pPr>
        <w:pStyle w:val="119"/>
        <w:adjustRightInd w:val="0"/>
        <w:spacing w:line="360" w:lineRule="auto"/>
        <w:ind w:firstLine="48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12、《中华人民共和国土壤污染防治法》（2019年1月1日）；</w:t>
      </w:r>
    </w:p>
    <w:p w14:paraId="570D3C47">
      <w:pPr>
        <w:pStyle w:val="119"/>
        <w:adjustRightInd w:val="0"/>
        <w:spacing w:line="360" w:lineRule="auto"/>
        <w:ind w:firstLine="480"/>
        <w:jc w:val="left"/>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rPr>
        <w:t>13、</w:t>
      </w:r>
      <w:r>
        <w:rPr>
          <w:rFonts w:hint="default" w:ascii="Times New Roman" w:hAnsi="Times New Roman" w:cs="Times New Roman"/>
          <w:color w:val="auto"/>
          <w:sz w:val="24"/>
          <w:highlight w:val="none"/>
          <w:lang w:eastAsia="zh-CN"/>
        </w:rPr>
        <w:t>《吉林省矿山地质环境治理恢复基金管理暂行办法》（吉财建〔2018〕855号）</w:t>
      </w:r>
      <w:r>
        <w:rPr>
          <w:rFonts w:hint="eastAsia" w:ascii="Times New Roman" w:cs="Times New Roman"/>
          <w:color w:val="auto"/>
          <w:sz w:val="24"/>
          <w:highlight w:val="none"/>
          <w:lang w:eastAsia="zh-CN"/>
        </w:rPr>
        <w:t>；</w:t>
      </w:r>
    </w:p>
    <w:p w14:paraId="6F27D1F2">
      <w:pPr>
        <w:pStyle w:val="119"/>
        <w:adjustRightInd w:val="0"/>
        <w:spacing w:line="360" w:lineRule="auto"/>
        <w:ind w:firstLine="48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14、《地质灾害防治条例》（国务院令第394号，2004年3月1日）；</w:t>
      </w:r>
    </w:p>
    <w:p w14:paraId="49B5394D">
      <w:pPr>
        <w:pStyle w:val="119"/>
        <w:adjustRightInd w:val="0"/>
        <w:spacing w:line="360" w:lineRule="auto"/>
        <w:ind w:firstLine="48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15、《矿山地质环境保护规定》（2019年7月16日第三次修正）；</w:t>
      </w:r>
    </w:p>
    <w:p w14:paraId="522C4E71">
      <w:pPr>
        <w:pStyle w:val="119"/>
        <w:adjustRightInd w:val="0"/>
        <w:spacing w:line="360" w:lineRule="auto"/>
        <w:ind w:firstLine="480"/>
        <w:jc w:val="left"/>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rPr>
        <w:t>16、《地下水管理条例》（2021年12月1日）</w:t>
      </w:r>
      <w:r>
        <w:rPr>
          <w:rFonts w:hint="default" w:ascii="Times New Roman" w:hAnsi="Times New Roman" w:cs="Times New Roman"/>
          <w:color w:val="auto"/>
          <w:sz w:val="24"/>
          <w:highlight w:val="none"/>
          <w:lang w:eastAsia="zh-CN"/>
        </w:rPr>
        <w:t>；</w:t>
      </w:r>
    </w:p>
    <w:p w14:paraId="0F5F8A5F">
      <w:pPr>
        <w:pStyle w:val="119"/>
        <w:adjustRightInd w:val="0"/>
        <w:spacing w:line="360" w:lineRule="auto"/>
        <w:ind w:firstLine="480"/>
        <w:jc w:val="left"/>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1</w:t>
      </w:r>
      <w:r>
        <w:rPr>
          <w:rFonts w:hint="default" w:ascii="Times New Roman" w:hAnsi="Times New Roman" w:cs="Times New Roman"/>
          <w:color w:val="auto"/>
          <w:sz w:val="24"/>
          <w:highlight w:val="none"/>
          <w:lang w:val="en-US" w:eastAsia="zh-CN"/>
        </w:rPr>
        <w:t>7</w:t>
      </w:r>
      <w:r>
        <w:rPr>
          <w:rFonts w:hint="default" w:ascii="Times New Roman" w:hAnsi="Times New Roman" w:cs="Times New Roman"/>
          <w:color w:val="auto"/>
          <w:sz w:val="24"/>
          <w:highlight w:val="none"/>
          <w:lang w:eastAsia="zh-CN"/>
        </w:rPr>
        <w:t>、《吉林省生态环境保护条例》（2021年1月1日）；</w:t>
      </w:r>
    </w:p>
    <w:p w14:paraId="0E8B9B7C">
      <w:pPr>
        <w:pStyle w:val="119"/>
        <w:adjustRightInd w:val="0"/>
        <w:spacing w:line="360" w:lineRule="auto"/>
        <w:ind w:firstLine="480"/>
        <w:jc w:val="left"/>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val="en-US" w:eastAsia="zh-CN"/>
        </w:rPr>
        <w:t>18、</w:t>
      </w:r>
      <w:r>
        <w:rPr>
          <w:rFonts w:hint="default" w:ascii="Times New Roman" w:hAnsi="Times New Roman" w:cs="Times New Roman"/>
          <w:color w:val="auto"/>
          <w:sz w:val="24"/>
          <w:highlight w:val="none"/>
          <w:lang w:eastAsia="zh-CN"/>
        </w:rPr>
        <w:t>《吉林省人民政府关于印发吉林省国民经济和社会发展第十四个五年规划和2035年远景目标纲要的通知》（吉政发〔2021〕7号）；</w:t>
      </w:r>
    </w:p>
    <w:p w14:paraId="6C27D041">
      <w:pPr>
        <w:pStyle w:val="119"/>
        <w:adjustRightInd w:val="0"/>
        <w:spacing w:line="360" w:lineRule="auto"/>
        <w:ind w:firstLine="480"/>
        <w:jc w:val="left"/>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val="en-US" w:eastAsia="zh-CN"/>
        </w:rPr>
        <w:t>19</w:t>
      </w:r>
      <w:r>
        <w:rPr>
          <w:rFonts w:hint="default" w:ascii="Times New Roman" w:hAnsi="Times New Roman" w:cs="Times New Roman"/>
          <w:color w:val="auto"/>
          <w:sz w:val="24"/>
          <w:highlight w:val="none"/>
          <w:lang w:eastAsia="zh-CN"/>
        </w:rPr>
        <w:t>、《吉林省国土空间规划（2021-2035年）》（2021年）；</w:t>
      </w:r>
    </w:p>
    <w:p w14:paraId="66428A66">
      <w:pPr>
        <w:pStyle w:val="119"/>
        <w:adjustRightInd w:val="0"/>
        <w:spacing w:line="360" w:lineRule="auto"/>
        <w:ind w:firstLine="480"/>
        <w:jc w:val="left"/>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val="en-US" w:eastAsia="zh-CN"/>
        </w:rPr>
        <w:t>20</w:t>
      </w:r>
      <w:r>
        <w:rPr>
          <w:rFonts w:hint="default" w:ascii="Times New Roman" w:hAnsi="Times New Roman" w:cs="Times New Roman"/>
          <w:color w:val="auto"/>
          <w:sz w:val="24"/>
          <w:highlight w:val="none"/>
          <w:lang w:eastAsia="zh-CN"/>
        </w:rPr>
        <w:t>、《吉林省水土保持规划（2016-2030年）》（2016年）；</w:t>
      </w:r>
    </w:p>
    <w:p w14:paraId="65047492">
      <w:pPr>
        <w:pStyle w:val="119"/>
        <w:adjustRightInd w:val="0"/>
        <w:spacing w:line="360" w:lineRule="auto"/>
        <w:ind w:firstLine="480"/>
        <w:jc w:val="left"/>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val="en-US" w:eastAsia="zh-CN"/>
        </w:rPr>
        <w:t>21</w:t>
      </w:r>
      <w:r>
        <w:rPr>
          <w:rFonts w:hint="default" w:ascii="Times New Roman" w:hAnsi="Times New Roman" w:cs="Times New Roman"/>
          <w:color w:val="auto"/>
          <w:sz w:val="24"/>
          <w:highlight w:val="none"/>
          <w:lang w:eastAsia="zh-CN"/>
        </w:rPr>
        <w:t>、《吉林省</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eastAsia="zh-CN"/>
        </w:rPr>
        <w:t>十四五</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eastAsia="zh-CN"/>
        </w:rPr>
        <w:t>环境保护规划》（2021年）；</w:t>
      </w:r>
    </w:p>
    <w:p w14:paraId="0CC99D99">
      <w:pPr>
        <w:pStyle w:val="119"/>
        <w:adjustRightInd w:val="0"/>
        <w:spacing w:line="360" w:lineRule="auto"/>
        <w:ind w:firstLine="480"/>
        <w:jc w:val="left"/>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val="en-US" w:eastAsia="zh-CN"/>
        </w:rPr>
        <w:t>22</w:t>
      </w:r>
      <w:r>
        <w:rPr>
          <w:rFonts w:hint="default" w:ascii="Times New Roman" w:hAnsi="Times New Roman" w:cs="Times New Roman"/>
          <w:color w:val="auto"/>
          <w:sz w:val="24"/>
          <w:highlight w:val="none"/>
          <w:lang w:eastAsia="zh-CN"/>
        </w:rPr>
        <w:t>、《吉林省地质灾害防治条例》（2015年修正）</w:t>
      </w:r>
      <w:r>
        <w:rPr>
          <w:rFonts w:hint="eastAsia" w:ascii="Times New Roman" w:cs="Times New Roman"/>
          <w:color w:val="auto"/>
          <w:sz w:val="24"/>
          <w:highlight w:val="none"/>
          <w:lang w:eastAsia="zh-CN"/>
        </w:rPr>
        <w:t>。</w:t>
      </w:r>
    </w:p>
    <w:p w14:paraId="47053706">
      <w:pPr>
        <w:pStyle w:val="5"/>
        <w:rPr>
          <w:rFonts w:hint="default" w:ascii="Times New Roman" w:hAnsi="Times New Roman" w:eastAsia="黑体" w:cs="Times New Roman"/>
          <w:color w:val="auto"/>
          <w:szCs w:val="28"/>
          <w:highlight w:val="none"/>
        </w:rPr>
      </w:pPr>
      <w:r>
        <w:rPr>
          <w:rFonts w:hint="default" w:ascii="Times New Roman" w:hAnsi="Times New Roman" w:eastAsia="黑体" w:cs="Times New Roman"/>
          <w:color w:val="auto"/>
          <w:szCs w:val="28"/>
          <w:highlight w:val="none"/>
        </w:rPr>
        <w:t>（二）重要文件</w:t>
      </w:r>
    </w:p>
    <w:p w14:paraId="1FE9347D">
      <w:pPr>
        <w:keepNext/>
        <w:keepLines/>
        <w:pageBreakBefore w:val="0"/>
        <w:widowControl/>
        <w:kinsoku/>
        <w:wordWrap/>
        <w:overflowPunct/>
        <w:topLinePunct w:val="0"/>
        <w:autoSpaceDE/>
        <w:autoSpaceDN/>
        <w:bidi w:val="0"/>
        <w:adjustRightInd/>
        <w:snapToGrid/>
        <w:spacing w:before="0" w:after="0" w:line="360" w:lineRule="auto"/>
        <w:ind w:firstLine="480" w:firstLineChars="200"/>
        <w:textAlignment w:val="auto"/>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1、《国土资源部办公厅关于做好矿山地质环境保护与土地复垦方案编报有关工作的通知》（国土资规〔2016〕21号）；</w:t>
      </w:r>
    </w:p>
    <w:p w14:paraId="0EB2A4AB">
      <w:pPr>
        <w:keepNext/>
        <w:keepLines/>
        <w:pageBreakBefore w:val="0"/>
        <w:widowControl/>
        <w:kinsoku/>
        <w:wordWrap/>
        <w:overflowPunct/>
        <w:topLinePunct w:val="0"/>
        <w:autoSpaceDE/>
        <w:autoSpaceDN/>
        <w:bidi w:val="0"/>
        <w:adjustRightInd/>
        <w:snapToGrid/>
        <w:spacing w:before="0" w:after="0" w:line="360" w:lineRule="auto"/>
        <w:ind w:firstLine="480" w:firstLineChars="200"/>
        <w:textAlignment w:val="auto"/>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2、《国务院关于全面整顿和规范矿产资源开发秩序的通知》（国发〔2005〕28号）；</w:t>
      </w:r>
    </w:p>
    <w:p w14:paraId="4C49A6CA">
      <w:pPr>
        <w:keepNext/>
        <w:keepLines/>
        <w:pageBreakBefore w:val="0"/>
        <w:widowControl/>
        <w:kinsoku/>
        <w:wordWrap/>
        <w:overflowPunct/>
        <w:topLinePunct w:val="0"/>
        <w:autoSpaceDE/>
        <w:autoSpaceDN/>
        <w:bidi w:val="0"/>
        <w:adjustRightInd/>
        <w:snapToGrid/>
        <w:spacing w:before="0" w:after="0" w:line="360" w:lineRule="auto"/>
        <w:ind w:firstLine="480" w:firstLineChars="200"/>
        <w:textAlignment w:val="auto"/>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3、《国土资源部关于加强地质灾害危险性评估的通知》（国土资发〔2004〕69号）；</w:t>
      </w:r>
    </w:p>
    <w:p w14:paraId="77808E1A">
      <w:pPr>
        <w:keepNext/>
        <w:keepLines/>
        <w:pageBreakBefore w:val="0"/>
        <w:widowControl/>
        <w:kinsoku/>
        <w:wordWrap/>
        <w:overflowPunct/>
        <w:topLinePunct w:val="0"/>
        <w:autoSpaceDE/>
        <w:autoSpaceDN/>
        <w:bidi w:val="0"/>
        <w:adjustRightInd/>
        <w:snapToGrid/>
        <w:spacing w:before="0" w:after="0" w:line="360" w:lineRule="auto"/>
        <w:ind w:firstLine="480" w:firstLineChars="200"/>
        <w:textAlignment w:val="auto"/>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4、《关于加强和改进土地开发整理工作的通知》（国土资发〔2005〕29号）；</w:t>
      </w:r>
    </w:p>
    <w:p w14:paraId="1E4C300D">
      <w:pPr>
        <w:keepNext/>
        <w:keepLines/>
        <w:pageBreakBefore w:val="0"/>
        <w:widowControl/>
        <w:kinsoku/>
        <w:wordWrap/>
        <w:overflowPunct/>
        <w:topLinePunct w:val="0"/>
        <w:autoSpaceDE/>
        <w:autoSpaceDN/>
        <w:bidi w:val="0"/>
        <w:adjustRightInd/>
        <w:snapToGrid/>
        <w:spacing w:before="0" w:after="0" w:line="360" w:lineRule="auto"/>
        <w:ind w:firstLine="480" w:firstLineChars="200"/>
        <w:textAlignment w:val="auto"/>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5、《关于加强矿山生态环境保护工作的通知》（国土资发〔1999〕36号）；</w:t>
      </w:r>
    </w:p>
    <w:p w14:paraId="65FEA3C4">
      <w:pPr>
        <w:keepNext/>
        <w:keepLines/>
        <w:pageBreakBefore w:val="0"/>
        <w:widowControl/>
        <w:kinsoku/>
        <w:wordWrap/>
        <w:overflowPunct/>
        <w:topLinePunct w:val="0"/>
        <w:autoSpaceDE/>
        <w:autoSpaceDN/>
        <w:bidi w:val="0"/>
        <w:adjustRightInd/>
        <w:snapToGrid/>
        <w:spacing w:before="0" w:after="0" w:line="360" w:lineRule="auto"/>
        <w:ind w:firstLine="480" w:firstLineChars="200"/>
        <w:textAlignment w:val="auto"/>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6、《国土资源部关于贯彻实施&lt;土地复垦条例&gt;的通知》（国土资发〔2011〕50号）；</w:t>
      </w:r>
    </w:p>
    <w:p w14:paraId="12CEA716">
      <w:pPr>
        <w:keepNext/>
        <w:keepLines/>
        <w:pageBreakBefore w:val="0"/>
        <w:widowControl/>
        <w:kinsoku/>
        <w:wordWrap/>
        <w:overflowPunct/>
        <w:topLinePunct w:val="0"/>
        <w:autoSpaceDE/>
        <w:autoSpaceDN/>
        <w:bidi w:val="0"/>
        <w:adjustRightInd/>
        <w:snapToGrid/>
        <w:spacing w:before="0" w:after="0" w:line="360" w:lineRule="auto"/>
        <w:ind w:firstLine="480" w:firstLineChars="200"/>
        <w:textAlignment w:val="auto"/>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7、《国务院关于促进节约集约用地的通知》（国发〔2008〕3号）；</w:t>
      </w:r>
    </w:p>
    <w:p w14:paraId="70A98DA8">
      <w:pPr>
        <w:keepNext/>
        <w:keepLines/>
        <w:pageBreakBefore w:val="0"/>
        <w:widowControl/>
        <w:kinsoku/>
        <w:wordWrap/>
        <w:overflowPunct/>
        <w:topLinePunct w:val="0"/>
        <w:autoSpaceDE/>
        <w:autoSpaceDN/>
        <w:bidi w:val="0"/>
        <w:adjustRightInd/>
        <w:snapToGrid/>
        <w:spacing w:before="0" w:after="0" w:line="360" w:lineRule="auto"/>
        <w:ind w:firstLine="480" w:firstLineChars="200"/>
        <w:textAlignment w:val="auto"/>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8</w:t>
      </w:r>
      <w:r>
        <w:rPr>
          <w:rFonts w:hint="default" w:ascii="Times New Roman" w:hAnsi="Times New Roman" w:cs="Times New Roman"/>
          <w:color w:val="auto"/>
          <w:sz w:val="24"/>
          <w:highlight w:val="none"/>
        </w:rPr>
        <w:t>、《关于加强矿山地质环境恢复和综合治理的指导意见》（国土资发〔2016〕63号）；</w:t>
      </w:r>
    </w:p>
    <w:p w14:paraId="73557E51">
      <w:pPr>
        <w:keepNext/>
        <w:keepLines/>
        <w:pageBreakBefore w:val="0"/>
        <w:widowControl/>
        <w:kinsoku/>
        <w:wordWrap/>
        <w:overflowPunct/>
        <w:topLinePunct w:val="0"/>
        <w:autoSpaceDE/>
        <w:autoSpaceDN/>
        <w:bidi w:val="0"/>
        <w:adjustRightInd/>
        <w:snapToGrid/>
        <w:spacing w:before="0" w:after="0" w:line="360" w:lineRule="auto"/>
        <w:ind w:firstLine="480" w:firstLineChars="200"/>
        <w:textAlignment w:val="auto"/>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9</w:t>
      </w:r>
      <w:r>
        <w:rPr>
          <w:rFonts w:hint="default" w:ascii="Times New Roman" w:hAnsi="Times New Roman" w:cs="Times New Roman"/>
          <w:color w:val="auto"/>
          <w:sz w:val="24"/>
          <w:highlight w:val="none"/>
        </w:rPr>
        <w:t>、《国土资源部 财政部 环境保护部 国家质量监督检验检疫总局 中国银行业监督管理委员会 中国证券监督管理委员会关于加快建设绿色矿山的实施意见》（国土资规〔2017〕4号）；</w:t>
      </w:r>
    </w:p>
    <w:p w14:paraId="3FBF6C6D">
      <w:pPr>
        <w:keepNext/>
        <w:keepLines/>
        <w:pageBreakBefore w:val="0"/>
        <w:widowControl/>
        <w:kinsoku/>
        <w:wordWrap/>
        <w:overflowPunct/>
        <w:topLinePunct w:val="0"/>
        <w:autoSpaceDE/>
        <w:autoSpaceDN/>
        <w:bidi w:val="0"/>
        <w:adjustRightInd/>
        <w:snapToGrid/>
        <w:spacing w:before="0" w:after="0" w:line="360" w:lineRule="auto"/>
        <w:ind w:firstLine="480" w:firstLineChars="200"/>
        <w:textAlignment w:val="auto"/>
        <w:outlineLvl w:val="9"/>
        <w:rPr>
          <w:rFonts w:hint="eastAsia" w:cs="Times New Roman"/>
          <w:color w:val="auto"/>
          <w:sz w:val="24"/>
          <w:highlight w:val="none"/>
          <w:lang w:eastAsia="zh-CN"/>
        </w:rPr>
      </w:pPr>
      <w:r>
        <w:rPr>
          <w:rFonts w:hint="default" w:ascii="Times New Roman" w:hAnsi="Times New Roman" w:cs="Times New Roman"/>
          <w:color w:val="auto"/>
          <w:sz w:val="24"/>
          <w:highlight w:val="none"/>
        </w:rPr>
        <w:t>1</w:t>
      </w:r>
      <w:r>
        <w:rPr>
          <w:rFonts w:hint="default" w:ascii="Times New Roman" w:hAnsi="Times New Roman" w:cs="Times New Roman"/>
          <w:color w:val="auto"/>
          <w:sz w:val="24"/>
          <w:highlight w:val="none"/>
          <w:lang w:val="en-US" w:eastAsia="zh-CN"/>
        </w:rPr>
        <w:t>0</w:t>
      </w:r>
      <w:r>
        <w:rPr>
          <w:rFonts w:hint="default" w:ascii="Times New Roman" w:hAnsi="Times New Roman" w:cs="Times New Roman"/>
          <w:color w:val="auto"/>
          <w:sz w:val="24"/>
          <w:highlight w:val="none"/>
        </w:rPr>
        <w:t>、《关于取消矿山地质环境治理恢复保证金建立矿山地质环境治理恢复基金的指导意见》（财建〔2017〕638号）</w:t>
      </w:r>
      <w:r>
        <w:rPr>
          <w:rFonts w:hint="eastAsia" w:cs="Times New Roman"/>
          <w:color w:val="auto"/>
          <w:sz w:val="24"/>
          <w:highlight w:val="none"/>
          <w:lang w:eastAsia="zh-CN"/>
        </w:rPr>
        <w:t>；</w:t>
      </w:r>
    </w:p>
    <w:p w14:paraId="1FD72FDC">
      <w:pPr>
        <w:keepNext/>
        <w:keepLines/>
        <w:pageBreakBefore w:val="0"/>
        <w:widowControl/>
        <w:kinsoku/>
        <w:wordWrap/>
        <w:overflowPunct/>
        <w:topLinePunct w:val="0"/>
        <w:autoSpaceDE/>
        <w:autoSpaceDN/>
        <w:bidi w:val="0"/>
        <w:adjustRightInd/>
        <w:snapToGrid/>
        <w:spacing w:before="0" w:after="0" w:line="360" w:lineRule="auto"/>
        <w:ind w:firstLine="480" w:firstLineChars="200"/>
        <w:textAlignment w:val="auto"/>
        <w:outlineLvl w:val="9"/>
        <w:rPr>
          <w:rFonts w:hint="eastAsia" w:ascii="Times New Roman" w:hAnsi="Times New Roman" w:eastAsia="宋体" w:cs="Times New Roman"/>
          <w:color w:val="auto"/>
          <w:sz w:val="24"/>
          <w:highlight w:val="none"/>
          <w:lang w:eastAsia="zh-CN"/>
        </w:rPr>
      </w:pPr>
      <w:r>
        <w:rPr>
          <w:rFonts w:hint="eastAsia" w:cs="Times New Roman"/>
          <w:color w:val="auto"/>
          <w:sz w:val="24"/>
          <w:highlight w:val="none"/>
          <w:lang w:val="en-US" w:eastAsia="zh-CN"/>
        </w:rPr>
        <w:t>11、《国家林业和草原局办公室关于印发&lt;造林作业设计规程&gt;的通知》（办生字〔2023〕117号）</w:t>
      </w:r>
      <w:r>
        <w:rPr>
          <w:rFonts w:hint="eastAsia" w:cs="Times New Roman"/>
          <w:color w:val="auto"/>
          <w:sz w:val="24"/>
          <w:highlight w:val="none"/>
          <w:lang w:eastAsia="zh-CN"/>
        </w:rPr>
        <w:t>。</w:t>
      </w:r>
    </w:p>
    <w:p w14:paraId="6E8430C7">
      <w:pPr>
        <w:pStyle w:val="5"/>
        <w:keepNext/>
        <w:keepLines/>
        <w:pageBreakBefore w:val="0"/>
        <w:widowControl/>
        <w:kinsoku/>
        <w:wordWrap/>
        <w:overflowPunct/>
        <w:topLinePunct w:val="0"/>
        <w:autoSpaceDE/>
        <w:autoSpaceDN/>
        <w:bidi w:val="0"/>
        <w:adjustRightInd/>
        <w:snapToGrid/>
        <w:spacing w:before="0" w:after="0" w:line="360" w:lineRule="auto"/>
        <w:textAlignment w:val="auto"/>
        <w:rPr>
          <w:rFonts w:hint="default" w:ascii="Times New Roman" w:hAnsi="Times New Roman" w:eastAsia="黑体" w:cs="Times New Roman"/>
          <w:color w:val="auto"/>
          <w:szCs w:val="28"/>
          <w:highlight w:val="none"/>
        </w:rPr>
      </w:pPr>
      <w:r>
        <w:rPr>
          <w:rFonts w:hint="default" w:ascii="Times New Roman" w:hAnsi="Times New Roman" w:eastAsia="黑体" w:cs="Times New Roman"/>
          <w:color w:val="auto"/>
          <w:szCs w:val="28"/>
          <w:highlight w:val="none"/>
        </w:rPr>
        <w:t>（三）规范</w:t>
      </w:r>
      <w:bookmarkEnd w:id="37"/>
      <w:r>
        <w:rPr>
          <w:rFonts w:hint="default" w:ascii="Times New Roman" w:hAnsi="Times New Roman" w:eastAsia="黑体" w:cs="Times New Roman"/>
          <w:color w:val="auto"/>
          <w:szCs w:val="28"/>
          <w:highlight w:val="none"/>
        </w:rPr>
        <w:t>规程</w:t>
      </w:r>
    </w:p>
    <w:p w14:paraId="7633B8C9">
      <w:pPr>
        <w:spacing w:line="360" w:lineRule="auto"/>
        <w:ind w:firstLine="600" w:firstLineChars="25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1、《矿山地质环境保护与土地复垦方案编制指南》（2016年12月）；</w:t>
      </w:r>
    </w:p>
    <w:p w14:paraId="0968E19A">
      <w:pPr>
        <w:spacing w:line="360" w:lineRule="auto"/>
        <w:ind w:firstLine="600" w:firstLineChars="25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2、《第三次全国国土调查技术规程》（TD/T 1055-2019）；</w:t>
      </w:r>
    </w:p>
    <w:p w14:paraId="12AF8FCE">
      <w:pPr>
        <w:spacing w:line="360" w:lineRule="auto"/>
        <w:ind w:firstLine="600" w:firstLineChars="25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3、《土地复垦质量控制标准》（TD/T 1036-2013）；</w:t>
      </w:r>
    </w:p>
    <w:p w14:paraId="288ADAA6">
      <w:pPr>
        <w:spacing w:line="360" w:lineRule="auto"/>
        <w:ind w:firstLine="600" w:firstLineChars="25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4、《生产项目土地复垦验收规程》（TD/T 1044-2014）；</w:t>
      </w:r>
    </w:p>
    <w:p w14:paraId="6E44EBA7">
      <w:pPr>
        <w:spacing w:line="360" w:lineRule="auto"/>
        <w:ind w:firstLine="600" w:firstLineChars="25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5、《矿山地质环境保护与恢复治理方案编制规范》（DZ/T 0223-2011）；</w:t>
      </w:r>
    </w:p>
    <w:p w14:paraId="4891ED69">
      <w:pPr>
        <w:spacing w:line="360" w:lineRule="auto"/>
        <w:ind w:firstLine="600" w:firstLineChars="25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6、《土地复垦方案编制规程</w:t>
      </w:r>
      <w:r>
        <w:rPr>
          <w:rFonts w:hint="eastAsia"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rPr>
        <w:t>第1部分：通则》（TD/T 1031.1-2011）；</w:t>
      </w:r>
    </w:p>
    <w:p w14:paraId="6B890CF2">
      <w:pPr>
        <w:spacing w:line="360" w:lineRule="auto"/>
        <w:ind w:firstLine="600" w:firstLineChars="25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7</w:t>
      </w:r>
      <w:r>
        <w:rPr>
          <w:rFonts w:hint="default" w:ascii="Times New Roman" w:hAnsi="Times New Roman" w:cs="Times New Roman"/>
          <w:color w:val="auto"/>
          <w:sz w:val="24"/>
          <w:szCs w:val="24"/>
          <w:highlight w:val="none"/>
        </w:rPr>
        <w:t>、《矿山生态修复技术规范 第1部分：通则》（TD/T 1070.1-2022）；</w:t>
      </w:r>
    </w:p>
    <w:p w14:paraId="37645B0F">
      <w:pPr>
        <w:spacing w:line="360" w:lineRule="auto"/>
        <w:ind w:firstLine="600" w:firstLineChars="25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8、《矿山地质环境监测技术规程》（DZ/T 0287-2015）；</w:t>
      </w:r>
    </w:p>
    <w:p w14:paraId="18264014">
      <w:pPr>
        <w:spacing w:line="360" w:lineRule="auto"/>
        <w:ind w:firstLine="600" w:firstLineChars="25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9、《区域地质图图例》（GB/T 958-2015）；</w:t>
      </w:r>
    </w:p>
    <w:p w14:paraId="216083F3">
      <w:pPr>
        <w:spacing w:line="360" w:lineRule="auto"/>
        <w:ind w:firstLine="600" w:firstLineChars="25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10、《综合工程地质图图例及色标》（GB/T 12328-1990）；</w:t>
      </w:r>
    </w:p>
    <w:p w14:paraId="75E2620F">
      <w:pPr>
        <w:spacing w:line="360" w:lineRule="auto"/>
        <w:ind w:firstLine="600" w:firstLineChars="25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11、《矿区水文地质工程地质勘查规范》（GB/T 12719-2021）；</w:t>
      </w:r>
    </w:p>
    <w:p w14:paraId="15FA9D2E">
      <w:pPr>
        <w:spacing w:line="360" w:lineRule="auto"/>
        <w:ind w:firstLine="600" w:firstLineChars="25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12、《综合水文地质图图例及色标》（GB/T 14538-1993）；</w:t>
      </w:r>
    </w:p>
    <w:p w14:paraId="1A4BC6C9">
      <w:pPr>
        <w:spacing w:line="360" w:lineRule="auto"/>
        <w:ind w:firstLine="600" w:firstLineChars="25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13、《土地利用现状分类》（GB/T 21010-2017）；</w:t>
      </w:r>
    </w:p>
    <w:p w14:paraId="1B0B9617">
      <w:pPr>
        <w:spacing w:line="360" w:lineRule="auto"/>
        <w:ind w:firstLine="600" w:firstLineChars="25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14、《岩土工程勘察规范（2009年版）》（GB 50021-2001）；</w:t>
      </w:r>
    </w:p>
    <w:p w14:paraId="1D295444">
      <w:pPr>
        <w:spacing w:line="360" w:lineRule="auto"/>
        <w:ind w:firstLine="600" w:firstLineChars="25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15、《建筑边坡工程技术规范》（GB 50330-2013）；</w:t>
      </w:r>
    </w:p>
    <w:p w14:paraId="657D2D14">
      <w:pPr>
        <w:spacing w:line="360" w:lineRule="auto"/>
        <w:ind w:firstLine="600" w:firstLineChars="25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16、《地下水质量标准》（GB/T 14848-2017）；</w:t>
      </w:r>
    </w:p>
    <w:p w14:paraId="16953D4B">
      <w:pPr>
        <w:spacing w:line="360" w:lineRule="auto"/>
        <w:ind w:firstLine="600" w:firstLineChars="25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17、《地表水环境质量标准》（GB 3838-2002）；</w:t>
      </w:r>
    </w:p>
    <w:p w14:paraId="108FA0AA">
      <w:pPr>
        <w:spacing w:line="360" w:lineRule="auto"/>
        <w:ind w:firstLine="600" w:firstLineChars="25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18、《土壤环境质量 农用地土壤污染风险管控标准（试行）》（GB 15618-2018）；</w:t>
      </w:r>
    </w:p>
    <w:p w14:paraId="6FC9147F">
      <w:pPr>
        <w:spacing w:line="360" w:lineRule="auto"/>
        <w:ind w:firstLine="600" w:firstLineChars="25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19、《土壤环境质量 建设用地土壤污染风险管控标准（试行）》（GB 36600-2018）；</w:t>
      </w:r>
    </w:p>
    <w:p w14:paraId="59C11E22">
      <w:pPr>
        <w:spacing w:line="360" w:lineRule="auto"/>
        <w:ind w:firstLine="600" w:firstLineChars="25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20、《水土保持综合治理技术规范》（GB/T 16453-2008）；</w:t>
      </w:r>
    </w:p>
    <w:p w14:paraId="2D6F6647">
      <w:pPr>
        <w:spacing w:line="360" w:lineRule="auto"/>
        <w:ind w:firstLine="600" w:firstLineChars="25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21、《生态公益林建设技术规程》（GB/T 18337.3-2001）；</w:t>
      </w:r>
    </w:p>
    <w:p w14:paraId="1587378C">
      <w:pPr>
        <w:spacing w:line="360" w:lineRule="auto"/>
        <w:ind w:firstLine="600" w:firstLineChars="25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22、《土地基本术语》（GB/T 19231-2003）；</w:t>
      </w:r>
    </w:p>
    <w:p w14:paraId="38812209">
      <w:pPr>
        <w:spacing w:line="360" w:lineRule="auto"/>
        <w:ind w:firstLine="600" w:firstLineChars="25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23、《1：50000地质图地理底图编绘规范》（DZ/T 0157-1995）；</w:t>
      </w:r>
    </w:p>
    <w:p w14:paraId="5DA3611D">
      <w:pPr>
        <w:spacing w:line="360" w:lineRule="auto"/>
        <w:ind w:firstLine="600" w:firstLineChars="25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24、《地质图用色标准及用色原则（1：50000）》（DZ/T 0179-1997）；</w:t>
      </w:r>
    </w:p>
    <w:p w14:paraId="5783C390">
      <w:pPr>
        <w:spacing w:line="360" w:lineRule="auto"/>
        <w:ind w:firstLine="600" w:firstLineChars="25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25、《滑坡防治工程勘查规范》（GB/T 32864-2016）；</w:t>
      </w:r>
    </w:p>
    <w:p w14:paraId="16802FFC">
      <w:pPr>
        <w:spacing w:line="360" w:lineRule="auto"/>
        <w:ind w:firstLine="600" w:firstLineChars="25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26、《滑坡防治工程设计与施工技术规范》（DZ/T 0219-2006）；</w:t>
      </w:r>
    </w:p>
    <w:p w14:paraId="6ADC3181">
      <w:pPr>
        <w:spacing w:line="360" w:lineRule="auto"/>
        <w:ind w:firstLine="600" w:firstLineChars="25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27、《泥石流灾害防治工程勘查规范》（DZ/T 0220-2006）；</w:t>
      </w:r>
    </w:p>
    <w:p w14:paraId="629FCDE2">
      <w:pPr>
        <w:spacing w:line="360" w:lineRule="auto"/>
        <w:ind w:firstLine="600" w:firstLineChars="25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28、《崩塌、滑坡、泥石流监测规范》（DZ/T 0221-2006）；</w:t>
      </w:r>
    </w:p>
    <w:p w14:paraId="348EFD9A">
      <w:pPr>
        <w:spacing w:line="360" w:lineRule="auto"/>
        <w:ind w:firstLine="600" w:firstLineChars="25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29、《地下水监测工程技术规范》（GB/T 51040-2014）；</w:t>
      </w:r>
    </w:p>
    <w:p w14:paraId="2E0E8E35">
      <w:pPr>
        <w:spacing w:line="360" w:lineRule="auto"/>
        <w:ind w:firstLine="600" w:firstLineChars="25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30、《土地整治项目规划设计规范》（TD/T 1012-2016）；</w:t>
      </w:r>
    </w:p>
    <w:p w14:paraId="5E5B3158">
      <w:pPr>
        <w:numPr>
          <w:ilvl w:val="0"/>
          <w:numId w:val="0"/>
        </w:numPr>
        <w:spacing w:line="360" w:lineRule="auto"/>
        <w:ind w:firstLine="600" w:firstLineChars="250"/>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kern w:val="2"/>
          <w:sz w:val="24"/>
          <w:szCs w:val="24"/>
          <w:highlight w:val="none"/>
          <w:lang w:val="en-US" w:eastAsia="zh-CN" w:bidi="ar-SA"/>
        </w:rPr>
        <w:t>31、</w:t>
      </w:r>
      <w:r>
        <w:rPr>
          <w:rFonts w:hint="default" w:ascii="Times New Roman" w:hAnsi="Times New Roman" w:cs="Times New Roman"/>
          <w:color w:val="auto"/>
          <w:sz w:val="24"/>
          <w:szCs w:val="24"/>
          <w:highlight w:val="none"/>
        </w:rPr>
        <w:t>《生态环境状况评价技术规范（试行）》（HJ/T 192-2017）；</w:t>
      </w:r>
    </w:p>
    <w:p w14:paraId="08F1B739">
      <w:pPr>
        <w:numPr>
          <w:ilvl w:val="0"/>
          <w:numId w:val="0"/>
        </w:numPr>
        <w:spacing w:line="360" w:lineRule="auto"/>
        <w:ind w:firstLine="600" w:firstLineChars="250"/>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kern w:val="2"/>
          <w:sz w:val="24"/>
          <w:szCs w:val="24"/>
          <w:highlight w:val="none"/>
          <w:lang w:val="en-US" w:eastAsia="zh-CN" w:bidi="ar-SA"/>
        </w:rPr>
        <w:t>32、</w:t>
      </w:r>
      <w:r>
        <w:rPr>
          <w:rFonts w:hint="default" w:ascii="Times New Roman" w:hAnsi="Times New Roman" w:cs="Times New Roman"/>
          <w:color w:val="auto"/>
          <w:sz w:val="24"/>
          <w:szCs w:val="24"/>
          <w:highlight w:val="none"/>
        </w:rPr>
        <w:t>《矿区地下水监测规范》（DZ/T 0388-2021）</w:t>
      </w:r>
      <w:r>
        <w:rPr>
          <w:rFonts w:hint="eastAsia" w:cs="Times New Roman"/>
          <w:color w:val="auto"/>
          <w:sz w:val="24"/>
          <w:szCs w:val="24"/>
          <w:highlight w:val="none"/>
          <w:lang w:eastAsia="zh-CN"/>
        </w:rPr>
        <w:t>；</w:t>
      </w:r>
    </w:p>
    <w:p w14:paraId="06679A95">
      <w:pPr>
        <w:spacing w:line="360" w:lineRule="auto"/>
        <w:ind w:firstLine="600" w:firstLineChars="25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33、《造林技术规程》（GB/T 15776-20</w:t>
      </w:r>
      <w:r>
        <w:rPr>
          <w:rFonts w:hint="eastAsia" w:cs="Times New Roman"/>
          <w:color w:val="auto"/>
          <w:sz w:val="24"/>
          <w:szCs w:val="24"/>
          <w:highlight w:val="none"/>
          <w:lang w:val="en-US" w:eastAsia="zh-CN"/>
        </w:rPr>
        <w:t>23</w:t>
      </w:r>
      <w:r>
        <w:rPr>
          <w:rFonts w:hint="default" w:ascii="Times New Roman" w:hAnsi="Times New Roman" w:cs="Times New Roman"/>
          <w:color w:val="auto"/>
          <w:sz w:val="24"/>
          <w:szCs w:val="24"/>
          <w:highlight w:val="none"/>
        </w:rPr>
        <w:t>）；</w:t>
      </w:r>
    </w:p>
    <w:p w14:paraId="784ED75C">
      <w:pPr>
        <w:spacing w:line="360" w:lineRule="auto"/>
        <w:ind w:firstLine="600" w:firstLineChars="25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34、《耕地质量验收技术规范》（NY/T 1120-2006）；</w:t>
      </w:r>
    </w:p>
    <w:p w14:paraId="2A978D40">
      <w:pPr>
        <w:spacing w:line="360" w:lineRule="auto"/>
        <w:ind w:firstLine="600" w:firstLineChars="25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35、《耕地地力调查与质量评价技术规程》（NY/T 1634-2008）；</w:t>
      </w:r>
    </w:p>
    <w:p w14:paraId="71162803">
      <w:pPr>
        <w:spacing w:line="360" w:lineRule="auto"/>
        <w:ind w:firstLine="600" w:firstLineChars="25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36、《耕地后备资源调查与评价技术规程》（TD/T 1007-2003）；</w:t>
      </w:r>
    </w:p>
    <w:p w14:paraId="5BEB156F">
      <w:pPr>
        <w:spacing w:line="360" w:lineRule="auto"/>
        <w:ind w:firstLine="600" w:firstLineChars="250"/>
        <w:rPr>
          <w:rFonts w:hint="eastAsia"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rPr>
        <w:t>37、《地质灾害危险性评估规范》（GB/T 40112-2021）</w:t>
      </w:r>
      <w:r>
        <w:rPr>
          <w:rFonts w:hint="eastAsia" w:cs="Times New Roman"/>
          <w:color w:val="auto"/>
          <w:sz w:val="24"/>
          <w:szCs w:val="24"/>
          <w:highlight w:val="none"/>
          <w:lang w:eastAsia="zh-CN"/>
        </w:rPr>
        <w:t>。</w:t>
      </w:r>
    </w:p>
    <w:p w14:paraId="4BCEEEB9">
      <w:pPr>
        <w:pStyle w:val="5"/>
        <w:rPr>
          <w:rFonts w:hint="default" w:ascii="Times New Roman" w:hAnsi="Times New Roman" w:eastAsia="黑体" w:cs="Times New Roman"/>
          <w:color w:val="auto"/>
          <w:szCs w:val="28"/>
          <w:highlight w:val="none"/>
        </w:rPr>
      </w:pPr>
      <w:bookmarkStart w:id="38" w:name="_Toc487105247"/>
      <w:r>
        <w:rPr>
          <w:rFonts w:hint="default" w:ascii="Times New Roman" w:hAnsi="Times New Roman" w:eastAsia="黑体" w:cs="Times New Roman"/>
          <w:color w:val="auto"/>
          <w:szCs w:val="28"/>
          <w:highlight w:val="none"/>
        </w:rPr>
        <w:t>（四）有关资料</w:t>
      </w:r>
      <w:bookmarkEnd w:id="38"/>
    </w:p>
    <w:p w14:paraId="4F1A0FB5">
      <w:pPr>
        <w:spacing w:line="360" w:lineRule="auto"/>
        <w:ind w:firstLine="600" w:firstLineChars="250"/>
        <w:rPr>
          <w:rFonts w:hint="default" w:ascii="Times New Roman" w:hAnsi="Times New Roman" w:cs="Times New Roman"/>
          <w:color w:val="auto"/>
          <w:sz w:val="24"/>
          <w:highlight w:val="none"/>
        </w:rPr>
      </w:pPr>
      <w:bookmarkStart w:id="39" w:name="_Toc487105248"/>
      <w:bookmarkStart w:id="40" w:name="_Toc380584793"/>
      <w:bookmarkStart w:id="41" w:name="_Toc454439588"/>
      <w:bookmarkStart w:id="42" w:name="_Hlk17913969"/>
      <w:r>
        <w:rPr>
          <w:rFonts w:hint="default" w:ascii="Times New Roman" w:hAnsi="Times New Roman" w:cs="Times New Roman"/>
          <w:color w:val="auto"/>
          <w:sz w:val="24"/>
          <w:highlight w:val="none"/>
          <w:lang w:val="en-US" w:eastAsia="zh-CN"/>
        </w:rPr>
        <w:t>1、</w:t>
      </w:r>
      <w:r>
        <w:rPr>
          <w:rFonts w:hint="default" w:ascii="Times New Roman" w:hAnsi="Times New Roman" w:cs="Times New Roman"/>
          <w:color w:val="auto"/>
          <w:sz w:val="24"/>
          <w:highlight w:val="none"/>
        </w:rPr>
        <w:t>《吉林省区域地质志》（1</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50万），吉林省地质矿产局，1989年；</w:t>
      </w:r>
    </w:p>
    <w:p w14:paraId="4D61558A">
      <w:pPr>
        <w:spacing w:line="360" w:lineRule="auto"/>
        <w:ind w:firstLine="600" w:firstLineChars="25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rPr>
        <w:t>《中国地震烈度区划图》（GB</w:t>
      </w:r>
      <w:r>
        <w:rPr>
          <w:rFonts w:hint="eastAsia" w:cs="Times New Roman"/>
          <w:color w:val="auto"/>
          <w:sz w:val="24"/>
          <w:highlight w:val="none"/>
          <w:lang w:val="en-US" w:eastAsia="zh-CN"/>
        </w:rPr>
        <w:t xml:space="preserve"> 1</w:t>
      </w:r>
      <w:r>
        <w:rPr>
          <w:rFonts w:hint="default" w:ascii="Times New Roman" w:hAnsi="Times New Roman" w:cs="Times New Roman"/>
          <w:color w:val="auto"/>
          <w:sz w:val="24"/>
          <w:highlight w:val="none"/>
        </w:rPr>
        <w:t>8306-2015）；</w:t>
      </w:r>
    </w:p>
    <w:p w14:paraId="6BA9C2BC">
      <w:pPr>
        <w:spacing w:line="360" w:lineRule="auto"/>
        <w:ind w:firstLine="600" w:firstLineChars="25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3、</w:t>
      </w:r>
      <w:r>
        <w:rPr>
          <w:rFonts w:hint="default" w:ascii="Times New Roman" w:hAnsi="Times New Roman" w:cs="Times New Roman"/>
          <w:color w:val="auto"/>
          <w:sz w:val="24"/>
          <w:highlight w:val="none"/>
        </w:rPr>
        <w:t>《吉林省</w:t>
      </w:r>
      <w:r>
        <w:rPr>
          <w:rFonts w:hint="eastAsia" w:cs="Times New Roman"/>
          <w:color w:val="auto"/>
          <w:sz w:val="24"/>
          <w:highlight w:val="none"/>
          <w:lang w:eastAsia="zh-CN"/>
        </w:rPr>
        <w:t>永吉县</w:t>
      </w:r>
      <w:r>
        <w:rPr>
          <w:rFonts w:hint="default" w:ascii="Times New Roman" w:hAnsi="Times New Roman" w:cs="Times New Roman"/>
          <w:color w:val="auto"/>
          <w:sz w:val="24"/>
          <w:highlight w:val="none"/>
        </w:rPr>
        <w:t>国土空间总体规划（2021-2035年）》（2021年）；</w:t>
      </w:r>
    </w:p>
    <w:p w14:paraId="789CC1F5">
      <w:pPr>
        <w:spacing w:line="360" w:lineRule="auto"/>
        <w:ind w:firstLine="600" w:firstLineChars="250"/>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rPr>
        <w:t>4</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w:t>
      </w:r>
      <w:r>
        <w:rPr>
          <w:rFonts w:hint="eastAsia" w:cs="Times New Roman"/>
          <w:color w:val="auto"/>
          <w:sz w:val="24"/>
          <w:highlight w:val="none"/>
          <w:lang w:eastAsia="zh-CN"/>
        </w:rPr>
        <w:t>吉林市衡永源工贸有限公司</w:t>
      </w:r>
      <w:r>
        <w:rPr>
          <w:rFonts w:hint="default" w:ascii="Times New Roman" w:hAnsi="Times New Roman" w:cs="Times New Roman"/>
          <w:color w:val="auto"/>
          <w:sz w:val="24"/>
          <w:highlight w:val="none"/>
        </w:rPr>
        <w:t>北大湖采石场方解石矿矿产资源储量核实报告》，</w:t>
      </w:r>
      <w:r>
        <w:rPr>
          <w:rFonts w:hint="default" w:ascii="Times New Roman" w:hAnsi="Times New Roman" w:cs="Times New Roman"/>
          <w:color w:val="auto"/>
          <w:sz w:val="24"/>
          <w:highlight w:val="none"/>
          <w:lang w:val="en-US" w:eastAsia="zh-CN"/>
        </w:rPr>
        <w:t>吉林省兴亚矿业公司</w:t>
      </w:r>
      <w:r>
        <w:rPr>
          <w:rFonts w:hint="default" w:ascii="Times New Roman" w:hAnsi="Times New Roman" w:cs="Times New Roman"/>
          <w:color w:val="auto"/>
          <w:sz w:val="24"/>
          <w:highlight w:val="none"/>
        </w:rPr>
        <w:t>，2014年5月；</w:t>
      </w:r>
      <w:r>
        <w:rPr>
          <w:rFonts w:hint="default" w:ascii="Times New Roman" w:hAnsi="Times New Roman" w:cs="Times New Roman"/>
          <w:color w:val="auto"/>
          <w:sz w:val="24"/>
          <w:highlight w:val="none"/>
          <w:lang w:val="en-US" w:eastAsia="zh-CN"/>
        </w:rPr>
        <w:t xml:space="preserve"> </w:t>
      </w:r>
    </w:p>
    <w:p w14:paraId="19874FA3">
      <w:pPr>
        <w:spacing w:line="360" w:lineRule="auto"/>
        <w:ind w:firstLine="600" w:firstLineChars="25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w:t>
      </w:r>
      <w:r>
        <w:rPr>
          <w:rFonts w:hint="eastAsia" w:cs="Times New Roman"/>
          <w:color w:val="auto"/>
          <w:sz w:val="24"/>
          <w:highlight w:val="none"/>
          <w:lang w:eastAsia="zh-CN"/>
        </w:rPr>
        <w:t>吉林市衡永源工贸有限公司</w:t>
      </w:r>
      <w:r>
        <w:rPr>
          <w:rFonts w:hint="default" w:ascii="Times New Roman" w:hAnsi="Times New Roman" w:cs="Times New Roman"/>
          <w:color w:val="auto"/>
          <w:sz w:val="24"/>
          <w:highlight w:val="none"/>
        </w:rPr>
        <w:t>北大湖采石场方解石矿矿产资源开发利用方案》，</w:t>
      </w:r>
      <w:r>
        <w:rPr>
          <w:rFonts w:hint="default" w:ascii="Times New Roman" w:hAnsi="Times New Roman" w:cs="Times New Roman"/>
          <w:color w:val="auto"/>
          <w:sz w:val="24"/>
          <w:highlight w:val="none"/>
          <w:lang w:val="en-US" w:eastAsia="zh-CN"/>
        </w:rPr>
        <w:t>吉林省兴亚矿业公司</w:t>
      </w:r>
      <w:r>
        <w:rPr>
          <w:rFonts w:hint="default" w:ascii="Times New Roman" w:hAnsi="Times New Roman" w:cs="Times New Roman"/>
          <w:color w:val="auto"/>
          <w:sz w:val="24"/>
          <w:highlight w:val="none"/>
        </w:rPr>
        <w:t>，2014年</w:t>
      </w:r>
      <w:r>
        <w:rPr>
          <w:rFonts w:hint="eastAsia" w:cs="Times New Roman"/>
          <w:color w:val="auto"/>
          <w:sz w:val="24"/>
          <w:highlight w:val="none"/>
          <w:lang w:val="en-US" w:eastAsia="zh-CN"/>
        </w:rPr>
        <w:t>12</w:t>
      </w:r>
      <w:r>
        <w:rPr>
          <w:rFonts w:hint="default" w:ascii="Times New Roman" w:hAnsi="Times New Roman" w:cs="Times New Roman"/>
          <w:color w:val="auto"/>
          <w:sz w:val="24"/>
          <w:highlight w:val="none"/>
        </w:rPr>
        <w:t>月；</w:t>
      </w:r>
    </w:p>
    <w:p w14:paraId="2F59ECA9">
      <w:pPr>
        <w:spacing w:line="360" w:lineRule="auto"/>
        <w:ind w:firstLine="600" w:firstLineChars="250"/>
        <w:rPr>
          <w:rFonts w:hint="eastAsia" w:ascii="Times New Roman" w:hAnsi="Times New Roman" w:eastAsia="宋体" w:cs="Times New Roman"/>
          <w:color w:val="auto"/>
          <w:sz w:val="24"/>
          <w:highlight w:val="none"/>
          <w:lang w:eastAsia="zh-CN"/>
        </w:rPr>
      </w:pPr>
      <w:r>
        <w:rPr>
          <w:rFonts w:hint="eastAsia" w:cs="Times New Roman"/>
          <w:color w:val="auto"/>
          <w:sz w:val="24"/>
          <w:highlight w:val="none"/>
          <w:lang w:val="en-US" w:eastAsia="zh-CN"/>
        </w:rPr>
        <w:t>6</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w:t>
      </w:r>
      <w:r>
        <w:rPr>
          <w:rFonts w:hint="eastAsia" w:cs="Times New Roman"/>
          <w:color w:val="auto"/>
          <w:sz w:val="24"/>
          <w:highlight w:val="none"/>
          <w:lang w:eastAsia="zh-CN"/>
        </w:rPr>
        <w:t>吉林市衡永源工贸有限公司</w:t>
      </w:r>
      <w:r>
        <w:rPr>
          <w:rFonts w:hint="default" w:ascii="Times New Roman" w:hAnsi="Times New Roman" w:cs="Times New Roman"/>
          <w:color w:val="auto"/>
          <w:sz w:val="24"/>
          <w:highlight w:val="none"/>
        </w:rPr>
        <w:t>北大湖采石场方解石矿矿山地质环境恢复治理与土地复垦方案》，</w:t>
      </w:r>
      <w:r>
        <w:rPr>
          <w:rFonts w:hint="default" w:ascii="Times New Roman" w:hAnsi="Times New Roman" w:cs="Times New Roman"/>
          <w:color w:val="auto"/>
          <w:sz w:val="24"/>
          <w:highlight w:val="none"/>
          <w:lang w:val="en-US" w:eastAsia="zh-CN"/>
        </w:rPr>
        <w:t>吉林省兴亚矿业公司</w:t>
      </w:r>
      <w:r>
        <w:rPr>
          <w:rFonts w:hint="default" w:ascii="Times New Roman" w:hAnsi="Times New Roman" w:cs="Times New Roman"/>
          <w:color w:val="auto"/>
          <w:sz w:val="24"/>
          <w:highlight w:val="none"/>
        </w:rPr>
        <w:t>，201</w:t>
      </w:r>
      <w:r>
        <w:rPr>
          <w:rFonts w:hint="eastAsia" w:cs="Times New Roman"/>
          <w:color w:val="auto"/>
          <w:sz w:val="24"/>
          <w:highlight w:val="none"/>
          <w:lang w:val="en-US" w:eastAsia="zh-CN"/>
        </w:rPr>
        <w:t>5</w:t>
      </w:r>
      <w:r>
        <w:rPr>
          <w:rFonts w:hint="default" w:ascii="Times New Roman" w:hAnsi="Times New Roman" w:cs="Times New Roman"/>
          <w:color w:val="auto"/>
          <w:sz w:val="24"/>
          <w:highlight w:val="none"/>
        </w:rPr>
        <w:t>年</w:t>
      </w:r>
      <w:r>
        <w:rPr>
          <w:rFonts w:hint="eastAsia" w:cs="Times New Roman"/>
          <w:color w:val="auto"/>
          <w:sz w:val="24"/>
          <w:highlight w:val="none"/>
          <w:lang w:val="en-US" w:eastAsia="zh-CN"/>
        </w:rPr>
        <w:t>1</w:t>
      </w:r>
      <w:r>
        <w:rPr>
          <w:rFonts w:hint="default" w:ascii="Times New Roman" w:hAnsi="Times New Roman" w:cs="Times New Roman"/>
          <w:color w:val="auto"/>
          <w:sz w:val="24"/>
          <w:highlight w:val="none"/>
        </w:rPr>
        <w:t>月</w:t>
      </w:r>
      <w:r>
        <w:rPr>
          <w:rFonts w:hint="eastAsia" w:cs="Times New Roman"/>
          <w:color w:val="auto"/>
          <w:sz w:val="24"/>
          <w:highlight w:val="none"/>
          <w:lang w:eastAsia="zh-CN"/>
        </w:rPr>
        <w:t>。</w:t>
      </w:r>
    </w:p>
    <w:bookmarkEnd w:id="30"/>
    <w:bookmarkEnd w:id="31"/>
    <w:bookmarkEnd w:id="32"/>
    <w:bookmarkEnd w:id="33"/>
    <w:bookmarkEnd w:id="34"/>
    <w:bookmarkEnd w:id="35"/>
    <w:bookmarkEnd w:id="39"/>
    <w:bookmarkEnd w:id="40"/>
    <w:bookmarkEnd w:id="41"/>
    <w:bookmarkEnd w:id="42"/>
    <w:p w14:paraId="5FB662DB">
      <w:pPr>
        <w:pStyle w:val="4"/>
        <w:ind w:firstLine="0" w:firstLineChars="0"/>
        <w:rPr>
          <w:rFonts w:hint="default" w:ascii="Times New Roman" w:hAnsi="Times New Roman" w:eastAsia="黑体" w:cs="Times New Roman"/>
          <w:b w:val="0"/>
          <w:color w:val="auto"/>
          <w:sz w:val="30"/>
          <w:szCs w:val="30"/>
          <w:highlight w:val="none"/>
        </w:rPr>
      </w:pPr>
      <w:bookmarkStart w:id="43" w:name="_Toc12120"/>
      <w:r>
        <w:rPr>
          <w:rFonts w:hint="default" w:ascii="Times New Roman" w:hAnsi="Times New Roman" w:eastAsia="黑体" w:cs="Times New Roman"/>
          <w:b w:val="0"/>
          <w:color w:val="auto"/>
          <w:sz w:val="30"/>
          <w:szCs w:val="30"/>
          <w:highlight w:val="none"/>
        </w:rPr>
        <w:t>四、方案的适用年限</w:t>
      </w:r>
      <w:bookmarkEnd w:id="43"/>
      <w:r>
        <w:rPr>
          <w:rFonts w:hint="default" w:ascii="Times New Roman" w:hAnsi="Times New Roman" w:eastAsia="黑体" w:cs="Times New Roman"/>
          <w:b w:val="0"/>
          <w:color w:val="auto"/>
          <w:sz w:val="30"/>
          <w:szCs w:val="30"/>
          <w:highlight w:val="none"/>
        </w:rPr>
        <w:t xml:space="preserve">                                                                                                                                                                                                                                                                                                                                   </w:t>
      </w:r>
    </w:p>
    <w:p w14:paraId="36EFD75B">
      <w:pPr>
        <w:pStyle w:val="5"/>
        <w:rPr>
          <w:rFonts w:hint="default" w:ascii="Times New Roman" w:hAnsi="Times New Roman" w:eastAsia="黑体" w:cs="Times New Roman"/>
          <w:color w:val="auto"/>
          <w:szCs w:val="28"/>
          <w:highlight w:val="none"/>
        </w:rPr>
      </w:pPr>
      <w:r>
        <w:rPr>
          <w:rFonts w:hint="default" w:ascii="Times New Roman" w:hAnsi="Times New Roman" w:eastAsia="黑体" w:cs="Times New Roman"/>
          <w:color w:val="auto"/>
          <w:szCs w:val="28"/>
          <w:highlight w:val="none"/>
        </w:rPr>
        <w:t>（一）方案服务年限</w:t>
      </w:r>
    </w:p>
    <w:p w14:paraId="60CED0C1">
      <w:pPr>
        <w:spacing w:line="360" w:lineRule="auto"/>
        <w:ind w:firstLine="480" w:firstLineChars="200"/>
        <w:jc w:val="both"/>
        <w:rPr>
          <w:rFonts w:hint="default" w:ascii="Times New Roman" w:hAnsi="Times New Roman" w:cs="Times New Roman"/>
          <w:color w:val="auto"/>
          <w:sz w:val="24"/>
          <w:szCs w:val="20"/>
          <w:highlight w:val="none"/>
        </w:rPr>
      </w:pPr>
      <w:bookmarkStart w:id="44" w:name="_Toc270767052"/>
      <w:bookmarkStart w:id="45" w:name="_Toc270766125"/>
      <w:bookmarkStart w:id="46" w:name="_Toc256151420"/>
      <w:bookmarkStart w:id="47" w:name="_Toc288849793"/>
      <w:bookmarkStart w:id="48" w:name="_Toc283135691"/>
      <w:bookmarkStart w:id="49" w:name="_Toc288775772"/>
      <w:bookmarkStart w:id="50" w:name="_Toc454439589"/>
      <w:bookmarkStart w:id="51" w:name="_Toc380584794"/>
      <w:bookmarkStart w:id="52" w:name="_Toc487105249"/>
      <w:r>
        <w:rPr>
          <w:rFonts w:hint="eastAsia" w:cs="Times New Roman"/>
          <w:color w:val="auto"/>
          <w:sz w:val="24"/>
          <w:szCs w:val="20"/>
          <w:highlight w:val="none"/>
          <w:lang w:eastAsia="zh-CN"/>
        </w:rPr>
        <w:t>北大湖采石场</w:t>
      </w:r>
      <w:r>
        <w:rPr>
          <w:rFonts w:hint="default" w:ascii="Times New Roman" w:hAnsi="Times New Roman" w:cs="Times New Roman"/>
          <w:color w:val="auto"/>
          <w:sz w:val="24"/>
          <w:szCs w:val="20"/>
          <w:highlight w:val="none"/>
        </w:rPr>
        <w:t>是</w:t>
      </w:r>
      <w:bookmarkStart w:id="53" w:name="_Hlk9793529"/>
      <w:r>
        <w:rPr>
          <w:rFonts w:hint="default" w:ascii="Times New Roman" w:hAnsi="Times New Roman" w:cs="Times New Roman"/>
          <w:color w:val="auto"/>
          <w:sz w:val="24"/>
          <w:szCs w:val="20"/>
          <w:highlight w:val="none"/>
          <w:lang w:val="en-US" w:eastAsia="zh-CN"/>
        </w:rPr>
        <w:t>既有</w:t>
      </w:r>
      <w:r>
        <w:rPr>
          <w:rFonts w:hint="default" w:ascii="Times New Roman" w:hAnsi="Times New Roman" w:cs="Times New Roman"/>
          <w:color w:val="auto"/>
          <w:sz w:val="24"/>
          <w:szCs w:val="20"/>
          <w:highlight w:val="none"/>
        </w:rPr>
        <w:t>矿山</w:t>
      </w:r>
      <w:bookmarkStart w:id="54" w:name="_Hlk37616596"/>
      <w:r>
        <w:rPr>
          <w:rFonts w:hint="eastAsia" w:cs="Times New Roman"/>
          <w:color w:val="auto"/>
          <w:sz w:val="24"/>
          <w:szCs w:val="20"/>
          <w:highlight w:val="none"/>
          <w:lang w:eastAsia="zh-CN"/>
        </w:rPr>
        <w:t>，</w:t>
      </w:r>
      <w:r>
        <w:rPr>
          <w:rFonts w:hint="default" w:ascii="Times New Roman" w:hAnsi="Times New Roman" w:cs="Times New Roman"/>
          <w:color w:val="auto"/>
          <w:sz w:val="24"/>
          <w:szCs w:val="20"/>
          <w:highlight w:val="none"/>
        </w:rPr>
        <w:t>采矿许可证</w:t>
      </w:r>
      <w:r>
        <w:rPr>
          <w:rFonts w:hint="default" w:ascii="Times New Roman" w:hAnsi="Times New Roman" w:cs="Times New Roman"/>
          <w:color w:val="auto"/>
          <w:sz w:val="24"/>
          <w:highlight w:val="none"/>
        </w:rPr>
        <w:t>有效期限：</w:t>
      </w:r>
      <w:r>
        <w:rPr>
          <w:rFonts w:hint="eastAsia" w:cs="Times New Roman"/>
          <w:color w:val="auto"/>
          <w:sz w:val="24"/>
          <w:highlight w:val="none"/>
          <w:lang w:eastAsia="zh-CN"/>
        </w:rPr>
        <w:t>2014年9月8日至2024年9月8日</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采矿证</w:t>
      </w:r>
      <w:r>
        <w:rPr>
          <w:rFonts w:hint="eastAsia" w:cs="Times New Roman"/>
          <w:color w:val="auto"/>
          <w:sz w:val="24"/>
          <w:highlight w:val="none"/>
          <w:lang w:val="en-US" w:eastAsia="zh-CN"/>
        </w:rPr>
        <w:t>已经</w:t>
      </w:r>
      <w:r>
        <w:rPr>
          <w:rFonts w:hint="default" w:ascii="Times New Roman" w:hAnsi="Times New Roman" w:cs="Times New Roman"/>
          <w:color w:val="auto"/>
          <w:sz w:val="24"/>
          <w:highlight w:val="none"/>
        </w:rPr>
        <w:t>过期。根据《</w:t>
      </w:r>
      <w:r>
        <w:rPr>
          <w:rFonts w:hint="eastAsia" w:cs="Times New Roman"/>
          <w:color w:val="auto"/>
          <w:sz w:val="24"/>
          <w:highlight w:val="none"/>
          <w:lang w:eastAsia="zh-CN"/>
        </w:rPr>
        <w:t>采矿权评估报告书</w:t>
      </w:r>
      <w:r>
        <w:rPr>
          <w:rFonts w:hint="default" w:ascii="Times New Roman" w:hAnsi="Times New Roman" w:cs="Times New Roman"/>
          <w:color w:val="auto"/>
          <w:sz w:val="24"/>
          <w:highlight w:val="none"/>
        </w:rPr>
        <w:t>》</w:t>
      </w:r>
      <w:r>
        <w:rPr>
          <w:rFonts w:hint="eastAsia" w:cs="Times New Roman"/>
          <w:color w:val="auto"/>
          <w:sz w:val="24"/>
          <w:highlight w:val="none"/>
          <w:lang w:eastAsia="zh-CN"/>
        </w:rPr>
        <w:t>（</w:t>
      </w:r>
      <w:r>
        <w:rPr>
          <w:rFonts w:hint="eastAsia" w:cs="Times New Roman"/>
          <w:color w:val="auto"/>
          <w:sz w:val="24"/>
          <w:highlight w:val="none"/>
          <w:lang w:val="en-US" w:eastAsia="zh-CN"/>
        </w:rPr>
        <w:t>附件13</w:t>
      </w:r>
      <w:r>
        <w:rPr>
          <w:rFonts w:hint="eastAsia" w:cs="Times New Roman"/>
          <w:color w:val="auto"/>
          <w:sz w:val="24"/>
          <w:highlight w:val="none"/>
          <w:lang w:eastAsia="zh-CN"/>
        </w:rPr>
        <w:t>），北大湖采石场利用的可采储量</w:t>
      </w:r>
      <w:r>
        <w:rPr>
          <w:rFonts w:hint="eastAsia" w:cs="Times New Roman"/>
          <w:color w:val="auto"/>
          <w:sz w:val="24"/>
          <w:highlight w:val="none"/>
          <w:lang w:val="en-US" w:eastAsia="zh-CN"/>
        </w:rPr>
        <w:t>为37.20</w:t>
      </w:r>
      <w:r>
        <w:rPr>
          <w:rFonts w:hint="eastAsia" w:cs="Times New Roman"/>
          <w:color w:val="auto"/>
          <w:sz w:val="24"/>
          <w:highlight w:val="none"/>
          <w:lang w:eastAsia="zh-CN"/>
        </w:rPr>
        <w:t>万吨，</w:t>
      </w:r>
      <w:r>
        <w:rPr>
          <w:rFonts w:hint="eastAsia" w:cs="Times New Roman"/>
          <w:color w:val="auto"/>
          <w:sz w:val="24"/>
          <w:highlight w:val="none"/>
          <w:lang w:val="en-US" w:eastAsia="zh-CN"/>
        </w:rPr>
        <w:t>按照矿山</w:t>
      </w:r>
      <w:r>
        <w:rPr>
          <w:rFonts w:hint="default" w:ascii="Times New Roman" w:hAnsi="Times New Roman" w:cs="Times New Roman"/>
          <w:color w:val="auto"/>
          <w:sz w:val="24"/>
          <w:highlight w:val="none"/>
        </w:rPr>
        <w:t>生产规模为</w:t>
      </w:r>
      <w:r>
        <w:rPr>
          <w:rFonts w:hint="eastAsia" w:cs="Times New Roman"/>
          <w:color w:val="auto"/>
          <w:sz w:val="24"/>
          <w:highlight w:val="none"/>
          <w:lang w:val="en-US" w:eastAsia="zh-CN"/>
        </w:rPr>
        <w:t>10</w:t>
      </w:r>
      <w:r>
        <w:rPr>
          <w:rFonts w:hint="default" w:ascii="Times New Roman" w:hAnsi="Times New Roman" w:cs="Times New Roman"/>
          <w:color w:val="auto"/>
          <w:sz w:val="24"/>
          <w:highlight w:val="none"/>
        </w:rPr>
        <w:t>×10</w:t>
      </w:r>
      <w:r>
        <w:rPr>
          <w:rFonts w:hint="default" w:ascii="Times New Roman" w:hAnsi="Times New Roman" w:cs="Times New Roman"/>
          <w:color w:val="auto"/>
          <w:sz w:val="24"/>
          <w:highlight w:val="none"/>
          <w:vertAlign w:val="superscript"/>
        </w:rPr>
        <w:t>4</w:t>
      </w:r>
      <w:r>
        <w:rPr>
          <w:rFonts w:hint="default" w:ascii="Times New Roman" w:hAnsi="Times New Roman" w:cs="Times New Roman"/>
          <w:color w:val="auto"/>
          <w:sz w:val="24"/>
          <w:highlight w:val="none"/>
        </w:rPr>
        <w:t>t/a</w:t>
      </w:r>
      <w:r>
        <w:rPr>
          <w:rFonts w:hint="eastAsia" w:cs="Times New Roman"/>
          <w:color w:val="auto"/>
          <w:sz w:val="24"/>
          <w:highlight w:val="none"/>
          <w:lang w:val="en-US" w:eastAsia="zh-CN"/>
        </w:rPr>
        <w:t>计算</w:t>
      </w: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矿山</w:t>
      </w:r>
      <w:r>
        <w:rPr>
          <w:rFonts w:hint="default" w:ascii="Times New Roman" w:hAnsi="Times New Roman" w:cs="Times New Roman"/>
          <w:color w:val="auto"/>
          <w:sz w:val="24"/>
          <w:highlight w:val="none"/>
          <w:lang w:val="en-US" w:eastAsia="zh-CN"/>
        </w:rPr>
        <w:t>剩余可采</w:t>
      </w:r>
      <w:r>
        <w:rPr>
          <w:rFonts w:hint="default" w:ascii="Times New Roman" w:hAnsi="Times New Roman" w:cs="Times New Roman"/>
          <w:color w:val="auto"/>
          <w:sz w:val="24"/>
          <w:highlight w:val="none"/>
        </w:rPr>
        <w:t>年限为</w:t>
      </w:r>
      <w:r>
        <w:rPr>
          <w:rFonts w:hint="eastAsia" w:cs="Times New Roman"/>
          <w:color w:val="auto"/>
          <w:sz w:val="24"/>
          <w:highlight w:val="none"/>
          <w:lang w:val="en-US" w:eastAsia="zh-CN"/>
        </w:rPr>
        <w:t>3.72</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lang w:val="en-US" w:eastAsia="zh-CN"/>
        </w:rPr>
        <w:t>（自</w:t>
      </w:r>
      <w:r>
        <w:rPr>
          <w:rFonts w:hint="default" w:ascii="Times New Roman" w:hAnsi="Times New Roman" w:cs="Times New Roman"/>
          <w:color w:val="auto"/>
          <w:sz w:val="24"/>
          <w:highlight w:val="none"/>
        </w:rPr>
        <w:t>202</w:t>
      </w:r>
      <w:r>
        <w:rPr>
          <w:rFonts w:hint="eastAsia" w:cs="Times New Roman"/>
          <w:color w:val="auto"/>
          <w:sz w:val="24"/>
          <w:highlight w:val="none"/>
          <w:lang w:val="en-US" w:eastAsia="zh-CN"/>
        </w:rPr>
        <w:t>5</w:t>
      </w:r>
      <w:r>
        <w:rPr>
          <w:rFonts w:hint="default" w:ascii="Times New Roman" w:hAnsi="Times New Roman" w:cs="Times New Roman"/>
          <w:color w:val="auto"/>
          <w:sz w:val="24"/>
          <w:highlight w:val="none"/>
        </w:rPr>
        <w:t>年</w:t>
      </w:r>
      <w:r>
        <w:rPr>
          <w:rFonts w:hint="eastAsia" w:cs="Times New Roman"/>
          <w:color w:val="auto"/>
          <w:sz w:val="24"/>
          <w:highlight w:val="none"/>
          <w:lang w:val="en-US" w:eastAsia="zh-CN"/>
        </w:rPr>
        <w:t>5</w:t>
      </w:r>
      <w:r>
        <w:rPr>
          <w:rFonts w:hint="default" w:ascii="Times New Roman" w:hAnsi="Times New Roman" w:cs="Times New Roman"/>
          <w:color w:val="auto"/>
          <w:sz w:val="24"/>
          <w:highlight w:val="none"/>
        </w:rPr>
        <w:t>月至20</w:t>
      </w:r>
      <w:r>
        <w:rPr>
          <w:rFonts w:hint="eastAsia" w:cs="Times New Roman"/>
          <w:color w:val="auto"/>
          <w:sz w:val="24"/>
          <w:highlight w:val="none"/>
          <w:lang w:val="en-US" w:eastAsia="zh-CN"/>
        </w:rPr>
        <w:t>28</w:t>
      </w:r>
      <w:r>
        <w:rPr>
          <w:rFonts w:hint="default" w:ascii="Times New Roman" w:hAnsi="Times New Roman" w:cs="Times New Roman"/>
          <w:color w:val="auto"/>
          <w:sz w:val="24"/>
          <w:highlight w:val="none"/>
        </w:rPr>
        <w:t>年</w:t>
      </w:r>
      <w:r>
        <w:rPr>
          <w:rFonts w:hint="eastAsia" w:cs="Times New Roman"/>
          <w:color w:val="auto"/>
          <w:sz w:val="24"/>
          <w:highlight w:val="none"/>
          <w:lang w:val="en-US" w:eastAsia="zh-CN"/>
        </w:rPr>
        <w:t>12</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rPr>
        <w:t>矿山终采后，治理复垦需要1年，管护期3年，确定本方案规划服务年限为</w:t>
      </w:r>
      <w:r>
        <w:rPr>
          <w:rFonts w:hint="eastAsia" w:cs="Times New Roman"/>
          <w:color w:val="auto"/>
          <w:sz w:val="24"/>
          <w:highlight w:val="none"/>
          <w:lang w:val="en-US" w:eastAsia="zh-CN"/>
        </w:rPr>
        <w:t>7.72</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自</w:t>
      </w:r>
      <w:r>
        <w:rPr>
          <w:rFonts w:hint="default" w:ascii="Times New Roman" w:hAnsi="Times New Roman" w:cs="Times New Roman"/>
          <w:color w:val="auto"/>
          <w:sz w:val="24"/>
          <w:highlight w:val="none"/>
        </w:rPr>
        <w:t>202</w:t>
      </w:r>
      <w:r>
        <w:rPr>
          <w:rFonts w:hint="eastAsia" w:cs="Times New Roman"/>
          <w:color w:val="auto"/>
          <w:sz w:val="24"/>
          <w:highlight w:val="none"/>
          <w:lang w:val="en-US" w:eastAsia="zh-CN"/>
        </w:rPr>
        <w:t>5</w:t>
      </w:r>
      <w:r>
        <w:rPr>
          <w:rFonts w:hint="default" w:ascii="Times New Roman" w:hAnsi="Times New Roman" w:cs="Times New Roman"/>
          <w:color w:val="auto"/>
          <w:sz w:val="24"/>
          <w:highlight w:val="none"/>
        </w:rPr>
        <w:t>年</w:t>
      </w:r>
      <w:r>
        <w:rPr>
          <w:rFonts w:hint="eastAsia" w:cs="Times New Roman"/>
          <w:color w:val="auto"/>
          <w:sz w:val="24"/>
          <w:highlight w:val="none"/>
          <w:lang w:val="en-US" w:eastAsia="zh-CN"/>
        </w:rPr>
        <w:t>5</w:t>
      </w:r>
      <w:r>
        <w:rPr>
          <w:rFonts w:hint="default" w:ascii="Times New Roman" w:hAnsi="Times New Roman" w:cs="Times New Roman"/>
          <w:color w:val="auto"/>
          <w:sz w:val="24"/>
          <w:highlight w:val="none"/>
        </w:rPr>
        <w:t>月至</w:t>
      </w:r>
      <w:r>
        <w:rPr>
          <w:rFonts w:hint="eastAsia" w:cs="Times New Roman"/>
          <w:color w:val="auto"/>
          <w:sz w:val="24"/>
          <w:highlight w:val="none"/>
          <w:lang w:eastAsia="zh-CN"/>
        </w:rPr>
        <w:t>2031年12月</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w:t>
      </w:r>
      <w:bookmarkEnd w:id="53"/>
      <w:bookmarkEnd w:id="54"/>
    </w:p>
    <w:p w14:paraId="6A492843">
      <w:pPr>
        <w:spacing w:line="360" w:lineRule="auto"/>
        <w:ind w:firstLine="480" w:firstLineChars="200"/>
        <w:rPr>
          <w:rFonts w:hint="default" w:ascii="Times New Roman" w:hAnsi="Times New Roman" w:cs="Times New Roman"/>
          <w:color w:val="auto"/>
          <w:sz w:val="24"/>
          <w:szCs w:val="20"/>
          <w:highlight w:val="none"/>
        </w:rPr>
      </w:pPr>
      <w:r>
        <w:rPr>
          <w:rFonts w:hint="eastAsia" w:cs="Times New Roman"/>
          <w:color w:val="auto"/>
          <w:sz w:val="24"/>
          <w:szCs w:val="20"/>
          <w:highlight w:val="none"/>
          <w:lang w:val="en-US" w:eastAsia="zh-CN"/>
        </w:rPr>
        <w:t>本方案的适用期为5年，</w:t>
      </w:r>
      <w:r>
        <w:rPr>
          <w:rFonts w:hint="default" w:ascii="Times New Roman" w:hAnsi="Times New Roman" w:cs="Times New Roman"/>
          <w:color w:val="auto"/>
          <w:sz w:val="24"/>
          <w:szCs w:val="20"/>
          <w:highlight w:val="none"/>
        </w:rPr>
        <w:t>适用期结束前应该重新编制方案。若采矿权人扩大开采规模、变更矿区范围、变更开采方式应重新编制方案，以更好地适应矿山地质环境保护与土地复垦工作</w:t>
      </w:r>
      <w:r>
        <w:rPr>
          <w:rFonts w:hint="default" w:ascii="Times New Roman" w:hAnsi="Times New Roman" w:cs="Times New Roman"/>
          <w:color w:val="auto"/>
          <w:sz w:val="24"/>
          <w:szCs w:val="20"/>
          <w:highlight w:val="none"/>
          <w:lang w:val="en-US" w:eastAsia="zh-CN"/>
        </w:rPr>
        <w:t>的</w:t>
      </w:r>
      <w:r>
        <w:rPr>
          <w:rFonts w:hint="default" w:ascii="Times New Roman" w:hAnsi="Times New Roman" w:cs="Times New Roman"/>
          <w:color w:val="auto"/>
          <w:sz w:val="24"/>
          <w:szCs w:val="20"/>
          <w:highlight w:val="none"/>
        </w:rPr>
        <w:t>进行。</w:t>
      </w:r>
    </w:p>
    <w:p w14:paraId="6A1F7A6D">
      <w:pPr>
        <w:pStyle w:val="5"/>
        <w:rPr>
          <w:rFonts w:hint="default" w:ascii="Times New Roman" w:hAnsi="Times New Roman" w:eastAsia="黑体" w:cs="Times New Roman"/>
          <w:color w:val="auto"/>
          <w:szCs w:val="28"/>
          <w:highlight w:val="none"/>
        </w:rPr>
      </w:pPr>
      <w:r>
        <w:rPr>
          <w:rFonts w:hint="default" w:ascii="Times New Roman" w:hAnsi="Times New Roman" w:eastAsia="黑体" w:cs="Times New Roman"/>
          <w:color w:val="auto"/>
          <w:szCs w:val="28"/>
          <w:highlight w:val="none"/>
        </w:rPr>
        <w:t>（二）方案基准期</w:t>
      </w:r>
    </w:p>
    <w:p w14:paraId="12299E75">
      <w:pPr>
        <w:pStyle w:val="119"/>
        <w:spacing w:line="360" w:lineRule="auto"/>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highlight w:val="none"/>
        </w:rPr>
        <w:t>根据中华人民共和国国土资源部2016年12月印发的《矿山地质环境保护与土地复垦方案编制指南》</w:t>
      </w:r>
      <w:r>
        <w:rPr>
          <w:rFonts w:hint="default" w:ascii="Times New Roman" w:hAnsi="Times New Roman" w:cs="Times New Roman"/>
          <w:color w:val="auto"/>
          <w:sz w:val="24"/>
          <w:highlight w:val="none"/>
          <w:lang w:eastAsia="zh-CN"/>
        </w:rPr>
        <w:t>，生产矿山以相关部门批准该方案之日算起。</w:t>
      </w:r>
      <w:r>
        <w:rPr>
          <w:rFonts w:hint="eastAsia" w:ascii="Times New Roman" w:cs="Times New Roman"/>
          <w:color w:val="auto"/>
          <w:sz w:val="24"/>
          <w:highlight w:val="none"/>
          <w:lang w:val="en-US" w:eastAsia="zh-CN"/>
        </w:rPr>
        <w:t>因此</w:t>
      </w:r>
      <w:r>
        <w:rPr>
          <w:rFonts w:hint="default" w:ascii="Times New Roman" w:hAnsi="Times New Roman" w:cs="Times New Roman"/>
          <w:color w:val="auto"/>
          <w:sz w:val="24"/>
          <w:highlight w:val="none"/>
        </w:rPr>
        <w:t>暂定本方案基准期为202</w:t>
      </w:r>
      <w:r>
        <w:rPr>
          <w:rFonts w:hint="eastAsia" w:ascii="Times New Roman" w:cs="Times New Roman"/>
          <w:color w:val="auto"/>
          <w:sz w:val="24"/>
          <w:highlight w:val="none"/>
          <w:lang w:val="en-US" w:eastAsia="zh-CN"/>
        </w:rPr>
        <w:t>5</w:t>
      </w:r>
      <w:r>
        <w:rPr>
          <w:rFonts w:hint="default" w:ascii="Times New Roman" w:hAnsi="Times New Roman" w:cs="Times New Roman"/>
          <w:color w:val="auto"/>
          <w:sz w:val="24"/>
          <w:highlight w:val="none"/>
        </w:rPr>
        <w:t>年</w:t>
      </w:r>
      <w:r>
        <w:rPr>
          <w:rFonts w:hint="eastAsia" w:ascii="Times New Roman" w:cs="Times New Roman"/>
          <w:color w:val="auto"/>
          <w:sz w:val="24"/>
          <w:highlight w:val="none"/>
          <w:lang w:val="en-US" w:eastAsia="zh-CN"/>
        </w:rPr>
        <w:t>5</w:t>
      </w:r>
      <w:r>
        <w:rPr>
          <w:rFonts w:hint="default" w:ascii="Times New Roman" w:hAnsi="Times New Roman" w:cs="Times New Roman"/>
          <w:color w:val="auto"/>
          <w:sz w:val="24"/>
          <w:highlight w:val="none"/>
        </w:rPr>
        <w:t>月。</w:t>
      </w:r>
    </w:p>
    <w:bookmarkEnd w:id="44"/>
    <w:bookmarkEnd w:id="45"/>
    <w:bookmarkEnd w:id="46"/>
    <w:bookmarkEnd w:id="47"/>
    <w:bookmarkEnd w:id="48"/>
    <w:bookmarkEnd w:id="49"/>
    <w:p w14:paraId="1026B9BC">
      <w:pPr>
        <w:pStyle w:val="4"/>
        <w:ind w:firstLine="0" w:firstLineChars="0"/>
        <w:rPr>
          <w:rFonts w:hint="default" w:ascii="Times New Roman" w:hAnsi="Times New Roman" w:eastAsia="黑体" w:cs="Times New Roman"/>
          <w:b w:val="0"/>
          <w:color w:val="auto"/>
          <w:sz w:val="30"/>
          <w:szCs w:val="30"/>
          <w:highlight w:val="none"/>
        </w:rPr>
      </w:pPr>
      <w:bookmarkStart w:id="55" w:name="_Toc25852"/>
      <w:r>
        <w:rPr>
          <w:rFonts w:hint="default" w:ascii="Times New Roman" w:hAnsi="Times New Roman" w:eastAsia="黑体" w:cs="Times New Roman"/>
          <w:b w:val="0"/>
          <w:color w:val="auto"/>
          <w:sz w:val="30"/>
          <w:szCs w:val="30"/>
          <w:highlight w:val="none"/>
        </w:rPr>
        <w:t>五、</w:t>
      </w:r>
      <w:bookmarkEnd w:id="50"/>
      <w:bookmarkEnd w:id="51"/>
      <w:r>
        <w:rPr>
          <w:rFonts w:hint="default" w:ascii="Times New Roman" w:hAnsi="Times New Roman" w:eastAsia="黑体" w:cs="Times New Roman"/>
          <w:b w:val="0"/>
          <w:color w:val="auto"/>
          <w:sz w:val="30"/>
          <w:szCs w:val="30"/>
          <w:highlight w:val="none"/>
        </w:rPr>
        <w:t>编制工作概况</w:t>
      </w:r>
      <w:bookmarkEnd w:id="52"/>
      <w:bookmarkEnd w:id="55"/>
    </w:p>
    <w:p w14:paraId="6F88CA10">
      <w:pPr>
        <w:pStyle w:val="5"/>
        <w:rPr>
          <w:rFonts w:hint="default" w:ascii="Times New Roman" w:hAnsi="Times New Roman" w:eastAsia="黑体" w:cs="Times New Roman"/>
          <w:color w:val="auto"/>
          <w:szCs w:val="28"/>
          <w:highlight w:val="none"/>
        </w:rPr>
      </w:pPr>
      <w:r>
        <w:rPr>
          <w:rFonts w:hint="default" w:ascii="Times New Roman" w:hAnsi="Times New Roman" w:eastAsia="黑体" w:cs="Times New Roman"/>
          <w:color w:val="auto"/>
          <w:szCs w:val="28"/>
          <w:highlight w:val="none"/>
        </w:rPr>
        <w:t>（一）工作程序</w:t>
      </w:r>
    </w:p>
    <w:p w14:paraId="6FF8874D">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次方案的编制按照中华人民共和国自然资源部发布的《矿山地质环境保护与恢复治理方案编制规范》、《土地复垦方案编制规程》和《矿山地质环境保护与土地复垦方案编制指南》进行。工作程序为：接受业主委托，在充分收集和利用既有资料的基础上，结合现场调查矿区的地质环境条件、社会经济条件、现状地质灾害和地质环境的类型、分布规模、稳定程度、活动特点等因素综合分析，进行</w:t>
      </w:r>
      <w:r>
        <w:rPr>
          <w:rFonts w:hint="eastAsia" w:cs="Times New Roman"/>
          <w:color w:val="auto"/>
          <w:sz w:val="24"/>
          <w:highlight w:val="none"/>
          <w:lang w:eastAsia="zh-CN"/>
        </w:rPr>
        <w:t>北大湖采石场</w:t>
      </w:r>
      <w:r>
        <w:rPr>
          <w:rFonts w:hint="default" w:ascii="Times New Roman" w:hAnsi="Times New Roman" w:cs="Times New Roman"/>
          <w:color w:val="auto"/>
          <w:sz w:val="24"/>
          <w:highlight w:val="none"/>
        </w:rPr>
        <w:t>的地质环境影响评价、地质环境保护与治理恢复分区、并提出</w:t>
      </w:r>
      <w:r>
        <w:rPr>
          <w:rFonts w:hint="eastAsia" w:cs="Times New Roman"/>
          <w:color w:val="auto"/>
          <w:sz w:val="24"/>
          <w:highlight w:val="none"/>
          <w:lang w:eastAsia="zh-CN"/>
        </w:rPr>
        <w:t>北大湖采石场</w:t>
      </w:r>
      <w:r>
        <w:rPr>
          <w:rFonts w:hint="default" w:ascii="Times New Roman" w:hAnsi="Times New Roman" w:cs="Times New Roman"/>
          <w:color w:val="auto"/>
          <w:sz w:val="24"/>
          <w:highlight w:val="none"/>
        </w:rPr>
        <w:t>的地质环境保护与土地复垦措施和建议。方案的编制工作程序框图如图0-1</w:t>
      </w:r>
      <w:r>
        <w:rPr>
          <w:rFonts w:hint="eastAsia" w:cs="Times New Roman"/>
          <w:color w:val="auto"/>
          <w:sz w:val="24"/>
          <w:highlight w:val="none"/>
          <w:lang w:val="en-US" w:eastAsia="zh-CN"/>
        </w:rPr>
        <w:t xml:space="preserve"> </w:t>
      </w:r>
      <w:r>
        <w:rPr>
          <w:rFonts w:hint="default" w:ascii="Times New Roman" w:hAnsi="Times New Roman" w:cs="Times New Roman"/>
          <w:color w:val="auto"/>
          <w:sz w:val="24"/>
          <w:highlight w:val="none"/>
        </w:rPr>
        <w:t>工作程序框图所示。</w:t>
      </w:r>
    </w:p>
    <w:p w14:paraId="345E7663">
      <w:pPr>
        <w:spacing w:line="360" w:lineRule="auto"/>
        <w:jc w:val="center"/>
        <w:rPr>
          <w:rFonts w:hint="default" w:ascii="Times New Roman" w:hAnsi="Times New Roman" w:cs="Times New Roman"/>
          <w:color w:val="auto"/>
          <w:sz w:val="24"/>
          <w:highlight w:val="none"/>
        </w:rPr>
      </w:pPr>
      <w:r>
        <w:rPr>
          <w:rFonts w:hint="default" w:ascii="Times New Roman" w:hAnsi="Times New Roman" w:cs="Times New Roman"/>
          <w:color w:val="auto"/>
          <w:highlight w:val="none"/>
        </w:rPr>
        <w:drawing>
          <wp:inline distT="0" distB="0" distL="0" distR="0">
            <wp:extent cx="3133725" cy="4105275"/>
            <wp:effectExtent l="1905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5"/>
                    <a:srcRect/>
                    <a:stretch>
                      <a:fillRect/>
                    </a:stretch>
                  </pic:blipFill>
                  <pic:spPr>
                    <a:xfrm>
                      <a:off x="0" y="0"/>
                      <a:ext cx="3133725" cy="4105275"/>
                    </a:xfrm>
                    <a:prstGeom prst="rect">
                      <a:avLst/>
                    </a:prstGeom>
                    <a:noFill/>
                    <a:ln w="9525">
                      <a:noFill/>
                      <a:miter lim="800000"/>
                      <a:headEnd/>
                      <a:tailEnd/>
                    </a:ln>
                  </pic:spPr>
                </pic:pic>
              </a:graphicData>
            </a:graphic>
          </wp:inline>
        </w:drawing>
      </w:r>
    </w:p>
    <w:p w14:paraId="54862A3F">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黑体" w:cs="Times New Roman"/>
          <w:b w:val="0"/>
          <w:bCs/>
          <w:color w:val="auto"/>
          <w:szCs w:val="21"/>
          <w:highlight w:val="none"/>
        </w:rPr>
      </w:pPr>
      <w:r>
        <w:rPr>
          <w:rFonts w:hint="default" w:ascii="Times New Roman" w:hAnsi="Times New Roman" w:eastAsia="黑体" w:cs="Times New Roman"/>
          <w:b w:val="0"/>
          <w:bCs/>
          <w:color w:val="auto"/>
          <w:szCs w:val="21"/>
          <w:highlight w:val="none"/>
        </w:rPr>
        <w:t>图0-1 工作程序框图</w:t>
      </w:r>
    </w:p>
    <w:p w14:paraId="4D162A9A">
      <w:pPr>
        <w:pStyle w:val="5"/>
        <w:jc w:val="both"/>
        <w:rPr>
          <w:rFonts w:hint="default" w:ascii="Times New Roman" w:hAnsi="Times New Roman" w:eastAsia="黑体" w:cs="Times New Roman"/>
          <w:color w:val="auto"/>
          <w:szCs w:val="28"/>
          <w:highlight w:val="none"/>
        </w:rPr>
      </w:pPr>
      <w:bookmarkStart w:id="56" w:name="_Toc487105250"/>
      <w:r>
        <w:rPr>
          <w:rFonts w:hint="default" w:ascii="Times New Roman" w:hAnsi="Times New Roman" w:eastAsia="黑体" w:cs="Times New Roman"/>
          <w:color w:val="auto"/>
          <w:szCs w:val="28"/>
          <w:highlight w:val="none"/>
        </w:rPr>
        <w:t>（二）工作方法</w:t>
      </w:r>
      <w:bookmarkEnd w:id="56"/>
    </w:p>
    <w:p w14:paraId="6B0FA9F2">
      <w:pPr>
        <w:spacing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根据国土资源部令第44号《矿山地质环境保护规定》、《矿山地质环境保护与恢复治理方案编制规范》（DZ/T 0223-2011）、《土地复垦方案编制规程》（TD/T</w:t>
      </w:r>
      <w:r>
        <w:rPr>
          <w:rFonts w:hint="eastAsia" w:ascii="Times New Roman" w:hAnsi="Times New Roman" w:cs="Times New Roman"/>
          <w:color w:val="auto"/>
          <w:sz w:val="24"/>
          <w:highlight w:val="none"/>
          <w:lang w:val="en-US" w:eastAsia="zh-CN"/>
        </w:rPr>
        <w:t xml:space="preserve"> </w:t>
      </w:r>
      <w:r>
        <w:rPr>
          <w:rFonts w:hint="default" w:ascii="Times New Roman" w:hAnsi="Times New Roman" w:cs="Times New Roman"/>
          <w:color w:val="auto"/>
          <w:sz w:val="24"/>
          <w:highlight w:val="none"/>
        </w:rPr>
        <w:t>1031-2011）和《矿山地质环境保护与土地复垦方案编制指南》（2016年12月）的基本要求，在工作中首先明确工作思路，熟悉工作内容，确定工作重点，制定项目实施计划。</w:t>
      </w:r>
      <w:bookmarkStart w:id="57" w:name="_Hlk34945921"/>
      <w:r>
        <w:rPr>
          <w:rFonts w:hint="default" w:ascii="Times New Roman" w:hAnsi="Times New Roman" w:cs="Times New Roman"/>
          <w:color w:val="auto"/>
          <w:sz w:val="24"/>
          <w:highlight w:val="none"/>
        </w:rPr>
        <w:t>先资料收集，然后野外踏勘，进行地质灾害现状调查、含水层影响调查、水土影响调查、损毁土地调查、植被土壤调查、进行矿山地质环境现状调查，根据调查结构，划分评估等级，进行矿山地质环境影响。</w:t>
      </w:r>
      <w:bookmarkEnd w:id="57"/>
    </w:p>
    <w:p w14:paraId="4C8CC19D">
      <w:pPr>
        <w:spacing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进行现状评估、预测评估、建设场地地质灾害危险性评估，在此基础上进行矿山地质环境保护与治理恢复分区，明确复垦区和复垦责任范围，制定恢复治理与土地复垦工作措施和工作部署，提出防治工程和地质环境监测方案，并进行经费估算和效益分析。</w:t>
      </w:r>
    </w:p>
    <w:p w14:paraId="045063C6">
      <w:pPr>
        <w:spacing w:line="360" w:lineRule="auto"/>
        <w:ind w:firstLine="480" w:firstLineChars="200"/>
        <w:rPr>
          <w:rFonts w:hint="default" w:ascii="Times New Roman" w:hAnsi="Times New Roman" w:cs="Times New Roman"/>
          <w:b/>
          <w:color w:val="auto"/>
          <w:sz w:val="28"/>
          <w:szCs w:val="28"/>
          <w:highlight w:val="none"/>
        </w:rPr>
      </w:pPr>
      <w:r>
        <w:rPr>
          <w:rFonts w:hint="default" w:ascii="Times New Roman" w:hAnsi="Times New Roman" w:cs="Times New Roman"/>
          <w:color w:val="auto"/>
          <w:sz w:val="24"/>
          <w:highlight w:val="none"/>
        </w:rPr>
        <w:t>根据本项目的特点，本次工作主要采用收集现有资料与现场踏勘相结合，最后进行室内综合分析评估的方法。</w:t>
      </w:r>
    </w:p>
    <w:p w14:paraId="4BBCA770">
      <w:pPr>
        <w:spacing w:line="360" w:lineRule="auto"/>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1、工作人员的配置</w:t>
      </w:r>
    </w:p>
    <w:p w14:paraId="48D8F31E">
      <w:pPr>
        <w:spacing w:line="360" w:lineRule="auto"/>
        <w:ind w:firstLine="480" w:firstLineChars="200"/>
        <w:rPr>
          <w:rFonts w:hint="default" w:ascii="Times New Roman" w:hAnsi="Times New Roman" w:cs="Times New Roman"/>
          <w:color w:val="auto"/>
          <w:sz w:val="24"/>
          <w:highlight w:val="none"/>
        </w:rPr>
      </w:pPr>
      <w:bookmarkStart w:id="58" w:name="_Toc487105251"/>
      <w:r>
        <w:rPr>
          <w:rFonts w:hint="default" w:ascii="Times New Roman" w:hAnsi="Times New Roman" w:cs="Times New Roman"/>
          <w:color w:val="auto"/>
          <w:sz w:val="24"/>
          <w:highlight w:val="none"/>
        </w:rPr>
        <w:t>《方案》项目组人员4人。其具体负责编写情况如下表：</w:t>
      </w:r>
    </w:p>
    <w:p w14:paraId="611279D9">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黑体" w:cs="Times New Roman"/>
          <w:b w:val="0"/>
          <w:bCs/>
          <w:color w:val="auto"/>
          <w:szCs w:val="21"/>
          <w:highlight w:val="none"/>
          <w:lang w:val="en-US" w:eastAsia="zh-CN"/>
        </w:rPr>
      </w:pPr>
      <w:r>
        <w:rPr>
          <w:rFonts w:hint="default" w:ascii="Times New Roman" w:hAnsi="Times New Roman" w:eastAsia="黑体" w:cs="Times New Roman"/>
          <w:b w:val="0"/>
          <w:bCs/>
          <w:color w:val="auto"/>
          <w:szCs w:val="21"/>
          <w:highlight w:val="none"/>
        </w:rPr>
        <w:t>表0-</w:t>
      </w:r>
      <w:r>
        <w:rPr>
          <w:rFonts w:hint="eastAsia" w:ascii="Times New Roman" w:hAnsi="Times New Roman" w:eastAsia="黑体" w:cs="Times New Roman"/>
          <w:b w:val="0"/>
          <w:bCs/>
          <w:color w:val="auto"/>
          <w:szCs w:val="21"/>
          <w:highlight w:val="none"/>
          <w:lang w:val="en-US" w:eastAsia="zh-CN"/>
        </w:rPr>
        <w:t xml:space="preserve">1  </w:t>
      </w:r>
      <w:r>
        <w:rPr>
          <w:rFonts w:hint="default" w:ascii="Times New Roman" w:hAnsi="Times New Roman" w:eastAsia="黑体" w:cs="Times New Roman"/>
          <w:b w:val="0"/>
          <w:bCs/>
          <w:color w:val="auto"/>
          <w:szCs w:val="21"/>
          <w:highlight w:val="none"/>
        </w:rPr>
        <w:t>项目组人员配置情况</w:t>
      </w:r>
      <w:r>
        <w:rPr>
          <w:rFonts w:hint="eastAsia" w:ascii="Times New Roman" w:hAnsi="Times New Roman" w:eastAsia="黑体" w:cs="Times New Roman"/>
          <w:b w:val="0"/>
          <w:bCs/>
          <w:color w:val="auto"/>
          <w:szCs w:val="21"/>
          <w:highlight w:val="none"/>
          <w:lang w:val="en-US" w:eastAsia="zh-CN"/>
        </w:rPr>
        <w:t>表</w:t>
      </w:r>
    </w:p>
    <w:tbl>
      <w:tblPr>
        <w:tblStyle w:val="34"/>
        <w:tblW w:w="0" w:type="auto"/>
        <w:jc w:val="center"/>
        <w:tblLayout w:type="fixed"/>
        <w:tblCellMar>
          <w:top w:w="0" w:type="dxa"/>
          <w:left w:w="108" w:type="dxa"/>
          <w:bottom w:w="0" w:type="dxa"/>
          <w:right w:w="108" w:type="dxa"/>
        </w:tblCellMar>
      </w:tblPr>
      <w:tblGrid>
        <w:gridCol w:w="1206"/>
        <w:gridCol w:w="1320"/>
        <w:gridCol w:w="1271"/>
        <w:gridCol w:w="3148"/>
        <w:gridCol w:w="1577"/>
      </w:tblGrid>
      <w:tr w14:paraId="1B9BED77">
        <w:tblPrEx>
          <w:tblCellMar>
            <w:top w:w="0" w:type="dxa"/>
            <w:left w:w="108" w:type="dxa"/>
            <w:bottom w:w="0" w:type="dxa"/>
            <w:right w:w="108" w:type="dxa"/>
          </w:tblCellMar>
        </w:tblPrEx>
        <w:trPr>
          <w:trHeight w:val="397" w:hRule="exact"/>
          <w:jc w:val="center"/>
        </w:trPr>
        <w:tc>
          <w:tcPr>
            <w:tcW w:w="1206" w:type="dxa"/>
            <w:vMerge w:val="restart"/>
            <w:tcBorders>
              <w:top w:val="single" w:color="auto" w:sz="4" w:space="0"/>
              <w:left w:val="single" w:color="auto" w:sz="4" w:space="0"/>
              <w:right w:val="single" w:color="auto" w:sz="4" w:space="0"/>
            </w:tcBorders>
            <w:vAlign w:val="center"/>
          </w:tcPr>
          <w:p w14:paraId="65A83ACF">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姓名</w:t>
            </w:r>
          </w:p>
        </w:tc>
        <w:tc>
          <w:tcPr>
            <w:tcW w:w="1320" w:type="dxa"/>
            <w:vMerge w:val="restart"/>
            <w:tcBorders>
              <w:top w:val="single" w:color="auto" w:sz="4" w:space="0"/>
              <w:left w:val="nil"/>
              <w:right w:val="single" w:color="auto" w:sz="4" w:space="0"/>
            </w:tcBorders>
            <w:vAlign w:val="center"/>
          </w:tcPr>
          <w:p w14:paraId="488F7DB8">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职务</w:t>
            </w:r>
          </w:p>
        </w:tc>
        <w:tc>
          <w:tcPr>
            <w:tcW w:w="1271" w:type="dxa"/>
            <w:vMerge w:val="restart"/>
            <w:tcBorders>
              <w:top w:val="single" w:color="auto" w:sz="4" w:space="0"/>
              <w:left w:val="nil"/>
              <w:right w:val="single" w:color="auto" w:sz="4" w:space="0"/>
            </w:tcBorders>
            <w:vAlign w:val="center"/>
          </w:tcPr>
          <w:p w14:paraId="1582F4EB">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职责</w:t>
            </w:r>
          </w:p>
        </w:tc>
        <w:tc>
          <w:tcPr>
            <w:tcW w:w="3148" w:type="dxa"/>
            <w:tcBorders>
              <w:top w:val="single" w:color="auto" w:sz="4" w:space="0"/>
              <w:left w:val="nil"/>
              <w:bottom w:val="single" w:color="auto" w:sz="4" w:space="0"/>
              <w:right w:val="single" w:color="auto" w:sz="4" w:space="0"/>
            </w:tcBorders>
            <w:vAlign w:val="center"/>
          </w:tcPr>
          <w:p w14:paraId="0CFC55FC">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内业</w:t>
            </w:r>
          </w:p>
        </w:tc>
        <w:tc>
          <w:tcPr>
            <w:tcW w:w="1577" w:type="dxa"/>
            <w:tcBorders>
              <w:top w:val="single" w:color="auto" w:sz="4" w:space="0"/>
              <w:left w:val="nil"/>
              <w:bottom w:val="single" w:color="auto" w:sz="4" w:space="0"/>
              <w:right w:val="single" w:color="auto" w:sz="4" w:space="0"/>
            </w:tcBorders>
            <w:vAlign w:val="center"/>
          </w:tcPr>
          <w:p w14:paraId="10CB5155">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外业</w:t>
            </w:r>
          </w:p>
        </w:tc>
      </w:tr>
      <w:tr w14:paraId="457036E3">
        <w:tblPrEx>
          <w:tblCellMar>
            <w:top w:w="0" w:type="dxa"/>
            <w:left w:w="108" w:type="dxa"/>
            <w:bottom w:w="0" w:type="dxa"/>
            <w:right w:w="108" w:type="dxa"/>
          </w:tblCellMar>
        </w:tblPrEx>
        <w:trPr>
          <w:trHeight w:val="397" w:hRule="exact"/>
          <w:jc w:val="center"/>
        </w:trPr>
        <w:tc>
          <w:tcPr>
            <w:tcW w:w="1206" w:type="dxa"/>
            <w:vMerge w:val="continue"/>
            <w:tcBorders>
              <w:left w:val="single" w:color="auto" w:sz="4" w:space="0"/>
              <w:bottom w:val="single" w:color="auto" w:sz="4" w:space="0"/>
              <w:right w:val="single" w:color="auto" w:sz="4" w:space="0"/>
            </w:tcBorders>
            <w:vAlign w:val="center"/>
          </w:tcPr>
          <w:p w14:paraId="4EBF0487">
            <w:pPr>
              <w:jc w:val="center"/>
              <w:rPr>
                <w:rFonts w:hint="default" w:ascii="Times New Roman" w:hAnsi="Times New Roman" w:cs="Times New Roman"/>
                <w:color w:val="auto"/>
                <w:szCs w:val="21"/>
                <w:highlight w:val="none"/>
              </w:rPr>
            </w:pPr>
          </w:p>
        </w:tc>
        <w:tc>
          <w:tcPr>
            <w:tcW w:w="1320" w:type="dxa"/>
            <w:vMerge w:val="continue"/>
            <w:tcBorders>
              <w:left w:val="nil"/>
              <w:bottom w:val="single" w:color="auto" w:sz="4" w:space="0"/>
              <w:right w:val="single" w:color="auto" w:sz="4" w:space="0"/>
            </w:tcBorders>
            <w:vAlign w:val="center"/>
          </w:tcPr>
          <w:p w14:paraId="3205448B">
            <w:pPr>
              <w:jc w:val="center"/>
              <w:rPr>
                <w:rFonts w:hint="default" w:ascii="Times New Roman" w:hAnsi="Times New Roman" w:cs="Times New Roman"/>
                <w:color w:val="auto"/>
                <w:szCs w:val="21"/>
                <w:highlight w:val="none"/>
              </w:rPr>
            </w:pPr>
          </w:p>
        </w:tc>
        <w:tc>
          <w:tcPr>
            <w:tcW w:w="1271" w:type="dxa"/>
            <w:vMerge w:val="continue"/>
            <w:tcBorders>
              <w:left w:val="nil"/>
              <w:bottom w:val="single" w:color="auto" w:sz="4" w:space="0"/>
              <w:right w:val="single" w:color="auto" w:sz="4" w:space="0"/>
            </w:tcBorders>
            <w:vAlign w:val="center"/>
          </w:tcPr>
          <w:p w14:paraId="5635E63F">
            <w:pPr>
              <w:jc w:val="center"/>
              <w:rPr>
                <w:rFonts w:hint="default" w:ascii="Times New Roman" w:hAnsi="Times New Roman" w:cs="Times New Roman"/>
                <w:color w:val="auto"/>
                <w:szCs w:val="21"/>
                <w:highlight w:val="none"/>
              </w:rPr>
            </w:pPr>
          </w:p>
        </w:tc>
        <w:tc>
          <w:tcPr>
            <w:tcW w:w="3148" w:type="dxa"/>
            <w:tcBorders>
              <w:top w:val="single" w:color="auto" w:sz="4" w:space="0"/>
              <w:left w:val="nil"/>
              <w:bottom w:val="single" w:color="auto" w:sz="4" w:space="0"/>
              <w:right w:val="single" w:color="auto" w:sz="4" w:space="0"/>
            </w:tcBorders>
            <w:vAlign w:val="center"/>
          </w:tcPr>
          <w:p w14:paraId="17A6967A">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负责章节</w:t>
            </w:r>
          </w:p>
        </w:tc>
        <w:tc>
          <w:tcPr>
            <w:tcW w:w="1577" w:type="dxa"/>
            <w:tcBorders>
              <w:top w:val="single" w:color="auto" w:sz="4" w:space="0"/>
              <w:left w:val="nil"/>
              <w:bottom w:val="single" w:color="auto" w:sz="4" w:space="0"/>
              <w:right w:val="single" w:color="auto" w:sz="4" w:space="0"/>
            </w:tcBorders>
            <w:vAlign w:val="center"/>
          </w:tcPr>
          <w:p w14:paraId="394E86E8">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野外调查</w:t>
            </w:r>
          </w:p>
        </w:tc>
      </w:tr>
      <w:tr w14:paraId="37F70F1B">
        <w:tblPrEx>
          <w:tblCellMar>
            <w:top w:w="0" w:type="dxa"/>
            <w:left w:w="108" w:type="dxa"/>
            <w:bottom w:w="0" w:type="dxa"/>
            <w:right w:w="108" w:type="dxa"/>
          </w:tblCellMar>
        </w:tblPrEx>
        <w:trPr>
          <w:trHeight w:val="397" w:hRule="exact"/>
          <w:jc w:val="center"/>
        </w:trPr>
        <w:tc>
          <w:tcPr>
            <w:tcW w:w="1206" w:type="dxa"/>
            <w:tcBorders>
              <w:top w:val="nil"/>
              <w:left w:val="single" w:color="auto" w:sz="4" w:space="0"/>
              <w:bottom w:val="single" w:color="auto" w:sz="4" w:space="0"/>
              <w:right w:val="single" w:color="auto" w:sz="4" w:space="0"/>
            </w:tcBorders>
            <w:vAlign w:val="bottom"/>
          </w:tcPr>
          <w:p w14:paraId="1B5501D9">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钱丽萍</w:t>
            </w:r>
          </w:p>
        </w:tc>
        <w:tc>
          <w:tcPr>
            <w:tcW w:w="1320" w:type="dxa"/>
            <w:tcBorders>
              <w:top w:val="nil"/>
              <w:left w:val="nil"/>
              <w:bottom w:val="single" w:color="auto" w:sz="4" w:space="0"/>
              <w:right w:val="single" w:color="auto" w:sz="4" w:space="0"/>
            </w:tcBorders>
            <w:vAlign w:val="bottom"/>
          </w:tcPr>
          <w:p w14:paraId="73962C41">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总经理</w:t>
            </w:r>
          </w:p>
        </w:tc>
        <w:tc>
          <w:tcPr>
            <w:tcW w:w="1271" w:type="dxa"/>
            <w:tcBorders>
              <w:top w:val="nil"/>
              <w:left w:val="nil"/>
              <w:bottom w:val="single" w:color="auto" w:sz="4" w:space="0"/>
              <w:right w:val="single" w:color="auto" w:sz="4" w:space="0"/>
            </w:tcBorders>
            <w:vAlign w:val="center"/>
          </w:tcPr>
          <w:p w14:paraId="2CB52153">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项目负责</w:t>
            </w:r>
          </w:p>
        </w:tc>
        <w:tc>
          <w:tcPr>
            <w:tcW w:w="3148" w:type="dxa"/>
            <w:tcBorders>
              <w:top w:val="nil"/>
              <w:left w:val="nil"/>
              <w:bottom w:val="single" w:color="auto" w:sz="4" w:space="0"/>
              <w:right w:val="single" w:color="auto" w:sz="4" w:space="0"/>
            </w:tcBorders>
            <w:vAlign w:val="center"/>
          </w:tcPr>
          <w:p w14:paraId="1D7F1613">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前言</w:t>
            </w:r>
          </w:p>
        </w:tc>
        <w:tc>
          <w:tcPr>
            <w:tcW w:w="1577" w:type="dxa"/>
            <w:vMerge w:val="restart"/>
            <w:tcBorders>
              <w:top w:val="nil"/>
              <w:left w:val="nil"/>
              <w:right w:val="single" w:color="auto" w:sz="4" w:space="0"/>
            </w:tcBorders>
            <w:vAlign w:val="center"/>
          </w:tcPr>
          <w:p w14:paraId="36F39D4B">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全体</w:t>
            </w:r>
          </w:p>
        </w:tc>
      </w:tr>
      <w:tr w14:paraId="3023A0F2">
        <w:tblPrEx>
          <w:tblCellMar>
            <w:top w:w="0" w:type="dxa"/>
            <w:left w:w="108" w:type="dxa"/>
            <w:bottom w:w="0" w:type="dxa"/>
            <w:right w:w="108" w:type="dxa"/>
          </w:tblCellMar>
        </w:tblPrEx>
        <w:trPr>
          <w:trHeight w:val="397" w:hRule="exact"/>
          <w:jc w:val="center"/>
        </w:trPr>
        <w:tc>
          <w:tcPr>
            <w:tcW w:w="1206" w:type="dxa"/>
            <w:tcBorders>
              <w:top w:val="nil"/>
              <w:left w:val="single" w:color="auto" w:sz="4" w:space="0"/>
              <w:bottom w:val="single" w:color="auto" w:sz="4" w:space="0"/>
              <w:right w:val="single" w:color="auto" w:sz="4" w:space="0"/>
            </w:tcBorders>
            <w:vAlign w:val="center"/>
          </w:tcPr>
          <w:p w14:paraId="788A55C9">
            <w:pPr>
              <w:jc w:val="center"/>
              <w:rPr>
                <w:rFonts w:hint="default" w:ascii="Times New Roman" w:hAnsi="Times New Roman" w:cs="Times New Roman"/>
                <w:color w:val="auto"/>
                <w:szCs w:val="21"/>
                <w:highlight w:val="none"/>
                <w:lang w:eastAsia="zh-CN"/>
              </w:rPr>
            </w:pPr>
            <w:r>
              <w:rPr>
                <w:rFonts w:hint="eastAsia" w:ascii="Times New Roman" w:hAnsi="Times New Roman" w:cs="Times New Roman"/>
                <w:color w:val="auto"/>
                <w:szCs w:val="21"/>
                <w:highlight w:val="none"/>
                <w:lang w:eastAsia="zh-CN"/>
              </w:rPr>
              <w:t>丁</w:t>
            </w:r>
            <w:r>
              <w:rPr>
                <w:rFonts w:hint="eastAsia" w:ascii="Times New Roman" w:hAnsi="Times New Roman" w:cs="Times New Roman"/>
                <w:color w:val="auto"/>
                <w:szCs w:val="21"/>
                <w:highlight w:val="none"/>
                <w:lang w:val="en-US" w:eastAsia="zh-CN"/>
              </w:rPr>
              <w:t xml:space="preserve">  </w:t>
            </w:r>
            <w:r>
              <w:rPr>
                <w:rFonts w:hint="eastAsia" w:ascii="Times New Roman" w:hAnsi="Times New Roman" w:cs="Times New Roman"/>
                <w:color w:val="auto"/>
                <w:szCs w:val="21"/>
                <w:highlight w:val="none"/>
                <w:lang w:eastAsia="zh-CN"/>
              </w:rPr>
              <w:t>健</w:t>
            </w:r>
          </w:p>
        </w:tc>
        <w:tc>
          <w:tcPr>
            <w:tcW w:w="1320" w:type="dxa"/>
            <w:tcBorders>
              <w:top w:val="nil"/>
              <w:left w:val="nil"/>
              <w:bottom w:val="single" w:color="auto" w:sz="4" w:space="0"/>
              <w:right w:val="single" w:color="auto" w:sz="4" w:space="0"/>
            </w:tcBorders>
            <w:vAlign w:val="bottom"/>
          </w:tcPr>
          <w:p w14:paraId="34066309">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总工</w:t>
            </w:r>
          </w:p>
        </w:tc>
        <w:tc>
          <w:tcPr>
            <w:tcW w:w="1271" w:type="dxa"/>
            <w:tcBorders>
              <w:top w:val="nil"/>
              <w:left w:val="nil"/>
              <w:bottom w:val="single" w:color="auto" w:sz="4" w:space="0"/>
              <w:right w:val="single" w:color="auto" w:sz="4" w:space="0"/>
            </w:tcBorders>
            <w:vAlign w:val="center"/>
          </w:tcPr>
          <w:p w14:paraId="145E3E67">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主编</w:t>
            </w:r>
          </w:p>
        </w:tc>
        <w:tc>
          <w:tcPr>
            <w:tcW w:w="3148" w:type="dxa"/>
            <w:tcBorders>
              <w:top w:val="nil"/>
              <w:left w:val="nil"/>
              <w:bottom w:val="single" w:color="auto" w:sz="4" w:space="0"/>
              <w:right w:val="single" w:color="auto" w:sz="4" w:space="0"/>
            </w:tcBorders>
            <w:vAlign w:val="center"/>
          </w:tcPr>
          <w:p w14:paraId="4EABD1E9">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一、二、三、八、九</w:t>
            </w:r>
          </w:p>
        </w:tc>
        <w:tc>
          <w:tcPr>
            <w:tcW w:w="1577" w:type="dxa"/>
            <w:vMerge w:val="continue"/>
            <w:tcBorders>
              <w:left w:val="nil"/>
              <w:right w:val="single" w:color="auto" w:sz="4" w:space="0"/>
            </w:tcBorders>
            <w:vAlign w:val="center"/>
          </w:tcPr>
          <w:p w14:paraId="04DE0B86">
            <w:pPr>
              <w:jc w:val="center"/>
              <w:rPr>
                <w:rFonts w:hint="default" w:ascii="Times New Roman" w:hAnsi="Times New Roman" w:cs="Times New Roman"/>
                <w:color w:val="auto"/>
                <w:szCs w:val="21"/>
                <w:highlight w:val="none"/>
              </w:rPr>
            </w:pPr>
          </w:p>
        </w:tc>
      </w:tr>
      <w:tr w14:paraId="77AFF9D0">
        <w:tblPrEx>
          <w:tblCellMar>
            <w:top w:w="0" w:type="dxa"/>
            <w:left w:w="108" w:type="dxa"/>
            <w:bottom w:w="0" w:type="dxa"/>
            <w:right w:w="108" w:type="dxa"/>
          </w:tblCellMar>
        </w:tblPrEx>
        <w:trPr>
          <w:trHeight w:val="397" w:hRule="exact"/>
          <w:jc w:val="center"/>
        </w:trPr>
        <w:tc>
          <w:tcPr>
            <w:tcW w:w="1206" w:type="dxa"/>
            <w:tcBorders>
              <w:top w:val="nil"/>
              <w:left w:val="single" w:color="auto" w:sz="4" w:space="0"/>
              <w:bottom w:val="single" w:color="auto" w:sz="4" w:space="0"/>
              <w:right w:val="single" w:color="auto" w:sz="4" w:space="0"/>
            </w:tcBorders>
            <w:vAlign w:val="center"/>
          </w:tcPr>
          <w:p w14:paraId="1CC1D188">
            <w:pPr>
              <w:jc w:val="center"/>
              <w:rPr>
                <w:rFonts w:hint="default" w:ascii="Times New Roman" w:hAnsi="Times New Roman" w:cs="Times New Roman"/>
                <w:color w:val="auto"/>
                <w:szCs w:val="21"/>
                <w:highlight w:val="none"/>
                <w:lang w:eastAsia="zh-CN"/>
              </w:rPr>
            </w:pPr>
            <w:r>
              <w:rPr>
                <w:rFonts w:hint="eastAsia" w:ascii="Times New Roman" w:hAnsi="Times New Roman" w:cs="Times New Roman"/>
                <w:color w:val="auto"/>
                <w:szCs w:val="21"/>
                <w:highlight w:val="none"/>
                <w:lang w:val="en-US" w:eastAsia="zh-CN"/>
              </w:rPr>
              <w:t>梁  菲</w:t>
            </w:r>
          </w:p>
        </w:tc>
        <w:tc>
          <w:tcPr>
            <w:tcW w:w="1320" w:type="dxa"/>
            <w:tcBorders>
              <w:top w:val="nil"/>
              <w:left w:val="nil"/>
              <w:bottom w:val="single" w:color="auto" w:sz="4" w:space="0"/>
              <w:right w:val="single" w:color="auto" w:sz="4" w:space="0"/>
            </w:tcBorders>
            <w:vAlign w:val="center"/>
          </w:tcPr>
          <w:p w14:paraId="437BD3B4">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项目负责</w:t>
            </w:r>
          </w:p>
        </w:tc>
        <w:tc>
          <w:tcPr>
            <w:tcW w:w="1271" w:type="dxa"/>
            <w:tcBorders>
              <w:top w:val="nil"/>
              <w:left w:val="nil"/>
              <w:bottom w:val="single" w:color="auto" w:sz="4" w:space="0"/>
              <w:right w:val="single" w:color="auto" w:sz="4" w:space="0"/>
            </w:tcBorders>
            <w:vAlign w:val="center"/>
          </w:tcPr>
          <w:p w14:paraId="2025F341">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编写人员</w:t>
            </w:r>
          </w:p>
        </w:tc>
        <w:tc>
          <w:tcPr>
            <w:tcW w:w="3148" w:type="dxa"/>
            <w:tcBorders>
              <w:top w:val="nil"/>
              <w:left w:val="nil"/>
              <w:bottom w:val="single" w:color="auto" w:sz="4" w:space="0"/>
              <w:right w:val="single" w:color="auto" w:sz="4" w:space="0"/>
            </w:tcBorders>
            <w:vAlign w:val="center"/>
          </w:tcPr>
          <w:p w14:paraId="31BB7B03">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四、五、六、七</w:t>
            </w:r>
          </w:p>
        </w:tc>
        <w:tc>
          <w:tcPr>
            <w:tcW w:w="1577" w:type="dxa"/>
            <w:vMerge w:val="continue"/>
            <w:tcBorders>
              <w:left w:val="nil"/>
              <w:right w:val="single" w:color="auto" w:sz="4" w:space="0"/>
            </w:tcBorders>
            <w:vAlign w:val="center"/>
          </w:tcPr>
          <w:p w14:paraId="786C4826">
            <w:pPr>
              <w:jc w:val="center"/>
              <w:rPr>
                <w:rFonts w:hint="default" w:ascii="Times New Roman" w:hAnsi="Times New Roman" w:cs="Times New Roman"/>
                <w:color w:val="auto"/>
                <w:szCs w:val="21"/>
                <w:highlight w:val="none"/>
              </w:rPr>
            </w:pPr>
          </w:p>
        </w:tc>
      </w:tr>
      <w:tr w14:paraId="45BB5563">
        <w:tblPrEx>
          <w:tblCellMar>
            <w:top w:w="0" w:type="dxa"/>
            <w:left w:w="108" w:type="dxa"/>
            <w:bottom w:w="0" w:type="dxa"/>
            <w:right w:w="108" w:type="dxa"/>
          </w:tblCellMar>
        </w:tblPrEx>
        <w:trPr>
          <w:trHeight w:val="397" w:hRule="exact"/>
          <w:jc w:val="center"/>
        </w:trPr>
        <w:tc>
          <w:tcPr>
            <w:tcW w:w="1206" w:type="dxa"/>
            <w:tcBorders>
              <w:top w:val="nil"/>
              <w:left w:val="single" w:color="auto" w:sz="4" w:space="0"/>
              <w:bottom w:val="single" w:color="auto" w:sz="4" w:space="0"/>
              <w:right w:val="single" w:color="auto" w:sz="4" w:space="0"/>
            </w:tcBorders>
            <w:vAlign w:val="center"/>
          </w:tcPr>
          <w:p w14:paraId="7EFCA66F">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施  旭</w:t>
            </w:r>
          </w:p>
        </w:tc>
        <w:tc>
          <w:tcPr>
            <w:tcW w:w="1320" w:type="dxa"/>
            <w:tcBorders>
              <w:top w:val="nil"/>
              <w:left w:val="nil"/>
              <w:bottom w:val="single" w:color="auto" w:sz="4" w:space="0"/>
              <w:right w:val="single" w:color="auto" w:sz="4" w:space="0"/>
            </w:tcBorders>
            <w:vAlign w:val="center"/>
          </w:tcPr>
          <w:p w14:paraId="72C01E91">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技术负责</w:t>
            </w:r>
          </w:p>
        </w:tc>
        <w:tc>
          <w:tcPr>
            <w:tcW w:w="1271" w:type="dxa"/>
            <w:tcBorders>
              <w:top w:val="nil"/>
              <w:left w:val="nil"/>
              <w:bottom w:val="single" w:color="auto" w:sz="4" w:space="0"/>
              <w:right w:val="single" w:color="auto" w:sz="4" w:space="0"/>
            </w:tcBorders>
            <w:vAlign w:val="center"/>
          </w:tcPr>
          <w:p w14:paraId="1C68115A">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编写人员</w:t>
            </w:r>
          </w:p>
        </w:tc>
        <w:tc>
          <w:tcPr>
            <w:tcW w:w="3148" w:type="dxa"/>
            <w:tcBorders>
              <w:top w:val="nil"/>
              <w:left w:val="nil"/>
              <w:bottom w:val="single" w:color="auto" w:sz="4" w:space="0"/>
              <w:right w:val="single" w:color="auto" w:sz="4" w:space="0"/>
            </w:tcBorders>
            <w:vAlign w:val="center"/>
          </w:tcPr>
          <w:p w14:paraId="4460E802">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图件</w:t>
            </w:r>
          </w:p>
        </w:tc>
        <w:tc>
          <w:tcPr>
            <w:tcW w:w="1577" w:type="dxa"/>
            <w:vMerge w:val="continue"/>
            <w:tcBorders>
              <w:left w:val="nil"/>
              <w:bottom w:val="single" w:color="auto" w:sz="4" w:space="0"/>
              <w:right w:val="single" w:color="auto" w:sz="4" w:space="0"/>
            </w:tcBorders>
            <w:vAlign w:val="center"/>
          </w:tcPr>
          <w:p w14:paraId="74E1549F">
            <w:pPr>
              <w:jc w:val="center"/>
              <w:rPr>
                <w:rFonts w:hint="default" w:ascii="Times New Roman" w:hAnsi="Times New Roman" w:cs="Times New Roman"/>
                <w:color w:val="auto"/>
                <w:szCs w:val="21"/>
                <w:highlight w:val="none"/>
              </w:rPr>
            </w:pPr>
          </w:p>
        </w:tc>
      </w:tr>
    </w:tbl>
    <w:p w14:paraId="72FA8B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2、资料收集与分析</w:t>
      </w:r>
      <w:bookmarkEnd w:id="58"/>
    </w:p>
    <w:p w14:paraId="54870CC1">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开展工作之前，项目组人员收集并详细分析《</w:t>
      </w:r>
      <w:r>
        <w:rPr>
          <w:rFonts w:hint="eastAsia" w:cs="Times New Roman"/>
          <w:color w:val="auto"/>
          <w:sz w:val="24"/>
          <w:highlight w:val="none"/>
          <w:lang w:eastAsia="zh-CN"/>
        </w:rPr>
        <w:t>吉林市晟拓工贸有限公司北大湖采石场</w:t>
      </w:r>
      <w:r>
        <w:rPr>
          <w:rFonts w:hint="default" w:ascii="Times New Roman" w:hAnsi="Times New Roman" w:cs="Times New Roman"/>
          <w:color w:val="auto"/>
          <w:sz w:val="24"/>
          <w:highlight w:val="none"/>
        </w:rPr>
        <w:t>矿产资源开发利用方案》等资料，了解矿区地质环境条件、地质环境问题、建设项目规模等，从而确定本次工作重点；收集地形图、地质图及土地利用现状图等图件作为评估工作底图及野外工作用图；分析已有资料，确定需要补充的资料内容，初步确定现场调查方法、调查路线和主要调查内容。</w:t>
      </w:r>
    </w:p>
    <w:p w14:paraId="50524C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color w:val="auto"/>
          <w:sz w:val="24"/>
          <w:szCs w:val="24"/>
          <w:highlight w:val="none"/>
        </w:rPr>
      </w:pPr>
      <w:bookmarkStart w:id="59" w:name="_Toc487105252"/>
      <w:r>
        <w:rPr>
          <w:rFonts w:hint="default" w:ascii="Times New Roman" w:hAnsi="Times New Roman" w:cs="Times New Roman"/>
          <w:b/>
          <w:color w:val="auto"/>
          <w:sz w:val="24"/>
          <w:szCs w:val="24"/>
          <w:highlight w:val="none"/>
        </w:rPr>
        <w:t>3、室内资料整理和综合分析</w:t>
      </w:r>
      <w:bookmarkEnd w:id="59"/>
    </w:p>
    <w:p w14:paraId="4E347ACD">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综合分析既有资料以及实地调查资料的基础上，以《矿山地质环境保护与治理恢复方案编制规范》和《土地复垦方案编制规程》为依据，编制了《矿山地质环境问题现状图》、《矿山地质环境问题预测图》、《矿区土地损毁预测图》、《矿区土地复垦规划图》和《矿山地质环境治理工程部署图》。以图件形式反映各类地质灾害的分布以及地质环境状况，矿山开采对地质环境影响分区及环境保护与治理恢复部署规划，并针对矿山开采引起的地质环境问题提出防治措施和建议，完成《</w:t>
      </w:r>
      <w:r>
        <w:rPr>
          <w:rFonts w:hint="eastAsia" w:cs="Times New Roman"/>
          <w:color w:val="auto"/>
          <w:sz w:val="24"/>
          <w:highlight w:val="none"/>
          <w:lang w:eastAsia="zh-CN"/>
        </w:rPr>
        <w:t>吉林市晟拓工贸有限公司北大湖采石场</w:t>
      </w:r>
      <w:r>
        <w:rPr>
          <w:rFonts w:hint="default" w:ascii="Times New Roman" w:hAnsi="Times New Roman" w:cs="Times New Roman"/>
          <w:color w:val="auto"/>
          <w:sz w:val="24"/>
          <w:highlight w:val="none"/>
        </w:rPr>
        <w:t>矿山地质环境保护与土地复垦方案》的编制工作。</w:t>
      </w:r>
    </w:p>
    <w:p w14:paraId="44E0924A">
      <w:pPr>
        <w:pStyle w:val="3"/>
        <w:jc w:val="center"/>
        <w:rPr>
          <w:rFonts w:hint="default" w:ascii="Times New Roman" w:hAnsi="Times New Roman" w:cs="Times New Roman"/>
          <w:color w:val="auto"/>
          <w:highlight w:val="none"/>
        </w:rPr>
      </w:pPr>
      <w:r>
        <w:rPr>
          <w:rFonts w:hint="default" w:ascii="Times New Roman" w:hAnsi="Times New Roman" w:cs="Times New Roman"/>
          <w:color w:val="auto"/>
          <w:sz w:val="24"/>
          <w:highlight w:val="none"/>
        </w:rPr>
        <w:br w:type="page"/>
      </w:r>
      <w:bookmarkStart w:id="60" w:name="_Toc270766128"/>
      <w:bookmarkStart w:id="61" w:name="_Toc283135694"/>
      <w:bookmarkStart w:id="62" w:name="_Toc288849796"/>
      <w:bookmarkStart w:id="63" w:name="_Toc270767055"/>
      <w:bookmarkStart w:id="64" w:name="_Toc288775775"/>
      <w:bookmarkStart w:id="65" w:name="_Toc14570"/>
      <w:bookmarkStart w:id="66" w:name="_Toc454439591"/>
      <w:bookmarkStart w:id="67" w:name="_Toc380584796"/>
      <w:bookmarkStart w:id="68" w:name="_Toc487105253"/>
      <w:r>
        <w:rPr>
          <w:rFonts w:hint="default" w:ascii="Times New Roman" w:hAnsi="Times New Roman" w:eastAsia="黑体" w:cs="Times New Roman"/>
          <w:b w:val="0"/>
          <w:color w:val="auto"/>
          <w:sz w:val="32"/>
          <w:szCs w:val="32"/>
          <w:highlight w:val="none"/>
        </w:rPr>
        <w:t xml:space="preserve">第一章 </w:t>
      </w:r>
      <w:bookmarkEnd w:id="60"/>
      <w:bookmarkEnd w:id="61"/>
      <w:bookmarkEnd w:id="62"/>
      <w:bookmarkEnd w:id="63"/>
      <w:bookmarkEnd w:id="64"/>
      <w:bookmarkStart w:id="69" w:name="_Toc256151424"/>
      <w:r>
        <w:rPr>
          <w:rFonts w:hint="default" w:ascii="Times New Roman" w:hAnsi="Times New Roman" w:eastAsia="黑体" w:cs="Times New Roman"/>
          <w:b w:val="0"/>
          <w:color w:val="auto"/>
          <w:sz w:val="32"/>
          <w:szCs w:val="32"/>
          <w:highlight w:val="none"/>
        </w:rPr>
        <w:t>矿山基本概况</w:t>
      </w:r>
      <w:bookmarkEnd w:id="65"/>
      <w:bookmarkEnd w:id="66"/>
      <w:bookmarkEnd w:id="67"/>
      <w:bookmarkEnd w:id="68"/>
    </w:p>
    <w:p w14:paraId="140BF780">
      <w:pPr>
        <w:pStyle w:val="4"/>
        <w:ind w:firstLine="0" w:firstLineChars="0"/>
        <w:rPr>
          <w:rFonts w:hint="default" w:ascii="Times New Roman" w:hAnsi="Times New Roman" w:eastAsia="黑体" w:cs="Times New Roman"/>
          <w:b w:val="0"/>
          <w:color w:val="auto"/>
          <w:sz w:val="28"/>
          <w:szCs w:val="28"/>
          <w:highlight w:val="none"/>
        </w:rPr>
      </w:pPr>
      <w:bookmarkStart w:id="70" w:name="_Toc16709"/>
      <w:bookmarkStart w:id="71" w:name="_Toc454439592"/>
      <w:bookmarkStart w:id="72" w:name="_Toc380584797"/>
      <w:bookmarkStart w:id="73" w:name="_Toc487105254"/>
      <w:r>
        <w:rPr>
          <w:rFonts w:hint="default" w:ascii="Times New Roman" w:hAnsi="Times New Roman" w:eastAsia="黑体" w:cs="Times New Roman"/>
          <w:b w:val="0"/>
          <w:color w:val="auto"/>
          <w:sz w:val="28"/>
          <w:szCs w:val="28"/>
          <w:highlight w:val="none"/>
        </w:rPr>
        <w:t>一、矿山简介</w:t>
      </w:r>
      <w:bookmarkEnd w:id="70"/>
      <w:bookmarkEnd w:id="71"/>
      <w:bookmarkEnd w:id="72"/>
      <w:bookmarkEnd w:id="73"/>
    </w:p>
    <w:bookmarkEnd w:id="69"/>
    <w:p w14:paraId="44B9AC02">
      <w:pPr>
        <w:pStyle w:val="5"/>
        <w:rPr>
          <w:rFonts w:hint="default" w:ascii="Times New Roman" w:hAnsi="Times New Roman" w:eastAsia="黑体" w:cs="Times New Roman"/>
          <w:color w:val="auto"/>
          <w:szCs w:val="28"/>
          <w:highlight w:val="none"/>
        </w:rPr>
      </w:pPr>
      <w:bookmarkStart w:id="74" w:name="_Toc487105255"/>
      <w:bookmarkStart w:id="75" w:name="_Toc256151425"/>
      <w:r>
        <w:rPr>
          <w:rFonts w:hint="default" w:ascii="Times New Roman" w:hAnsi="Times New Roman" w:eastAsia="黑体" w:cs="Times New Roman"/>
          <w:color w:val="auto"/>
          <w:szCs w:val="28"/>
          <w:highlight w:val="none"/>
        </w:rPr>
        <w:t>（一）矿山地理位置</w:t>
      </w:r>
      <w:bookmarkEnd w:id="74"/>
    </w:p>
    <w:p w14:paraId="4832F47F">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highlight w:val="none"/>
        </w:rPr>
      </w:pPr>
      <w:bookmarkStart w:id="76" w:name="_Toc487105256"/>
      <w:r>
        <w:rPr>
          <w:rFonts w:hint="eastAsia" w:cs="Times New Roman"/>
          <w:color w:val="auto"/>
          <w:sz w:val="24"/>
          <w:highlight w:val="none"/>
          <w:lang w:eastAsia="zh-CN"/>
        </w:rPr>
        <w:t>北大湖采石场</w:t>
      </w:r>
      <w:r>
        <w:rPr>
          <w:rFonts w:hint="default" w:ascii="Times New Roman" w:hAnsi="Times New Roman" w:cs="Times New Roman"/>
          <w:color w:val="auto"/>
          <w:sz w:val="24"/>
          <w:highlight w:val="none"/>
        </w:rPr>
        <w:t>位于吉林省</w:t>
      </w:r>
      <w:r>
        <w:rPr>
          <w:rFonts w:hint="eastAsia" w:cs="Times New Roman"/>
          <w:color w:val="auto"/>
          <w:sz w:val="24"/>
          <w:highlight w:val="none"/>
          <w:lang w:eastAsia="zh-CN"/>
        </w:rPr>
        <w:t>永吉县</w:t>
      </w:r>
      <w:r>
        <w:rPr>
          <w:rFonts w:hint="eastAsia" w:cs="Times New Roman"/>
          <w:color w:val="auto"/>
          <w:sz w:val="24"/>
          <w:highlight w:val="none"/>
          <w:lang w:val="en-US" w:eastAsia="zh-CN"/>
        </w:rPr>
        <w:t>北大湖镇</w:t>
      </w:r>
      <w:r>
        <w:rPr>
          <w:rFonts w:hint="default" w:ascii="Times New Roman" w:hAnsi="Times New Roman" w:cs="Times New Roman"/>
          <w:color w:val="auto"/>
          <w:sz w:val="24"/>
          <w:highlight w:val="none"/>
        </w:rPr>
        <w:t>境内</w:t>
      </w:r>
      <w:r>
        <w:rPr>
          <w:rFonts w:hint="default" w:ascii="Times New Roman" w:hAnsi="Times New Roman" w:cs="Times New Roman"/>
          <w:color w:val="auto"/>
          <w:sz w:val="24"/>
          <w:highlight w:val="none"/>
          <w:lang w:bidi="en-US"/>
        </w:rPr>
        <w:t>，</w:t>
      </w:r>
      <w:r>
        <w:rPr>
          <w:rFonts w:hint="default" w:ascii="Times New Roman" w:hAnsi="Times New Roman" w:cs="Times New Roman"/>
          <w:color w:val="auto"/>
          <w:sz w:val="24"/>
          <w:highlight w:val="none"/>
        </w:rPr>
        <w:t>行政区划上隶属吉林省</w:t>
      </w:r>
      <w:r>
        <w:rPr>
          <w:rFonts w:hint="eastAsia" w:cs="Times New Roman"/>
          <w:color w:val="auto"/>
          <w:sz w:val="24"/>
          <w:highlight w:val="none"/>
          <w:lang w:eastAsia="zh-CN"/>
        </w:rPr>
        <w:t>永吉县</w:t>
      </w:r>
      <w:r>
        <w:rPr>
          <w:rFonts w:hint="eastAsia" w:cs="Times New Roman"/>
          <w:color w:val="auto"/>
          <w:sz w:val="24"/>
          <w:highlight w:val="none"/>
          <w:lang w:val="en-US" w:eastAsia="zh-CN"/>
        </w:rPr>
        <w:t>北大湖镇桄子沟村</w:t>
      </w:r>
      <w:r>
        <w:rPr>
          <w:rFonts w:hint="default" w:ascii="Times New Roman" w:hAnsi="Times New Roman" w:cs="Times New Roman"/>
          <w:color w:val="auto"/>
          <w:sz w:val="24"/>
          <w:highlight w:val="none"/>
        </w:rPr>
        <w:t>管辖。</w:t>
      </w:r>
    </w:p>
    <w:p w14:paraId="5B27D11D">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矿区</w:t>
      </w:r>
      <w:r>
        <w:rPr>
          <w:rFonts w:hint="default" w:ascii="Times New Roman" w:hAnsi="Times New Roman" w:cs="Times New Roman"/>
          <w:color w:val="auto"/>
          <w:sz w:val="24"/>
          <w:highlight w:val="none"/>
        </w:rPr>
        <w:t>地理坐标（</w:t>
      </w:r>
      <w:r>
        <w:rPr>
          <w:rFonts w:hint="default" w:ascii="Times New Roman" w:hAnsi="Times New Roman" w:cs="Times New Roman"/>
          <w:color w:val="auto"/>
          <w:sz w:val="24"/>
          <w:highlight w:val="none"/>
          <w:lang w:bidi="en-US"/>
        </w:rPr>
        <w:t>2000国家大地坐标系</w:t>
      </w:r>
      <w:r>
        <w:rPr>
          <w:rFonts w:hint="default" w:ascii="Times New Roman" w:hAnsi="Times New Roman" w:cs="Times New Roman"/>
          <w:color w:val="auto"/>
          <w:sz w:val="24"/>
          <w:highlight w:val="none"/>
        </w:rPr>
        <w:t>）：</w:t>
      </w:r>
    </w:p>
    <w:p w14:paraId="7407CDDE">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东经：126°26′31″～126°26′43″</w:t>
      </w:r>
    </w:p>
    <w:p w14:paraId="6616D9D3">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北纬：43°25′10″～43°25′16″</w:t>
      </w:r>
    </w:p>
    <w:p w14:paraId="2DA27E29">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矿区位于永吉县195°方向28km处，行政区划属北大湖镇桄子沟村所管辖，矿区东距北大湖镇6km，北距吉林市约40km。有乡间水泥路与205省道相连，交通方便</w:t>
      </w:r>
      <w:r>
        <w:rPr>
          <w:rFonts w:hint="default" w:ascii="Times New Roman" w:hAnsi="Times New Roman" w:cs="Times New Roman"/>
          <w:color w:val="auto"/>
          <w:sz w:val="24"/>
          <w:highlight w:val="none"/>
          <w:lang w:bidi="en-US"/>
        </w:rPr>
        <w:t>。</w:t>
      </w:r>
      <w:r>
        <w:rPr>
          <w:rFonts w:hint="default" w:ascii="Times New Roman" w:hAnsi="Times New Roman" w:cs="Times New Roman"/>
          <w:color w:val="auto"/>
          <w:sz w:val="24"/>
          <w:highlight w:val="none"/>
        </w:rPr>
        <w:t>详见交通位置图1-1。</w:t>
      </w:r>
    </w:p>
    <w:p w14:paraId="6D51095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4"/>
          <w:highlight w:val="none"/>
          <w:lang w:eastAsia="zh-CN"/>
        </w:rPr>
      </w:pPr>
      <w:r>
        <w:rPr>
          <w:color w:val="auto"/>
          <w:sz w:val="24"/>
          <w:highlight w:val="none"/>
        </w:rPr>
        <mc:AlternateContent>
          <mc:Choice Requires="wps">
            <w:drawing>
              <wp:anchor distT="0" distB="0" distL="114300" distR="114300" simplePos="0" relativeHeight="251662336" behindDoc="0" locked="0" layoutInCell="1" allowOverlap="1">
                <wp:simplePos x="0" y="0"/>
                <wp:positionH relativeFrom="column">
                  <wp:posOffset>936625</wp:posOffset>
                </wp:positionH>
                <wp:positionV relativeFrom="paragraph">
                  <wp:posOffset>1099820</wp:posOffset>
                </wp:positionV>
                <wp:extent cx="919480" cy="412115"/>
                <wp:effectExtent l="0" t="0" r="242570" b="426085"/>
                <wp:wrapNone/>
                <wp:docPr id="10" name="矩形标注 10"/>
                <wp:cNvGraphicFramePr/>
                <a:graphic xmlns:a="http://schemas.openxmlformats.org/drawingml/2006/main">
                  <a:graphicData uri="http://schemas.microsoft.com/office/word/2010/wordprocessingShape">
                    <wps:wsp>
                      <wps:cNvSpPr/>
                      <wps:spPr>
                        <a:xfrm flipH="1">
                          <a:off x="3060065" y="2470785"/>
                          <a:ext cx="919480" cy="412115"/>
                        </a:xfrm>
                        <a:prstGeom prst="wedgeRectCallout">
                          <a:avLst>
                            <a:gd name="adj1" fmla="val -75966"/>
                            <a:gd name="adj2" fmla="val 151232"/>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09BEB7">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矿区位置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flip:x;margin-left:73.75pt;margin-top:86.6pt;height:32.45pt;width:72.4pt;z-index:251662336;v-text-anchor:middle;mso-width-relative:page;mso-height-relative:page;" fillcolor="#FF0000" filled="t" stroked="f" coordsize="21600,21600" o:gfxdata="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A2Ta7naAAAACwEAAA8AAAAAAAAAAQAgAAAAIgAA&#10;AGRycy9kb3ducmV2LnhtbFBLAQIUABQAAAAIAIdO4kClbIdHsQIAADsFAAAOAAAAAAAAAAEAIAAA&#10;ACkBAABkcnMvZTJvRG9jLnhtbFBLBQYAAAAABgAGAFkBAABMBgAAAAA=&#10;" adj="-5609,43466">
                <v:fill on="t" focussize="0,0"/>
                <v:stroke on="f" weight="2pt"/>
                <v:imagedata o:title=""/>
                <o:lock v:ext="edit" aspectratio="f"/>
                <v:textbox>
                  <w:txbxContent>
                    <w:p w14:paraId="4709BEB7">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矿区位置</w:t>
                      </w:r>
                    </w:p>
                  </w:txbxContent>
                </v:textbox>
              </v:shape>
            </w:pict>
          </mc:Fallback>
        </mc:AlternateContent>
      </w:r>
      <w:r>
        <w:rPr>
          <w:rFonts w:ascii="宋体" w:hAnsi="宋体"/>
          <w:color w:val="auto"/>
          <w:sz w:val="28"/>
          <w:szCs w:val="28"/>
        </w:rPr>
        <w:drawing>
          <wp:inline distT="0" distB="0" distL="114300" distR="114300">
            <wp:extent cx="5176520" cy="7724140"/>
            <wp:effectExtent l="0" t="0" r="5080" b="1016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6"/>
                    <a:srcRect l="3070" t="1874" r="3024" b="1250"/>
                    <a:stretch>
                      <a:fillRect/>
                    </a:stretch>
                  </pic:blipFill>
                  <pic:spPr>
                    <a:xfrm>
                      <a:off x="0" y="0"/>
                      <a:ext cx="5176520" cy="7724140"/>
                    </a:xfrm>
                    <a:prstGeom prst="rect">
                      <a:avLst/>
                    </a:prstGeom>
                    <a:noFill/>
                    <a:ln>
                      <a:noFill/>
                    </a:ln>
                  </pic:spPr>
                </pic:pic>
              </a:graphicData>
            </a:graphic>
          </wp:inline>
        </w:drawing>
      </w:r>
    </w:p>
    <w:p w14:paraId="6EFA3DD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color w:val="auto"/>
          <w:szCs w:val="21"/>
          <w:highlight w:val="none"/>
        </w:rPr>
      </w:pPr>
      <w:r>
        <w:rPr>
          <w:rFonts w:hint="default" w:ascii="Times New Roman" w:hAnsi="Times New Roman" w:eastAsia="黑体" w:cs="Times New Roman"/>
          <w:b w:val="0"/>
          <w:bCs/>
          <w:color w:val="auto"/>
          <w:szCs w:val="21"/>
          <w:highlight w:val="none"/>
        </w:rPr>
        <w:t>图1-1</w:t>
      </w:r>
      <w:r>
        <w:rPr>
          <w:rFonts w:hint="eastAsia" w:eastAsia="黑体" w:cs="Times New Roman"/>
          <w:b w:val="0"/>
          <w:bCs/>
          <w:color w:val="auto"/>
          <w:szCs w:val="21"/>
          <w:highlight w:val="none"/>
          <w:lang w:val="en-US" w:eastAsia="zh-CN"/>
        </w:rPr>
        <w:t xml:space="preserve">  </w:t>
      </w:r>
      <w:r>
        <w:rPr>
          <w:rFonts w:hint="default" w:ascii="Times New Roman" w:hAnsi="Times New Roman" w:eastAsia="黑体" w:cs="Times New Roman"/>
          <w:b w:val="0"/>
          <w:bCs/>
          <w:color w:val="auto"/>
          <w:szCs w:val="21"/>
          <w:highlight w:val="none"/>
        </w:rPr>
        <w:t>交通位置图</w:t>
      </w:r>
    </w:p>
    <w:p w14:paraId="37E4DA89">
      <w:pPr>
        <w:pStyle w:val="5"/>
        <w:rPr>
          <w:rFonts w:hint="default" w:ascii="Times New Roman" w:hAnsi="Times New Roman" w:eastAsia="黑体" w:cs="Times New Roman"/>
          <w:color w:val="auto"/>
          <w:szCs w:val="28"/>
          <w:highlight w:val="none"/>
        </w:rPr>
      </w:pPr>
      <w:r>
        <w:rPr>
          <w:rFonts w:hint="default" w:ascii="Times New Roman" w:hAnsi="Times New Roman" w:eastAsia="黑体" w:cs="Times New Roman"/>
          <w:color w:val="auto"/>
          <w:szCs w:val="28"/>
          <w:highlight w:val="none"/>
        </w:rPr>
        <w:t>（二）采矿权设置情况</w:t>
      </w:r>
      <w:bookmarkEnd w:id="76"/>
    </w:p>
    <w:p w14:paraId="614FA290">
      <w:pPr>
        <w:pStyle w:val="87"/>
        <w:ind w:firstLine="480"/>
        <w:rPr>
          <w:rFonts w:hint="default" w:ascii="Times New Roman" w:hAnsi="Times New Roman" w:eastAsia="宋体" w:cs="Times New Roman"/>
          <w:color w:val="auto"/>
          <w:sz w:val="24"/>
          <w:highlight w:val="none"/>
          <w:lang w:val="en-US" w:eastAsia="zh-CN"/>
        </w:rPr>
      </w:pPr>
      <w:bookmarkStart w:id="77" w:name="_Toc487105257"/>
      <w:r>
        <w:rPr>
          <w:rFonts w:hint="default" w:ascii="Times New Roman" w:hAnsi="Times New Roman" w:cs="Times New Roman"/>
          <w:color w:val="auto"/>
          <w:sz w:val="24"/>
          <w:highlight w:val="none"/>
          <w:lang w:val="en-US" w:eastAsia="zh-CN"/>
        </w:rPr>
        <w:t>采矿许可证号：</w:t>
      </w:r>
      <w:r>
        <w:rPr>
          <w:rFonts w:hint="eastAsia" w:cs="Times New Roman"/>
          <w:color w:val="auto"/>
          <w:sz w:val="24"/>
          <w:highlight w:val="none"/>
          <w:lang w:val="en-US" w:eastAsia="zh-CN"/>
        </w:rPr>
        <w:t>C2202212010117120082409</w:t>
      </w:r>
    </w:p>
    <w:p w14:paraId="5B6BA378">
      <w:pPr>
        <w:pStyle w:val="87"/>
        <w:ind w:firstLine="480"/>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采矿权人：</w:t>
      </w:r>
      <w:r>
        <w:rPr>
          <w:rFonts w:hint="eastAsia" w:cs="Times New Roman"/>
          <w:color w:val="auto"/>
          <w:sz w:val="24"/>
          <w:highlight w:val="none"/>
          <w:lang w:eastAsia="zh-CN"/>
        </w:rPr>
        <w:t>吉林市衡永源工贸有限公司</w:t>
      </w:r>
    </w:p>
    <w:p w14:paraId="5830BC13">
      <w:pPr>
        <w:pStyle w:val="87"/>
        <w:ind w:firstLine="480"/>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rPr>
        <w:t>地理位置：</w:t>
      </w:r>
      <w:r>
        <w:rPr>
          <w:rFonts w:hint="eastAsia" w:cs="Times New Roman"/>
          <w:color w:val="auto"/>
          <w:sz w:val="24"/>
          <w:highlight w:val="none"/>
          <w:lang w:eastAsia="zh-CN"/>
        </w:rPr>
        <w:t>永吉县北大湖镇</w:t>
      </w:r>
      <w:r>
        <w:rPr>
          <w:rFonts w:hint="eastAsia" w:cs="Times New Roman"/>
          <w:color w:val="auto"/>
          <w:sz w:val="24"/>
          <w:highlight w:val="none"/>
          <w:lang w:val="en-US" w:eastAsia="zh-CN"/>
        </w:rPr>
        <w:t>桄子沟村</w:t>
      </w:r>
    </w:p>
    <w:p w14:paraId="050F2104">
      <w:pPr>
        <w:pStyle w:val="87"/>
        <w:ind w:firstLine="480"/>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矿山名称：</w:t>
      </w:r>
      <w:r>
        <w:rPr>
          <w:rFonts w:hint="eastAsia" w:cs="Times New Roman"/>
          <w:color w:val="auto"/>
          <w:sz w:val="24"/>
          <w:highlight w:val="none"/>
          <w:lang w:eastAsia="zh-CN"/>
        </w:rPr>
        <w:t>吉林市衡永源工贸有限公司北大湖采石场</w:t>
      </w:r>
    </w:p>
    <w:p w14:paraId="4A1E95BD">
      <w:pPr>
        <w:pStyle w:val="87"/>
        <w:ind w:firstLine="480"/>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lang w:val="en-US" w:eastAsia="zh-CN"/>
        </w:rPr>
        <w:t>经济</w:t>
      </w:r>
      <w:r>
        <w:rPr>
          <w:rFonts w:hint="default" w:ascii="Times New Roman" w:hAnsi="Times New Roman" w:cs="Times New Roman"/>
          <w:color w:val="auto"/>
          <w:sz w:val="24"/>
          <w:highlight w:val="none"/>
        </w:rPr>
        <w:t>性质：</w:t>
      </w:r>
      <w:r>
        <w:rPr>
          <w:rFonts w:hint="eastAsia" w:cs="Times New Roman"/>
          <w:color w:val="auto"/>
          <w:sz w:val="24"/>
          <w:highlight w:val="none"/>
          <w:lang w:eastAsia="zh-CN"/>
        </w:rPr>
        <w:t>有限</w:t>
      </w:r>
      <w:r>
        <w:rPr>
          <w:rFonts w:hint="eastAsia" w:cs="Times New Roman"/>
          <w:color w:val="auto"/>
          <w:sz w:val="24"/>
          <w:highlight w:val="none"/>
          <w:lang w:val="en-US" w:eastAsia="zh-CN"/>
        </w:rPr>
        <w:t>责任</w:t>
      </w:r>
      <w:r>
        <w:rPr>
          <w:rFonts w:hint="eastAsia" w:cs="Times New Roman"/>
          <w:color w:val="auto"/>
          <w:sz w:val="24"/>
          <w:highlight w:val="none"/>
          <w:lang w:eastAsia="zh-CN"/>
        </w:rPr>
        <w:t>公司</w:t>
      </w:r>
    </w:p>
    <w:p w14:paraId="0B860F2B">
      <w:pPr>
        <w:pStyle w:val="87"/>
        <w:ind w:firstLine="480"/>
        <w:rPr>
          <w:rFonts w:hint="eastAsia"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开采矿种：</w:t>
      </w:r>
      <w:r>
        <w:rPr>
          <w:rFonts w:hint="eastAsia" w:cs="Times New Roman"/>
          <w:color w:val="auto"/>
          <w:sz w:val="24"/>
          <w:highlight w:val="none"/>
          <w:lang w:val="en-US" w:eastAsia="zh-CN"/>
        </w:rPr>
        <w:t>方解石</w:t>
      </w:r>
    </w:p>
    <w:p w14:paraId="18C285D7">
      <w:pPr>
        <w:pStyle w:val="87"/>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开采方式：</w:t>
      </w:r>
      <w:r>
        <w:rPr>
          <w:rFonts w:hint="eastAsia" w:cs="Times New Roman"/>
          <w:color w:val="auto"/>
          <w:sz w:val="24"/>
          <w:highlight w:val="none"/>
          <w:lang w:val="en-US" w:eastAsia="zh-CN"/>
        </w:rPr>
        <w:t>露天开采</w:t>
      </w:r>
    </w:p>
    <w:p w14:paraId="2510BEA6">
      <w:pPr>
        <w:pStyle w:val="87"/>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设计生产规模：</w:t>
      </w:r>
      <w:r>
        <w:rPr>
          <w:rFonts w:hint="eastAsia" w:cs="Times New Roman"/>
          <w:color w:val="auto"/>
          <w:sz w:val="24"/>
          <w:highlight w:val="none"/>
          <w:lang w:val="en-US" w:eastAsia="zh-CN"/>
        </w:rPr>
        <w:t>10</w:t>
      </w:r>
      <w:r>
        <w:rPr>
          <w:rFonts w:hint="default" w:ascii="Times New Roman" w:hAnsi="Times New Roman" w:cs="Times New Roman"/>
          <w:color w:val="auto"/>
          <w:sz w:val="24"/>
          <w:highlight w:val="none"/>
        </w:rPr>
        <w:t>×10</w:t>
      </w:r>
      <w:r>
        <w:rPr>
          <w:rFonts w:hint="default" w:ascii="Times New Roman" w:hAnsi="Times New Roman" w:cs="Times New Roman"/>
          <w:color w:val="auto"/>
          <w:sz w:val="24"/>
          <w:highlight w:val="none"/>
          <w:vertAlign w:val="superscript"/>
        </w:rPr>
        <w:t>4</w:t>
      </w:r>
      <w:r>
        <w:rPr>
          <w:rFonts w:hint="default" w:ascii="Times New Roman" w:hAnsi="Times New Roman" w:cs="Times New Roman"/>
          <w:color w:val="auto"/>
          <w:sz w:val="24"/>
          <w:highlight w:val="none"/>
        </w:rPr>
        <w:t>t/a</w:t>
      </w:r>
    </w:p>
    <w:p w14:paraId="11ED0093">
      <w:pPr>
        <w:pStyle w:val="87"/>
        <w:ind w:firstLine="480"/>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矿区面积：</w:t>
      </w:r>
      <w:r>
        <w:rPr>
          <w:rFonts w:hint="eastAsia" w:cs="Times New Roman"/>
          <w:color w:val="auto"/>
          <w:sz w:val="24"/>
          <w:szCs w:val="24"/>
          <w:highlight w:val="none"/>
          <w:lang w:eastAsia="zh-CN"/>
        </w:rPr>
        <w:t>0.0254</w:t>
      </w:r>
      <w:r>
        <w:rPr>
          <w:rFonts w:hint="default" w:ascii="Times New Roman" w:hAnsi="Times New Roman" w:cs="Times New Roman"/>
          <w:color w:val="auto"/>
          <w:sz w:val="24"/>
          <w:highlight w:val="none"/>
        </w:rPr>
        <w:t>k</w:t>
      </w:r>
      <w:r>
        <w:rPr>
          <w:rFonts w:hint="default" w:ascii="Times New Roman" w:hAnsi="Times New Roman" w:cs="Times New Roman"/>
          <w:color w:val="auto"/>
          <w:sz w:val="24"/>
          <w:highlight w:val="none"/>
          <w:lang w:eastAsia="zh-CN"/>
        </w:rPr>
        <w:t>m</w:t>
      </w:r>
      <w:r>
        <w:rPr>
          <w:rFonts w:hint="default" w:ascii="Times New Roman" w:hAnsi="Times New Roman" w:cs="Times New Roman"/>
          <w:color w:val="auto"/>
          <w:sz w:val="24"/>
          <w:highlight w:val="none"/>
          <w:vertAlign w:val="superscript"/>
          <w:lang w:eastAsia="zh-CN"/>
        </w:rPr>
        <w:t>2</w:t>
      </w:r>
    </w:p>
    <w:p w14:paraId="550163B8">
      <w:pPr>
        <w:pStyle w:val="87"/>
        <w:ind w:firstLine="480"/>
        <w:rPr>
          <w:rFonts w:hint="default" w:ascii="Times New Roman" w:hAnsi="Times New Roman" w:cs="Times New Roman"/>
          <w:color w:val="auto"/>
          <w:sz w:val="24"/>
          <w:highlight w:val="none"/>
          <w:lang w:bidi="en-US"/>
        </w:rPr>
      </w:pPr>
      <w:r>
        <w:rPr>
          <w:rFonts w:hint="default" w:ascii="Times New Roman" w:hAnsi="Times New Roman" w:cs="Times New Roman"/>
          <w:color w:val="auto"/>
          <w:sz w:val="24"/>
          <w:highlight w:val="none"/>
        </w:rPr>
        <w:t>开采标高：</w:t>
      </w:r>
      <w:bookmarkStart w:id="78" w:name="_Hlk62521169"/>
      <w:r>
        <w:rPr>
          <w:rFonts w:hint="eastAsia" w:cs="Times New Roman"/>
          <w:color w:val="auto"/>
          <w:sz w:val="24"/>
          <w:highlight w:val="none"/>
          <w:lang w:eastAsia="zh-CN" w:bidi="en-US"/>
        </w:rPr>
        <w:t>+527</w:t>
      </w:r>
      <w:r>
        <w:rPr>
          <w:rFonts w:hint="default" w:ascii="Times New Roman" w:hAnsi="Times New Roman" w:cs="Times New Roman"/>
          <w:color w:val="auto"/>
          <w:sz w:val="24"/>
          <w:highlight w:val="none"/>
          <w:lang w:bidi="en-US"/>
        </w:rPr>
        <w:t>m～</w:t>
      </w:r>
      <w:r>
        <w:rPr>
          <w:rFonts w:hint="eastAsia" w:cs="Times New Roman"/>
          <w:color w:val="auto"/>
          <w:sz w:val="24"/>
          <w:highlight w:val="none"/>
          <w:lang w:eastAsia="zh-CN" w:bidi="en-US"/>
        </w:rPr>
        <w:t>+457</w:t>
      </w:r>
      <w:r>
        <w:rPr>
          <w:rFonts w:hint="default" w:ascii="Times New Roman" w:hAnsi="Times New Roman" w:cs="Times New Roman"/>
          <w:color w:val="auto"/>
          <w:sz w:val="24"/>
          <w:highlight w:val="none"/>
          <w:lang w:bidi="en-US"/>
        </w:rPr>
        <w:t>m</w:t>
      </w:r>
      <w:bookmarkEnd w:id="78"/>
    </w:p>
    <w:p w14:paraId="479C8C1A">
      <w:pPr>
        <w:pStyle w:val="87"/>
        <w:ind w:firstLine="480"/>
        <w:rPr>
          <w:rFonts w:hint="eastAsia"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采矿证</w:t>
      </w:r>
      <w:r>
        <w:rPr>
          <w:rFonts w:hint="default" w:ascii="Times New Roman" w:hAnsi="Times New Roman" w:cs="Times New Roman"/>
          <w:color w:val="auto"/>
          <w:sz w:val="24"/>
          <w:highlight w:val="none"/>
        </w:rPr>
        <w:t>有效期限：</w:t>
      </w:r>
      <w:r>
        <w:rPr>
          <w:rFonts w:hint="eastAsia" w:cs="Times New Roman"/>
          <w:color w:val="auto"/>
          <w:sz w:val="24"/>
          <w:highlight w:val="none"/>
          <w:lang w:eastAsia="zh-CN"/>
        </w:rPr>
        <w:t>2014年9月8日至2024年9月8日</w:t>
      </w:r>
    </w:p>
    <w:p w14:paraId="6AB92FFC">
      <w:pPr>
        <w:pStyle w:val="4"/>
        <w:ind w:firstLine="0" w:firstLineChars="0"/>
        <w:rPr>
          <w:rFonts w:hint="default" w:ascii="Times New Roman" w:hAnsi="Times New Roman" w:eastAsia="黑体" w:cs="Times New Roman"/>
          <w:b w:val="0"/>
          <w:color w:val="auto"/>
          <w:sz w:val="28"/>
          <w:szCs w:val="28"/>
          <w:highlight w:val="none"/>
        </w:rPr>
      </w:pPr>
      <w:bookmarkStart w:id="79" w:name="_Toc13235"/>
      <w:r>
        <w:rPr>
          <w:rFonts w:hint="default" w:ascii="Times New Roman" w:hAnsi="Times New Roman" w:eastAsia="黑体" w:cs="Times New Roman"/>
          <w:b w:val="0"/>
          <w:color w:val="auto"/>
          <w:sz w:val="28"/>
          <w:szCs w:val="28"/>
          <w:highlight w:val="none"/>
        </w:rPr>
        <w:t>二、矿区范围及拐点坐标</w:t>
      </w:r>
      <w:bookmarkEnd w:id="77"/>
      <w:bookmarkEnd w:id="79"/>
    </w:p>
    <w:p w14:paraId="03A69DCB">
      <w:pPr>
        <w:snapToGrid w:val="0"/>
        <w:spacing w:line="360" w:lineRule="auto"/>
        <w:ind w:firstLine="480" w:firstLineChars="200"/>
        <w:jc w:val="both"/>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依据</w:t>
      </w:r>
      <w:r>
        <w:rPr>
          <w:rFonts w:hint="eastAsia" w:cs="Times New Roman"/>
          <w:color w:val="auto"/>
          <w:kern w:val="0"/>
          <w:sz w:val="24"/>
          <w:highlight w:val="none"/>
          <w:lang w:val="en-US" w:eastAsia="zh-CN"/>
        </w:rPr>
        <w:t>矿山现有</w:t>
      </w:r>
      <w:r>
        <w:rPr>
          <w:rFonts w:hint="eastAsia" w:cs="Times New Roman"/>
          <w:color w:val="auto"/>
          <w:sz w:val="24"/>
          <w:highlight w:val="none"/>
          <w:lang w:eastAsia="zh-CN"/>
        </w:rPr>
        <w:t>吉林市衡永源工贸有限公司北大湖采石场</w:t>
      </w:r>
      <w:r>
        <w:rPr>
          <w:rFonts w:hint="default" w:ascii="Times New Roman" w:hAnsi="Times New Roman" w:cs="Times New Roman"/>
          <w:color w:val="auto"/>
          <w:kern w:val="0"/>
          <w:sz w:val="24"/>
          <w:highlight w:val="none"/>
        </w:rPr>
        <w:t>采矿许可证，采矿证号：</w:t>
      </w:r>
      <w:r>
        <w:rPr>
          <w:rFonts w:hint="eastAsia" w:cs="Times New Roman"/>
          <w:color w:val="auto"/>
          <w:kern w:val="0"/>
          <w:sz w:val="24"/>
          <w:highlight w:val="none"/>
          <w:lang w:eastAsia="zh-CN"/>
        </w:rPr>
        <w:t>C2202212010117120082409</w:t>
      </w:r>
      <w:r>
        <w:rPr>
          <w:rFonts w:hint="default" w:ascii="Times New Roman" w:hAnsi="Times New Roman" w:cs="Times New Roman"/>
          <w:color w:val="auto"/>
          <w:kern w:val="0"/>
          <w:sz w:val="24"/>
          <w:highlight w:val="none"/>
        </w:rPr>
        <w:t>，矿区范围由</w:t>
      </w:r>
      <w:r>
        <w:rPr>
          <w:rFonts w:hint="eastAsia" w:cs="Times New Roman"/>
          <w:color w:val="auto"/>
          <w:kern w:val="0"/>
          <w:sz w:val="24"/>
          <w:highlight w:val="none"/>
          <w:lang w:val="en-US" w:eastAsia="zh-CN"/>
        </w:rPr>
        <w:t>7</w:t>
      </w:r>
      <w:r>
        <w:rPr>
          <w:rFonts w:hint="default" w:ascii="Times New Roman" w:hAnsi="Times New Roman" w:cs="Times New Roman"/>
          <w:color w:val="auto"/>
          <w:kern w:val="0"/>
          <w:sz w:val="24"/>
          <w:highlight w:val="none"/>
        </w:rPr>
        <w:t>个拐点圈定，矿区范围拐点坐标见表1-1。</w:t>
      </w:r>
    </w:p>
    <w:p w14:paraId="4FF0E5FB">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黑体" w:cs="Times New Roman"/>
          <w:b w:val="0"/>
          <w:bCs/>
          <w:color w:val="auto"/>
          <w:szCs w:val="21"/>
          <w:highlight w:val="none"/>
          <w:lang w:val="en-US" w:eastAsia="zh-CN"/>
        </w:rPr>
      </w:pPr>
      <w:r>
        <w:rPr>
          <w:rFonts w:hint="default" w:ascii="Times New Roman" w:hAnsi="Times New Roman" w:eastAsia="黑体" w:cs="Times New Roman"/>
          <w:b w:val="0"/>
          <w:bCs/>
          <w:color w:val="auto"/>
          <w:szCs w:val="21"/>
          <w:highlight w:val="none"/>
        </w:rPr>
        <w:t>表1-1　矿区范围拐点坐标</w:t>
      </w:r>
      <w:bookmarkStart w:id="80" w:name="_Toc487105258"/>
      <w:r>
        <w:rPr>
          <w:rFonts w:hint="eastAsia" w:eastAsia="黑体" w:cs="Times New Roman"/>
          <w:b w:val="0"/>
          <w:bCs/>
          <w:color w:val="auto"/>
          <w:szCs w:val="21"/>
          <w:highlight w:val="none"/>
          <w:lang w:val="en-US" w:eastAsia="zh-CN"/>
        </w:rPr>
        <w:t>表</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1719"/>
        <w:gridCol w:w="1737"/>
        <w:gridCol w:w="2103"/>
        <w:gridCol w:w="2061"/>
      </w:tblGrid>
      <w:tr w14:paraId="72CC7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98" w:type="pct"/>
            <w:vMerge w:val="restart"/>
            <w:vAlign w:val="center"/>
          </w:tcPr>
          <w:p w14:paraId="7D0C8F3F">
            <w:pPr>
              <w:spacing w:line="240" w:lineRule="atLeast"/>
              <w:jc w:val="center"/>
              <w:rPr>
                <w:rFonts w:hint="default" w:ascii="Times New Roman" w:hAnsi="Times New Roman" w:cs="Times New Roman"/>
                <w:color w:val="auto"/>
                <w:kern w:val="0"/>
                <w:szCs w:val="21"/>
                <w:highlight w:val="none"/>
                <w:lang w:eastAsia="en-US" w:bidi="en-US"/>
              </w:rPr>
            </w:pPr>
            <w:r>
              <w:rPr>
                <w:rFonts w:hint="default" w:ascii="Times New Roman" w:hAnsi="Times New Roman" w:cs="Times New Roman"/>
                <w:color w:val="auto"/>
                <w:kern w:val="0"/>
                <w:szCs w:val="21"/>
                <w:highlight w:val="none"/>
                <w:lang w:eastAsia="en-US" w:bidi="en-US"/>
              </w:rPr>
              <w:t>拐点编号</w:t>
            </w:r>
          </w:p>
        </w:tc>
        <w:tc>
          <w:tcPr>
            <w:tcW w:w="1860" w:type="pct"/>
            <w:gridSpan w:val="2"/>
            <w:vAlign w:val="center"/>
          </w:tcPr>
          <w:p w14:paraId="126C416C">
            <w:pPr>
              <w:spacing w:line="240" w:lineRule="atLeast"/>
              <w:jc w:val="center"/>
              <w:rPr>
                <w:rFonts w:hint="default" w:ascii="Times New Roman" w:hAnsi="Times New Roman" w:cs="Times New Roman"/>
                <w:color w:val="auto"/>
                <w:kern w:val="0"/>
                <w:szCs w:val="21"/>
                <w:highlight w:val="none"/>
                <w:lang w:eastAsia="en-US" w:bidi="en-US"/>
              </w:rPr>
            </w:pPr>
            <w:r>
              <w:rPr>
                <w:rFonts w:hint="default" w:ascii="Times New Roman" w:hAnsi="Times New Roman" w:cs="Times New Roman"/>
                <w:color w:val="auto"/>
                <w:kern w:val="0"/>
                <w:szCs w:val="21"/>
                <w:highlight w:val="none"/>
                <w:lang w:val="en-US" w:eastAsia="zh-CN" w:bidi="en-US"/>
              </w:rPr>
              <w:t>19</w:t>
            </w:r>
            <w:r>
              <w:rPr>
                <w:rFonts w:hint="default" w:ascii="Times New Roman" w:hAnsi="Times New Roman" w:cs="Times New Roman"/>
                <w:color w:val="auto"/>
                <w:kern w:val="0"/>
                <w:szCs w:val="21"/>
                <w:highlight w:val="none"/>
                <w:lang w:bidi="en-US"/>
              </w:rPr>
              <w:t>80西安</w:t>
            </w:r>
            <w:r>
              <w:rPr>
                <w:rFonts w:hint="default" w:ascii="Times New Roman" w:hAnsi="Times New Roman" w:cs="Times New Roman"/>
                <w:color w:val="auto"/>
                <w:kern w:val="0"/>
                <w:szCs w:val="21"/>
                <w:highlight w:val="none"/>
                <w:lang w:eastAsia="en-US" w:bidi="en-US"/>
              </w:rPr>
              <w:t>坐标系</w:t>
            </w:r>
          </w:p>
        </w:tc>
        <w:tc>
          <w:tcPr>
            <w:tcW w:w="2241" w:type="pct"/>
            <w:gridSpan w:val="2"/>
          </w:tcPr>
          <w:p w14:paraId="36765A54">
            <w:pPr>
              <w:spacing w:line="240" w:lineRule="atLeast"/>
              <w:jc w:val="center"/>
              <w:rPr>
                <w:rFonts w:hint="default" w:ascii="Times New Roman" w:hAnsi="Times New Roman" w:cs="Times New Roman"/>
                <w:color w:val="auto"/>
                <w:kern w:val="0"/>
                <w:szCs w:val="21"/>
                <w:highlight w:val="none"/>
                <w:lang w:bidi="en-US"/>
              </w:rPr>
            </w:pPr>
            <w:r>
              <w:rPr>
                <w:rFonts w:hint="default" w:ascii="Times New Roman" w:hAnsi="Times New Roman" w:cs="Times New Roman"/>
                <w:color w:val="auto"/>
                <w:kern w:val="0"/>
                <w:szCs w:val="21"/>
                <w:highlight w:val="none"/>
                <w:lang w:bidi="en-US"/>
              </w:rPr>
              <w:t>2000国家大地</w:t>
            </w:r>
            <w:r>
              <w:rPr>
                <w:rFonts w:hint="default" w:ascii="Times New Roman" w:hAnsi="Times New Roman" w:cs="Times New Roman"/>
                <w:color w:val="auto"/>
                <w:kern w:val="0"/>
                <w:szCs w:val="21"/>
                <w:highlight w:val="none"/>
                <w:lang w:eastAsia="en-US" w:bidi="en-US"/>
              </w:rPr>
              <w:t>坐标系</w:t>
            </w:r>
          </w:p>
        </w:tc>
      </w:tr>
      <w:tr w14:paraId="45A25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98" w:type="pct"/>
            <w:vMerge w:val="continue"/>
            <w:vAlign w:val="center"/>
          </w:tcPr>
          <w:p w14:paraId="68C81648">
            <w:pPr>
              <w:spacing w:line="240" w:lineRule="atLeast"/>
              <w:jc w:val="center"/>
              <w:rPr>
                <w:rFonts w:hint="default" w:ascii="Times New Roman" w:hAnsi="Times New Roman" w:cs="Times New Roman"/>
                <w:color w:val="auto"/>
                <w:kern w:val="0"/>
                <w:szCs w:val="21"/>
                <w:highlight w:val="none"/>
                <w:lang w:eastAsia="en-US" w:bidi="en-US"/>
              </w:rPr>
            </w:pPr>
          </w:p>
        </w:tc>
        <w:tc>
          <w:tcPr>
            <w:tcW w:w="925" w:type="pct"/>
            <w:vAlign w:val="center"/>
          </w:tcPr>
          <w:p w14:paraId="424FC13F">
            <w:pPr>
              <w:spacing w:line="240" w:lineRule="atLeast"/>
              <w:jc w:val="center"/>
              <w:rPr>
                <w:rFonts w:hint="default" w:ascii="Times New Roman" w:hAnsi="Times New Roman" w:cs="Times New Roman"/>
                <w:color w:val="auto"/>
                <w:kern w:val="0"/>
                <w:szCs w:val="21"/>
                <w:highlight w:val="none"/>
                <w:lang w:eastAsia="en-US" w:bidi="en-US"/>
              </w:rPr>
            </w:pPr>
            <w:r>
              <w:rPr>
                <w:rFonts w:hint="default" w:ascii="Times New Roman" w:hAnsi="Times New Roman" w:cs="Times New Roman"/>
                <w:color w:val="auto"/>
                <w:kern w:val="0"/>
                <w:szCs w:val="21"/>
                <w:highlight w:val="none"/>
                <w:lang w:eastAsia="en-US" w:bidi="en-US"/>
              </w:rPr>
              <w:t>X坐标</w:t>
            </w:r>
          </w:p>
        </w:tc>
        <w:tc>
          <w:tcPr>
            <w:tcW w:w="935" w:type="pct"/>
            <w:vAlign w:val="center"/>
          </w:tcPr>
          <w:p w14:paraId="58FBC63E">
            <w:pPr>
              <w:spacing w:line="240" w:lineRule="atLeast"/>
              <w:jc w:val="center"/>
              <w:rPr>
                <w:rFonts w:hint="default" w:ascii="Times New Roman" w:hAnsi="Times New Roman" w:cs="Times New Roman"/>
                <w:color w:val="auto"/>
                <w:kern w:val="0"/>
                <w:szCs w:val="21"/>
                <w:highlight w:val="none"/>
                <w:lang w:eastAsia="en-US" w:bidi="en-US"/>
              </w:rPr>
            </w:pPr>
            <w:r>
              <w:rPr>
                <w:rFonts w:hint="default" w:ascii="Times New Roman" w:hAnsi="Times New Roman" w:cs="Times New Roman"/>
                <w:color w:val="auto"/>
                <w:kern w:val="0"/>
                <w:szCs w:val="21"/>
                <w:highlight w:val="none"/>
                <w:lang w:eastAsia="en-US" w:bidi="en-US"/>
              </w:rPr>
              <w:t>Y坐标</w:t>
            </w:r>
          </w:p>
        </w:tc>
        <w:tc>
          <w:tcPr>
            <w:tcW w:w="1132" w:type="pct"/>
            <w:vAlign w:val="center"/>
          </w:tcPr>
          <w:p w14:paraId="0AD00F00">
            <w:pPr>
              <w:spacing w:line="240" w:lineRule="atLeast"/>
              <w:jc w:val="center"/>
              <w:rPr>
                <w:rFonts w:hint="default" w:ascii="Times New Roman" w:hAnsi="Times New Roman" w:cs="Times New Roman"/>
                <w:color w:val="auto"/>
                <w:kern w:val="0"/>
                <w:szCs w:val="21"/>
                <w:highlight w:val="none"/>
                <w:lang w:eastAsia="en-US" w:bidi="en-US"/>
              </w:rPr>
            </w:pPr>
            <w:r>
              <w:rPr>
                <w:rFonts w:hint="default" w:ascii="Times New Roman" w:hAnsi="Times New Roman" w:cs="Times New Roman"/>
                <w:color w:val="auto"/>
                <w:kern w:val="0"/>
                <w:szCs w:val="21"/>
                <w:highlight w:val="none"/>
                <w:lang w:eastAsia="en-US" w:bidi="en-US"/>
              </w:rPr>
              <w:t>X坐标</w:t>
            </w:r>
          </w:p>
        </w:tc>
        <w:tc>
          <w:tcPr>
            <w:tcW w:w="1108" w:type="pct"/>
            <w:vAlign w:val="center"/>
          </w:tcPr>
          <w:p w14:paraId="06EB2A5B">
            <w:pPr>
              <w:spacing w:line="240" w:lineRule="atLeast"/>
              <w:jc w:val="center"/>
              <w:rPr>
                <w:rFonts w:hint="default" w:ascii="Times New Roman" w:hAnsi="Times New Roman" w:cs="Times New Roman"/>
                <w:color w:val="auto"/>
                <w:kern w:val="0"/>
                <w:szCs w:val="21"/>
                <w:highlight w:val="none"/>
                <w:lang w:eastAsia="en-US" w:bidi="en-US"/>
              </w:rPr>
            </w:pPr>
            <w:r>
              <w:rPr>
                <w:rFonts w:hint="default" w:ascii="Times New Roman" w:hAnsi="Times New Roman" w:cs="Times New Roman"/>
                <w:color w:val="auto"/>
                <w:kern w:val="0"/>
                <w:szCs w:val="21"/>
                <w:highlight w:val="none"/>
                <w:lang w:eastAsia="en-US" w:bidi="en-US"/>
              </w:rPr>
              <w:t>Y坐标</w:t>
            </w:r>
          </w:p>
        </w:tc>
      </w:tr>
      <w:tr w14:paraId="2F10B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D74C40B">
            <w:pPr>
              <w:spacing w:line="240" w:lineRule="atLeast"/>
              <w:jc w:val="center"/>
              <w:rPr>
                <w:rFonts w:hint="default" w:ascii="Times New Roman" w:hAnsi="Times New Roman" w:cs="Times New Roman"/>
                <w:color w:val="auto"/>
                <w:kern w:val="0"/>
                <w:szCs w:val="21"/>
                <w:highlight w:val="none"/>
                <w:lang w:bidi="en-US"/>
              </w:rPr>
            </w:pPr>
            <w:r>
              <w:rPr>
                <w:rFonts w:hint="default" w:ascii="Times New Roman" w:hAnsi="Times New Roman" w:cs="Times New Roman"/>
                <w:color w:val="auto"/>
                <w:kern w:val="0"/>
                <w:szCs w:val="21"/>
                <w:highlight w:val="none"/>
                <w:lang w:bidi="en-US"/>
              </w:rPr>
              <w:t>1</w:t>
            </w:r>
          </w:p>
        </w:tc>
        <w:tc>
          <w:tcPr>
            <w:tcW w:w="925" w:type="pct"/>
            <w:vAlign w:val="center"/>
          </w:tcPr>
          <w:p w14:paraId="5C3156EF">
            <w:pPr>
              <w:keepNext w:val="0"/>
              <w:keepLines w:val="0"/>
              <w:widowControl/>
              <w:suppressLineNumbers w:val="0"/>
              <w:jc w:val="center"/>
              <w:textAlignment w:val="center"/>
              <w:rPr>
                <w:rFonts w:hint="default" w:ascii="Times New Roman" w:hAnsi="Times New Roman" w:cs="Times New Roman"/>
                <w:color w:val="auto"/>
                <w:kern w:val="0"/>
                <w:szCs w:val="21"/>
                <w:highlight w:val="none"/>
                <w:lang w:val="en-US" w:eastAsia="en-US" w:bidi="en-US"/>
              </w:rPr>
            </w:pPr>
            <w:r>
              <w:rPr>
                <w:rFonts w:hint="default" w:ascii="Times New Roman" w:hAnsi="Times New Roman" w:eastAsia="宋体" w:cs="Times New Roman"/>
                <w:i w:val="0"/>
                <w:iCs w:val="0"/>
                <w:color w:val="auto"/>
                <w:kern w:val="0"/>
                <w:sz w:val="20"/>
                <w:szCs w:val="20"/>
                <w:highlight w:val="none"/>
                <w:u w:val="none"/>
                <w:lang w:val="en-US" w:eastAsia="zh-CN" w:bidi="ar"/>
              </w:rPr>
              <w:t>4809593</w:t>
            </w:r>
          </w:p>
        </w:tc>
        <w:tc>
          <w:tcPr>
            <w:tcW w:w="935" w:type="pct"/>
            <w:vAlign w:val="center"/>
          </w:tcPr>
          <w:p w14:paraId="001EC47D">
            <w:pPr>
              <w:keepNext w:val="0"/>
              <w:keepLines w:val="0"/>
              <w:widowControl/>
              <w:suppressLineNumbers w:val="0"/>
              <w:jc w:val="center"/>
              <w:textAlignment w:val="center"/>
              <w:rPr>
                <w:rFonts w:hint="default" w:ascii="Times New Roman" w:hAnsi="Times New Roman" w:cs="Times New Roman"/>
                <w:color w:val="auto"/>
                <w:kern w:val="0"/>
                <w:szCs w:val="21"/>
                <w:highlight w:val="none"/>
                <w:lang w:val="en-US" w:eastAsia="en-US" w:bidi="en-US"/>
              </w:rPr>
            </w:pPr>
            <w:r>
              <w:rPr>
                <w:rFonts w:hint="default" w:ascii="Times New Roman" w:hAnsi="Times New Roman" w:eastAsia="宋体" w:cs="Times New Roman"/>
                <w:i w:val="0"/>
                <w:iCs w:val="0"/>
                <w:color w:val="auto"/>
                <w:kern w:val="0"/>
                <w:sz w:val="20"/>
                <w:szCs w:val="20"/>
                <w:highlight w:val="none"/>
                <w:u w:val="none"/>
                <w:lang w:val="en-US" w:eastAsia="zh-CN" w:bidi="ar"/>
              </w:rPr>
              <w:t>42535888</w:t>
            </w:r>
          </w:p>
        </w:tc>
        <w:tc>
          <w:tcPr>
            <w:tcW w:w="1132" w:type="pct"/>
            <w:vAlign w:val="center"/>
          </w:tcPr>
          <w:p w14:paraId="13AECE05">
            <w:pPr>
              <w:keepNext w:val="0"/>
              <w:keepLines w:val="0"/>
              <w:widowControl/>
              <w:suppressLineNumbers w:val="0"/>
              <w:jc w:val="center"/>
              <w:textAlignment w:val="center"/>
              <w:rPr>
                <w:rFonts w:hint="default" w:ascii="Times New Roman" w:hAnsi="Times New Roman" w:cs="Times New Roman"/>
                <w:color w:val="auto"/>
                <w:kern w:val="0"/>
                <w:szCs w:val="21"/>
                <w:highlight w:val="none"/>
                <w:lang w:eastAsia="en-US" w:bidi="en-US"/>
              </w:rPr>
            </w:pPr>
            <w:r>
              <w:rPr>
                <w:rFonts w:hint="default" w:ascii="Times New Roman" w:hAnsi="Times New Roman" w:eastAsia="宋体" w:cs="Times New Roman"/>
                <w:i w:val="0"/>
                <w:iCs w:val="0"/>
                <w:color w:val="auto"/>
                <w:kern w:val="0"/>
                <w:sz w:val="20"/>
                <w:szCs w:val="20"/>
                <w:highlight w:val="none"/>
                <w:u w:val="none"/>
                <w:lang w:val="en-US" w:eastAsia="zh-CN" w:bidi="ar"/>
              </w:rPr>
              <w:t>4809581.149</w:t>
            </w:r>
          </w:p>
        </w:tc>
        <w:tc>
          <w:tcPr>
            <w:tcW w:w="1108" w:type="pct"/>
            <w:vAlign w:val="center"/>
          </w:tcPr>
          <w:p w14:paraId="410EFDD7">
            <w:pPr>
              <w:keepNext w:val="0"/>
              <w:keepLines w:val="0"/>
              <w:widowControl/>
              <w:suppressLineNumbers w:val="0"/>
              <w:jc w:val="center"/>
              <w:textAlignment w:val="center"/>
              <w:rPr>
                <w:rFonts w:hint="default" w:ascii="Times New Roman" w:hAnsi="Times New Roman" w:cs="Times New Roman"/>
                <w:color w:val="auto"/>
                <w:kern w:val="0"/>
                <w:szCs w:val="21"/>
                <w:highlight w:val="none"/>
                <w:lang w:eastAsia="en-US" w:bidi="en-US"/>
              </w:rPr>
            </w:pPr>
            <w:r>
              <w:rPr>
                <w:rFonts w:hint="default" w:ascii="Times New Roman" w:hAnsi="Times New Roman" w:eastAsia="宋体" w:cs="Times New Roman"/>
                <w:i w:val="0"/>
                <w:iCs w:val="0"/>
                <w:color w:val="auto"/>
                <w:kern w:val="0"/>
                <w:sz w:val="20"/>
                <w:szCs w:val="20"/>
                <w:highlight w:val="none"/>
                <w:u w:val="none"/>
                <w:lang w:val="en-US" w:eastAsia="zh-CN" w:bidi="ar"/>
              </w:rPr>
              <w:t>42536006.36</w:t>
            </w:r>
          </w:p>
        </w:tc>
      </w:tr>
      <w:tr w14:paraId="0B493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39282CF9">
            <w:pPr>
              <w:spacing w:line="240" w:lineRule="atLeast"/>
              <w:jc w:val="center"/>
              <w:rPr>
                <w:rFonts w:hint="default" w:ascii="Times New Roman" w:hAnsi="Times New Roman" w:cs="Times New Roman"/>
                <w:color w:val="auto"/>
                <w:kern w:val="0"/>
                <w:szCs w:val="21"/>
                <w:highlight w:val="none"/>
                <w:lang w:eastAsia="en-US" w:bidi="en-US"/>
              </w:rPr>
            </w:pPr>
            <w:r>
              <w:rPr>
                <w:rFonts w:hint="default" w:ascii="Times New Roman" w:hAnsi="Times New Roman" w:cs="Times New Roman"/>
                <w:color w:val="auto"/>
                <w:kern w:val="0"/>
                <w:szCs w:val="21"/>
                <w:highlight w:val="none"/>
                <w:lang w:eastAsia="en-US" w:bidi="en-US"/>
              </w:rPr>
              <w:t>2</w:t>
            </w:r>
          </w:p>
        </w:tc>
        <w:tc>
          <w:tcPr>
            <w:tcW w:w="925" w:type="pct"/>
            <w:vAlign w:val="center"/>
          </w:tcPr>
          <w:p w14:paraId="3B1B60D7">
            <w:pPr>
              <w:keepNext w:val="0"/>
              <w:keepLines w:val="0"/>
              <w:widowControl/>
              <w:suppressLineNumbers w:val="0"/>
              <w:jc w:val="center"/>
              <w:textAlignment w:val="center"/>
              <w:rPr>
                <w:rFonts w:hint="default" w:ascii="Times New Roman" w:hAnsi="Times New Roman" w:cs="Times New Roman"/>
                <w:color w:val="auto"/>
                <w:kern w:val="0"/>
                <w:szCs w:val="21"/>
                <w:highlight w:val="none"/>
                <w:lang w:val="en-US" w:eastAsia="en-US" w:bidi="en-US"/>
              </w:rPr>
            </w:pPr>
            <w:r>
              <w:rPr>
                <w:rFonts w:hint="default" w:ascii="Times New Roman" w:hAnsi="Times New Roman" w:eastAsia="宋体" w:cs="Times New Roman"/>
                <w:i w:val="0"/>
                <w:iCs w:val="0"/>
                <w:color w:val="auto"/>
                <w:kern w:val="0"/>
                <w:sz w:val="20"/>
                <w:szCs w:val="20"/>
                <w:highlight w:val="none"/>
                <w:u w:val="none"/>
                <w:lang w:val="en-US" w:eastAsia="zh-CN" w:bidi="ar"/>
              </w:rPr>
              <w:t>4809505</w:t>
            </w:r>
          </w:p>
        </w:tc>
        <w:tc>
          <w:tcPr>
            <w:tcW w:w="935" w:type="pct"/>
            <w:vAlign w:val="center"/>
          </w:tcPr>
          <w:p w14:paraId="7643E394">
            <w:pPr>
              <w:keepNext w:val="0"/>
              <w:keepLines w:val="0"/>
              <w:widowControl/>
              <w:suppressLineNumbers w:val="0"/>
              <w:jc w:val="center"/>
              <w:textAlignment w:val="center"/>
              <w:rPr>
                <w:rFonts w:hint="default" w:ascii="Times New Roman" w:hAnsi="Times New Roman" w:cs="Times New Roman"/>
                <w:color w:val="auto"/>
                <w:kern w:val="0"/>
                <w:szCs w:val="21"/>
                <w:highlight w:val="none"/>
                <w:lang w:val="en-US" w:eastAsia="en-US" w:bidi="en-US"/>
              </w:rPr>
            </w:pPr>
            <w:r>
              <w:rPr>
                <w:rFonts w:hint="default" w:ascii="Times New Roman" w:hAnsi="Times New Roman" w:eastAsia="宋体" w:cs="Times New Roman"/>
                <w:i w:val="0"/>
                <w:iCs w:val="0"/>
                <w:color w:val="auto"/>
                <w:kern w:val="0"/>
                <w:sz w:val="20"/>
                <w:szCs w:val="20"/>
                <w:highlight w:val="none"/>
                <w:u w:val="none"/>
                <w:lang w:val="en-US" w:eastAsia="zh-CN" w:bidi="ar"/>
              </w:rPr>
              <w:t>42536061</w:t>
            </w:r>
          </w:p>
        </w:tc>
        <w:tc>
          <w:tcPr>
            <w:tcW w:w="1132" w:type="pct"/>
            <w:vAlign w:val="center"/>
          </w:tcPr>
          <w:p w14:paraId="52E9CBFC">
            <w:pPr>
              <w:keepNext w:val="0"/>
              <w:keepLines w:val="0"/>
              <w:widowControl/>
              <w:suppressLineNumbers w:val="0"/>
              <w:jc w:val="center"/>
              <w:textAlignment w:val="center"/>
              <w:rPr>
                <w:rFonts w:hint="default" w:ascii="Times New Roman" w:hAnsi="Times New Roman" w:cs="Times New Roman"/>
                <w:color w:val="auto"/>
                <w:kern w:val="0"/>
                <w:szCs w:val="21"/>
                <w:highlight w:val="none"/>
                <w:lang w:eastAsia="en-US" w:bidi="en-US"/>
              </w:rPr>
            </w:pPr>
            <w:r>
              <w:rPr>
                <w:rFonts w:hint="default" w:ascii="Times New Roman" w:hAnsi="Times New Roman" w:eastAsia="宋体" w:cs="Times New Roman"/>
                <w:i w:val="0"/>
                <w:iCs w:val="0"/>
                <w:color w:val="auto"/>
                <w:kern w:val="0"/>
                <w:sz w:val="20"/>
                <w:szCs w:val="20"/>
                <w:highlight w:val="none"/>
                <w:u w:val="none"/>
                <w:lang w:val="en-US" w:eastAsia="zh-CN" w:bidi="ar"/>
              </w:rPr>
              <w:t>4809493.149</w:t>
            </w:r>
          </w:p>
        </w:tc>
        <w:tc>
          <w:tcPr>
            <w:tcW w:w="1108" w:type="pct"/>
            <w:vAlign w:val="center"/>
          </w:tcPr>
          <w:p w14:paraId="26AB0F30">
            <w:pPr>
              <w:keepNext w:val="0"/>
              <w:keepLines w:val="0"/>
              <w:widowControl/>
              <w:suppressLineNumbers w:val="0"/>
              <w:jc w:val="center"/>
              <w:textAlignment w:val="center"/>
              <w:rPr>
                <w:rFonts w:hint="default" w:ascii="Times New Roman" w:hAnsi="Times New Roman" w:cs="Times New Roman"/>
                <w:color w:val="auto"/>
                <w:kern w:val="0"/>
                <w:szCs w:val="21"/>
                <w:highlight w:val="none"/>
                <w:lang w:eastAsia="en-US" w:bidi="en-US"/>
              </w:rPr>
            </w:pPr>
            <w:r>
              <w:rPr>
                <w:rFonts w:hint="default" w:ascii="Times New Roman" w:hAnsi="Times New Roman" w:eastAsia="宋体" w:cs="Times New Roman"/>
                <w:i w:val="0"/>
                <w:iCs w:val="0"/>
                <w:color w:val="auto"/>
                <w:kern w:val="0"/>
                <w:sz w:val="20"/>
                <w:szCs w:val="20"/>
                <w:highlight w:val="none"/>
                <w:u w:val="none"/>
                <w:lang w:val="en-US" w:eastAsia="zh-CN" w:bidi="ar"/>
              </w:rPr>
              <w:t>42536179.36</w:t>
            </w:r>
          </w:p>
        </w:tc>
      </w:tr>
      <w:tr w14:paraId="5C42B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E6B288B">
            <w:pPr>
              <w:spacing w:line="240" w:lineRule="atLeast"/>
              <w:jc w:val="center"/>
              <w:rPr>
                <w:rFonts w:hint="default" w:ascii="Times New Roman" w:hAnsi="Times New Roman" w:cs="Times New Roman"/>
                <w:color w:val="auto"/>
                <w:kern w:val="0"/>
                <w:szCs w:val="21"/>
                <w:highlight w:val="none"/>
                <w:lang w:eastAsia="en-US" w:bidi="en-US"/>
              </w:rPr>
            </w:pPr>
            <w:r>
              <w:rPr>
                <w:rFonts w:hint="default" w:ascii="Times New Roman" w:hAnsi="Times New Roman" w:cs="Times New Roman"/>
                <w:color w:val="auto"/>
                <w:kern w:val="0"/>
                <w:szCs w:val="21"/>
                <w:highlight w:val="none"/>
                <w:lang w:eastAsia="en-US" w:bidi="en-US"/>
              </w:rPr>
              <w:t>3</w:t>
            </w:r>
          </w:p>
        </w:tc>
        <w:tc>
          <w:tcPr>
            <w:tcW w:w="925" w:type="pct"/>
            <w:vAlign w:val="center"/>
          </w:tcPr>
          <w:p w14:paraId="7C6D31CE">
            <w:pPr>
              <w:keepNext w:val="0"/>
              <w:keepLines w:val="0"/>
              <w:widowControl/>
              <w:suppressLineNumbers w:val="0"/>
              <w:jc w:val="center"/>
              <w:textAlignment w:val="center"/>
              <w:rPr>
                <w:rFonts w:hint="default" w:ascii="Times New Roman" w:hAnsi="Times New Roman" w:cs="Times New Roman"/>
                <w:color w:val="auto"/>
                <w:kern w:val="0"/>
                <w:szCs w:val="21"/>
                <w:highlight w:val="none"/>
                <w:lang w:val="en-US" w:eastAsia="en-US" w:bidi="en-US"/>
              </w:rPr>
            </w:pPr>
            <w:r>
              <w:rPr>
                <w:rFonts w:hint="default" w:ascii="Times New Roman" w:hAnsi="Times New Roman" w:eastAsia="宋体" w:cs="Times New Roman"/>
                <w:i w:val="0"/>
                <w:iCs w:val="0"/>
                <w:color w:val="auto"/>
                <w:kern w:val="0"/>
                <w:sz w:val="20"/>
                <w:szCs w:val="20"/>
                <w:highlight w:val="none"/>
                <w:u w:val="none"/>
                <w:lang w:val="en-US" w:eastAsia="zh-CN" w:bidi="ar"/>
              </w:rPr>
              <w:t>4809444</w:t>
            </w:r>
          </w:p>
        </w:tc>
        <w:tc>
          <w:tcPr>
            <w:tcW w:w="935" w:type="pct"/>
            <w:vAlign w:val="center"/>
          </w:tcPr>
          <w:p w14:paraId="507C9A36">
            <w:pPr>
              <w:keepNext w:val="0"/>
              <w:keepLines w:val="0"/>
              <w:widowControl/>
              <w:suppressLineNumbers w:val="0"/>
              <w:jc w:val="center"/>
              <w:textAlignment w:val="center"/>
              <w:rPr>
                <w:rFonts w:hint="default" w:ascii="Times New Roman" w:hAnsi="Times New Roman" w:cs="Times New Roman"/>
                <w:color w:val="auto"/>
                <w:kern w:val="0"/>
                <w:szCs w:val="21"/>
                <w:highlight w:val="none"/>
                <w:lang w:val="en-US" w:eastAsia="en-US" w:bidi="en-US"/>
              </w:rPr>
            </w:pPr>
            <w:r>
              <w:rPr>
                <w:rFonts w:hint="default" w:ascii="Times New Roman" w:hAnsi="Times New Roman" w:eastAsia="宋体" w:cs="Times New Roman"/>
                <w:i w:val="0"/>
                <w:iCs w:val="0"/>
                <w:color w:val="auto"/>
                <w:kern w:val="0"/>
                <w:sz w:val="20"/>
                <w:szCs w:val="20"/>
                <w:highlight w:val="none"/>
                <w:u w:val="none"/>
                <w:lang w:val="en-US" w:eastAsia="zh-CN" w:bidi="ar"/>
              </w:rPr>
              <w:t>42536058</w:t>
            </w:r>
          </w:p>
        </w:tc>
        <w:tc>
          <w:tcPr>
            <w:tcW w:w="1132" w:type="pct"/>
            <w:vAlign w:val="center"/>
          </w:tcPr>
          <w:p w14:paraId="2EF4D803">
            <w:pPr>
              <w:keepNext w:val="0"/>
              <w:keepLines w:val="0"/>
              <w:widowControl/>
              <w:suppressLineNumbers w:val="0"/>
              <w:jc w:val="center"/>
              <w:textAlignment w:val="center"/>
              <w:rPr>
                <w:rFonts w:hint="default" w:ascii="Times New Roman" w:hAnsi="Times New Roman" w:cs="Times New Roman"/>
                <w:color w:val="auto"/>
                <w:kern w:val="0"/>
                <w:szCs w:val="21"/>
                <w:highlight w:val="none"/>
                <w:lang w:eastAsia="en-US" w:bidi="en-US"/>
              </w:rPr>
            </w:pPr>
            <w:r>
              <w:rPr>
                <w:rFonts w:hint="default" w:ascii="Times New Roman" w:hAnsi="Times New Roman" w:eastAsia="宋体" w:cs="Times New Roman"/>
                <w:i w:val="0"/>
                <w:iCs w:val="0"/>
                <w:color w:val="auto"/>
                <w:kern w:val="0"/>
                <w:sz w:val="20"/>
                <w:szCs w:val="20"/>
                <w:highlight w:val="none"/>
                <w:u w:val="none"/>
                <w:lang w:val="en-US" w:eastAsia="zh-CN" w:bidi="ar"/>
              </w:rPr>
              <w:t>4809432.149</w:t>
            </w:r>
          </w:p>
        </w:tc>
        <w:tc>
          <w:tcPr>
            <w:tcW w:w="1108" w:type="pct"/>
            <w:vAlign w:val="center"/>
          </w:tcPr>
          <w:p w14:paraId="07E6B422">
            <w:pPr>
              <w:keepNext w:val="0"/>
              <w:keepLines w:val="0"/>
              <w:widowControl/>
              <w:suppressLineNumbers w:val="0"/>
              <w:jc w:val="center"/>
              <w:textAlignment w:val="center"/>
              <w:rPr>
                <w:rFonts w:hint="default" w:ascii="Times New Roman" w:hAnsi="Times New Roman" w:cs="Times New Roman"/>
                <w:color w:val="auto"/>
                <w:kern w:val="0"/>
                <w:szCs w:val="21"/>
                <w:highlight w:val="none"/>
                <w:lang w:eastAsia="en-US" w:bidi="en-US"/>
              </w:rPr>
            </w:pPr>
            <w:r>
              <w:rPr>
                <w:rFonts w:hint="default" w:ascii="Times New Roman" w:hAnsi="Times New Roman" w:eastAsia="宋体" w:cs="Times New Roman"/>
                <w:i w:val="0"/>
                <w:iCs w:val="0"/>
                <w:color w:val="auto"/>
                <w:kern w:val="0"/>
                <w:sz w:val="20"/>
                <w:szCs w:val="20"/>
                <w:highlight w:val="none"/>
                <w:u w:val="none"/>
                <w:lang w:val="en-US" w:eastAsia="zh-CN" w:bidi="ar"/>
              </w:rPr>
              <w:t>42536176.36</w:t>
            </w:r>
          </w:p>
        </w:tc>
      </w:tr>
      <w:tr w14:paraId="45CFB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351C0895">
            <w:pPr>
              <w:spacing w:line="240" w:lineRule="atLeast"/>
              <w:jc w:val="center"/>
              <w:rPr>
                <w:rFonts w:hint="default" w:ascii="Times New Roman" w:hAnsi="Times New Roman" w:cs="Times New Roman"/>
                <w:color w:val="auto"/>
                <w:kern w:val="0"/>
                <w:szCs w:val="21"/>
                <w:highlight w:val="none"/>
                <w:lang w:eastAsia="en-US" w:bidi="en-US"/>
              </w:rPr>
            </w:pPr>
            <w:r>
              <w:rPr>
                <w:rFonts w:hint="default" w:ascii="Times New Roman" w:hAnsi="Times New Roman" w:cs="Times New Roman"/>
                <w:color w:val="auto"/>
                <w:kern w:val="0"/>
                <w:szCs w:val="21"/>
                <w:highlight w:val="none"/>
                <w:lang w:eastAsia="en-US" w:bidi="en-US"/>
              </w:rPr>
              <w:t>4</w:t>
            </w:r>
          </w:p>
        </w:tc>
        <w:tc>
          <w:tcPr>
            <w:tcW w:w="925" w:type="pct"/>
            <w:vAlign w:val="center"/>
          </w:tcPr>
          <w:p w14:paraId="2FB60CA4">
            <w:pPr>
              <w:keepNext w:val="0"/>
              <w:keepLines w:val="0"/>
              <w:widowControl/>
              <w:suppressLineNumbers w:val="0"/>
              <w:jc w:val="center"/>
              <w:textAlignment w:val="center"/>
              <w:rPr>
                <w:rFonts w:hint="default" w:ascii="Times New Roman" w:hAnsi="Times New Roman" w:cs="Times New Roman"/>
                <w:color w:val="auto"/>
                <w:kern w:val="0"/>
                <w:szCs w:val="21"/>
                <w:highlight w:val="none"/>
                <w:lang w:val="en-US" w:eastAsia="en-US" w:bidi="en-US"/>
              </w:rPr>
            </w:pPr>
            <w:r>
              <w:rPr>
                <w:rFonts w:hint="default" w:ascii="Times New Roman" w:hAnsi="Times New Roman" w:eastAsia="宋体" w:cs="Times New Roman"/>
                <w:i w:val="0"/>
                <w:iCs w:val="0"/>
                <w:color w:val="auto"/>
                <w:kern w:val="0"/>
                <w:sz w:val="20"/>
                <w:szCs w:val="20"/>
                <w:highlight w:val="none"/>
                <w:u w:val="none"/>
                <w:lang w:val="en-US" w:eastAsia="zh-CN" w:bidi="ar"/>
              </w:rPr>
              <w:t>4809448</w:t>
            </w:r>
          </w:p>
        </w:tc>
        <w:tc>
          <w:tcPr>
            <w:tcW w:w="935" w:type="pct"/>
            <w:vAlign w:val="center"/>
          </w:tcPr>
          <w:p w14:paraId="0F836F07">
            <w:pPr>
              <w:keepNext w:val="0"/>
              <w:keepLines w:val="0"/>
              <w:widowControl/>
              <w:suppressLineNumbers w:val="0"/>
              <w:jc w:val="center"/>
              <w:textAlignment w:val="center"/>
              <w:rPr>
                <w:rFonts w:hint="default" w:ascii="Times New Roman" w:hAnsi="Times New Roman" w:cs="Times New Roman"/>
                <w:color w:val="auto"/>
                <w:kern w:val="0"/>
                <w:szCs w:val="21"/>
                <w:highlight w:val="none"/>
                <w:lang w:val="en-US" w:eastAsia="en-US" w:bidi="en-US"/>
              </w:rPr>
            </w:pPr>
            <w:r>
              <w:rPr>
                <w:rFonts w:hint="default" w:ascii="Times New Roman" w:hAnsi="Times New Roman" w:eastAsia="宋体" w:cs="Times New Roman"/>
                <w:i w:val="0"/>
                <w:iCs w:val="0"/>
                <w:color w:val="auto"/>
                <w:kern w:val="0"/>
                <w:sz w:val="20"/>
                <w:szCs w:val="20"/>
                <w:highlight w:val="none"/>
                <w:u w:val="none"/>
                <w:lang w:val="en-US" w:eastAsia="zh-CN" w:bidi="ar"/>
              </w:rPr>
              <w:t>42536041</w:t>
            </w:r>
          </w:p>
        </w:tc>
        <w:tc>
          <w:tcPr>
            <w:tcW w:w="1132" w:type="pct"/>
            <w:vAlign w:val="center"/>
          </w:tcPr>
          <w:p w14:paraId="2B917998">
            <w:pPr>
              <w:keepNext w:val="0"/>
              <w:keepLines w:val="0"/>
              <w:widowControl/>
              <w:suppressLineNumbers w:val="0"/>
              <w:jc w:val="center"/>
              <w:textAlignment w:val="center"/>
              <w:rPr>
                <w:rFonts w:hint="default" w:ascii="Times New Roman" w:hAnsi="Times New Roman" w:cs="Times New Roman"/>
                <w:color w:val="auto"/>
                <w:kern w:val="0"/>
                <w:szCs w:val="21"/>
                <w:highlight w:val="none"/>
                <w:lang w:eastAsia="en-US" w:bidi="en-US"/>
              </w:rPr>
            </w:pPr>
            <w:r>
              <w:rPr>
                <w:rFonts w:hint="default" w:ascii="Times New Roman" w:hAnsi="Times New Roman" w:eastAsia="宋体" w:cs="Times New Roman"/>
                <w:i w:val="0"/>
                <w:iCs w:val="0"/>
                <w:color w:val="auto"/>
                <w:kern w:val="0"/>
                <w:sz w:val="20"/>
                <w:szCs w:val="20"/>
                <w:highlight w:val="none"/>
                <w:u w:val="none"/>
                <w:lang w:val="en-US" w:eastAsia="zh-CN" w:bidi="ar"/>
              </w:rPr>
              <w:t>4809436.149</w:t>
            </w:r>
          </w:p>
        </w:tc>
        <w:tc>
          <w:tcPr>
            <w:tcW w:w="1108" w:type="pct"/>
            <w:vAlign w:val="center"/>
          </w:tcPr>
          <w:p w14:paraId="62FAEB03">
            <w:pPr>
              <w:keepNext w:val="0"/>
              <w:keepLines w:val="0"/>
              <w:widowControl/>
              <w:suppressLineNumbers w:val="0"/>
              <w:jc w:val="center"/>
              <w:textAlignment w:val="center"/>
              <w:rPr>
                <w:rFonts w:hint="default" w:ascii="Times New Roman" w:hAnsi="Times New Roman" w:cs="Times New Roman"/>
                <w:color w:val="auto"/>
                <w:kern w:val="0"/>
                <w:szCs w:val="21"/>
                <w:highlight w:val="none"/>
                <w:lang w:eastAsia="en-US" w:bidi="en-US"/>
              </w:rPr>
            </w:pPr>
            <w:r>
              <w:rPr>
                <w:rFonts w:hint="default" w:ascii="Times New Roman" w:hAnsi="Times New Roman" w:eastAsia="宋体" w:cs="Times New Roman"/>
                <w:i w:val="0"/>
                <w:iCs w:val="0"/>
                <w:color w:val="auto"/>
                <w:kern w:val="0"/>
                <w:sz w:val="20"/>
                <w:szCs w:val="20"/>
                <w:highlight w:val="none"/>
                <w:u w:val="none"/>
                <w:lang w:val="en-US" w:eastAsia="zh-CN" w:bidi="ar"/>
              </w:rPr>
              <w:t>42536159.36</w:t>
            </w:r>
          </w:p>
        </w:tc>
      </w:tr>
      <w:tr w14:paraId="24B18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111BCB33">
            <w:pPr>
              <w:spacing w:line="240" w:lineRule="atLeast"/>
              <w:jc w:val="center"/>
              <w:rPr>
                <w:rFonts w:hint="default" w:ascii="Times New Roman" w:hAnsi="Times New Roman" w:cs="Times New Roman"/>
                <w:color w:val="auto"/>
                <w:kern w:val="0"/>
                <w:szCs w:val="21"/>
                <w:highlight w:val="none"/>
                <w:lang w:eastAsia="en-US" w:bidi="en-US"/>
              </w:rPr>
            </w:pPr>
            <w:r>
              <w:rPr>
                <w:rFonts w:hint="default" w:ascii="Times New Roman" w:hAnsi="Times New Roman" w:cs="Times New Roman"/>
                <w:color w:val="auto"/>
                <w:kern w:val="0"/>
                <w:szCs w:val="21"/>
                <w:highlight w:val="none"/>
                <w:lang w:eastAsia="en-US" w:bidi="en-US"/>
              </w:rPr>
              <w:t>5</w:t>
            </w:r>
          </w:p>
        </w:tc>
        <w:tc>
          <w:tcPr>
            <w:tcW w:w="925" w:type="pct"/>
            <w:vAlign w:val="center"/>
          </w:tcPr>
          <w:p w14:paraId="7B0AF02F">
            <w:pPr>
              <w:keepNext w:val="0"/>
              <w:keepLines w:val="0"/>
              <w:widowControl/>
              <w:suppressLineNumbers w:val="0"/>
              <w:jc w:val="center"/>
              <w:textAlignment w:val="center"/>
              <w:rPr>
                <w:rFonts w:hint="default" w:ascii="Times New Roman" w:hAnsi="Times New Roman" w:cs="Times New Roman"/>
                <w:color w:val="auto"/>
                <w:kern w:val="0"/>
                <w:szCs w:val="21"/>
                <w:highlight w:val="none"/>
                <w:lang w:val="en-US" w:eastAsia="en-US" w:bidi="en-US"/>
              </w:rPr>
            </w:pPr>
            <w:r>
              <w:rPr>
                <w:rFonts w:hint="default" w:ascii="Times New Roman" w:hAnsi="Times New Roman" w:eastAsia="宋体" w:cs="Times New Roman"/>
                <w:i w:val="0"/>
                <w:iCs w:val="0"/>
                <w:color w:val="auto"/>
                <w:kern w:val="0"/>
                <w:sz w:val="20"/>
                <w:szCs w:val="20"/>
                <w:highlight w:val="none"/>
                <w:u w:val="none"/>
                <w:lang w:val="en-US" w:eastAsia="zh-CN" w:bidi="ar"/>
              </w:rPr>
              <w:t>4809489</w:t>
            </w:r>
          </w:p>
        </w:tc>
        <w:tc>
          <w:tcPr>
            <w:tcW w:w="935" w:type="pct"/>
            <w:vAlign w:val="center"/>
          </w:tcPr>
          <w:p w14:paraId="7955F8C7">
            <w:pPr>
              <w:keepNext w:val="0"/>
              <w:keepLines w:val="0"/>
              <w:widowControl/>
              <w:suppressLineNumbers w:val="0"/>
              <w:jc w:val="center"/>
              <w:textAlignment w:val="center"/>
              <w:rPr>
                <w:rFonts w:hint="default" w:ascii="Times New Roman" w:hAnsi="Times New Roman" w:cs="Times New Roman"/>
                <w:color w:val="auto"/>
                <w:kern w:val="0"/>
                <w:szCs w:val="21"/>
                <w:highlight w:val="none"/>
                <w:lang w:val="en-US" w:eastAsia="en-US" w:bidi="en-US"/>
              </w:rPr>
            </w:pPr>
            <w:r>
              <w:rPr>
                <w:rFonts w:hint="default" w:ascii="Times New Roman" w:hAnsi="Times New Roman" w:eastAsia="宋体" w:cs="Times New Roman"/>
                <w:i w:val="0"/>
                <w:iCs w:val="0"/>
                <w:color w:val="auto"/>
                <w:kern w:val="0"/>
                <w:sz w:val="20"/>
                <w:szCs w:val="20"/>
                <w:highlight w:val="none"/>
                <w:u w:val="none"/>
                <w:lang w:val="en-US" w:eastAsia="zh-CN" w:bidi="ar"/>
              </w:rPr>
              <w:t>42536034</w:t>
            </w:r>
          </w:p>
        </w:tc>
        <w:tc>
          <w:tcPr>
            <w:tcW w:w="1132" w:type="pct"/>
            <w:vAlign w:val="center"/>
          </w:tcPr>
          <w:p w14:paraId="21729BB9">
            <w:pPr>
              <w:keepNext w:val="0"/>
              <w:keepLines w:val="0"/>
              <w:widowControl/>
              <w:suppressLineNumbers w:val="0"/>
              <w:jc w:val="center"/>
              <w:textAlignment w:val="center"/>
              <w:rPr>
                <w:rFonts w:hint="default" w:ascii="Times New Roman" w:hAnsi="Times New Roman" w:cs="Times New Roman"/>
                <w:color w:val="auto"/>
                <w:kern w:val="0"/>
                <w:szCs w:val="21"/>
                <w:highlight w:val="none"/>
                <w:lang w:eastAsia="en-US" w:bidi="en-US"/>
              </w:rPr>
            </w:pPr>
            <w:r>
              <w:rPr>
                <w:rFonts w:hint="default" w:ascii="Times New Roman" w:hAnsi="Times New Roman" w:eastAsia="宋体" w:cs="Times New Roman"/>
                <w:i w:val="0"/>
                <w:iCs w:val="0"/>
                <w:color w:val="auto"/>
                <w:kern w:val="0"/>
                <w:sz w:val="20"/>
                <w:szCs w:val="20"/>
                <w:highlight w:val="none"/>
                <w:u w:val="none"/>
                <w:lang w:val="en-US" w:eastAsia="zh-CN" w:bidi="ar"/>
              </w:rPr>
              <w:t>4809477.149</w:t>
            </w:r>
          </w:p>
        </w:tc>
        <w:tc>
          <w:tcPr>
            <w:tcW w:w="1108" w:type="pct"/>
            <w:vAlign w:val="center"/>
          </w:tcPr>
          <w:p w14:paraId="685CA063">
            <w:pPr>
              <w:keepNext w:val="0"/>
              <w:keepLines w:val="0"/>
              <w:widowControl/>
              <w:suppressLineNumbers w:val="0"/>
              <w:jc w:val="center"/>
              <w:textAlignment w:val="center"/>
              <w:rPr>
                <w:rFonts w:hint="default" w:ascii="Times New Roman" w:hAnsi="Times New Roman" w:cs="Times New Roman"/>
                <w:color w:val="auto"/>
                <w:kern w:val="0"/>
                <w:szCs w:val="21"/>
                <w:highlight w:val="none"/>
                <w:lang w:eastAsia="en-US" w:bidi="en-US"/>
              </w:rPr>
            </w:pPr>
            <w:r>
              <w:rPr>
                <w:rFonts w:hint="default" w:ascii="Times New Roman" w:hAnsi="Times New Roman" w:eastAsia="宋体" w:cs="Times New Roman"/>
                <w:i w:val="0"/>
                <w:iCs w:val="0"/>
                <w:color w:val="auto"/>
                <w:kern w:val="0"/>
                <w:sz w:val="20"/>
                <w:szCs w:val="20"/>
                <w:highlight w:val="none"/>
                <w:u w:val="none"/>
                <w:lang w:val="en-US" w:eastAsia="zh-CN" w:bidi="ar"/>
              </w:rPr>
              <w:t>42536152.36</w:t>
            </w:r>
          </w:p>
        </w:tc>
      </w:tr>
      <w:tr w14:paraId="3551C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11A91AD7">
            <w:pPr>
              <w:spacing w:line="240" w:lineRule="atLeast"/>
              <w:jc w:val="center"/>
              <w:rPr>
                <w:rFonts w:hint="default" w:ascii="Times New Roman" w:hAnsi="Times New Roman" w:cs="Times New Roman"/>
                <w:color w:val="auto"/>
                <w:kern w:val="0"/>
                <w:szCs w:val="21"/>
                <w:highlight w:val="none"/>
                <w:lang w:eastAsia="en-US" w:bidi="en-US"/>
              </w:rPr>
            </w:pPr>
            <w:r>
              <w:rPr>
                <w:rFonts w:hint="default" w:ascii="Times New Roman" w:hAnsi="Times New Roman" w:cs="Times New Roman"/>
                <w:color w:val="auto"/>
                <w:kern w:val="0"/>
                <w:szCs w:val="21"/>
                <w:highlight w:val="none"/>
                <w:lang w:eastAsia="en-US" w:bidi="en-US"/>
              </w:rPr>
              <w:t>6</w:t>
            </w:r>
          </w:p>
        </w:tc>
        <w:tc>
          <w:tcPr>
            <w:tcW w:w="925" w:type="pct"/>
            <w:vAlign w:val="center"/>
          </w:tcPr>
          <w:p w14:paraId="5C9FF683">
            <w:pPr>
              <w:keepNext w:val="0"/>
              <w:keepLines w:val="0"/>
              <w:widowControl/>
              <w:suppressLineNumbers w:val="0"/>
              <w:jc w:val="center"/>
              <w:textAlignment w:val="center"/>
              <w:rPr>
                <w:rFonts w:hint="default" w:ascii="Times New Roman" w:hAnsi="Times New Roman" w:cs="Times New Roman"/>
                <w:color w:val="auto"/>
                <w:kern w:val="0"/>
                <w:szCs w:val="21"/>
                <w:highlight w:val="none"/>
                <w:lang w:val="en-US" w:eastAsia="en-US" w:bidi="en-US"/>
              </w:rPr>
            </w:pPr>
            <w:r>
              <w:rPr>
                <w:rFonts w:hint="default" w:ascii="Times New Roman" w:hAnsi="Times New Roman" w:eastAsia="宋体" w:cs="Times New Roman"/>
                <w:i w:val="0"/>
                <w:iCs w:val="0"/>
                <w:color w:val="auto"/>
                <w:kern w:val="0"/>
                <w:sz w:val="20"/>
                <w:szCs w:val="20"/>
                <w:highlight w:val="none"/>
                <w:u w:val="none"/>
                <w:lang w:val="en-US" w:eastAsia="zh-CN" w:bidi="ar"/>
              </w:rPr>
              <w:t>4809407</w:t>
            </w:r>
          </w:p>
        </w:tc>
        <w:tc>
          <w:tcPr>
            <w:tcW w:w="935" w:type="pct"/>
            <w:vAlign w:val="center"/>
          </w:tcPr>
          <w:p w14:paraId="2A8B8D00">
            <w:pPr>
              <w:keepNext w:val="0"/>
              <w:keepLines w:val="0"/>
              <w:widowControl/>
              <w:suppressLineNumbers w:val="0"/>
              <w:jc w:val="center"/>
              <w:textAlignment w:val="center"/>
              <w:rPr>
                <w:rFonts w:hint="default" w:ascii="Times New Roman" w:hAnsi="Times New Roman" w:cs="Times New Roman"/>
                <w:color w:val="auto"/>
                <w:kern w:val="0"/>
                <w:szCs w:val="21"/>
                <w:highlight w:val="none"/>
                <w:lang w:val="en-US" w:eastAsia="en-US" w:bidi="en-US"/>
              </w:rPr>
            </w:pPr>
            <w:r>
              <w:rPr>
                <w:rFonts w:hint="default" w:ascii="Times New Roman" w:hAnsi="Times New Roman" w:eastAsia="宋体" w:cs="Times New Roman"/>
                <w:i w:val="0"/>
                <w:iCs w:val="0"/>
                <w:color w:val="auto"/>
                <w:kern w:val="0"/>
                <w:sz w:val="20"/>
                <w:szCs w:val="20"/>
                <w:highlight w:val="none"/>
                <w:u w:val="none"/>
                <w:lang w:val="en-US" w:eastAsia="zh-CN" w:bidi="ar"/>
              </w:rPr>
              <w:t>42535895</w:t>
            </w:r>
          </w:p>
        </w:tc>
        <w:tc>
          <w:tcPr>
            <w:tcW w:w="1132" w:type="pct"/>
            <w:vAlign w:val="center"/>
          </w:tcPr>
          <w:p w14:paraId="29734B0B">
            <w:pPr>
              <w:keepNext w:val="0"/>
              <w:keepLines w:val="0"/>
              <w:widowControl/>
              <w:suppressLineNumbers w:val="0"/>
              <w:jc w:val="center"/>
              <w:textAlignment w:val="center"/>
              <w:rPr>
                <w:rFonts w:hint="default" w:ascii="Times New Roman" w:hAnsi="Times New Roman" w:cs="Times New Roman"/>
                <w:color w:val="auto"/>
                <w:kern w:val="0"/>
                <w:szCs w:val="21"/>
                <w:highlight w:val="none"/>
                <w:lang w:eastAsia="en-US" w:bidi="en-US"/>
              </w:rPr>
            </w:pPr>
            <w:r>
              <w:rPr>
                <w:rFonts w:hint="default" w:ascii="Times New Roman" w:hAnsi="Times New Roman" w:eastAsia="宋体" w:cs="Times New Roman"/>
                <w:i w:val="0"/>
                <w:iCs w:val="0"/>
                <w:color w:val="auto"/>
                <w:kern w:val="0"/>
                <w:sz w:val="20"/>
                <w:szCs w:val="20"/>
                <w:highlight w:val="none"/>
                <w:u w:val="none"/>
                <w:lang w:val="en-US" w:eastAsia="zh-CN" w:bidi="ar"/>
              </w:rPr>
              <w:t>4809395.149</w:t>
            </w:r>
          </w:p>
        </w:tc>
        <w:tc>
          <w:tcPr>
            <w:tcW w:w="1108" w:type="pct"/>
            <w:vAlign w:val="center"/>
          </w:tcPr>
          <w:p w14:paraId="4C34FEDC">
            <w:pPr>
              <w:keepNext w:val="0"/>
              <w:keepLines w:val="0"/>
              <w:widowControl/>
              <w:suppressLineNumbers w:val="0"/>
              <w:jc w:val="center"/>
              <w:textAlignment w:val="center"/>
              <w:rPr>
                <w:rFonts w:hint="default" w:ascii="Times New Roman" w:hAnsi="Times New Roman" w:cs="Times New Roman"/>
                <w:color w:val="auto"/>
                <w:kern w:val="0"/>
                <w:szCs w:val="21"/>
                <w:highlight w:val="none"/>
                <w:lang w:eastAsia="en-US" w:bidi="en-US"/>
              </w:rPr>
            </w:pPr>
            <w:r>
              <w:rPr>
                <w:rFonts w:hint="default" w:ascii="Times New Roman" w:hAnsi="Times New Roman" w:eastAsia="宋体" w:cs="Times New Roman"/>
                <w:i w:val="0"/>
                <w:iCs w:val="0"/>
                <w:color w:val="auto"/>
                <w:kern w:val="0"/>
                <w:sz w:val="20"/>
                <w:szCs w:val="20"/>
                <w:highlight w:val="none"/>
                <w:u w:val="none"/>
                <w:lang w:val="en-US" w:eastAsia="zh-CN" w:bidi="ar"/>
              </w:rPr>
              <w:t>42536013.36</w:t>
            </w:r>
          </w:p>
        </w:tc>
      </w:tr>
      <w:tr w14:paraId="5281B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71196609">
            <w:pPr>
              <w:spacing w:line="240" w:lineRule="atLeast"/>
              <w:jc w:val="center"/>
              <w:rPr>
                <w:rFonts w:hint="default" w:ascii="Times New Roman" w:hAnsi="Times New Roman" w:cs="Times New Roman"/>
                <w:color w:val="auto"/>
                <w:kern w:val="0"/>
                <w:szCs w:val="21"/>
                <w:highlight w:val="none"/>
                <w:lang w:eastAsia="en-US" w:bidi="en-US"/>
              </w:rPr>
            </w:pPr>
            <w:r>
              <w:rPr>
                <w:rFonts w:hint="default" w:ascii="Times New Roman" w:hAnsi="Times New Roman" w:cs="Times New Roman"/>
                <w:color w:val="auto"/>
                <w:kern w:val="0"/>
                <w:szCs w:val="21"/>
                <w:highlight w:val="none"/>
                <w:lang w:eastAsia="en-US" w:bidi="en-US"/>
              </w:rPr>
              <w:t>7</w:t>
            </w:r>
          </w:p>
        </w:tc>
        <w:tc>
          <w:tcPr>
            <w:tcW w:w="925" w:type="pct"/>
            <w:vAlign w:val="center"/>
          </w:tcPr>
          <w:p w14:paraId="4A35058A">
            <w:pPr>
              <w:keepNext w:val="0"/>
              <w:keepLines w:val="0"/>
              <w:widowControl/>
              <w:suppressLineNumbers w:val="0"/>
              <w:jc w:val="center"/>
              <w:textAlignment w:val="center"/>
              <w:rPr>
                <w:rFonts w:hint="default" w:ascii="Times New Roman" w:hAnsi="Times New Roman" w:cs="Times New Roman"/>
                <w:color w:val="auto"/>
                <w:kern w:val="0"/>
                <w:szCs w:val="21"/>
                <w:highlight w:val="none"/>
                <w:lang w:val="en-US" w:eastAsia="en-US" w:bidi="en-US"/>
              </w:rPr>
            </w:pPr>
            <w:r>
              <w:rPr>
                <w:rFonts w:hint="default" w:ascii="Times New Roman" w:hAnsi="Times New Roman" w:eastAsia="宋体" w:cs="Times New Roman"/>
                <w:i w:val="0"/>
                <w:iCs w:val="0"/>
                <w:color w:val="auto"/>
                <w:kern w:val="0"/>
                <w:sz w:val="20"/>
                <w:szCs w:val="20"/>
                <w:highlight w:val="none"/>
                <w:u w:val="none"/>
                <w:lang w:val="en-US" w:eastAsia="zh-CN" w:bidi="ar"/>
              </w:rPr>
              <w:t>4809570</w:t>
            </w:r>
          </w:p>
        </w:tc>
        <w:tc>
          <w:tcPr>
            <w:tcW w:w="935" w:type="pct"/>
            <w:vAlign w:val="center"/>
          </w:tcPr>
          <w:p w14:paraId="15EC5A1B">
            <w:pPr>
              <w:keepNext w:val="0"/>
              <w:keepLines w:val="0"/>
              <w:widowControl/>
              <w:suppressLineNumbers w:val="0"/>
              <w:jc w:val="center"/>
              <w:textAlignment w:val="center"/>
              <w:rPr>
                <w:rFonts w:hint="default" w:ascii="Times New Roman" w:hAnsi="Times New Roman" w:cs="Times New Roman"/>
                <w:color w:val="auto"/>
                <w:kern w:val="0"/>
                <w:szCs w:val="21"/>
                <w:highlight w:val="none"/>
                <w:lang w:val="en-US" w:eastAsia="en-US" w:bidi="en-US"/>
              </w:rPr>
            </w:pPr>
            <w:r>
              <w:rPr>
                <w:rFonts w:hint="default" w:ascii="Times New Roman" w:hAnsi="Times New Roman" w:eastAsia="宋体" w:cs="Times New Roman"/>
                <w:i w:val="0"/>
                <w:iCs w:val="0"/>
                <w:color w:val="auto"/>
                <w:kern w:val="0"/>
                <w:sz w:val="20"/>
                <w:szCs w:val="20"/>
                <w:highlight w:val="none"/>
                <w:u w:val="none"/>
                <w:lang w:val="en-US" w:eastAsia="zh-CN" w:bidi="ar"/>
              </w:rPr>
              <w:t>42535798</w:t>
            </w:r>
          </w:p>
        </w:tc>
        <w:tc>
          <w:tcPr>
            <w:tcW w:w="1132" w:type="pct"/>
            <w:vAlign w:val="center"/>
          </w:tcPr>
          <w:p w14:paraId="12F9544F">
            <w:pPr>
              <w:keepNext w:val="0"/>
              <w:keepLines w:val="0"/>
              <w:widowControl/>
              <w:suppressLineNumbers w:val="0"/>
              <w:jc w:val="center"/>
              <w:textAlignment w:val="center"/>
              <w:rPr>
                <w:rFonts w:hint="default" w:ascii="Times New Roman" w:hAnsi="Times New Roman" w:cs="Times New Roman"/>
                <w:color w:val="auto"/>
                <w:kern w:val="0"/>
                <w:szCs w:val="21"/>
                <w:highlight w:val="none"/>
                <w:lang w:eastAsia="en-US" w:bidi="en-US"/>
              </w:rPr>
            </w:pPr>
            <w:r>
              <w:rPr>
                <w:rFonts w:hint="default" w:ascii="Times New Roman" w:hAnsi="Times New Roman" w:eastAsia="宋体" w:cs="Times New Roman"/>
                <w:i w:val="0"/>
                <w:iCs w:val="0"/>
                <w:color w:val="auto"/>
                <w:kern w:val="0"/>
                <w:sz w:val="20"/>
                <w:szCs w:val="20"/>
                <w:highlight w:val="none"/>
                <w:u w:val="none"/>
                <w:lang w:val="en-US" w:eastAsia="zh-CN" w:bidi="ar"/>
              </w:rPr>
              <w:t>4809558.149</w:t>
            </w:r>
          </w:p>
        </w:tc>
        <w:tc>
          <w:tcPr>
            <w:tcW w:w="1108" w:type="pct"/>
            <w:vAlign w:val="center"/>
          </w:tcPr>
          <w:p w14:paraId="65E2ED00">
            <w:pPr>
              <w:keepNext w:val="0"/>
              <w:keepLines w:val="0"/>
              <w:widowControl/>
              <w:suppressLineNumbers w:val="0"/>
              <w:jc w:val="center"/>
              <w:textAlignment w:val="center"/>
              <w:rPr>
                <w:rFonts w:hint="default" w:ascii="Times New Roman" w:hAnsi="Times New Roman" w:cs="Times New Roman"/>
                <w:color w:val="auto"/>
                <w:kern w:val="0"/>
                <w:szCs w:val="21"/>
                <w:highlight w:val="none"/>
                <w:lang w:eastAsia="en-US" w:bidi="en-US"/>
              </w:rPr>
            </w:pPr>
            <w:r>
              <w:rPr>
                <w:rFonts w:hint="default" w:ascii="Times New Roman" w:hAnsi="Times New Roman" w:eastAsia="宋体" w:cs="Times New Roman"/>
                <w:i w:val="0"/>
                <w:iCs w:val="0"/>
                <w:color w:val="auto"/>
                <w:kern w:val="0"/>
                <w:sz w:val="20"/>
                <w:szCs w:val="20"/>
                <w:highlight w:val="none"/>
                <w:u w:val="none"/>
                <w:lang w:val="en-US" w:eastAsia="zh-CN" w:bidi="ar"/>
              </w:rPr>
              <w:t>42535916.36</w:t>
            </w:r>
          </w:p>
        </w:tc>
      </w:tr>
      <w:tr w14:paraId="2D5E3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1E24815D">
            <w:pPr>
              <w:spacing w:line="240" w:lineRule="atLeast"/>
              <w:jc w:val="center"/>
              <w:rPr>
                <w:rFonts w:hint="default" w:ascii="Times New Roman" w:hAnsi="Times New Roman" w:cs="Times New Roman"/>
                <w:color w:val="auto"/>
                <w:kern w:val="0"/>
                <w:szCs w:val="21"/>
                <w:highlight w:val="none"/>
                <w:lang w:eastAsia="en-US" w:bidi="en-US"/>
              </w:rPr>
            </w:pPr>
            <w:r>
              <w:rPr>
                <w:rFonts w:hint="default" w:ascii="Times New Roman" w:hAnsi="Times New Roman" w:cs="Times New Roman"/>
                <w:color w:val="auto"/>
                <w:kern w:val="0"/>
                <w:szCs w:val="21"/>
                <w:highlight w:val="none"/>
                <w:lang w:eastAsia="en-US" w:bidi="en-US"/>
              </w:rPr>
              <w:t>矿区面积</w:t>
            </w:r>
          </w:p>
        </w:tc>
        <w:tc>
          <w:tcPr>
            <w:tcW w:w="4101" w:type="pct"/>
            <w:gridSpan w:val="4"/>
            <w:vAlign w:val="center"/>
          </w:tcPr>
          <w:p w14:paraId="7927966A">
            <w:pPr>
              <w:spacing w:line="240" w:lineRule="atLeast"/>
              <w:jc w:val="center"/>
              <w:rPr>
                <w:rFonts w:hint="default" w:ascii="Times New Roman" w:hAnsi="Times New Roman" w:eastAsia="宋体" w:cs="Times New Roman"/>
                <w:color w:val="auto"/>
                <w:kern w:val="0"/>
                <w:szCs w:val="21"/>
                <w:highlight w:val="none"/>
                <w:lang w:eastAsia="zh-CN" w:bidi="en-US"/>
              </w:rPr>
            </w:pPr>
            <w:r>
              <w:rPr>
                <w:rFonts w:hint="eastAsia" w:cs="Times New Roman"/>
                <w:color w:val="auto"/>
                <w:kern w:val="0"/>
                <w:szCs w:val="21"/>
                <w:highlight w:val="none"/>
                <w:lang w:eastAsia="zh-CN" w:bidi="en-US"/>
              </w:rPr>
              <w:t>0.0254</w:t>
            </w:r>
            <w:r>
              <w:rPr>
                <w:rFonts w:hint="default" w:ascii="Times New Roman" w:hAnsi="Times New Roman" w:cs="Times New Roman"/>
                <w:color w:val="auto"/>
                <w:kern w:val="0"/>
                <w:szCs w:val="21"/>
                <w:highlight w:val="none"/>
                <w:lang w:eastAsia="en-US" w:bidi="en-US"/>
              </w:rPr>
              <w:t>k</w:t>
            </w:r>
            <w:r>
              <w:rPr>
                <w:rFonts w:hint="default" w:ascii="Times New Roman" w:hAnsi="Times New Roman" w:cs="Times New Roman"/>
                <w:color w:val="auto"/>
                <w:kern w:val="0"/>
                <w:szCs w:val="21"/>
                <w:highlight w:val="none"/>
                <w:lang w:eastAsia="zh-CN" w:bidi="en-US"/>
              </w:rPr>
              <w:t>m</w:t>
            </w:r>
            <w:r>
              <w:rPr>
                <w:rFonts w:hint="default" w:ascii="Times New Roman" w:hAnsi="Times New Roman" w:cs="Times New Roman"/>
                <w:color w:val="auto"/>
                <w:kern w:val="0"/>
                <w:szCs w:val="21"/>
                <w:highlight w:val="none"/>
                <w:vertAlign w:val="superscript"/>
                <w:lang w:eastAsia="zh-CN" w:bidi="en-US"/>
              </w:rPr>
              <w:t>2</w:t>
            </w:r>
          </w:p>
        </w:tc>
      </w:tr>
      <w:tr w14:paraId="4E6D3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6D276F78">
            <w:pPr>
              <w:spacing w:line="240" w:lineRule="atLeast"/>
              <w:jc w:val="center"/>
              <w:rPr>
                <w:rFonts w:hint="default" w:ascii="Times New Roman" w:hAnsi="Times New Roman" w:cs="Times New Roman"/>
                <w:color w:val="auto"/>
                <w:kern w:val="0"/>
                <w:szCs w:val="21"/>
                <w:highlight w:val="none"/>
                <w:lang w:eastAsia="en-US" w:bidi="en-US"/>
              </w:rPr>
            </w:pPr>
            <w:r>
              <w:rPr>
                <w:rFonts w:hint="default" w:ascii="Times New Roman" w:hAnsi="Times New Roman" w:cs="Times New Roman"/>
                <w:color w:val="auto"/>
                <w:kern w:val="0"/>
                <w:szCs w:val="21"/>
                <w:highlight w:val="none"/>
                <w:lang w:eastAsia="en-US" w:bidi="en-US"/>
              </w:rPr>
              <w:t>开采标高</w:t>
            </w:r>
          </w:p>
        </w:tc>
        <w:tc>
          <w:tcPr>
            <w:tcW w:w="4101" w:type="pct"/>
            <w:gridSpan w:val="4"/>
            <w:vAlign w:val="center"/>
          </w:tcPr>
          <w:p w14:paraId="217D8F13">
            <w:pPr>
              <w:spacing w:line="240" w:lineRule="atLeast"/>
              <w:jc w:val="center"/>
              <w:rPr>
                <w:rFonts w:hint="default" w:ascii="Times New Roman" w:hAnsi="Times New Roman" w:eastAsia="宋体" w:cs="Times New Roman"/>
                <w:color w:val="auto"/>
                <w:kern w:val="0"/>
                <w:szCs w:val="21"/>
                <w:highlight w:val="none"/>
                <w:lang w:eastAsia="zh-CN" w:bidi="en-US"/>
              </w:rPr>
            </w:pPr>
            <w:r>
              <w:rPr>
                <w:rFonts w:hint="eastAsia" w:cs="Times New Roman"/>
                <w:color w:val="auto"/>
                <w:kern w:val="0"/>
                <w:szCs w:val="21"/>
                <w:highlight w:val="none"/>
                <w:lang w:eastAsia="zh-CN" w:bidi="en-US"/>
              </w:rPr>
              <w:t>+527</w:t>
            </w:r>
            <w:r>
              <w:rPr>
                <w:rFonts w:hint="default" w:ascii="Times New Roman" w:hAnsi="Times New Roman" w:cs="Times New Roman"/>
                <w:color w:val="auto"/>
                <w:kern w:val="0"/>
                <w:szCs w:val="21"/>
                <w:highlight w:val="none"/>
                <w:lang w:eastAsia="zh-CN" w:bidi="en-US"/>
              </w:rPr>
              <w:t>m～</w:t>
            </w:r>
            <w:r>
              <w:rPr>
                <w:rFonts w:hint="eastAsia" w:cs="Times New Roman"/>
                <w:color w:val="auto"/>
                <w:kern w:val="0"/>
                <w:szCs w:val="21"/>
                <w:highlight w:val="none"/>
                <w:lang w:eastAsia="zh-CN" w:bidi="en-US"/>
              </w:rPr>
              <w:t>+457</w:t>
            </w:r>
            <w:r>
              <w:rPr>
                <w:rFonts w:hint="default" w:ascii="Times New Roman" w:hAnsi="Times New Roman" w:cs="Times New Roman"/>
                <w:color w:val="auto"/>
                <w:kern w:val="0"/>
                <w:szCs w:val="21"/>
                <w:highlight w:val="none"/>
                <w:lang w:eastAsia="zh-CN" w:bidi="en-US"/>
              </w:rPr>
              <w:t>m</w:t>
            </w:r>
          </w:p>
        </w:tc>
      </w:tr>
    </w:tbl>
    <w:p w14:paraId="4A6D99C4">
      <w:pPr>
        <w:pStyle w:val="4"/>
        <w:ind w:firstLine="0" w:firstLineChars="0"/>
        <w:rPr>
          <w:rFonts w:hint="default" w:ascii="Times New Roman" w:hAnsi="Times New Roman" w:eastAsia="黑体" w:cs="Times New Roman"/>
          <w:b w:val="0"/>
          <w:color w:val="auto"/>
          <w:sz w:val="21"/>
          <w:szCs w:val="21"/>
          <w:highlight w:val="none"/>
        </w:rPr>
      </w:pPr>
      <w:bookmarkStart w:id="81" w:name="_Toc12824"/>
      <w:r>
        <w:rPr>
          <w:rFonts w:hint="default" w:ascii="Times New Roman" w:hAnsi="Times New Roman" w:eastAsia="黑体" w:cs="Times New Roman"/>
          <w:b w:val="0"/>
          <w:color w:val="auto"/>
          <w:sz w:val="28"/>
          <w:szCs w:val="28"/>
          <w:highlight w:val="none"/>
        </w:rPr>
        <w:t>三、矿山开发利用方案概述</w:t>
      </w:r>
      <w:bookmarkEnd w:id="80"/>
      <w:bookmarkEnd w:id="81"/>
    </w:p>
    <w:p w14:paraId="1F04B248">
      <w:pPr>
        <w:pStyle w:val="5"/>
        <w:spacing w:line="360" w:lineRule="auto"/>
        <w:rPr>
          <w:rFonts w:hint="default" w:ascii="Times New Roman" w:hAnsi="Times New Roman" w:eastAsia="黑体" w:cs="Times New Roman"/>
          <w:b w:val="0"/>
          <w:bCs w:val="0"/>
          <w:color w:val="auto"/>
          <w:szCs w:val="28"/>
          <w:highlight w:val="none"/>
          <w:lang w:eastAsia="zh-CN"/>
        </w:rPr>
      </w:pPr>
      <w:r>
        <w:rPr>
          <w:rFonts w:hint="default" w:ascii="Times New Roman" w:hAnsi="Times New Roman" w:eastAsia="黑体" w:cs="Times New Roman"/>
          <w:b w:val="0"/>
          <w:bCs w:val="0"/>
          <w:color w:val="auto"/>
          <w:szCs w:val="28"/>
          <w:highlight w:val="none"/>
          <w:lang w:eastAsia="zh-CN"/>
        </w:rPr>
        <w:t>（</w:t>
      </w:r>
      <w:r>
        <w:rPr>
          <w:rFonts w:hint="default" w:ascii="Times New Roman" w:hAnsi="Times New Roman" w:eastAsia="黑体" w:cs="Times New Roman"/>
          <w:b w:val="0"/>
          <w:bCs w:val="0"/>
          <w:color w:val="auto"/>
          <w:szCs w:val="28"/>
          <w:highlight w:val="none"/>
          <w:lang w:val="en-US" w:eastAsia="zh-CN"/>
        </w:rPr>
        <w:t>一</w:t>
      </w:r>
      <w:r>
        <w:rPr>
          <w:rFonts w:hint="default" w:ascii="Times New Roman" w:hAnsi="Times New Roman" w:eastAsia="黑体" w:cs="Times New Roman"/>
          <w:b w:val="0"/>
          <w:bCs w:val="0"/>
          <w:color w:val="auto"/>
          <w:szCs w:val="28"/>
          <w:highlight w:val="none"/>
          <w:lang w:eastAsia="zh-CN"/>
        </w:rPr>
        <w:t>）设计利用储量</w:t>
      </w:r>
    </w:p>
    <w:p w14:paraId="6B55CC8A">
      <w:pPr>
        <w:spacing w:line="360" w:lineRule="auto"/>
        <w:ind w:firstLine="480"/>
        <w:rPr>
          <w:rFonts w:hint="eastAsia"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依据《</w:t>
      </w:r>
      <w:r>
        <w:rPr>
          <w:rFonts w:hint="eastAsia" w:cs="Times New Roman"/>
          <w:color w:val="auto"/>
          <w:sz w:val="24"/>
          <w:highlight w:val="none"/>
          <w:lang w:eastAsia="zh-CN"/>
        </w:rPr>
        <w:t>吉林市衡永源工贸有限公司</w:t>
      </w:r>
      <w:r>
        <w:rPr>
          <w:rFonts w:hint="default" w:ascii="Times New Roman" w:hAnsi="Times New Roman" w:eastAsia="宋体" w:cs="Times New Roman"/>
          <w:color w:val="auto"/>
          <w:sz w:val="24"/>
          <w:highlight w:val="none"/>
        </w:rPr>
        <w:t>北大湖采石场方解石矿矿产资源储量核实报告》</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矿区内累计探明大理岩矿控制的经济基础储量(122b) 128.59×10</w:t>
      </w:r>
      <w:r>
        <w:rPr>
          <w:rFonts w:hint="default" w:ascii="Times New Roman" w:hAnsi="Times New Roman" w:eastAsia="宋体" w:cs="Times New Roman"/>
          <w:color w:val="auto"/>
          <w:sz w:val="24"/>
          <w:highlight w:val="none"/>
          <w:vertAlign w:val="superscript"/>
        </w:rPr>
        <w:t>4</w:t>
      </w:r>
      <w:r>
        <w:rPr>
          <w:rFonts w:hint="default" w:ascii="Times New Roman" w:hAnsi="Times New Roman" w:eastAsia="宋体" w:cs="Times New Roman"/>
          <w:color w:val="auto"/>
          <w:sz w:val="24"/>
          <w:highlight w:val="none"/>
        </w:rPr>
        <w:t>t，</w:t>
      </w:r>
      <w:r>
        <w:rPr>
          <w:rFonts w:hint="eastAsia" w:ascii="Times New Roman" w:hAnsi="Times New Roman" w:cs="Times New Roman"/>
          <w:color w:val="auto"/>
          <w:sz w:val="24"/>
          <w:highlight w:val="none"/>
          <w:lang w:eastAsia="zh-CN"/>
        </w:rPr>
        <w:t>按回采率95%计算，预可采储量（122）103.41×10</w:t>
      </w:r>
      <w:r>
        <w:rPr>
          <w:rFonts w:hint="eastAsia" w:ascii="Times New Roman" w:hAnsi="Times New Roman" w:cs="Times New Roman"/>
          <w:color w:val="auto"/>
          <w:sz w:val="24"/>
          <w:highlight w:val="none"/>
          <w:vertAlign w:val="superscript"/>
          <w:lang w:eastAsia="zh-CN"/>
        </w:rPr>
        <w:t>4</w:t>
      </w:r>
      <w:r>
        <w:rPr>
          <w:rFonts w:hint="eastAsia" w:ascii="Times New Roman" w:hAnsi="Times New Roman" w:cs="Times New Roman"/>
          <w:color w:val="auto"/>
          <w:sz w:val="24"/>
          <w:highlight w:val="none"/>
          <w:lang w:eastAsia="zh-CN"/>
        </w:rPr>
        <w:t>t。</w:t>
      </w:r>
    </w:p>
    <w:p w14:paraId="515993E1">
      <w:pPr>
        <w:pStyle w:val="5"/>
        <w:spacing w:line="360" w:lineRule="auto"/>
        <w:rPr>
          <w:rFonts w:hint="default" w:ascii="Times New Roman" w:hAnsi="Times New Roman" w:eastAsia="黑体" w:cs="Times New Roman"/>
          <w:b w:val="0"/>
          <w:bCs w:val="0"/>
          <w:color w:val="auto"/>
          <w:szCs w:val="28"/>
          <w:highlight w:val="none"/>
          <w:lang w:eastAsia="zh-CN"/>
        </w:rPr>
      </w:pPr>
      <w:r>
        <w:rPr>
          <w:rFonts w:hint="default" w:ascii="Times New Roman" w:hAnsi="Times New Roman" w:eastAsia="黑体" w:cs="Times New Roman"/>
          <w:b w:val="0"/>
          <w:bCs w:val="0"/>
          <w:color w:val="auto"/>
          <w:szCs w:val="28"/>
          <w:highlight w:val="none"/>
          <w:lang w:eastAsia="zh-CN"/>
        </w:rPr>
        <w:t>（</w:t>
      </w:r>
      <w:r>
        <w:rPr>
          <w:rFonts w:hint="default" w:ascii="Times New Roman" w:hAnsi="Times New Roman" w:eastAsia="黑体" w:cs="Times New Roman"/>
          <w:b w:val="0"/>
          <w:bCs w:val="0"/>
          <w:color w:val="auto"/>
          <w:szCs w:val="28"/>
          <w:highlight w:val="none"/>
          <w:lang w:val="en-US" w:eastAsia="zh-CN"/>
        </w:rPr>
        <w:t>二</w:t>
      </w:r>
      <w:r>
        <w:rPr>
          <w:rFonts w:hint="default" w:ascii="Times New Roman" w:hAnsi="Times New Roman" w:eastAsia="黑体" w:cs="Times New Roman"/>
          <w:b w:val="0"/>
          <w:bCs w:val="0"/>
          <w:color w:val="auto"/>
          <w:szCs w:val="28"/>
          <w:highlight w:val="none"/>
          <w:lang w:eastAsia="zh-CN"/>
        </w:rPr>
        <w:t>）矿山规模及产品方案</w:t>
      </w:r>
    </w:p>
    <w:p w14:paraId="6677D7FB">
      <w:pPr>
        <w:spacing w:line="360" w:lineRule="auto"/>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根据市场需求和本矿实际生产能力，确定矿山年工作200天</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每日工作1班</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每班工作8小时</w:t>
      </w:r>
      <w:r>
        <w:rPr>
          <w:rFonts w:hint="eastAsia" w:cs="Times New Roman"/>
          <w:color w:val="auto"/>
          <w:sz w:val="24"/>
          <w:highlight w:val="none"/>
          <w:lang w:eastAsia="zh-CN"/>
        </w:rPr>
        <w:t>，</w:t>
      </w:r>
      <w:r>
        <w:rPr>
          <w:rFonts w:hint="eastAsia" w:cs="Times New Roman"/>
          <w:color w:val="auto"/>
          <w:sz w:val="24"/>
          <w:highlight w:val="none"/>
          <w:lang w:val="en-US" w:eastAsia="zh-CN"/>
        </w:rPr>
        <w:t>每日采出矿石</w:t>
      </w:r>
      <w:r>
        <w:rPr>
          <w:rFonts w:hint="default" w:ascii="Times New Roman" w:hAnsi="Times New Roman" w:cs="Times New Roman"/>
          <w:color w:val="auto"/>
          <w:sz w:val="24"/>
          <w:highlight w:val="none"/>
        </w:rPr>
        <w:t>500t</w:t>
      </w:r>
      <w:r>
        <w:rPr>
          <w:rFonts w:hint="eastAsia" w:cs="Times New Roman"/>
          <w:color w:val="auto"/>
          <w:sz w:val="24"/>
          <w:highlight w:val="none"/>
          <w:lang w:eastAsia="zh-CN"/>
        </w:rPr>
        <w:t>，</w:t>
      </w:r>
      <w:r>
        <w:rPr>
          <w:rFonts w:hint="eastAsia" w:cs="Times New Roman"/>
          <w:color w:val="auto"/>
          <w:sz w:val="24"/>
          <w:highlight w:val="none"/>
          <w:lang w:val="en-US" w:eastAsia="zh-CN"/>
        </w:rPr>
        <w:t>矿</w:t>
      </w:r>
      <w:r>
        <w:rPr>
          <w:rFonts w:hint="default" w:ascii="Times New Roman" w:hAnsi="Times New Roman" w:cs="Times New Roman"/>
          <w:color w:val="auto"/>
          <w:sz w:val="24"/>
          <w:highlight w:val="none"/>
        </w:rPr>
        <w:t>山生产规模为</w:t>
      </w:r>
      <w:r>
        <w:rPr>
          <w:rFonts w:hint="eastAsia" w:cs="Times New Roman"/>
          <w:color w:val="auto"/>
          <w:sz w:val="24"/>
          <w:highlight w:val="none"/>
          <w:lang w:val="en-US" w:eastAsia="zh-CN"/>
        </w:rPr>
        <w:t>10</w:t>
      </w:r>
      <w:r>
        <w:rPr>
          <w:rFonts w:hint="default" w:ascii="Times New Roman" w:hAnsi="Times New Roman" w:cs="Times New Roman"/>
          <w:color w:val="auto"/>
          <w:sz w:val="24"/>
          <w:highlight w:val="none"/>
        </w:rPr>
        <w:t>×10</w:t>
      </w:r>
      <w:r>
        <w:rPr>
          <w:rFonts w:hint="default" w:ascii="Times New Roman" w:hAnsi="Times New Roman" w:cs="Times New Roman"/>
          <w:color w:val="auto"/>
          <w:sz w:val="24"/>
          <w:highlight w:val="none"/>
          <w:vertAlign w:val="superscript"/>
        </w:rPr>
        <w:t>4</w:t>
      </w:r>
      <w:r>
        <w:rPr>
          <w:rFonts w:hint="default" w:ascii="Times New Roman" w:hAnsi="Times New Roman" w:cs="Times New Roman"/>
          <w:color w:val="auto"/>
          <w:sz w:val="24"/>
          <w:highlight w:val="none"/>
        </w:rPr>
        <w:t>t/a。</w:t>
      </w:r>
    </w:p>
    <w:p w14:paraId="521FCB55">
      <w:pPr>
        <w:spacing w:line="360" w:lineRule="auto"/>
        <w:ind w:firstLine="480"/>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rPr>
        <w:t>产品方案：主要为冶金用大理岩</w:t>
      </w:r>
      <w:r>
        <w:rPr>
          <w:rFonts w:hint="default" w:ascii="Times New Roman" w:hAnsi="Times New Roman" w:cs="Times New Roman"/>
          <w:color w:val="auto"/>
          <w:sz w:val="24"/>
          <w:highlight w:val="none"/>
          <w:lang w:val="en-US" w:eastAsia="zh-CN"/>
        </w:rPr>
        <w:t>。</w:t>
      </w:r>
    </w:p>
    <w:bookmarkEnd w:id="75"/>
    <w:p w14:paraId="67E90DDF">
      <w:pPr>
        <w:pStyle w:val="5"/>
        <w:spacing w:line="360" w:lineRule="auto"/>
        <w:rPr>
          <w:rFonts w:hint="default" w:ascii="Times New Roman" w:hAnsi="Times New Roman" w:eastAsia="黑体" w:cs="Times New Roman"/>
          <w:b w:val="0"/>
          <w:bCs w:val="0"/>
          <w:color w:val="auto"/>
          <w:szCs w:val="28"/>
          <w:highlight w:val="none"/>
          <w:lang w:eastAsia="zh-CN"/>
        </w:rPr>
      </w:pPr>
      <w:bookmarkStart w:id="82" w:name="_Toc485629660"/>
      <w:bookmarkStart w:id="83" w:name="_Toc487105267"/>
      <w:r>
        <w:rPr>
          <w:rFonts w:hint="default" w:ascii="Times New Roman" w:hAnsi="Times New Roman" w:eastAsia="黑体" w:cs="Times New Roman"/>
          <w:b w:val="0"/>
          <w:bCs w:val="0"/>
          <w:color w:val="auto"/>
          <w:szCs w:val="28"/>
          <w:highlight w:val="none"/>
          <w:lang w:eastAsia="zh-CN"/>
        </w:rPr>
        <w:t>（</w:t>
      </w:r>
      <w:r>
        <w:rPr>
          <w:rFonts w:hint="default" w:ascii="Times New Roman" w:hAnsi="Times New Roman" w:eastAsia="黑体" w:cs="Times New Roman"/>
          <w:b w:val="0"/>
          <w:bCs w:val="0"/>
          <w:color w:val="auto"/>
          <w:szCs w:val="28"/>
          <w:highlight w:val="none"/>
          <w:lang w:val="en-US" w:eastAsia="zh-CN"/>
        </w:rPr>
        <w:t>三</w:t>
      </w:r>
      <w:r>
        <w:rPr>
          <w:rFonts w:hint="default" w:ascii="Times New Roman" w:hAnsi="Times New Roman" w:eastAsia="黑体" w:cs="Times New Roman"/>
          <w:b w:val="0"/>
          <w:bCs w:val="0"/>
          <w:color w:val="auto"/>
          <w:szCs w:val="28"/>
          <w:highlight w:val="none"/>
          <w:lang w:eastAsia="zh-CN"/>
        </w:rPr>
        <w:t>）矿床的开采方式</w:t>
      </w:r>
    </w:p>
    <w:p w14:paraId="704E5177">
      <w:pPr>
        <w:keepNext w:val="0"/>
        <w:keepLines w:val="0"/>
        <w:pageBreakBefore w:val="0"/>
        <w:widowControl/>
        <w:kinsoku/>
        <w:wordWrap/>
        <w:overflowPunct/>
        <w:topLinePunct w:val="0"/>
        <w:autoSpaceDE/>
        <w:autoSpaceDN/>
        <w:bidi w:val="0"/>
        <w:snapToGrid/>
        <w:spacing w:line="360" w:lineRule="auto"/>
        <w:ind w:firstLine="480"/>
        <w:jc w:val="both"/>
        <w:textAlignment w:val="auto"/>
        <w:rPr>
          <w:rFonts w:hint="eastAsia"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矿区位于山坡之上。矿体埋藏较浅，采场离居民点较远，采场附近无重要工业设施，无干线公路及铁路通过。矿山选用露天开采方式。</w:t>
      </w:r>
    </w:p>
    <w:p w14:paraId="225887A8">
      <w:pPr>
        <w:pStyle w:val="5"/>
        <w:spacing w:line="360" w:lineRule="auto"/>
        <w:rPr>
          <w:rFonts w:hint="default" w:ascii="Times New Roman" w:hAnsi="Times New Roman" w:eastAsia="黑体" w:cs="Times New Roman"/>
          <w:b w:val="0"/>
          <w:bCs w:val="0"/>
          <w:color w:val="auto"/>
          <w:szCs w:val="28"/>
          <w:highlight w:val="none"/>
          <w:lang w:eastAsia="zh-CN"/>
        </w:rPr>
      </w:pPr>
      <w:r>
        <w:rPr>
          <w:rFonts w:hint="default" w:ascii="Times New Roman" w:hAnsi="Times New Roman" w:eastAsia="黑体" w:cs="Times New Roman"/>
          <w:b w:val="0"/>
          <w:bCs w:val="0"/>
          <w:color w:val="auto"/>
          <w:szCs w:val="28"/>
          <w:highlight w:val="none"/>
          <w:lang w:eastAsia="zh-CN"/>
        </w:rPr>
        <w:t>（四）开拓运输方案</w:t>
      </w:r>
    </w:p>
    <w:p w14:paraId="49F520CE">
      <w:pPr>
        <w:spacing w:line="360" w:lineRule="auto"/>
        <w:ind w:firstLine="48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矿区位于低山区。露天采场以山坡露天为主，矿床开拓方式为公路开拓运输方案，碎石及表土剥离采用1m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液压反铲挖掘机及ZL</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rPr>
        <w:t xml:space="preserve">50型前装机，矿石运输选用15t自卸汽车。 </w:t>
      </w:r>
    </w:p>
    <w:p w14:paraId="778EEA6D">
      <w:pPr>
        <w:pStyle w:val="5"/>
        <w:spacing w:line="360" w:lineRule="auto"/>
        <w:rPr>
          <w:rFonts w:hint="default" w:ascii="Times New Roman" w:hAnsi="Times New Roman" w:eastAsia="黑体" w:cs="Times New Roman"/>
          <w:b w:val="0"/>
          <w:bCs w:val="0"/>
          <w:color w:val="auto"/>
          <w:szCs w:val="28"/>
          <w:highlight w:val="none"/>
          <w:lang w:eastAsia="zh-CN"/>
        </w:rPr>
      </w:pPr>
      <w:r>
        <w:rPr>
          <w:rFonts w:hint="default" w:ascii="Times New Roman" w:hAnsi="Times New Roman" w:eastAsia="黑体" w:cs="Times New Roman"/>
          <w:b w:val="0"/>
          <w:bCs w:val="0"/>
          <w:color w:val="auto"/>
          <w:szCs w:val="28"/>
          <w:highlight w:val="none"/>
          <w:lang w:eastAsia="zh-CN"/>
        </w:rPr>
        <w:t>（五）防治水方案</w:t>
      </w:r>
    </w:p>
    <w:p w14:paraId="5A98D83E">
      <w:pPr>
        <w:spacing w:line="360" w:lineRule="auto"/>
        <w:ind w:firstLine="48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矿体处于当地侵蚀基准面以上，露天开采主要充水因素为大气降水，设计在采场周围挖截水沟，将境界外来的汇水沿截水沟导出，减少进入采场的径流量。</w:t>
      </w:r>
    </w:p>
    <w:p w14:paraId="01141687">
      <w:pPr>
        <w:spacing w:line="360" w:lineRule="auto"/>
        <w:ind w:firstLine="48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由于地形条件有利于自然排水，不需投入排水设备。但暴雨时需撤出采场作业人员及设备。 </w:t>
      </w:r>
    </w:p>
    <w:p w14:paraId="15AD573B">
      <w:pPr>
        <w:pStyle w:val="5"/>
        <w:spacing w:line="360" w:lineRule="auto"/>
        <w:rPr>
          <w:rFonts w:hint="default" w:ascii="Times New Roman" w:hAnsi="Times New Roman" w:eastAsia="黑体" w:cs="Times New Roman"/>
          <w:b w:val="0"/>
          <w:bCs w:val="0"/>
          <w:color w:val="auto"/>
          <w:szCs w:val="28"/>
          <w:highlight w:val="none"/>
          <w:lang w:eastAsia="zh-CN"/>
        </w:rPr>
      </w:pPr>
      <w:r>
        <w:rPr>
          <w:rFonts w:hint="default" w:ascii="Times New Roman" w:hAnsi="Times New Roman" w:eastAsia="黑体" w:cs="Times New Roman"/>
          <w:b w:val="0"/>
          <w:bCs w:val="0"/>
          <w:color w:val="auto"/>
          <w:szCs w:val="28"/>
          <w:highlight w:val="none"/>
          <w:lang w:eastAsia="zh-CN"/>
        </w:rPr>
        <w:t>（六）露天采场境界</w:t>
      </w:r>
    </w:p>
    <w:p w14:paraId="1F2C3A12">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olor w:val="auto"/>
          <w:sz w:val="24"/>
          <w:szCs w:val="24"/>
        </w:rPr>
      </w:pPr>
      <w:r>
        <w:rPr>
          <w:rFonts w:hint="eastAsia" w:hAnsi="宋体"/>
          <w:color w:val="auto"/>
          <w:sz w:val="24"/>
          <w:szCs w:val="24"/>
        </w:rPr>
        <w:t>矿</w:t>
      </w:r>
      <w:r>
        <w:rPr>
          <w:rFonts w:hAnsi="宋体"/>
          <w:color w:val="auto"/>
          <w:sz w:val="24"/>
          <w:szCs w:val="24"/>
        </w:rPr>
        <w:t>区开采境界尺寸见表</w:t>
      </w:r>
      <w:r>
        <w:rPr>
          <w:rFonts w:hint="eastAsia" w:hAnsi="宋体"/>
          <w:color w:val="auto"/>
          <w:sz w:val="24"/>
          <w:szCs w:val="24"/>
          <w:lang w:val="en-US" w:eastAsia="zh-CN"/>
        </w:rPr>
        <w:t>1-2</w:t>
      </w:r>
      <w:r>
        <w:rPr>
          <w:rFonts w:hAnsi="宋体"/>
          <w:color w:val="auto"/>
          <w:sz w:val="24"/>
          <w:szCs w:val="24"/>
        </w:rPr>
        <w:t>。</w:t>
      </w:r>
    </w:p>
    <w:p w14:paraId="3E35D8A5">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黑体" w:cs="Times New Roman"/>
          <w:b w:val="0"/>
          <w:bCs/>
          <w:color w:val="auto"/>
          <w:szCs w:val="21"/>
          <w:highlight w:val="none"/>
        </w:rPr>
      </w:pPr>
      <w:r>
        <w:rPr>
          <w:rFonts w:hint="eastAsia" w:ascii="Times New Roman" w:hAnsi="Times New Roman" w:eastAsia="黑体" w:cs="Times New Roman"/>
          <w:b w:val="0"/>
          <w:bCs/>
          <w:color w:val="auto"/>
          <w:szCs w:val="21"/>
          <w:highlight w:val="none"/>
          <w:lang w:val="en-US" w:eastAsia="zh-CN"/>
        </w:rPr>
        <w:t>表</w:t>
      </w:r>
      <w:r>
        <w:rPr>
          <w:rFonts w:hint="eastAsia" w:eastAsia="黑体" w:cs="Times New Roman"/>
          <w:b w:val="0"/>
          <w:bCs/>
          <w:color w:val="auto"/>
          <w:szCs w:val="21"/>
          <w:highlight w:val="none"/>
          <w:lang w:val="en-US" w:eastAsia="zh-CN"/>
        </w:rPr>
        <w:t>1-2</w:t>
      </w:r>
      <w:r>
        <w:rPr>
          <w:rFonts w:hint="eastAsia" w:ascii="Times New Roman" w:hAnsi="Times New Roman" w:eastAsia="黑体" w:cs="Times New Roman"/>
          <w:b w:val="0"/>
          <w:bCs/>
          <w:color w:val="auto"/>
          <w:szCs w:val="21"/>
          <w:highlight w:val="none"/>
          <w:lang w:val="en-US" w:eastAsia="zh-CN"/>
        </w:rPr>
        <w:t xml:space="preserve">  </w:t>
      </w:r>
      <w:r>
        <w:rPr>
          <w:rFonts w:hint="eastAsia" w:ascii="Times New Roman" w:hAnsi="Times New Roman" w:eastAsia="黑体" w:cs="Times New Roman"/>
          <w:b w:val="0"/>
          <w:bCs/>
          <w:color w:val="auto"/>
          <w:szCs w:val="21"/>
          <w:highlight w:val="none"/>
        </w:rPr>
        <w:t>露天开采境界圈定结果表</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69"/>
        <w:gridCol w:w="2316"/>
        <w:gridCol w:w="2843"/>
      </w:tblGrid>
      <w:tr w14:paraId="70502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3369" w:type="dxa"/>
            <w:noWrap w:val="0"/>
            <w:vAlign w:val="center"/>
          </w:tcPr>
          <w:p w14:paraId="1AF93AC7">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项目名称</w:t>
            </w:r>
          </w:p>
        </w:tc>
        <w:tc>
          <w:tcPr>
            <w:tcW w:w="2316" w:type="dxa"/>
            <w:noWrap w:val="0"/>
            <w:vAlign w:val="center"/>
          </w:tcPr>
          <w:p w14:paraId="20B0122C">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单位</w:t>
            </w:r>
          </w:p>
        </w:tc>
        <w:tc>
          <w:tcPr>
            <w:tcW w:w="2843" w:type="dxa"/>
            <w:noWrap w:val="0"/>
            <w:vAlign w:val="center"/>
          </w:tcPr>
          <w:p w14:paraId="2948C274">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数值</w:t>
            </w:r>
          </w:p>
        </w:tc>
      </w:tr>
      <w:tr w14:paraId="2C99C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9" w:type="dxa"/>
            <w:noWrap w:val="0"/>
            <w:vAlign w:val="center"/>
          </w:tcPr>
          <w:p w14:paraId="559E7AF8">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顶部境界尺寸：长×宽</w:t>
            </w:r>
          </w:p>
        </w:tc>
        <w:tc>
          <w:tcPr>
            <w:tcW w:w="2316" w:type="dxa"/>
            <w:noWrap w:val="0"/>
            <w:vAlign w:val="center"/>
          </w:tcPr>
          <w:p w14:paraId="5844A586">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m×m</w:t>
            </w:r>
          </w:p>
        </w:tc>
        <w:tc>
          <w:tcPr>
            <w:tcW w:w="2843" w:type="dxa"/>
            <w:noWrap w:val="0"/>
            <w:vAlign w:val="center"/>
          </w:tcPr>
          <w:p w14:paraId="1024C794">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190×88～193</w:t>
            </w:r>
          </w:p>
        </w:tc>
      </w:tr>
      <w:tr w14:paraId="6C803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9" w:type="dxa"/>
            <w:noWrap w:val="0"/>
            <w:vAlign w:val="center"/>
          </w:tcPr>
          <w:p w14:paraId="0D421CFF">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底部境界尺寸：长×宽</w:t>
            </w:r>
          </w:p>
        </w:tc>
        <w:tc>
          <w:tcPr>
            <w:tcW w:w="2316" w:type="dxa"/>
            <w:noWrap w:val="0"/>
            <w:vAlign w:val="center"/>
          </w:tcPr>
          <w:p w14:paraId="4944ADFD">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m×m</w:t>
            </w:r>
          </w:p>
        </w:tc>
        <w:tc>
          <w:tcPr>
            <w:tcW w:w="2843" w:type="dxa"/>
            <w:noWrap w:val="0"/>
            <w:vAlign w:val="center"/>
          </w:tcPr>
          <w:p w14:paraId="73798390">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137×70～130</w:t>
            </w:r>
          </w:p>
        </w:tc>
      </w:tr>
      <w:tr w14:paraId="0945B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9" w:type="dxa"/>
            <w:noWrap w:val="0"/>
            <w:vAlign w:val="center"/>
          </w:tcPr>
          <w:p w14:paraId="50E8BEAE">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采场最高开采标高</w:t>
            </w:r>
          </w:p>
        </w:tc>
        <w:tc>
          <w:tcPr>
            <w:tcW w:w="2316" w:type="dxa"/>
            <w:noWrap w:val="0"/>
            <w:vAlign w:val="center"/>
          </w:tcPr>
          <w:p w14:paraId="30E408ED">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m</w:t>
            </w:r>
          </w:p>
        </w:tc>
        <w:tc>
          <w:tcPr>
            <w:tcW w:w="2843" w:type="dxa"/>
            <w:noWrap w:val="0"/>
            <w:vAlign w:val="center"/>
          </w:tcPr>
          <w:p w14:paraId="567B49DB">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527</w:t>
            </w:r>
          </w:p>
        </w:tc>
      </w:tr>
      <w:tr w14:paraId="6A724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9" w:type="dxa"/>
            <w:noWrap w:val="0"/>
            <w:vAlign w:val="center"/>
          </w:tcPr>
          <w:p w14:paraId="0CC0F5DA">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最低开采标高</w:t>
            </w:r>
          </w:p>
        </w:tc>
        <w:tc>
          <w:tcPr>
            <w:tcW w:w="2316" w:type="dxa"/>
            <w:noWrap w:val="0"/>
            <w:vAlign w:val="center"/>
          </w:tcPr>
          <w:p w14:paraId="2DED63BC">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m</w:t>
            </w:r>
          </w:p>
        </w:tc>
        <w:tc>
          <w:tcPr>
            <w:tcW w:w="2843" w:type="dxa"/>
            <w:noWrap w:val="0"/>
            <w:vAlign w:val="center"/>
          </w:tcPr>
          <w:p w14:paraId="33C2BAA9">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457</w:t>
            </w:r>
          </w:p>
        </w:tc>
      </w:tr>
      <w:tr w14:paraId="2FB69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9" w:type="dxa"/>
            <w:noWrap w:val="0"/>
            <w:vAlign w:val="center"/>
          </w:tcPr>
          <w:p w14:paraId="54F67EBB">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采场最大垂直深度</w:t>
            </w:r>
          </w:p>
        </w:tc>
        <w:tc>
          <w:tcPr>
            <w:tcW w:w="2316" w:type="dxa"/>
            <w:noWrap w:val="0"/>
            <w:vAlign w:val="center"/>
          </w:tcPr>
          <w:p w14:paraId="2860E2E9">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m</w:t>
            </w:r>
          </w:p>
        </w:tc>
        <w:tc>
          <w:tcPr>
            <w:tcW w:w="2843" w:type="dxa"/>
            <w:noWrap w:val="0"/>
            <w:vAlign w:val="center"/>
          </w:tcPr>
          <w:p w14:paraId="247CB84C">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70</w:t>
            </w:r>
          </w:p>
        </w:tc>
      </w:tr>
    </w:tbl>
    <w:p w14:paraId="4FCFADE8">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color w:val="auto"/>
          <w:sz w:val="24"/>
          <w:szCs w:val="24"/>
        </w:rPr>
      </w:pPr>
      <w:r>
        <w:rPr>
          <w:rFonts w:hAnsi="宋体"/>
          <w:color w:val="auto"/>
          <w:sz w:val="24"/>
          <w:szCs w:val="24"/>
        </w:rPr>
        <w:t>根据矿床开采技术条件，矿体节理裂隙发育程度及规律，参照同类矿山指标和有关安全规定，选取边坡参数如下：</w:t>
      </w:r>
    </w:p>
    <w:p w14:paraId="2AD170D3">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color w:val="auto"/>
          <w:sz w:val="24"/>
          <w:szCs w:val="24"/>
        </w:rPr>
      </w:pPr>
      <w:r>
        <w:rPr>
          <w:rFonts w:hAnsi="宋体"/>
          <w:color w:val="auto"/>
          <w:sz w:val="24"/>
          <w:szCs w:val="24"/>
        </w:rPr>
        <w:t>台阶高度：</w:t>
      </w:r>
      <w:r>
        <w:rPr>
          <w:rFonts w:hint="eastAsia"/>
          <w:color w:val="auto"/>
          <w:sz w:val="24"/>
          <w:szCs w:val="24"/>
        </w:rPr>
        <w:t>10</w:t>
      </w:r>
      <w:r>
        <w:rPr>
          <w:color w:val="auto"/>
          <w:sz w:val="24"/>
          <w:szCs w:val="24"/>
        </w:rPr>
        <w:t>m</w:t>
      </w:r>
    </w:p>
    <w:p w14:paraId="4751D7D1">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color w:val="auto"/>
          <w:sz w:val="24"/>
          <w:szCs w:val="24"/>
        </w:rPr>
      </w:pPr>
      <w:r>
        <w:rPr>
          <w:rFonts w:hAnsi="宋体"/>
          <w:color w:val="auto"/>
          <w:sz w:val="24"/>
          <w:szCs w:val="24"/>
        </w:rPr>
        <w:t>阶段高度：</w:t>
      </w:r>
      <w:r>
        <w:rPr>
          <w:rFonts w:hint="eastAsia"/>
          <w:color w:val="auto"/>
          <w:sz w:val="24"/>
          <w:szCs w:val="24"/>
        </w:rPr>
        <w:t>20</w:t>
      </w:r>
      <w:r>
        <w:rPr>
          <w:color w:val="auto"/>
          <w:sz w:val="24"/>
          <w:szCs w:val="24"/>
        </w:rPr>
        <w:t>m</w:t>
      </w:r>
      <w:r>
        <w:rPr>
          <w:rFonts w:hAnsi="宋体"/>
          <w:color w:val="auto"/>
          <w:sz w:val="24"/>
          <w:szCs w:val="24"/>
        </w:rPr>
        <w:t>（</w:t>
      </w:r>
      <w:r>
        <w:rPr>
          <w:rFonts w:hint="eastAsia"/>
          <w:color w:val="auto"/>
          <w:sz w:val="24"/>
          <w:szCs w:val="24"/>
        </w:rPr>
        <w:t>2</w:t>
      </w:r>
      <w:r>
        <w:rPr>
          <w:rFonts w:hAnsi="宋体"/>
          <w:color w:val="auto"/>
          <w:sz w:val="24"/>
          <w:szCs w:val="24"/>
        </w:rPr>
        <w:t>个台阶并段）</w:t>
      </w:r>
    </w:p>
    <w:p w14:paraId="683F857C">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color w:val="auto"/>
          <w:sz w:val="24"/>
          <w:szCs w:val="24"/>
        </w:rPr>
      </w:pPr>
      <w:r>
        <w:rPr>
          <w:rFonts w:hAnsi="宋体"/>
          <w:color w:val="auto"/>
          <w:sz w:val="24"/>
          <w:szCs w:val="24"/>
        </w:rPr>
        <w:t>台阶坡面角：</w:t>
      </w:r>
      <w:r>
        <w:rPr>
          <w:color w:val="auto"/>
          <w:sz w:val="24"/>
          <w:szCs w:val="24"/>
        </w:rPr>
        <w:t>65°</w:t>
      </w:r>
    </w:p>
    <w:p w14:paraId="353CAA6A">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color w:val="auto"/>
          <w:sz w:val="24"/>
          <w:szCs w:val="24"/>
        </w:rPr>
      </w:pPr>
      <w:r>
        <w:rPr>
          <w:rFonts w:hAnsi="宋体"/>
          <w:color w:val="auto"/>
          <w:sz w:val="24"/>
          <w:szCs w:val="24"/>
        </w:rPr>
        <w:t>安全清扫平台宽度：</w:t>
      </w:r>
      <w:r>
        <w:rPr>
          <w:color w:val="auto"/>
          <w:sz w:val="24"/>
          <w:szCs w:val="24"/>
        </w:rPr>
        <w:t>4</w:t>
      </w:r>
      <w:r>
        <w:rPr>
          <w:rFonts w:hint="eastAsia"/>
          <w:color w:val="auto"/>
          <w:sz w:val="24"/>
          <w:szCs w:val="24"/>
        </w:rPr>
        <w:t>～6</w:t>
      </w:r>
      <w:r>
        <w:rPr>
          <w:color w:val="auto"/>
          <w:sz w:val="24"/>
          <w:szCs w:val="24"/>
        </w:rPr>
        <w:t>m</w:t>
      </w:r>
    </w:p>
    <w:p w14:paraId="5AB74C02">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color w:val="auto"/>
          <w:sz w:val="24"/>
          <w:szCs w:val="24"/>
        </w:rPr>
      </w:pPr>
      <w:r>
        <w:rPr>
          <w:rFonts w:hAnsi="宋体"/>
          <w:color w:val="auto"/>
          <w:sz w:val="24"/>
          <w:szCs w:val="24"/>
        </w:rPr>
        <w:t>工作平台最小宽度：</w:t>
      </w:r>
      <w:r>
        <w:rPr>
          <w:rFonts w:hint="eastAsia"/>
          <w:color w:val="auto"/>
          <w:sz w:val="24"/>
          <w:szCs w:val="24"/>
        </w:rPr>
        <w:t>20</w:t>
      </w:r>
      <w:r>
        <w:rPr>
          <w:color w:val="auto"/>
          <w:sz w:val="24"/>
          <w:szCs w:val="24"/>
        </w:rPr>
        <w:t>m</w:t>
      </w:r>
    </w:p>
    <w:p w14:paraId="469EBD81">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color w:val="auto"/>
          <w:sz w:val="24"/>
          <w:szCs w:val="24"/>
        </w:rPr>
      </w:pPr>
      <w:r>
        <w:rPr>
          <w:rFonts w:hAnsi="宋体"/>
          <w:color w:val="auto"/>
          <w:sz w:val="24"/>
          <w:szCs w:val="24"/>
        </w:rPr>
        <w:t>最终边坡角：</w:t>
      </w:r>
      <w:r>
        <w:rPr>
          <w:color w:val="auto"/>
          <w:sz w:val="24"/>
          <w:szCs w:val="24"/>
        </w:rPr>
        <w:t>≤55°</w:t>
      </w:r>
    </w:p>
    <w:p w14:paraId="2A47AF62">
      <w:pPr>
        <w:pStyle w:val="5"/>
        <w:spacing w:line="360" w:lineRule="auto"/>
        <w:rPr>
          <w:rFonts w:hint="default" w:ascii="Times New Roman" w:hAnsi="Times New Roman" w:eastAsia="黑体" w:cs="Times New Roman"/>
          <w:b w:val="0"/>
          <w:bCs w:val="0"/>
          <w:color w:val="auto"/>
          <w:szCs w:val="28"/>
          <w:highlight w:val="none"/>
          <w:lang w:eastAsia="zh-CN"/>
        </w:rPr>
      </w:pPr>
      <w:r>
        <w:rPr>
          <w:rFonts w:hint="default" w:ascii="Times New Roman" w:hAnsi="Times New Roman" w:eastAsia="黑体" w:cs="Times New Roman"/>
          <w:b w:val="0"/>
          <w:bCs w:val="0"/>
          <w:color w:val="auto"/>
          <w:szCs w:val="28"/>
          <w:highlight w:val="none"/>
          <w:lang w:eastAsia="zh-CN"/>
        </w:rPr>
        <w:t>（</w:t>
      </w:r>
      <w:r>
        <w:rPr>
          <w:rFonts w:hint="eastAsia" w:eastAsia="黑体" w:cs="Times New Roman"/>
          <w:b w:val="0"/>
          <w:bCs w:val="0"/>
          <w:color w:val="auto"/>
          <w:szCs w:val="28"/>
          <w:highlight w:val="none"/>
          <w:lang w:val="en-US" w:eastAsia="zh-CN"/>
        </w:rPr>
        <w:t>七</w:t>
      </w:r>
      <w:r>
        <w:rPr>
          <w:rFonts w:hint="default" w:ascii="Times New Roman" w:hAnsi="Times New Roman" w:eastAsia="黑体" w:cs="Times New Roman"/>
          <w:b w:val="0"/>
          <w:bCs w:val="0"/>
          <w:color w:val="auto"/>
          <w:szCs w:val="28"/>
          <w:highlight w:val="none"/>
          <w:lang w:eastAsia="zh-CN"/>
        </w:rPr>
        <w:t>）回采</w:t>
      </w:r>
    </w:p>
    <w:p w14:paraId="6C29DFEF">
      <w:pPr>
        <w:spacing w:line="360" w:lineRule="auto"/>
        <w:ind w:firstLine="480"/>
        <w:jc w:val="both"/>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采用自上而下分层采剥工艺。采用中深孔爆破，QZL100B(D)潜孔钻进行凿岩，2#岩石乳化炸药、非电导爆管起爆。中深孔台阶高度10m，台阶坡面角65°，孔距3m，排距3.5m，孔径80mm。</w:t>
      </w:r>
    </w:p>
    <w:p w14:paraId="173FF5E3">
      <w:pPr>
        <w:spacing w:line="360" w:lineRule="auto"/>
        <w:ind w:firstLine="48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采矿工艺为穿孔——爆破落矿——粉碎——装运等工序。</w:t>
      </w:r>
    </w:p>
    <w:p w14:paraId="446AE125">
      <w:pPr>
        <w:pStyle w:val="5"/>
        <w:spacing w:line="360" w:lineRule="auto"/>
        <w:rPr>
          <w:rFonts w:hint="default" w:ascii="Times New Roman" w:hAnsi="Times New Roman" w:eastAsia="黑体" w:cs="Times New Roman"/>
          <w:b w:val="0"/>
          <w:bCs w:val="0"/>
          <w:color w:val="auto"/>
          <w:szCs w:val="28"/>
          <w:highlight w:val="none"/>
          <w:lang w:eastAsia="zh-CN"/>
        </w:rPr>
      </w:pPr>
      <w:r>
        <w:rPr>
          <w:rFonts w:hint="default" w:ascii="Times New Roman" w:hAnsi="Times New Roman" w:eastAsia="黑体" w:cs="Times New Roman"/>
          <w:b w:val="0"/>
          <w:bCs w:val="0"/>
          <w:color w:val="auto"/>
          <w:szCs w:val="28"/>
          <w:highlight w:val="none"/>
          <w:lang w:eastAsia="zh-CN"/>
        </w:rPr>
        <w:t>（</w:t>
      </w:r>
      <w:r>
        <w:rPr>
          <w:rFonts w:hint="eastAsia" w:eastAsia="黑体" w:cs="Times New Roman"/>
          <w:b w:val="0"/>
          <w:bCs w:val="0"/>
          <w:color w:val="auto"/>
          <w:szCs w:val="28"/>
          <w:highlight w:val="none"/>
          <w:lang w:val="en-US" w:eastAsia="zh-CN"/>
        </w:rPr>
        <w:t>八</w:t>
      </w:r>
      <w:r>
        <w:rPr>
          <w:rFonts w:hint="default" w:ascii="Times New Roman" w:hAnsi="Times New Roman" w:eastAsia="黑体" w:cs="Times New Roman"/>
          <w:b w:val="0"/>
          <w:bCs w:val="0"/>
          <w:color w:val="auto"/>
          <w:szCs w:val="28"/>
          <w:highlight w:val="none"/>
          <w:lang w:eastAsia="zh-CN"/>
        </w:rPr>
        <w:t>）矿山生产能力及</w:t>
      </w:r>
      <w:r>
        <w:rPr>
          <w:rFonts w:hint="eastAsia" w:eastAsia="黑体" w:cs="Times New Roman"/>
          <w:b w:val="0"/>
          <w:bCs w:val="0"/>
          <w:color w:val="auto"/>
          <w:szCs w:val="28"/>
          <w:highlight w:val="none"/>
          <w:lang w:val="en-US" w:eastAsia="zh-CN"/>
        </w:rPr>
        <w:t>剩余</w:t>
      </w:r>
      <w:r>
        <w:rPr>
          <w:rFonts w:hint="default" w:ascii="Times New Roman" w:hAnsi="Times New Roman" w:eastAsia="黑体" w:cs="Times New Roman"/>
          <w:b w:val="0"/>
          <w:bCs w:val="0"/>
          <w:color w:val="auto"/>
          <w:szCs w:val="28"/>
          <w:highlight w:val="none"/>
          <w:lang w:eastAsia="zh-CN"/>
        </w:rPr>
        <w:t>服务年限</w:t>
      </w:r>
    </w:p>
    <w:p w14:paraId="22936B89">
      <w:pPr>
        <w:spacing w:line="360" w:lineRule="auto"/>
        <w:ind w:firstLine="48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设计矿山生产能力为</w:t>
      </w:r>
      <w:r>
        <w:rPr>
          <w:rFonts w:hint="eastAsia" w:cs="Times New Roman"/>
          <w:color w:val="auto"/>
          <w:sz w:val="24"/>
          <w:highlight w:val="none"/>
          <w:lang w:eastAsia="zh-CN"/>
        </w:rPr>
        <w:t>10</w:t>
      </w:r>
      <w:r>
        <w:rPr>
          <w:rFonts w:hint="default" w:ascii="Times New Roman" w:hAnsi="Times New Roman" w:eastAsia="宋体" w:cs="Times New Roman"/>
          <w:color w:val="auto"/>
          <w:sz w:val="24"/>
          <w:highlight w:val="none"/>
        </w:rPr>
        <w:t>万t/a</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根据《采矿权评估报告书》（附件13），北大湖采石场利用的可采储量为37.20万吨，按照矿山生产规模为10×10</w:t>
      </w:r>
      <w:r>
        <w:rPr>
          <w:rFonts w:hint="default" w:ascii="Times New Roman" w:hAnsi="Times New Roman" w:eastAsia="宋体" w:cs="Times New Roman"/>
          <w:color w:val="auto"/>
          <w:sz w:val="24"/>
          <w:highlight w:val="none"/>
          <w:vertAlign w:val="superscript"/>
        </w:rPr>
        <w:t>4</w:t>
      </w:r>
      <w:r>
        <w:rPr>
          <w:rFonts w:hint="default" w:ascii="Times New Roman" w:hAnsi="Times New Roman" w:eastAsia="宋体" w:cs="Times New Roman"/>
          <w:color w:val="auto"/>
          <w:sz w:val="24"/>
          <w:highlight w:val="none"/>
        </w:rPr>
        <w:t xml:space="preserve">t/a计算，矿山剩余可采年限为3.72年。 </w:t>
      </w:r>
    </w:p>
    <w:p w14:paraId="02F9BC4C">
      <w:pPr>
        <w:pStyle w:val="5"/>
        <w:spacing w:line="360" w:lineRule="auto"/>
        <w:rPr>
          <w:rFonts w:hint="default" w:ascii="Times New Roman" w:hAnsi="Times New Roman" w:eastAsia="黑体" w:cs="Times New Roman"/>
          <w:b w:val="0"/>
          <w:bCs w:val="0"/>
          <w:color w:val="auto"/>
          <w:szCs w:val="28"/>
          <w:highlight w:val="none"/>
          <w:lang w:eastAsia="zh-CN"/>
        </w:rPr>
      </w:pPr>
      <w:r>
        <w:rPr>
          <w:rFonts w:hint="default" w:ascii="Times New Roman" w:hAnsi="Times New Roman" w:eastAsia="黑体" w:cs="Times New Roman"/>
          <w:b w:val="0"/>
          <w:bCs w:val="0"/>
          <w:color w:val="auto"/>
          <w:szCs w:val="28"/>
          <w:highlight w:val="none"/>
          <w:lang w:eastAsia="zh-CN"/>
        </w:rPr>
        <w:t>（</w:t>
      </w:r>
      <w:r>
        <w:rPr>
          <w:rFonts w:hint="eastAsia" w:eastAsia="黑体" w:cs="Times New Roman"/>
          <w:b w:val="0"/>
          <w:bCs w:val="0"/>
          <w:color w:val="auto"/>
          <w:szCs w:val="28"/>
          <w:highlight w:val="none"/>
          <w:lang w:val="en-US" w:eastAsia="zh-CN"/>
        </w:rPr>
        <w:t>九</w:t>
      </w:r>
      <w:r>
        <w:rPr>
          <w:rFonts w:hint="default" w:ascii="Times New Roman" w:hAnsi="Times New Roman" w:eastAsia="黑体" w:cs="Times New Roman"/>
          <w:b w:val="0"/>
          <w:bCs w:val="0"/>
          <w:color w:val="auto"/>
          <w:szCs w:val="28"/>
          <w:highlight w:val="none"/>
          <w:lang w:eastAsia="zh-CN"/>
        </w:rPr>
        <w:t>）工程布局</w:t>
      </w:r>
    </w:p>
    <w:p w14:paraId="08BE88B6">
      <w:pPr>
        <w:pStyle w:val="14"/>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eastAsia="zh-CN"/>
        </w:rPr>
        <w:t>本矿山为原有矿山，目前矿山已建总平面有：露天</w:t>
      </w:r>
      <w:r>
        <w:rPr>
          <w:rFonts w:hint="eastAsia" w:cs="Times New Roman"/>
          <w:color w:val="auto"/>
          <w:sz w:val="24"/>
          <w:szCs w:val="24"/>
          <w:highlight w:val="none"/>
          <w:lang w:val="en-US" w:eastAsia="zh-CN"/>
        </w:rPr>
        <w:t>采场</w:t>
      </w:r>
      <w:r>
        <w:rPr>
          <w:rFonts w:hint="eastAsia" w:cs="Times New Roman"/>
          <w:color w:val="auto"/>
          <w:sz w:val="24"/>
          <w:szCs w:val="24"/>
          <w:highlight w:val="none"/>
          <w:lang w:eastAsia="zh-CN"/>
        </w:rPr>
        <w:t>、工业广场、办公生活区、原有办公室及临时堆料场、矿山道路、表土堆场，叙述如下：</w:t>
      </w:r>
    </w:p>
    <w:p w14:paraId="5DBD73FB">
      <w:pPr>
        <w:pStyle w:val="14"/>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1</w:t>
      </w:r>
      <w:r>
        <w:rPr>
          <w:rFonts w:hint="eastAsia" w:cs="Times New Roman"/>
          <w:color w:val="auto"/>
          <w:sz w:val="24"/>
          <w:szCs w:val="24"/>
          <w:highlight w:val="none"/>
          <w:lang w:eastAsia="zh-CN"/>
        </w:rPr>
        <w:t>）露天采场</w:t>
      </w:r>
    </w:p>
    <w:p w14:paraId="118E611B">
      <w:pPr>
        <w:pStyle w:val="14"/>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目前矿山已形成了一个面积约2.2017hm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采场最低底标高目前约为527m，</w:t>
      </w:r>
      <w:r>
        <w:rPr>
          <w:rFonts w:hint="default" w:ascii="Times New Roman" w:hAnsi="Times New Roman" w:eastAsia="宋体" w:cs="Times New Roman"/>
          <w:color w:val="auto"/>
          <w:sz w:val="24"/>
          <w:szCs w:val="24"/>
          <w:highlight w:val="none"/>
        </w:rPr>
        <w:t>采深约40m的采坑，</w:t>
      </w:r>
      <w:r>
        <w:rPr>
          <w:rFonts w:hint="eastAsia" w:cs="Times New Roman"/>
          <w:color w:val="auto"/>
          <w:sz w:val="24"/>
          <w:szCs w:val="24"/>
          <w:highlight w:val="none"/>
          <w:lang w:val="en-US" w:eastAsia="zh-CN"/>
        </w:rPr>
        <w:t>采场大部分已经开采，</w:t>
      </w:r>
      <w:r>
        <w:rPr>
          <w:rFonts w:hint="default" w:ascii="Times New Roman" w:hAnsi="Times New Roman" w:eastAsia="宋体" w:cs="Times New Roman"/>
          <w:color w:val="auto"/>
          <w:sz w:val="24"/>
          <w:szCs w:val="24"/>
          <w:highlight w:val="none"/>
        </w:rPr>
        <w:t>采坑目前较稳定</w:t>
      </w:r>
      <w:r>
        <w:rPr>
          <w:rFonts w:hint="default" w:ascii="Times New Roman" w:hAnsi="Times New Roman" w:cs="Times New Roman"/>
          <w:color w:val="auto"/>
          <w:sz w:val="24"/>
          <w:szCs w:val="24"/>
          <w:highlight w:val="none"/>
          <w:lang w:val="en-US" w:eastAsia="zh-CN"/>
        </w:rPr>
        <w:t>。</w:t>
      </w:r>
    </w:p>
    <w:p w14:paraId="68994640">
      <w:pPr>
        <w:pStyle w:val="137"/>
        <w:spacing w:line="360" w:lineRule="auto"/>
        <w:ind w:firstLine="468"/>
        <w:rPr>
          <w:color w:val="auto"/>
          <w:spacing w:val="-3"/>
          <w:sz w:val="24"/>
          <w:highlight w:val="none"/>
        </w:rPr>
      </w:pPr>
      <w:r>
        <w:rPr>
          <w:color w:val="auto"/>
          <w:spacing w:val="-3"/>
          <w:sz w:val="24"/>
          <w:highlight w:val="none"/>
        </w:rPr>
        <w:t>（</w:t>
      </w:r>
      <w:r>
        <w:rPr>
          <w:rFonts w:hint="eastAsia"/>
          <w:color w:val="auto"/>
          <w:spacing w:val="-3"/>
          <w:sz w:val="24"/>
          <w:highlight w:val="none"/>
          <w:lang w:val="en-US" w:eastAsia="zh-CN"/>
        </w:rPr>
        <w:t>2</w:t>
      </w:r>
      <w:r>
        <w:rPr>
          <w:color w:val="auto"/>
          <w:spacing w:val="-3"/>
          <w:sz w:val="24"/>
          <w:highlight w:val="none"/>
        </w:rPr>
        <w:t>）</w:t>
      </w:r>
      <w:r>
        <w:rPr>
          <w:rFonts w:hint="eastAsia"/>
          <w:color w:val="auto"/>
          <w:spacing w:val="-3"/>
          <w:sz w:val="24"/>
          <w:highlight w:val="none"/>
        </w:rPr>
        <w:t>工业</w:t>
      </w:r>
      <w:r>
        <w:rPr>
          <w:rFonts w:hint="eastAsia"/>
          <w:color w:val="auto"/>
          <w:spacing w:val="-3"/>
          <w:sz w:val="24"/>
          <w:highlight w:val="none"/>
          <w:lang w:val="en-US" w:eastAsia="zh-CN"/>
        </w:rPr>
        <w:t>广场</w:t>
      </w:r>
    </w:p>
    <w:p w14:paraId="5614FB4C">
      <w:pPr>
        <w:pStyle w:val="137"/>
        <w:spacing w:line="360" w:lineRule="auto"/>
        <w:ind w:firstLine="480"/>
        <w:rPr>
          <w:color w:val="auto"/>
          <w:spacing w:val="-3"/>
          <w:sz w:val="24"/>
          <w:highlight w:val="none"/>
        </w:rPr>
      </w:pPr>
      <w:r>
        <w:rPr>
          <w:rFonts w:hint="eastAsia"/>
          <w:color w:val="auto"/>
          <w:spacing w:val="-3"/>
          <w:sz w:val="24"/>
          <w:highlight w:val="none"/>
        </w:rPr>
        <w:t>工业</w:t>
      </w:r>
      <w:r>
        <w:rPr>
          <w:rFonts w:hint="eastAsia"/>
          <w:color w:val="auto"/>
          <w:spacing w:val="-3"/>
          <w:sz w:val="24"/>
          <w:highlight w:val="none"/>
          <w:lang w:val="en-US" w:eastAsia="zh-CN"/>
        </w:rPr>
        <w:t>广场</w:t>
      </w:r>
      <w:r>
        <w:rPr>
          <w:rFonts w:hint="eastAsia"/>
          <w:color w:val="auto"/>
          <w:sz w:val="24"/>
          <w:highlight w:val="none"/>
        </w:rPr>
        <w:t>位于露天采场</w:t>
      </w:r>
      <w:r>
        <w:rPr>
          <w:rFonts w:hint="eastAsia"/>
          <w:color w:val="auto"/>
          <w:sz w:val="24"/>
          <w:highlight w:val="none"/>
          <w:lang w:val="en-US" w:eastAsia="zh-CN"/>
        </w:rPr>
        <w:t>北</w:t>
      </w:r>
      <w:r>
        <w:rPr>
          <w:rFonts w:hint="eastAsia"/>
          <w:color w:val="auto"/>
          <w:sz w:val="24"/>
          <w:highlight w:val="none"/>
        </w:rPr>
        <w:t>部，占地面积</w:t>
      </w:r>
      <w:r>
        <w:rPr>
          <w:rFonts w:hint="eastAsia"/>
          <w:color w:val="auto"/>
          <w:sz w:val="24"/>
          <w:highlight w:val="none"/>
          <w:lang w:val="en-US" w:eastAsia="zh-CN"/>
        </w:rPr>
        <w:t>0.2605</w:t>
      </w:r>
      <w:r>
        <w:rPr>
          <w:rFonts w:hint="eastAsia"/>
          <w:color w:val="auto"/>
          <w:sz w:val="24"/>
          <w:highlight w:val="none"/>
        </w:rPr>
        <w:t>hm</w:t>
      </w:r>
      <w:r>
        <w:rPr>
          <w:rFonts w:hint="eastAsia"/>
          <w:color w:val="auto"/>
          <w:sz w:val="24"/>
          <w:highlight w:val="none"/>
          <w:vertAlign w:val="superscript"/>
        </w:rPr>
        <w:t>2</w:t>
      </w:r>
      <w:r>
        <w:rPr>
          <w:rFonts w:hint="eastAsia"/>
          <w:color w:val="auto"/>
          <w:sz w:val="24"/>
          <w:highlight w:val="none"/>
        </w:rPr>
        <w:t>。</w:t>
      </w:r>
      <w:r>
        <w:rPr>
          <w:rFonts w:hint="eastAsia"/>
          <w:color w:val="auto"/>
          <w:sz w:val="24"/>
          <w:highlight w:val="none"/>
          <w:lang w:val="en-US" w:eastAsia="zh-CN"/>
        </w:rPr>
        <w:t>主要用于堆放设备和料石等，内设仓库、粉碎机等</w:t>
      </w:r>
      <w:r>
        <w:rPr>
          <w:rFonts w:hint="eastAsia"/>
          <w:color w:val="auto"/>
          <w:sz w:val="24"/>
          <w:highlight w:val="none"/>
        </w:rPr>
        <w:t>。</w:t>
      </w:r>
    </w:p>
    <w:p w14:paraId="1E5E5A34">
      <w:pPr>
        <w:pStyle w:val="137"/>
        <w:spacing w:line="360" w:lineRule="auto"/>
        <w:ind w:firstLine="468"/>
        <w:rPr>
          <w:color w:val="auto"/>
          <w:spacing w:val="-3"/>
          <w:sz w:val="24"/>
          <w:highlight w:val="none"/>
        </w:rPr>
      </w:pPr>
      <w:r>
        <w:rPr>
          <w:color w:val="auto"/>
          <w:spacing w:val="-3"/>
          <w:sz w:val="24"/>
          <w:highlight w:val="none"/>
        </w:rPr>
        <w:t>（</w:t>
      </w:r>
      <w:r>
        <w:rPr>
          <w:rFonts w:hint="eastAsia"/>
          <w:color w:val="auto"/>
          <w:spacing w:val="-3"/>
          <w:sz w:val="24"/>
          <w:highlight w:val="none"/>
          <w:lang w:val="en-US" w:eastAsia="zh-CN"/>
        </w:rPr>
        <w:t>3</w:t>
      </w:r>
      <w:r>
        <w:rPr>
          <w:color w:val="auto"/>
          <w:spacing w:val="-3"/>
          <w:sz w:val="24"/>
          <w:highlight w:val="none"/>
        </w:rPr>
        <w:t>）</w:t>
      </w:r>
      <w:r>
        <w:rPr>
          <w:rFonts w:hint="eastAsia"/>
          <w:color w:val="auto"/>
          <w:spacing w:val="-3"/>
          <w:sz w:val="24"/>
          <w:highlight w:val="none"/>
          <w:lang w:val="en-US" w:eastAsia="zh-CN"/>
        </w:rPr>
        <w:t>生产生活区</w:t>
      </w:r>
    </w:p>
    <w:p w14:paraId="2C96F778">
      <w:pPr>
        <w:pStyle w:val="137"/>
        <w:spacing w:line="360" w:lineRule="auto"/>
        <w:ind w:firstLine="480"/>
        <w:rPr>
          <w:color w:val="auto"/>
          <w:spacing w:val="-3"/>
          <w:sz w:val="24"/>
          <w:highlight w:val="none"/>
        </w:rPr>
      </w:pPr>
      <w:r>
        <w:rPr>
          <w:rFonts w:hint="eastAsia"/>
          <w:color w:val="auto"/>
          <w:spacing w:val="-3"/>
          <w:sz w:val="24"/>
          <w:highlight w:val="none"/>
          <w:lang w:val="en-US" w:eastAsia="zh-CN"/>
        </w:rPr>
        <w:t>生产生活区</w:t>
      </w:r>
      <w:r>
        <w:rPr>
          <w:rFonts w:hint="eastAsia"/>
          <w:color w:val="auto"/>
          <w:sz w:val="24"/>
          <w:highlight w:val="none"/>
        </w:rPr>
        <w:t>位于</w:t>
      </w:r>
      <w:r>
        <w:rPr>
          <w:rFonts w:hint="eastAsia"/>
          <w:color w:val="auto"/>
          <w:spacing w:val="-3"/>
          <w:sz w:val="24"/>
          <w:highlight w:val="none"/>
        </w:rPr>
        <w:t>工业场地</w:t>
      </w:r>
      <w:r>
        <w:rPr>
          <w:rFonts w:hint="eastAsia"/>
          <w:color w:val="auto"/>
          <w:sz w:val="24"/>
          <w:highlight w:val="none"/>
          <w:lang w:val="en-US" w:eastAsia="zh-CN"/>
        </w:rPr>
        <w:t>北</w:t>
      </w:r>
      <w:r>
        <w:rPr>
          <w:rFonts w:hint="eastAsia"/>
          <w:color w:val="auto"/>
          <w:sz w:val="24"/>
          <w:highlight w:val="none"/>
        </w:rPr>
        <w:t>部，占地面积</w:t>
      </w:r>
      <w:r>
        <w:rPr>
          <w:rFonts w:hint="eastAsia"/>
          <w:color w:val="auto"/>
          <w:sz w:val="24"/>
          <w:highlight w:val="none"/>
          <w:lang w:val="en-US" w:eastAsia="zh-CN"/>
        </w:rPr>
        <w:t>0.6845</w:t>
      </w:r>
      <w:r>
        <w:rPr>
          <w:rFonts w:hint="eastAsia"/>
          <w:color w:val="auto"/>
          <w:sz w:val="24"/>
          <w:highlight w:val="none"/>
        </w:rPr>
        <w:t>hm</w:t>
      </w:r>
      <w:r>
        <w:rPr>
          <w:rFonts w:hint="eastAsia"/>
          <w:color w:val="auto"/>
          <w:sz w:val="24"/>
          <w:highlight w:val="none"/>
          <w:vertAlign w:val="superscript"/>
        </w:rPr>
        <w:t>2</w:t>
      </w:r>
      <w:r>
        <w:rPr>
          <w:rFonts w:hint="eastAsia"/>
          <w:color w:val="auto"/>
          <w:sz w:val="24"/>
          <w:highlight w:val="none"/>
        </w:rPr>
        <w:t>。</w:t>
      </w:r>
      <w:r>
        <w:rPr>
          <w:rFonts w:hint="eastAsia"/>
          <w:color w:val="auto"/>
          <w:sz w:val="24"/>
          <w:highlight w:val="none"/>
          <w:lang w:val="en-US" w:eastAsia="zh-CN"/>
        </w:rPr>
        <w:t>主要用于矿山生产生活，主要有一个二层建筑，彩钢结构</w:t>
      </w:r>
      <w:r>
        <w:rPr>
          <w:rFonts w:hint="eastAsia"/>
          <w:color w:val="auto"/>
          <w:sz w:val="24"/>
          <w:highlight w:val="none"/>
        </w:rPr>
        <w:t>。</w:t>
      </w:r>
    </w:p>
    <w:p w14:paraId="1EA532A3">
      <w:pPr>
        <w:pStyle w:val="137"/>
        <w:spacing w:line="360" w:lineRule="auto"/>
        <w:ind w:firstLine="468"/>
        <w:rPr>
          <w:color w:val="auto"/>
          <w:spacing w:val="-3"/>
          <w:sz w:val="24"/>
          <w:highlight w:val="none"/>
        </w:rPr>
      </w:pPr>
      <w:r>
        <w:rPr>
          <w:color w:val="auto"/>
          <w:spacing w:val="-3"/>
          <w:sz w:val="24"/>
          <w:highlight w:val="none"/>
        </w:rPr>
        <w:t>（</w:t>
      </w:r>
      <w:r>
        <w:rPr>
          <w:rFonts w:hint="eastAsia"/>
          <w:color w:val="auto"/>
          <w:spacing w:val="-3"/>
          <w:sz w:val="24"/>
          <w:highlight w:val="none"/>
          <w:lang w:val="en-US" w:eastAsia="zh-CN"/>
        </w:rPr>
        <w:t>4</w:t>
      </w:r>
      <w:r>
        <w:rPr>
          <w:color w:val="auto"/>
          <w:spacing w:val="-3"/>
          <w:sz w:val="24"/>
          <w:highlight w:val="none"/>
        </w:rPr>
        <w:t>）</w:t>
      </w:r>
      <w:r>
        <w:rPr>
          <w:rFonts w:hint="eastAsia"/>
          <w:color w:val="auto"/>
          <w:spacing w:val="-3"/>
          <w:sz w:val="24"/>
          <w:highlight w:val="none"/>
        </w:rPr>
        <w:t>原有办公室及临时堆料场</w:t>
      </w:r>
    </w:p>
    <w:p w14:paraId="61256851">
      <w:pPr>
        <w:pStyle w:val="137"/>
        <w:spacing w:line="360" w:lineRule="auto"/>
        <w:ind w:firstLine="480"/>
        <w:rPr>
          <w:color w:val="auto"/>
          <w:spacing w:val="-3"/>
          <w:sz w:val="24"/>
          <w:highlight w:val="none"/>
        </w:rPr>
      </w:pPr>
      <w:r>
        <w:rPr>
          <w:rFonts w:hint="eastAsia"/>
          <w:color w:val="auto"/>
          <w:sz w:val="24"/>
          <w:highlight w:val="none"/>
        </w:rPr>
        <w:t>原有办公室及临时堆料场</w:t>
      </w:r>
      <w:r>
        <w:rPr>
          <w:rFonts w:hint="eastAsia"/>
          <w:color w:val="auto"/>
          <w:sz w:val="24"/>
          <w:highlight w:val="none"/>
          <w:lang w:val="en-US" w:eastAsia="zh-CN"/>
        </w:rPr>
        <w:t>位于距离矿区东北方向450m</w:t>
      </w:r>
      <w:r>
        <w:rPr>
          <w:rFonts w:hint="eastAsia"/>
          <w:color w:val="auto"/>
          <w:sz w:val="24"/>
          <w:highlight w:val="none"/>
        </w:rPr>
        <w:t>。</w:t>
      </w:r>
      <w:r>
        <w:rPr>
          <w:rFonts w:hint="eastAsia"/>
          <w:color w:val="auto"/>
          <w:sz w:val="24"/>
          <w:highlight w:val="none"/>
          <w:lang w:val="en-US" w:eastAsia="zh-CN"/>
        </w:rPr>
        <w:t>有一座彩钢结构的原有办公室，目前已不使用。原有办公室北侧为</w:t>
      </w:r>
      <w:r>
        <w:rPr>
          <w:rFonts w:hint="eastAsia"/>
          <w:color w:val="auto"/>
          <w:sz w:val="24"/>
          <w:highlight w:val="none"/>
        </w:rPr>
        <w:t>临时堆料场</w:t>
      </w:r>
      <w:r>
        <w:rPr>
          <w:rFonts w:hint="eastAsia"/>
          <w:color w:val="auto"/>
          <w:sz w:val="24"/>
          <w:highlight w:val="none"/>
          <w:lang w:eastAsia="zh-CN"/>
        </w:rPr>
        <w:t>，</w:t>
      </w:r>
      <w:r>
        <w:rPr>
          <w:rFonts w:hint="eastAsia"/>
          <w:color w:val="auto"/>
          <w:sz w:val="24"/>
          <w:highlight w:val="none"/>
          <w:lang w:val="en-US" w:eastAsia="zh-CN"/>
        </w:rPr>
        <w:t>用于堆放矿山石料</w:t>
      </w:r>
      <w:r>
        <w:rPr>
          <w:color w:val="auto"/>
          <w:spacing w:val="-3"/>
          <w:sz w:val="24"/>
          <w:highlight w:val="none"/>
        </w:rPr>
        <w:t>。</w:t>
      </w:r>
    </w:p>
    <w:p w14:paraId="703B2B43">
      <w:pPr>
        <w:pStyle w:val="137"/>
        <w:spacing w:line="360" w:lineRule="auto"/>
        <w:ind w:firstLine="468"/>
        <w:rPr>
          <w:rFonts w:hint="default" w:eastAsia="宋体"/>
          <w:color w:val="auto"/>
          <w:spacing w:val="-3"/>
          <w:sz w:val="24"/>
          <w:highlight w:val="none"/>
          <w:lang w:val="en-US" w:eastAsia="zh-CN"/>
        </w:rPr>
      </w:pPr>
      <w:r>
        <w:rPr>
          <w:rFonts w:hint="eastAsia"/>
          <w:color w:val="auto"/>
          <w:spacing w:val="-3"/>
          <w:sz w:val="24"/>
          <w:highlight w:val="none"/>
          <w:lang w:eastAsia="zh-CN"/>
        </w:rPr>
        <w:t>（</w:t>
      </w:r>
      <w:r>
        <w:rPr>
          <w:rFonts w:hint="eastAsia"/>
          <w:color w:val="auto"/>
          <w:spacing w:val="-3"/>
          <w:sz w:val="24"/>
          <w:highlight w:val="none"/>
          <w:lang w:val="en-US" w:eastAsia="zh-CN"/>
        </w:rPr>
        <w:t>5</w:t>
      </w:r>
      <w:r>
        <w:rPr>
          <w:rFonts w:hint="eastAsia"/>
          <w:color w:val="auto"/>
          <w:spacing w:val="-3"/>
          <w:sz w:val="24"/>
          <w:highlight w:val="none"/>
          <w:lang w:eastAsia="zh-CN"/>
        </w:rPr>
        <w:t>）</w:t>
      </w:r>
      <w:r>
        <w:rPr>
          <w:rFonts w:hint="eastAsia"/>
          <w:color w:val="auto"/>
          <w:spacing w:val="-3"/>
          <w:sz w:val="24"/>
          <w:highlight w:val="none"/>
          <w:lang w:val="en-US" w:eastAsia="zh-CN"/>
        </w:rPr>
        <w:t>矿山道口</w:t>
      </w:r>
    </w:p>
    <w:p w14:paraId="7CD4E140">
      <w:pPr>
        <w:pStyle w:val="137"/>
        <w:spacing w:line="360" w:lineRule="auto"/>
        <w:ind w:firstLine="480"/>
        <w:rPr>
          <w:color w:val="auto"/>
          <w:spacing w:val="-3"/>
          <w:sz w:val="24"/>
          <w:highlight w:val="none"/>
        </w:rPr>
      </w:pPr>
      <w:r>
        <w:rPr>
          <w:rFonts w:hint="eastAsia"/>
          <w:color w:val="auto"/>
          <w:spacing w:val="-3"/>
          <w:sz w:val="24"/>
          <w:highlight w:val="none"/>
        </w:rPr>
        <w:t>通往露天采坑道路为矿山开采时建设道路，该部分道路长度</w:t>
      </w:r>
      <w:r>
        <w:rPr>
          <w:rFonts w:hint="eastAsia"/>
          <w:color w:val="auto"/>
          <w:spacing w:val="-3"/>
          <w:sz w:val="24"/>
          <w:highlight w:val="none"/>
          <w:lang w:val="en-US" w:eastAsia="zh-CN"/>
        </w:rPr>
        <w:t>约400</w:t>
      </w:r>
      <w:r>
        <w:rPr>
          <w:rFonts w:hint="eastAsia"/>
          <w:color w:val="auto"/>
          <w:spacing w:val="-3"/>
          <w:sz w:val="24"/>
          <w:highlight w:val="none"/>
        </w:rPr>
        <w:t>m，道路宽度</w:t>
      </w:r>
      <w:r>
        <w:rPr>
          <w:rFonts w:hint="eastAsia"/>
          <w:color w:val="auto"/>
          <w:spacing w:val="-3"/>
          <w:sz w:val="24"/>
          <w:highlight w:val="none"/>
          <w:lang w:val="en-US" w:eastAsia="zh-CN"/>
        </w:rPr>
        <w:t>4</w:t>
      </w:r>
      <w:r>
        <w:rPr>
          <w:rFonts w:hint="eastAsia"/>
          <w:color w:val="auto"/>
          <w:spacing w:val="-3"/>
          <w:sz w:val="24"/>
          <w:highlight w:val="none"/>
        </w:rPr>
        <w:t>m，道路结构为</w:t>
      </w:r>
      <w:r>
        <w:rPr>
          <w:rFonts w:hint="eastAsia"/>
          <w:color w:val="auto"/>
          <w:spacing w:val="-3"/>
          <w:sz w:val="24"/>
          <w:highlight w:val="none"/>
          <w:lang w:val="en-US" w:eastAsia="zh-CN"/>
        </w:rPr>
        <w:t>碎</w:t>
      </w:r>
      <w:r>
        <w:rPr>
          <w:rFonts w:hint="eastAsia"/>
          <w:color w:val="auto"/>
          <w:spacing w:val="-3"/>
          <w:sz w:val="24"/>
          <w:highlight w:val="none"/>
        </w:rPr>
        <w:t>石道路</w:t>
      </w:r>
      <w:r>
        <w:rPr>
          <w:color w:val="auto"/>
          <w:spacing w:val="-3"/>
          <w:sz w:val="24"/>
          <w:highlight w:val="none"/>
        </w:rPr>
        <w:t>。</w:t>
      </w:r>
    </w:p>
    <w:p w14:paraId="2ED76D5A">
      <w:pPr>
        <w:pStyle w:val="137"/>
        <w:spacing w:line="360" w:lineRule="auto"/>
        <w:ind w:firstLine="468"/>
        <w:rPr>
          <w:color w:val="auto"/>
          <w:spacing w:val="-3"/>
          <w:sz w:val="24"/>
          <w:highlight w:val="none"/>
        </w:rPr>
      </w:pPr>
      <w:r>
        <w:rPr>
          <w:color w:val="auto"/>
          <w:spacing w:val="-3"/>
          <w:sz w:val="24"/>
          <w:highlight w:val="none"/>
        </w:rPr>
        <w:t>（</w:t>
      </w:r>
      <w:r>
        <w:rPr>
          <w:rFonts w:hint="eastAsia"/>
          <w:color w:val="auto"/>
          <w:spacing w:val="-3"/>
          <w:sz w:val="24"/>
          <w:highlight w:val="none"/>
          <w:lang w:val="en-US" w:eastAsia="zh-CN"/>
        </w:rPr>
        <w:t>6</w:t>
      </w:r>
      <w:r>
        <w:rPr>
          <w:color w:val="auto"/>
          <w:spacing w:val="-3"/>
          <w:sz w:val="24"/>
          <w:highlight w:val="none"/>
        </w:rPr>
        <w:t>）</w:t>
      </w:r>
      <w:r>
        <w:rPr>
          <w:rFonts w:hint="eastAsia"/>
          <w:color w:val="auto"/>
          <w:spacing w:val="-3"/>
          <w:sz w:val="24"/>
          <w:highlight w:val="none"/>
        </w:rPr>
        <w:t>表土堆场</w:t>
      </w:r>
    </w:p>
    <w:p w14:paraId="15DAE00E">
      <w:pPr>
        <w:pStyle w:val="137"/>
        <w:spacing w:line="360" w:lineRule="auto"/>
        <w:ind w:firstLine="480"/>
        <w:rPr>
          <w:color w:val="auto"/>
          <w:spacing w:val="-3"/>
          <w:sz w:val="24"/>
          <w:highlight w:val="none"/>
        </w:rPr>
      </w:pPr>
      <w:r>
        <w:rPr>
          <w:rFonts w:hint="eastAsia"/>
          <w:color w:val="auto"/>
          <w:sz w:val="24"/>
          <w:highlight w:val="none"/>
        </w:rPr>
        <w:t>表土堆场</w:t>
      </w:r>
      <w:r>
        <w:rPr>
          <w:rFonts w:hint="eastAsia"/>
          <w:color w:val="auto"/>
          <w:sz w:val="24"/>
          <w:highlight w:val="none"/>
          <w:lang w:val="en-US" w:eastAsia="zh-CN"/>
        </w:rPr>
        <w:t>用于堆放矿山开采前剥离的表土</w:t>
      </w:r>
      <w:r>
        <w:rPr>
          <w:rFonts w:hint="eastAsia"/>
          <w:color w:val="auto"/>
          <w:sz w:val="24"/>
          <w:highlight w:val="none"/>
        </w:rPr>
        <w:t>，</w:t>
      </w:r>
      <w:r>
        <w:rPr>
          <w:rFonts w:hint="eastAsia"/>
          <w:color w:val="auto"/>
          <w:spacing w:val="-3"/>
          <w:sz w:val="24"/>
          <w:highlight w:val="none"/>
          <w:lang w:val="en-US" w:eastAsia="zh-CN"/>
        </w:rPr>
        <w:t>现状已用草籽养护，表土保存较好</w:t>
      </w:r>
      <w:r>
        <w:rPr>
          <w:color w:val="auto"/>
          <w:spacing w:val="-3"/>
          <w:sz w:val="24"/>
          <w:highlight w:val="none"/>
        </w:rPr>
        <w:t>。</w:t>
      </w:r>
    </w:p>
    <w:p w14:paraId="1136CBB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olor w:val="auto"/>
          <w:highlight w:val="none"/>
          <w:lang w:val="en-US" w:eastAsia="zh-CN"/>
        </w:rPr>
      </w:pPr>
      <w:r>
        <w:rPr>
          <w:rFonts w:hint="default"/>
          <w:color w:val="auto"/>
          <w:highlight w:val="none"/>
          <w:lang w:val="en-US" w:eastAsia="zh-CN"/>
        </w:rPr>
        <w:drawing>
          <wp:inline distT="0" distB="0" distL="114300" distR="114300">
            <wp:extent cx="4455795" cy="5537835"/>
            <wp:effectExtent l="0" t="0" r="0" b="0"/>
            <wp:docPr id="3" name="图片 3" descr="平面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平面布局图"/>
                    <pic:cNvPicPr>
                      <a:picLocks noChangeAspect="1"/>
                    </pic:cNvPicPr>
                  </pic:nvPicPr>
                  <pic:blipFill>
                    <a:blip r:embed="rId17"/>
                    <a:srcRect l="7058" t="13060" r="8431" b="12694"/>
                    <a:stretch>
                      <a:fillRect/>
                    </a:stretch>
                  </pic:blipFill>
                  <pic:spPr>
                    <a:xfrm>
                      <a:off x="0" y="0"/>
                      <a:ext cx="4455795" cy="5537835"/>
                    </a:xfrm>
                    <a:prstGeom prst="rect">
                      <a:avLst/>
                    </a:prstGeom>
                  </pic:spPr>
                </pic:pic>
              </a:graphicData>
            </a:graphic>
          </wp:inline>
        </w:drawing>
      </w:r>
    </w:p>
    <w:p w14:paraId="71BCA0A1">
      <w:pPr>
        <w:pStyle w:val="14"/>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color w:val="auto"/>
          <w:sz w:val="21"/>
          <w:szCs w:val="21"/>
          <w:highlight w:val="none"/>
        </w:rPr>
      </w:pPr>
      <w:r>
        <w:rPr>
          <w:rFonts w:hint="default" w:ascii="Times New Roman" w:hAnsi="Times New Roman" w:eastAsia="黑体" w:cs="Times New Roman"/>
          <w:b w:val="0"/>
          <w:bCs/>
          <w:color w:val="auto"/>
          <w:sz w:val="21"/>
          <w:szCs w:val="21"/>
          <w:highlight w:val="none"/>
        </w:rPr>
        <w:t>图1-</w:t>
      </w:r>
      <w:r>
        <w:rPr>
          <w:rFonts w:hint="eastAsia" w:eastAsia="黑体" w:cs="Times New Roman"/>
          <w:b w:val="0"/>
          <w:bCs/>
          <w:color w:val="auto"/>
          <w:sz w:val="21"/>
          <w:szCs w:val="21"/>
          <w:highlight w:val="none"/>
          <w:lang w:val="en-US" w:eastAsia="zh-CN"/>
        </w:rPr>
        <w:t>2  平面布局</w:t>
      </w:r>
      <w:r>
        <w:rPr>
          <w:rFonts w:hint="default" w:ascii="Times New Roman" w:hAnsi="Times New Roman" w:eastAsia="黑体" w:cs="Times New Roman"/>
          <w:b w:val="0"/>
          <w:bCs/>
          <w:color w:val="auto"/>
          <w:sz w:val="21"/>
          <w:szCs w:val="21"/>
          <w:highlight w:val="none"/>
        </w:rPr>
        <w:t>图</w:t>
      </w:r>
    </w:p>
    <w:p w14:paraId="65614636">
      <w:pPr>
        <w:pStyle w:val="14"/>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drawing>
          <wp:inline distT="0" distB="0" distL="114300" distR="114300">
            <wp:extent cx="4905375" cy="4512310"/>
            <wp:effectExtent l="9525" t="9525" r="19050" b="12065"/>
            <wp:docPr id="39" name="图片 39" descr="影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影像图"/>
                    <pic:cNvPicPr>
                      <a:picLocks noChangeAspect="1"/>
                    </pic:cNvPicPr>
                  </pic:nvPicPr>
                  <pic:blipFill>
                    <a:blip r:embed="rId18"/>
                    <a:srcRect l="15771" t="6474" r="34114" b="633"/>
                    <a:stretch>
                      <a:fillRect/>
                    </a:stretch>
                  </pic:blipFill>
                  <pic:spPr>
                    <a:xfrm>
                      <a:off x="0" y="0"/>
                      <a:ext cx="4905375" cy="4512310"/>
                    </a:xfrm>
                    <a:prstGeom prst="rect">
                      <a:avLst/>
                    </a:prstGeom>
                    <a:ln>
                      <a:solidFill>
                        <a:schemeClr val="tx1"/>
                      </a:solidFill>
                    </a:ln>
                  </pic:spPr>
                </pic:pic>
              </a:graphicData>
            </a:graphic>
          </wp:inline>
        </w:drawing>
      </w:r>
    </w:p>
    <w:p w14:paraId="50A7BF9F">
      <w:pPr>
        <w:pStyle w:val="14"/>
        <w:keepNext w:val="0"/>
        <w:keepLines w:val="0"/>
        <w:pageBreakBefore w:val="0"/>
        <w:widowControl/>
        <w:kinsoku/>
        <w:wordWrap/>
        <w:overflowPunct/>
        <w:topLinePunct w:val="0"/>
        <w:autoSpaceDE/>
        <w:autoSpaceDN/>
        <w:bidi w:val="0"/>
        <w:adjustRightInd/>
        <w:snapToGrid/>
        <w:spacing w:after="164" w:afterLines="50" w:line="0" w:lineRule="atLeast"/>
        <w:jc w:val="center"/>
        <w:textAlignment w:val="auto"/>
        <w:rPr>
          <w:rFonts w:hint="default" w:ascii="Times New Roman" w:hAnsi="Times New Roman" w:eastAsia="黑体" w:cs="Times New Roman"/>
          <w:color w:val="auto"/>
          <w:sz w:val="21"/>
          <w:szCs w:val="21"/>
          <w:highlight w:val="none"/>
          <w:lang w:val="en-US" w:eastAsia="zh-CN"/>
        </w:rPr>
      </w:pPr>
      <w:r>
        <w:rPr>
          <w:rFonts w:hint="default" w:ascii="Times New Roman" w:hAnsi="Times New Roman" w:eastAsia="黑体" w:cs="Times New Roman"/>
          <w:color w:val="auto"/>
          <w:sz w:val="21"/>
          <w:szCs w:val="21"/>
          <w:highlight w:val="none"/>
          <w:lang w:val="en-US" w:eastAsia="zh-CN"/>
        </w:rPr>
        <w:t xml:space="preserve">照片1-1  矿区航拍影像图 </w:t>
      </w:r>
    </w:p>
    <w:p w14:paraId="12019261">
      <w:pPr>
        <w:pStyle w:val="14"/>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drawing>
          <wp:inline distT="0" distB="0" distL="114300" distR="114300">
            <wp:extent cx="3489960" cy="4653280"/>
            <wp:effectExtent l="9525" t="9525" r="23495" b="24765"/>
            <wp:docPr id="43" name="图片 43" descr="802e56826bf27790d7c500ad91242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802e56826bf27790d7c500ad91242cf"/>
                    <pic:cNvPicPr>
                      <a:picLocks noChangeAspect="1"/>
                    </pic:cNvPicPr>
                  </pic:nvPicPr>
                  <pic:blipFill>
                    <a:blip r:embed="rId19"/>
                    <a:stretch>
                      <a:fillRect/>
                    </a:stretch>
                  </pic:blipFill>
                  <pic:spPr>
                    <a:xfrm rot="16200000">
                      <a:off x="0" y="0"/>
                      <a:ext cx="3489960" cy="4653280"/>
                    </a:xfrm>
                    <a:prstGeom prst="rect">
                      <a:avLst/>
                    </a:prstGeom>
                    <a:ln>
                      <a:solidFill>
                        <a:schemeClr val="tx1"/>
                      </a:solidFill>
                    </a:ln>
                  </pic:spPr>
                </pic:pic>
              </a:graphicData>
            </a:graphic>
          </wp:inline>
        </w:drawing>
      </w:r>
    </w:p>
    <w:p w14:paraId="547C4A69">
      <w:pPr>
        <w:pStyle w:val="14"/>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eastAsia="黑体" w:cs="Times New Roman"/>
          <w:color w:val="auto"/>
          <w:sz w:val="21"/>
          <w:szCs w:val="21"/>
          <w:highlight w:val="none"/>
          <w:lang w:val="en-US" w:eastAsia="zh-CN"/>
        </w:rPr>
      </w:pPr>
      <w:r>
        <w:rPr>
          <w:rFonts w:hint="default" w:ascii="Times New Roman" w:hAnsi="Times New Roman" w:eastAsia="黑体" w:cs="Times New Roman"/>
          <w:color w:val="auto"/>
          <w:sz w:val="21"/>
          <w:szCs w:val="21"/>
          <w:highlight w:val="none"/>
          <w:lang w:val="en-US" w:eastAsia="zh-CN"/>
        </w:rPr>
        <w:t xml:space="preserve">照片1-2  </w:t>
      </w:r>
      <w:r>
        <w:rPr>
          <w:rFonts w:hint="eastAsia" w:eastAsia="黑体" w:cs="Times New Roman"/>
          <w:color w:val="auto"/>
          <w:sz w:val="21"/>
          <w:szCs w:val="21"/>
          <w:highlight w:val="none"/>
          <w:lang w:val="en-US" w:eastAsia="zh-CN"/>
        </w:rPr>
        <w:t>露天采场</w:t>
      </w:r>
    </w:p>
    <w:p w14:paraId="7EFFC9BA">
      <w:pPr>
        <w:pStyle w:val="14"/>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drawing>
          <wp:inline distT="0" distB="0" distL="114300" distR="114300">
            <wp:extent cx="3321685" cy="4429760"/>
            <wp:effectExtent l="10160" t="10160" r="17780" b="20955"/>
            <wp:docPr id="44" name="图片 44" descr="b41dd8ccde484c0945b3469ead735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b41dd8ccde484c0945b3469ead735f0"/>
                    <pic:cNvPicPr>
                      <a:picLocks noChangeAspect="1"/>
                    </pic:cNvPicPr>
                  </pic:nvPicPr>
                  <pic:blipFill>
                    <a:blip r:embed="rId20"/>
                    <a:stretch>
                      <a:fillRect/>
                    </a:stretch>
                  </pic:blipFill>
                  <pic:spPr>
                    <a:xfrm rot="16200000">
                      <a:off x="0" y="0"/>
                      <a:ext cx="3321685" cy="4429760"/>
                    </a:xfrm>
                    <a:prstGeom prst="rect">
                      <a:avLst/>
                    </a:prstGeom>
                    <a:ln>
                      <a:solidFill>
                        <a:schemeClr val="tx1"/>
                      </a:solidFill>
                    </a:ln>
                  </pic:spPr>
                </pic:pic>
              </a:graphicData>
            </a:graphic>
          </wp:inline>
        </w:drawing>
      </w:r>
    </w:p>
    <w:p w14:paraId="0938805D">
      <w:pPr>
        <w:pStyle w:val="14"/>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eastAsia="黑体" w:cs="Times New Roman"/>
          <w:color w:val="auto"/>
          <w:sz w:val="21"/>
          <w:szCs w:val="21"/>
          <w:highlight w:val="none"/>
          <w:lang w:val="en-US" w:eastAsia="zh-CN"/>
        </w:rPr>
      </w:pPr>
      <w:r>
        <w:rPr>
          <w:rFonts w:hint="default" w:ascii="Times New Roman" w:hAnsi="Times New Roman" w:eastAsia="黑体" w:cs="Times New Roman"/>
          <w:color w:val="auto"/>
          <w:sz w:val="21"/>
          <w:szCs w:val="21"/>
          <w:highlight w:val="none"/>
          <w:lang w:val="en-US" w:eastAsia="zh-CN"/>
        </w:rPr>
        <w:t>照片1-3  工业广场</w:t>
      </w:r>
    </w:p>
    <w:p w14:paraId="6CFB0F01">
      <w:pPr>
        <w:rPr>
          <w:rFonts w:hint="default" w:ascii="Times New Roman" w:hAnsi="Times New Roman" w:cs="Times New Roman"/>
          <w:color w:val="auto"/>
          <w:highlight w:val="none"/>
          <w:lang w:val="en-US" w:eastAsia="zh-CN"/>
        </w:rPr>
      </w:pPr>
    </w:p>
    <w:p w14:paraId="736A7361">
      <w:pPr>
        <w:pStyle w:val="14"/>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drawing>
          <wp:inline distT="0" distB="0" distL="114300" distR="114300">
            <wp:extent cx="4591685" cy="3617595"/>
            <wp:effectExtent l="9525" t="9525" r="27940" b="11430"/>
            <wp:docPr id="48" name="图片 48" descr="5add4116e3c047dab9e11f90cb5d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5add4116e3c047dab9e11f90cb5d573"/>
                    <pic:cNvPicPr>
                      <a:picLocks noChangeAspect="1"/>
                    </pic:cNvPicPr>
                  </pic:nvPicPr>
                  <pic:blipFill>
                    <a:blip r:embed="rId21"/>
                    <a:srcRect t="16827" r="20837"/>
                    <a:stretch>
                      <a:fillRect/>
                    </a:stretch>
                  </pic:blipFill>
                  <pic:spPr>
                    <a:xfrm rot="10800000">
                      <a:off x="0" y="0"/>
                      <a:ext cx="4591685" cy="3617595"/>
                    </a:xfrm>
                    <a:prstGeom prst="rect">
                      <a:avLst/>
                    </a:prstGeom>
                    <a:ln>
                      <a:solidFill>
                        <a:schemeClr val="tx1"/>
                      </a:solidFill>
                    </a:ln>
                  </pic:spPr>
                </pic:pic>
              </a:graphicData>
            </a:graphic>
          </wp:inline>
        </w:drawing>
      </w:r>
    </w:p>
    <w:p w14:paraId="4CBC996A">
      <w:pPr>
        <w:pStyle w:val="14"/>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eastAsia="黑体" w:cs="Times New Roman"/>
          <w:color w:val="auto"/>
          <w:sz w:val="21"/>
          <w:szCs w:val="21"/>
          <w:highlight w:val="none"/>
          <w:lang w:val="en-US" w:eastAsia="zh-CN"/>
        </w:rPr>
      </w:pPr>
      <w:r>
        <w:rPr>
          <w:rFonts w:hint="default" w:ascii="Times New Roman" w:hAnsi="Times New Roman" w:eastAsia="黑体" w:cs="Times New Roman"/>
          <w:color w:val="auto"/>
          <w:sz w:val="21"/>
          <w:szCs w:val="21"/>
          <w:highlight w:val="none"/>
          <w:lang w:val="en-US" w:eastAsia="zh-CN"/>
        </w:rPr>
        <w:t xml:space="preserve">照片1-4  </w:t>
      </w:r>
      <w:r>
        <w:rPr>
          <w:rFonts w:hint="eastAsia" w:eastAsia="黑体" w:cs="Times New Roman"/>
          <w:color w:val="auto"/>
          <w:sz w:val="21"/>
          <w:szCs w:val="21"/>
          <w:highlight w:val="none"/>
          <w:lang w:val="en-US" w:eastAsia="zh-CN"/>
        </w:rPr>
        <w:t>表土堆场</w:t>
      </w:r>
    </w:p>
    <w:p w14:paraId="251F3E48">
      <w:pPr>
        <w:pStyle w:val="14"/>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color w:val="auto"/>
          <w:sz w:val="24"/>
          <w:highlight w:val="none"/>
        </w:rPr>
      </w:pPr>
    </w:p>
    <w:p w14:paraId="2E3C76DD">
      <w:pPr>
        <w:pStyle w:val="14"/>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color w:val="auto"/>
          <w:sz w:val="24"/>
          <w:highlight w:val="none"/>
        </w:rPr>
      </w:pPr>
    </w:p>
    <w:p w14:paraId="603CB37A">
      <w:pPr>
        <w:pStyle w:val="14"/>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color w:val="auto"/>
          <w:sz w:val="24"/>
          <w:highlight w:val="none"/>
        </w:rPr>
      </w:pPr>
    </w:p>
    <w:p w14:paraId="23E389F2">
      <w:pPr>
        <w:pStyle w:val="14"/>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color w:val="auto"/>
          <w:sz w:val="24"/>
          <w:highlight w:val="none"/>
        </w:rPr>
      </w:pPr>
    </w:p>
    <w:p w14:paraId="74DF5244">
      <w:pPr>
        <w:pStyle w:val="14"/>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color w:val="auto"/>
          <w:sz w:val="24"/>
          <w:highlight w:val="none"/>
        </w:rPr>
      </w:pPr>
    </w:p>
    <w:p w14:paraId="3A29453C">
      <w:pPr>
        <w:pStyle w:val="14"/>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color w:val="auto"/>
          <w:sz w:val="24"/>
          <w:highlight w:val="none"/>
        </w:rPr>
      </w:pPr>
    </w:p>
    <w:p w14:paraId="06281D41">
      <w:pPr>
        <w:pStyle w:val="14"/>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color w:val="auto"/>
          <w:sz w:val="24"/>
          <w:highlight w:val="none"/>
        </w:rPr>
      </w:pPr>
    </w:p>
    <w:p w14:paraId="579D6A66">
      <w:pPr>
        <w:pStyle w:val="14"/>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color w:val="auto"/>
          <w:sz w:val="24"/>
          <w:highlight w:val="none"/>
        </w:rPr>
      </w:pPr>
    </w:p>
    <w:p w14:paraId="6FD6DC1A">
      <w:pPr>
        <w:pStyle w:val="14"/>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color w:val="auto"/>
          <w:sz w:val="24"/>
          <w:highlight w:val="none"/>
        </w:rPr>
      </w:pPr>
    </w:p>
    <w:p w14:paraId="2754D167">
      <w:pPr>
        <w:pStyle w:val="14"/>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drawing>
          <wp:inline distT="0" distB="0" distL="114300" distR="114300">
            <wp:extent cx="4425950" cy="3319145"/>
            <wp:effectExtent l="9525" t="9525" r="22225" b="24130"/>
            <wp:docPr id="49" name="图片 49" descr="11d108217a0b22e166d0e671b8af1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11d108217a0b22e166d0e671b8af15f"/>
                    <pic:cNvPicPr>
                      <a:picLocks noChangeAspect="1"/>
                    </pic:cNvPicPr>
                  </pic:nvPicPr>
                  <pic:blipFill>
                    <a:blip r:embed="rId22"/>
                    <a:stretch>
                      <a:fillRect/>
                    </a:stretch>
                  </pic:blipFill>
                  <pic:spPr>
                    <a:xfrm rot="10800000">
                      <a:off x="0" y="0"/>
                      <a:ext cx="4425950" cy="3319145"/>
                    </a:xfrm>
                    <a:prstGeom prst="rect">
                      <a:avLst/>
                    </a:prstGeom>
                    <a:ln>
                      <a:solidFill>
                        <a:schemeClr val="tx1"/>
                      </a:solidFill>
                    </a:ln>
                  </pic:spPr>
                </pic:pic>
              </a:graphicData>
            </a:graphic>
          </wp:inline>
        </w:drawing>
      </w:r>
    </w:p>
    <w:p w14:paraId="35624A3C">
      <w:pPr>
        <w:pStyle w:val="14"/>
        <w:keepNext w:val="0"/>
        <w:keepLines w:val="0"/>
        <w:pageBreakBefore w:val="0"/>
        <w:widowControl/>
        <w:kinsoku/>
        <w:wordWrap/>
        <w:overflowPunct/>
        <w:topLinePunct w:val="0"/>
        <w:autoSpaceDE/>
        <w:autoSpaceDN/>
        <w:bidi w:val="0"/>
        <w:adjustRightInd/>
        <w:snapToGrid/>
        <w:spacing w:after="164" w:afterLines="50" w:line="0" w:lineRule="atLeast"/>
        <w:jc w:val="center"/>
        <w:textAlignment w:val="auto"/>
        <w:rPr>
          <w:rFonts w:hint="default" w:ascii="Times New Roman" w:hAnsi="Times New Roman" w:eastAsia="黑体" w:cs="Times New Roman"/>
          <w:color w:val="auto"/>
          <w:sz w:val="21"/>
          <w:szCs w:val="21"/>
          <w:highlight w:val="none"/>
          <w:lang w:val="en-US" w:eastAsia="zh-CN"/>
        </w:rPr>
      </w:pPr>
      <w:r>
        <w:rPr>
          <w:rFonts w:hint="default" w:ascii="Times New Roman" w:hAnsi="Times New Roman" w:eastAsia="黑体" w:cs="Times New Roman"/>
          <w:color w:val="auto"/>
          <w:sz w:val="21"/>
          <w:szCs w:val="21"/>
          <w:highlight w:val="none"/>
          <w:lang w:val="en-US" w:eastAsia="zh-CN"/>
        </w:rPr>
        <w:t xml:space="preserve">照片1-5  </w:t>
      </w:r>
      <w:r>
        <w:rPr>
          <w:rFonts w:hint="eastAsia" w:eastAsia="黑体" w:cs="Times New Roman"/>
          <w:color w:val="auto"/>
          <w:sz w:val="21"/>
          <w:szCs w:val="21"/>
          <w:highlight w:val="none"/>
          <w:lang w:val="en-US" w:eastAsia="zh-CN"/>
        </w:rPr>
        <w:t>办公室及临时堆料场</w:t>
      </w:r>
    </w:p>
    <w:p w14:paraId="005EE413">
      <w:pPr>
        <w:pStyle w:val="14"/>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drawing>
          <wp:inline distT="0" distB="0" distL="114300" distR="114300">
            <wp:extent cx="4415790" cy="3311525"/>
            <wp:effectExtent l="9525" t="9525" r="13335" b="12700"/>
            <wp:docPr id="50" name="图片 50" descr="d3737861a2c344ef34802f1b12fb3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d3737861a2c344ef34802f1b12fb3f5"/>
                    <pic:cNvPicPr>
                      <a:picLocks noChangeAspect="1"/>
                    </pic:cNvPicPr>
                  </pic:nvPicPr>
                  <pic:blipFill>
                    <a:blip r:embed="rId23"/>
                    <a:stretch>
                      <a:fillRect/>
                    </a:stretch>
                  </pic:blipFill>
                  <pic:spPr>
                    <a:xfrm rot="10800000">
                      <a:off x="0" y="0"/>
                      <a:ext cx="4415790" cy="3311525"/>
                    </a:xfrm>
                    <a:prstGeom prst="rect">
                      <a:avLst/>
                    </a:prstGeom>
                    <a:ln>
                      <a:solidFill>
                        <a:schemeClr val="tx1"/>
                      </a:solidFill>
                    </a:ln>
                  </pic:spPr>
                </pic:pic>
              </a:graphicData>
            </a:graphic>
          </wp:inline>
        </w:drawing>
      </w:r>
    </w:p>
    <w:p w14:paraId="2042818E">
      <w:pPr>
        <w:pStyle w:val="14"/>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eastAsia="黑体" w:cs="Times New Roman"/>
          <w:color w:val="auto"/>
          <w:sz w:val="21"/>
          <w:szCs w:val="21"/>
          <w:highlight w:val="none"/>
          <w:lang w:val="en-US" w:eastAsia="zh-CN"/>
        </w:rPr>
      </w:pPr>
      <w:r>
        <w:rPr>
          <w:rFonts w:hint="default" w:ascii="Times New Roman" w:hAnsi="Times New Roman" w:eastAsia="黑体" w:cs="Times New Roman"/>
          <w:color w:val="auto"/>
          <w:sz w:val="21"/>
          <w:szCs w:val="21"/>
          <w:highlight w:val="none"/>
          <w:lang w:val="en-US" w:eastAsia="zh-CN"/>
        </w:rPr>
        <w:t>照片1-6  办公生活区</w:t>
      </w:r>
    </w:p>
    <w:p w14:paraId="51951842">
      <w:pPr>
        <w:pStyle w:val="14"/>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eastAsia="黑体" w:cs="Times New Roman"/>
          <w:color w:val="auto"/>
          <w:sz w:val="21"/>
          <w:szCs w:val="21"/>
          <w:highlight w:val="none"/>
          <w:lang w:val="en-US" w:eastAsia="zh-CN"/>
        </w:rPr>
      </w:pPr>
    </w:p>
    <w:p w14:paraId="7C4FE2CE">
      <w:pPr>
        <w:pStyle w:val="14"/>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eastAsia="黑体" w:cs="Times New Roman"/>
          <w:color w:val="auto"/>
          <w:sz w:val="21"/>
          <w:szCs w:val="21"/>
          <w:highlight w:val="none"/>
          <w:lang w:val="en-US" w:eastAsia="zh-CN"/>
        </w:rPr>
      </w:pPr>
    </w:p>
    <w:p w14:paraId="5B80DFDE">
      <w:pPr>
        <w:pStyle w:val="14"/>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eastAsia="黑体" w:cs="Times New Roman"/>
          <w:color w:val="auto"/>
          <w:sz w:val="21"/>
          <w:szCs w:val="21"/>
          <w:highlight w:val="none"/>
          <w:lang w:val="en-US" w:eastAsia="zh-CN"/>
        </w:rPr>
      </w:pPr>
    </w:p>
    <w:p w14:paraId="0D3ACCF8">
      <w:pPr>
        <w:pStyle w:val="14"/>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eastAsia="黑体" w:cs="Times New Roman"/>
          <w:color w:val="auto"/>
          <w:sz w:val="21"/>
          <w:szCs w:val="21"/>
          <w:highlight w:val="none"/>
          <w:lang w:val="en-US" w:eastAsia="zh-CN"/>
        </w:rPr>
      </w:pPr>
    </w:p>
    <w:p w14:paraId="001C6EFE">
      <w:pPr>
        <w:pStyle w:val="14"/>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eastAsia="黑体" w:cs="Times New Roman"/>
          <w:color w:val="auto"/>
          <w:sz w:val="21"/>
          <w:szCs w:val="21"/>
          <w:highlight w:val="none"/>
          <w:lang w:val="en-US" w:eastAsia="zh-CN"/>
        </w:rPr>
      </w:pPr>
    </w:p>
    <w:p w14:paraId="5828170F">
      <w:pPr>
        <w:pStyle w:val="14"/>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eastAsia="黑体" w:cs="Times New Roman"/>
          <w:color w:val="auto"/>
          <w:sz w:val="21"/>
          <w:szCs w:val="21"/>
          <w:highlight w:val="none"/>
          <w:lang w:val="en-US" w:eastAsia="zh-CN"/>
        </w:rPr>
      </w:pPr>
    </w:p>
    <w:p w14:paraId="42DC1587">
      <w:pPr>
        <w:pStyle w:val="14"/>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eastAsia="黑体" w:cs="Times New Roman"/>
          <w:color w:val="auto"/>
          <w:sz w:val="21"/>
          <w:szCs w:val="21"/>
          <w:highlight w:val="none"/>
          <w:lang w:val="en-US" w:eastAsia="zh-CN"/>
        </w:rPr>
      </w:pPr>
    </w:p>
    <w:p w14:paraId="1A881330">
      <w:pPr>
        <w:pStyle w:val="14"/>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eastAsia="黑体" w:cs="Times New Roman"/>
          <w:color w:val="auto"/>
          <w:sz w:val="21"/>
          <w:szCs w:val="21"/>
          <w:highlight w:val="none"/>
          <w:lang w:val="en-US" w:eastAsia="zh-CN"/>
        </w:rPr>
      </w:pPr>
    </w:p>
    <w:p w14:paraId="4A88B351">
      <w:pPr>
        <w:pStyle w:val="14"/>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eastAsia="黑体" w:cs="Times New Roman"/>
          <w:color w:val="auto"/>
          <w:sz w:val="21"/>
          <w:szCs w:val="21"/>
          <w:highlight w:val="none"/>
          <w:lang w:val="en-US" w:eastAsia="zh-CN"/>
        </w:rPr>
      </w:pPr>
    </w:p>
    <w:p w14:paraId="7D0F5D48">
      <w:pPr>
        <w:pStyle w:val="14"/>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drawing>
          <wp:inline distT="0" distB="0" distL="114300" distR="114300">
            <wp:extent cx="4485640" cy="3364865"/>
            <wp:effectExtent l="9525" t="9525" r="19685" b="16510"/>
            <wp:docPr id="51" name="图片 51" descr="632e343494dbd532894c6fbd05835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632e343494dbd532894c6fbd058353a"/>
                    <pic:cNvPicPr>
                      <a:picLocks noChangeAspect="1"/>
                    </pic:cNvPicPr>
                  </pic:nvPicPr>
                  <pic:blipFill>
                    <a:blip r:embed="rId24"/>
                    <a:stretch>
                      <a:fillRect/>
                    </a:stretch>
                  </pic:blipFill>
                  <pic:spPr>
                    <a:xfrm rot="10800000">
                      <a:off x="0" y="0"/>
                      <a:ext cx="4485640" cy="3364865"/>
                    </a:xfrm>
                    <a:prstGeom prst="rect">
                      <a:avLst/>
                    </a:prstGeom>
                    <a:ln>
                      <a:solidFill>
                        <a:schemeClr val="tx1"/>
                      </a:solidFill>
                    </a:ln>
                  </pic:spPr>
                </pic:pic>
              </a:graphicData>
            </a:graphic>
          </wp:inline>
        </w:drawing>
      </w:r>
    </w:p>
    <w:p w14:paraId="00B263DB">
      <w:pPr>
        <w:pStyle w:val="14"/>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eastAsia="黑体" w:cs="Times New Roman"/>
          <w:color w:val="auto"/>
          <w:sz w:val="21"/>
          <w:szCs w:val="21"/>
          <w:highlight w:val="none"/>
          <w:lang w:val="en-US" w:eastAsia="zh-CN"/>
        </w:rPr>
      </w:pPr>
      <w:r>
        <w:rPr>
          <w:rFonts w:hint="default" w:ascii="Times New Roman" w:hAnsi="Times New Roman" w:eastAsia="黑体" w:cs="Times New Roman"/>
          <w:color w:val="auto"/>
          <w:sz w:val="21"/>
          <w:szCs w:val="21"/>
          <w:highlight w:val="none"/>
          <w:lang w:val="en-US" w:eastAsia="zh-CN"/>
        </w:rPr>
        <w:t>照片1-7  矿山道路</w:t>
      </w:r>
    </w:p>
    <w:bookmarkEnd w:id="82"/>
    <w:p w14:paraId="2912D65B">
      <w:pPr>
        <w:pStyle w:val="4"/>
        <w:ind w:firstLine="0" w:firstLineChars="0"/>
        <w:rPr>
          <w:rFonts w:hint="default" w:ascii="Times New Roman" w:hAnsi="Times New Roman" w:eastAsia="黑体" w:cs="Times New Roman"/>
          <w:b w:val="0"/>
          <w:color w:val="auto"/>
          <w:sz w:val="28"/>
          <w:szCs w:val="28"/>
          <w:highlight w:val="none"/>
        </w:rPr>
      </w:pPr>
      <w:bookmarkStart w:id="84" w:name="_Toc3404"/>
      <w:r>
        <w:rPr>
          <w:rFonts w:hint="default" w:ascii="Times New Roman" w:hAnsi="Times New Roman" w:eastAsia="黑体" w:cs="Times New Roman"/>
          <w:b w:val="0"/>
          <w:color w:val="auto"/>
          <w:sz w:val="28"/>
          <w:szCs w:val="28"/>
          <w:highlight w:val="none"/>
        </w:rPr>
        <w:t>四、矿山</w:t>
      </w:r>
      <w:bookmarkStart w:id="85" w:name="_Hlk17898672"/>
      <w:r>
        <w:rPr>
          <w:rFonts w:hint="default" w:ascii="Times New Roman" w:hAnsi="Times New Roman" w:eastAsia="黑体" w:cs="Times New Roman"/>
          <w:b w:val="0"/>
          <w:color w:val="auto"/>
          <w:sz w:val="28"/>
          <w:szCs w:val="28"/>
          <w:highlight w:val="none"/>
        </w:rPr>
        <w:t>开采历史</w:t>
      </w:r>
      <w:bookmarkEnd w:id="85"/>
      <w:r>
        <w:rPr>
          <w:rFonts w:hint="default" w:ascii="Times New Roman" w:hAnsi="Times New Roman" w:eastAsia="黑体" w:cs="Times New Roman"/>
          <w:b w:val="0"/>
          <w:color w:val="auto"/>
          <w:sz w:val="28"/>
          <w:szCs w:val="28"/>
          <w:highlight w:val="none"/>
        </w:rPr>
        <w:t>及现状</w:t>
      </w:r>
      <w:bookmarkEnd w:id="83"/>
      <w:bookmarkEnd w:id="84"/>
    </w:p>
    <w:p w14:paraId="606A29B3">
      <w:pPr>
        <w:pStyle w:val="5"/>
        <w:spacing w:line="360" w:lineRule="auto"/>
        <w:rPr>
          <w:rFonts w:hint="default" w:ascii="Times New Roman" w:hAnsi="Times New Roman" w:eastAsia="黑体" w:cs="Times New Roman"/>
          <w:b w:val="0"/>
          <w:bCs w:val="0"/>
          <w:color w:val="auto"/>
          <w:szCs w:val="28"/>
          <w:highlight w:val="none"/>
          <w:lang w:eastAsia="zh-CN"/>
        </w:rPr>
      </w:pPr>
      <w:bookmarkStart w:id="86" w:name="_Toc487105277"/>
      <w:r>
        <w:rPr>
          <w:rFonts w:hint="default" w:ascii="Times New Roman" w:hAnsi="Times New Roman" w:eastAsia="黑体" w:cs="Times New Roman"/>
          <w:b w:val="0"/>
          <w:bCs w:val="0"/>
          <w:color w:val="auto"/>
          <w:szCs w:val="28"/>
          <w:highlight w:val="none"/>
          <w:lang w:eastAsia="zh-CN"/>
        </w:rPr>
        <w:t>（</w:t>
      </w:r>
      <w:r>
        <w:rPr>
          <w:rFonts w:hint="default" w:ascii="Times New Roman" w:hAnsi="Times New Roman" w:eastAsia="黑体" w:cs="Times New Roman"/>
          <w:b w:val="0"/>
          <w:bCs w:val="0"/>
          <w:color w:val="auto"/>
          <w:szCs w:val="28"/>
          <w:highlight w:val="none"/>
          <w:lang w:val="en-US" w:eastAsia="zh-CN"/>
        </w:rPr>
        <w:t>一</w:t>
      </w:r>
      <w:r>
        <w:rPr>
          <w:rFonts w:hint="default" w:ascii="Times New Roman" w:hAnsi="Times New Roman" w:eastAsia="黑体" w:cs="Times New Roman"/>
          <w:b w:val="0"/>
          <w:bCs w:val="0"/>
          <w:color w:val="auto"/>
          <w:szCs w:val="28"/>
          <w:highlight w:val="none"/>
          <w:lang w:eastAsia="zh-CN"/>
        </w:rPr>
        <w:t>）矿山</w:t>
      </w:r>
      <w:r>
        <w:rPr>
          <w:rFonts w:hint="default" w:ascii="Times New Roman" w:hAnsi="Times New Roman" w:eastAsia="黑体" w:cs="Times New Roman"/>
          <w:b w:val="0"/>
          <w:bCs w:val="0"/>
          <w:color w:val="auto"/>
          <w:szCs w:val="28"/>
          <w:highlight w:val="none"/>
          <w:lang w:val="en-US" w:eastAsia="zh-CN"/>
        </w:rPr>
        <w:t>开采历史</w:t>
      </w:r>
    </w:p>
    <w:p w14:paraId="389DD03B">
      <w:pPr>
        <w:pStyle w:val="14"/>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eastAsia="zh-CN"/>
        </w:rPr>
        <w:t>该矿属私营企业，2003年建矿，建矿时矿山名称叫“永吉县北大湖镇玉华采石场”，采区面积：0.0029km</w:t>
      </w:r>
      <w:r>
        <w:rPr>
          <w:rFonts w:hint="eastAsia" w:cs="Times New Roman"/>
          <w:color w:val="auto"/>
          <w:sz w:val="24"/>
          <w:szCs w:val="24"/>
          <w:highlight w:val="none"/>
          <w:vertAlign w:val="superscript"/>
          <w:lang w:eastAsia="zh-CN"/>
        </w:rPr>
        <w:t>2</w:t>
      </w:r>
      <w:r>
        <w:rPr>
          <w:rFonts w:hint="eastAsia" w:cs="Times New Roman"/>
          <w:color w:val="auto"/>
          <w:sz w:val="24"/>
          <w:szCs w:val="24"/>
          <w:highlight w:val="none"/>
          <w:lang w:eastAsia="zh-CN"/>
        </w:rPr>
        <w:t>，开采标高490m～457m。2011年矿山转让给了吉林市衡永源工贸有限公司，改名为“吉林市衡永源工贸有限公司北大湖采石场”</w:t>
      </w:r>
      <w:r>
        <w:rPr>
          <w:rFonts w:hint="default" w:ascii="Times New Roman" w:hAnsi="Times New Roman" w:eastAsia="宋体" w:cs="Times New Roman"/>
          <w:color w:val="auto"/>
          <w:sz w:val="24"/>
          <w:szCs w:val="24"/>
          <w:highlight w:val="none"/>
          <w:lang w:val="en-US" w:eastAsia="zh-CN"/>
        </w:rPr>
        <w:t>。</w:t>
      </w:r>
    </w:p>
    <w:p w14:paraId="51AF6CEC">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2014年，北大湖采石场原矿区范围内方解石矿资源储量自2003年开采至</w:t>
      </w:r>
      <w:r>
        <w:rPr>
          <w:rFonts w:hint="eastAsia" w:cs="Times New Roman"/>
          <w:color w:val="auto"/>
          <w:sz w:val="24"/>
          <w:szCs w:val="24"/>
          <w:highlight w:val="none"/>
          <w:lang w:val="en-US" w:eastAsia="zh-CN"/>
        </w:rPr>
        <w:t>2014年，</w:t>
      </w:r>
      <w:r>
        <w:rPr>
          <w:rFonts w:hint="default" w:ascii="Times New Roman" w:hAnsi="Times New Roman" w:eastAsia="宋体" w:cs="Times New Roman"/>
          <w:color w:val="auto"/>
          <w:sz w:val="24"/>
          <w:szCs w:val="24"/>
          <w:highlight w:val="none"/>
          <w:lang w:val="en-US" w:eastAsia="zh-CN"/>
        </w:rPr>
        <w:t>已满足不了矿山继续生产的需要，</w:t>
      </w:r>
      <w:r>
        <w:rPr>
          <w:rFonts w:hint="eastAsia" w:cs="Times New Roman"/>
          <w:color w:val="auto"/>
          <w:sz w:val="24"/>
          <w:szCs w:val="24"/>
          <w:highlight w:val="none"/>
          <w:lang w:val="en-US" w:eastAsia="zh-CN"/>
        </w:rPr>
        <w:t>因此</w:t>
      </w:r>
      <w:r>
        <w:rPr>
          <w:rFonts w:hint="default" w:ascii="Times New Roman" w:hAnsi="Times New Roman" w:eastAsia="宋体" w:cs="Times New Roman"/>
          <w:color w:val="auto"/>
          <w:sz w:val="24"/>
          <w:szCs w:val="24"/>
          <w:highlight w:val="none"/>
          <w:lang w:val="en-US" w:eastAsia="zh-CN"/>
        </w:rPr>
        <w:t>需扩界增加资源储量。</w:t>
      </w:r>
    </w:p>
    <w:p w14:paraId="1CBB56BB">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2014年5月，吉林省兴亚矿业公司编制了《</w:t>
      </w:r>
      <w:r>
        <w:rPr>
          <w:rFonts w:hint="eastAsia" w:cs="Times New Roman"/>
          <w:color w:val="auto"/>
          <w:sz w:val="24"/>
          <w:szCs w:val="24"/>
          <w:highlight w:val="none"/>
          <w:lang w:val="en-US" w:eastAsia="zh-CN"/>
        </w:rPr>
        <w:t>吉林市衡永源工贸有限公司</w:t>
      </w:r>
      <w:r>
        <w:rPr>
          <w:rFonts w:hint="default" w:ascii="Times New Roman" w:hAnsi="Times New Roman" w:eastAsia="宋体" w:cs="Times New Roman"/>
          <w:color w:val="auto"/>
          <w:sz w:val="24"/>
          <w:szCs w:val="24"/>
          <w:highlight w:val="none"/>
          <w:lang w:val="en-US" w:eastAsia="zh-CN"/>
        </w:rPr>
        <w:t>北大湖采石场方解石矿矿产资源储量核实报告》。全矿区内累计探明大理岩矿控制的经济基础储量(122b) 128.59×10</w:t>
      </w:r>
      <w:r>
        <w:rPr>
          <w:rFonts w:hint="default" w:ascii="Times New Roman" w:hAnsi="Times New Roman" w:eastAsia="宋体" w:cs="Times New Roman"/>
          <w:color w:val="auto"/>
          <w:sz w:val="24"/>
          <w:szCs w:val="24"/>
          <w:highlight w:val="none"/>
          <w:vertAlign w:val="superscript"/>
          <w:lang w:val="en-US" w:eastAsia="zh-CN"/>
        </w:rPr>
        <w:t>4</w:t>
      </w:r>
      <w:r>
        <w:rPr>
          <w:rFonts w:hint="default" w:ascii="Times New Roman" w:hAnsi="Times New Roman" w:eastAsia="宋体" w:cs="Times New Roman"/>
          <w:color w:val="auto"/>
          <w:sz w:val="24"/>
          <w:szCs w:val="24"/>
          <w:highlight w:val="none"/>
          <w:lang w:val="en-US" w:eastAsia="zh-CN"/>
        </w:rPr>
        <w:t>t</w:t>
      </w:r>
      <w:r>
        <w:rPr>
          <w:rFonts w:hint="eastAsia" w:cs="Times New Roman"/>
          <w:color w:val="auto"/>
          <w:sz w:val="24"/>
          <w:szCs w:val="24"/>
          <w:highlight w:val="none"/>
          <w:lang w:val="en-US" w:eastAsia="zh-CN"/>
        </w:rPr>
        <w:t>。</w:t>
      </w:r>
    </w:p>
    <w:p w14:paraId="482E8312">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sz w:val="24"/>
          <w:szCs w:val="24"/>
          <w:highlight w:val="none"/>
          <w:lang w:val="en-US" w:eastAsia="zh-CN"/>
        </w:rPr>
        <w:t>2014年12月，吉林省兴亚矿业公司编制了《吉林市衡永源工贸有限公司北大湖采石场方解石矿矿产资源开发利用方案》，方案中</w:t>
      </w:r>
      <w:r>
        <w:rPr>
          <w:rFonts w:hint="default" w:ascii="Times New Roman" w:hAnsi="Times New Roman" w:cs="Times New Roman"/>
          <w:color w:val="auto"/>
          <w:sz w:val="24"/>
          <w:highlight w:val="none"/>
        </w:rPr>
        <w:t>开采矿种</w:t>
      </w:r>
      <w:r>
        <w:rPr>
          <w:rFonts w:hint="eastAsia" w:cs="Times New Roman"/>
          <w:color w:val="auto"/>
          <w:sz w:val="24"/>
          <w:highlight w:val="none"/>
          <w:lang w:val="en-US" w:eastAsia="zh-CN"/>
        </w:rPr>
        <w:t>为方解石</w:t>
      </w:r>
      <w:r>
        <w:rPr>
          <w:rFonts w:hint="eastAsia" w:cs="Times New Roman"/>
          <w:color w:val="auto"/>
          <w:sz w:val="24"/>
          <w:highlight w:val="none"/>
          <w:lang w:eastAsia="zh-CN"/>
        </w:rPr>
        <w:t>，</w:t>
      </w:r>
      <w:r>
        <w:rPr>
          <w:rFonts w:hint="default" w:ascii="Times New Roman" w:hAnsi="Times New Roman" w:eastAsia="宋体" w:cs="Times New Roman"/>
          <w:color w:val="auto"/>
          <w:kern w:val="2"/>
          <w:sz w:val="24"/>
          <w:szCs w:val="24"/>
          <w:highlight w:val="none"/>
          <w:lang w:val="en-US" w:eastAsia="zh-CN" w:bidi="ar-SA"/>
        </w:rPr>
        <w:t>矿山所采矿石为大理岩（方解石），矿石采下之后，经加工破碎后直接销往用户单位，产品主要销往明城钢铁厂，用于炼钢溶剂。矿山开采及加工成本约40元左右，售价60元，销路较好。</w:t>
      </w:r>
    </w:p>
    <w:p w14:paraId="64A53EF8">
      <w:pPr>
        <w:pStyle w:val="5"/>
        <w:spacing w:line="360" w:lineRule="auto"/>
        <w:rPr>
          <w:rFonts w:hint="default" w:ascii="Times New Roman" w:hAnsi="Times New Roman" w:eastAsia="黑体" w:cs="Times New Roman"/>
          <w:b w:val="0"/>
          <w:bCs w:val="0"/>
          <w:color w:val="auto"/>
          <w:szCs w:val="28"/>
          <w:highlight w:val="none"/>
          <w:lang w:eastAsia="zh-CN"/>
        </w:rPr>
      </w:pPr>
      <w:r>
        <w:rPr>
          <w:rFonts w:hint="default" w:ascii="Times New Roman" w:hAnsi="Times New Roman" w:eastAsia="黑体" w:cs="Times New Roman"/>
          <w:b w:val="0"/>
          <w:bCs w:val="0"/>
          <w:color w:val="auto"/>
          <w:szCs w:val="28"/>
          <w:highlight w:val="none"/>
          <w:lang w:eastAsia="zh-CN"/>
        </w:rPr>
        <w:t>（</w:t>
      </w:r>
      <w:r>
        <w:rPr>
          <w:rFonts w:hint="default" w:ascii="Times New Roman" w:hAnsi="Times New Roman" w:eastAsia="黑体" w:cs="Times New Roman"/>
          <w:b w:val="0"/>
          <w:bCs w:val="0"/>
          <w:color w:val="auto"/>
          <w:szCs w:val="28"/>
          <w:highlight w:val="none"/>
          <w:lang w:val="en-US" w:eastAsia="zh-CN"/>
        </w:rPr>
        <w:t>二</w:t>
      </w:r>
      <w:r>
        <w:rPr>
          <w:rFonts w:hint="default" w:ascii="Times New Roman" w:hAnsi="Times New Roman" w:eastAsia="黑体" w:cs="Times New Roman"/>
          <w:b w:val="0"/>
          <w:bCs w:val="0"/>
          <w:color w:val="auto"/>
          <w:szCs w:val="28"/>
          <w:highlight w:val="none"/>
          <w:lang w:eastAsia="zh-CN"/>
        </w:rPr>
        <w:t>）矿山</w:t>
      </w:r>
      <w:r>
        <w:rPr>
          <w:rFonts w:hint="default" w:ascii="Times New Roman" w:hAnsi="Times New Roman" w:eastAsia="黑体" w:cs="Times New Roman"/>
          <w:b w:val="0"/>
          <w:bCs w:val="0"/>
          <w:color w:val="auto"/>
          <w:szCs w:val="28"/>
          <w:highlight w:val="none"/>
          <w:lang w:val="en-US" w:eastAsia="zh-CN"/>
        </w:rPr>
        <w:t>开采现状</w:t>
      </w:r>
    </w:p>
    <w:p w14:paraId="0BF6182F">
      <w:pPr>
        <w:pStyle w:val="87"/>
        <w:ind w:firstLine="480"/>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szCs w:val="24"/>
          <w:highlight w:val="none"/>
          <w:lang w:val="en-US" w:eastAsia="zh-CN"/>
        </w:rPr>
        <w:t>矿山采用露天开采方式进行开采，公路开拓运输，目前矿山已形成了一个面积约</w:t>
      </w:r>
      <w:r>
        <w:rPr>
          <w:rFonts w:hint="eastAsia" w:cs="Times New Roman"/>
          <w:color w:val="auto"/>
          <w:sz w:val="24"/>
          <w:szCs w:val="24"/>
          <w:highlight w:val="none"/>
          <w:lang w:val="en-US" w:eastAsia="zh-CN"/>
        </w:rPr>
        <w:t>2.2017h</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，采深约</w:t>
      </w:r>
      <w:r>
        <w:rPr>
          <w:rFonts w:hint="eastAsia"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0m的采坑</w:t>
      </w:r>
      <w:r>
        <w:rPr>
          <w:rFonts w:hint="eastAsia" w:cs="Times New Roman"/>
          <w:color w:val="auto"/>
          <w:sz w:val="24"/>
          <w:szCs w:val="24"/>
          <w:highlight w:val="none"/>
          <w:lang w:val="en-US" w:eastAsia="zh-CN"/>
        </w:rPr>
        <w:t>，采坑目前较稳定。矿山继续开采维持现有的开采规模与工艺，</w:t>
      </w:r>
      <w:r>
        <w:rPr>
          <w:rFonts w:hint="default" w:ascii="Times New Roman" w:hAnsi="Times New Roman" w:cs="Times New Roman"/>
          <w:color w:val="auto"/>
          <w:sz w:val="24"/>
          <w:highlight w:val="none"/>
        </w:rPr>
        <w:t>开采方式</w:t>
      </w:r>
      <w:r>
        <w:rPr>
          <w:rFonts w:hint="eastAsia" w:cs="Times New Roman"/>
          <w:color w:val="auto"/>
          <w:sz w:val="24"/>
          <w:highlight w:val="none"/>
          <w:lang w:val="en-US" w:eastAsia="zh-CN"/>
        </w:rPr>
        <w:t>为露天开采</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生产规模</w:t>
      </w:r>
      <w:r>
        <w:rPr>
          <w:rFonts w:hint="eastAsia" w:cs="Times New Roman"/>
          <w:color w:val="auto"/>
          <w:sz w:val="24"/>
          <w:highlight w:val="none"/>
          <w:lang w:val="en-US" w:eastAsia="zh-CN"/>
        </w:rPr>
        <w:t>为10</w:t>
      </w:r>
      <w:r>
        <w:rPr>
          <w:rFonts w:hint="default" w:ascii="Times New Roman" w:hAnsi="Times New Roman" w:cs="Times New Roman"/>
          <w:color w:val="auto"/>
          <w:sz w:val="24"/>
          <w:highlight w:val="none"/>
        </w:rPr>
        <w:t>×10</w:t>
      </w:r>
      <w:r>
        <w:rPr>
          <w:rFonts w:hint="default" w:ascii="Times New Roman" w:hAnsi="Times New Roman" w:cs="Times New Roman"/>
          <w:color w:val="auto"/>
          <w:sz w:val="24"/>
          <w:highlight w:val="none"/>
          <w:vertAlign w:val="superscript"/>
        </w:rPr>
        <w:t>4</w:t>
      </w:r>
      <w:r>
        <w:rPr>
          <w:rFonts w:hint="default" w:ascii="Times New Roman" w:hAnsi="Times New Roman" w:cs="Times New Roman"/>
          <w:color w:val="auto"/>
          <w:sz w:val="24"/>
          <w:highlight w:val="none"/>
        </w:rPr>
        <w:t>t/a</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矿区面积：</w:t>
      </w:r>
      <w:r>
        <w:rPr>
          <w:rFonts w:hint="eastAsia" w:cs="Times New Roman"/>
          <w:color w:val="auto"/>
          <w:sz w:val="24"/>
          <w:szCs w:val="24"/>
          <w:highlight w:val="none"/>
          <w:lang w:eastAsia="zh-CN"/>
        </w:rPr>
        <w:t>0.0254</w:t>
      </w:r>
      <w:r>
        <w:rPr>
          <w:rFonts w:hint="default" w:ascii="Times New Roman" w:hAnsi="Times New Roman" w:cs="Times New Roman"/>
          <w:color w:val="auto"/>
          <w:sz w:val="24"/>
          <w:highlight w:val="none"/>
        </w:rPr>
        <w:t>k</w:t>
      </w:r>
      <w:r>
        <w:rPr>
          <w:rFonts w:hint="default" w:ascii="Times New Roman" w:hAnsi="Times New Roman" w:cs="Times New Roman"/>
          <w:color w:val="auto"/>
          <w:sz w:val="24"/>
          <w:highlight w:val="none"/>
          <w:lang w:eastAsia="zh-CN"/>
        </w:rPr>
        <w:t>m</w:t>
      </w:r>
      <w:r>
        <w:rPr>
          <w:rFonts w:hint="default" w:ascii="Times New Roman" w:hAnsi="Times New Roman" w:cs="Times New Roman"/>
          <w:color w:val="auto"/>
          <w:sz w:val="24"/>
          <w:highlight w:val="none"/>
          <w:vertAlign w:val="superscript"/>
          <w:lang w:eastAsia="zh-CN"/>
        </w:rPr>
        <w:t>2</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开采标高</w:t>
      </w:r>
      <w:r>
        <w:rPr>
          <w:rFonts w:hint="eastAsia" w:cs="Times New Roman"/>
          <w:color w:val="auto"/>
          <w:sz w:val="24"/>
          <w:highlight w:val="none"/>
          <w:lang w:eastAsia="zh-CN" w:bidi="en-US"/>
        </w:rPr>
        <w:t>+527</w:t>
      </w:r>
      <w:r>
        <w:rPr>
          <w:rFonts w:hint="default" w:ascii="Times New Roman" w:hAnsi="Times New Roman" w:cs="Times New Roman"/>
          <w:color w:val="auto"/>
          <w:sz w:val="24"/>
          <w:highlight w:val="none"/>
          <w:lang w:bidi="en-US"/>
        </w:rPr>
        <w:t>m～</w:t>
      </w:r>
      <w:r>
        <w:rPr>
          <w:rFonts w:hint="eastAsia" w:cs="Times New Roman"/>
          <w:color w:val="auto"/>
          <w:sz w:val="24"/>
          <w:highlight w:val="none"/>
          <w:lang w:eastAsia="zh-CN" w:bidi="en-US"/>
        </w:rPr>
        <w:t>+457</w:t>
      </w:r>
      <w:r>
        <w:rPr>
          <w:rFonts w:hint="default" w:ascii="Times New Roman" w:hAnsi="Times New Roman" w:cs="Times New Roman"/>
          <w:color w:val="auto"/>
          <w:sz w:val="24"/>
          <w:highlight w:val="none"/>
          <w:lang w:bidi="en-US"/>
        </w:rPr>
        <w:t>m</w:t>
      </w:r>
      <w:r>
        <w:rPr>
          <w:rFonts w:hint="eastAsia" w:cs="Times New Roman"/>
          <w:color w:val="auto"/>
          <w:sz w:val="24"/>
          <w:highlight w:val="none"/>
          <w:lang w:eastAsia="zh-CN" w:bidi="en-US"/>
        </w:rPr>
        <w:t>，</w:t>
      </w:r>
      <w:r>
        <w:rPr>
          <w:rFonts w:hint="eastAsia" w:cs="Times New Roman"/>
          <w:color w:val="auto"/>
          <w:sz w:val="24"/>
          <w:highlight w:val="none"/>
          <w:lang w:val="en-US" w:eastAsia="zh-CN" w:bidi="en-US"/>
        </w:rPr>
        <w:t>目前</w:t>
      </w:r>
      <w:r>
        <w:rPr>
          <w:rFonts w:hint="default" w:ascii="Times New Roman" w:hAnsi="Times New Roman" w:cs="Times New Roman"/>
          <w:color w:val="auto"/>
          <w:sz w:val="24"/>
          <w:highlight w:val="none"/>
          <w:lang w:val="en-US" w:eastAsia="zh-CN"/>
        </w:rPr>
        <w:t>采矿证</w:t>
      </w:r>
      <w:r>
        <w:rPr>
          <w:rFonts w:hint="default" w:ascii="Times New Roman" w:hAnsi="Times New Roman" w:cs="Times New Roman"/>
          <w:color w:val="auto"/>
          <w:sz w:val="24"/>
          <w:highlight w:val="none"/>
        </w:rPr>
        <w:t>有效期限：</w:t>
      </w:r>
      <w:r>
        <w:rPr>
          <w:rFonts w:hint="eastAsia" w:cs="Times New Roman"/>
          <w:color w:val="auto"/>
          <w:sz w:val="24"/>
          <w:highlight w:val="none"/>
          <w:lang w:eastAsia="zh-CN"/>
        </w:rPr>
        <w:t>2014年9月8日至2024年9月8日。</w:t>
      </w:r>
    </w:p>
    <w:p w14:paraId="7C6C6F81">
      <w:pPr>
        <w:pStyle w:val="14"/>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p>
    <w:p w14:paraId="7BEDD736">
      <w:pPr>
        <w:rPr>
          <w:rFonts w:hint="default" w:ascii="Times New Roman" w:hAnsi="Times New Roman" w:eastAsia="宋体" w:cs="Times New Roman"/>
          <w:color w:val="auto"/>
          <w:sz w:val="24"/>
          <w:szCs w:val="24"/>
          <w:highlight w:val="none"/>
          <w:lang w:val="en-US" w:eastAsia="zh-CN"/>
        </w:rPr>
      </w:pPr>
    </w:p>
    <w:p w14:paraId="33D491F4">
      <w:pPr>
        <w:pStyle w:val="14"/>
        <w:rPr>
          <w:rFonts w:hint="default" w:ascii="Times New Roman" w:hAnsi="Times New Roman" w:eastAsia="宋体" w:cs="Times New Roman"/>
          <w:color w:val="auto"/>
          <w:sz w:val="24"/>
          <w:szCs w:val="24"/>
          <w:highlight w:val="none"/>
          <w:lang w:val="en-US" w:eastAsia="zh-CN"/>
        </w:rPr>
      </w:pPr>
    </w:p>
    <w:p w14:paraId="3A0B311E">
      <w:pPr>
        <w:rPr>
          <w:rFonts w:hint="default" w:ascii="Times New Roman" w:hAnsi="Times New Roman" w:cs="Times New Roman"/>
          <w:color w:val="auto"/>
          <w:highlight w:val="none"/>
          <w:lang w:val="en-US" w:eastAsia="zh-CN"/>
        </w:rPr>
      </w:pPr>
    </w:p>
    <w:p w14:paraId="3668E686">
      <w:pPr>
        <w:pStyle w:val="14"/>
        <w:keepNext w:val="0"/>
        <w:keepLines w:val="0"/>
        <w:pageBreakBefore w:val="0"/>
        <w:widowControl/>
        <w:kinsoku/>
        <w:wordWrap/>
        <w:overflowPunct/>
        <w:topLinePunct w:val="0"/>
        <w:autoSpaceDE/>
        <w:autoSpaceDN/>
        <w:bidi w:val="0"/>
        <w:adjustRightInd/>
        <w:snapToGrid/>
        <w:spacing w:line="0" w:lineRule="atLeast"/>
        <w:jc w:val="center"/>
        <w:textAlignment w:val="auto"/>
        <w:outlineLvl w:val="0"/>
        <w:rPr>
          <w:rFonts w:hint="default" w:ascii="Times New Roman" w:hAnsi="Times New Roman" w:cs="Times New Roman"/>
          <w:bCs w:val="0"/>
          <w:color w:val="auto"/>
          <w:kern w:val="2"/>
          <w:sz w:val="24"/>
          <w:szCs w:val="24"/>
          <w:highlight w:val="none"/>
        </w:rPr>
      </w:pPr>
      <w:r>
        <w:rPr>
          <w:rFonts w:hint="default" w:ascii="Times New Roman" w:hAnsi="Times New Roman" w:cs="Times New Roman"/>
          <w:color w:val="auto"/>
          <w:sz w:val="24"/>
          <w:highlight w:val="none"/>
        </w:rPr>
        <w:br w:type="page"/>
      </w:r>
      <w:bookmarkStart w:id="87" w:name="_Toc12857"/>
      <w:r>
        <w:rPr>
          <w:rFonts w:hint="default" w:ascii="Times New Roman" w:hAnsi="Times New Roman" w:eastAsia="黑体" w:cs="Times New Roman"/>
          <w:b w:val="0"/>
          <w:bCs/>
          <w:color w:val="auto"/>
          <w:kern w:val="44"/>
          <w:sz w:val="32"/>
          <w:szCs w:val="32"/>
          <w:highlight w:val="none"/>
          <w:lang w:val="en-US" w:eastAsia="zh-CN" w:bidi="ar-SA"/>
        </w:rPr>
        <w:t>第二章  矿区基础信息</w:t>
      </w:r>
      <w:bookmarkEnd w:id="87"/>
    </w:p>
    <w:p w14:paraId="2948BD94">
      <w:pPr>
        <w:keepNext/>
        <w:keepLines/>
        <w:widowControl w:val="0"/>
        <w:spacing w:before="260" w:after="260" w:line="360" w:lineRule="auto"/>
        <w:outlineLvl w:val="1"/>
        <w:rPr>
          <w:rFonts w:hint="default" w:ascii="Times New Roman" w:hAnsi="Times New Roman" w:eastAsia="黑体" w:cs="Times New Roman"/>
          <w:bCs/>
          <w:color w:val="auto"/>
          <w:sz w:val="30"/>
          <w:szCs w:val="30"/>
          <w:highlight w:val="none"/>
        </w:rPr>
      </w:pPr>
      <w:bookmarkStart w:id="88" w:name="_Toc485629671"/>
      <w:bookmarkStart w:id="89" w:name="_Toc488075670"/>
      <w:bookmarkStart w:id="90" w:name="_Toc13002"/>
      <w:r>
        <w:rPr>
          <w:rFonts w:hint="default" w:ascii="Times New Roman" w:hAnsi="Times New Roman" w:eastAsia="黑体" w:cs="Times New Roman"/>
          <w:bCs/>
          <w:color w:val="auto"/>
          <w:sz w:val="30"/>
          <w:szCs w:val="30"/>
          <w:highlight w:val="none"/>
        </w:rPr>
        <w:t>一、矿区自然地理</w:t>
      </w:r>
      <w:bookmarkEnd w:id="88"/>
      <w:bookmarkEnd w:id="89"/>
      <w:bookmarkEnd w:id="90"/>
    </w:p>
    <w:p w14:paraId="4DE2111C">
      <w:pPr>
        <w:keepNext/>
        <w:keepLines/>
        <w:widowControl w:val="0"/>
        <w:spacing w:before="260" w:after="260" w:line="360" w:lineRule="auto"/>
        <w:outlineLvl w:val="2"/>
        <w:rPr>
          <w:rFonts w:hint="default" w:ascii="Times New Roman" w:hAnsi="Times New Roman" w:eastAsia="黑体" w:cs="Times New Roman"/>
          <w:bCs/>
          <w:color w:val="auto"/>
          <w:sz w:val="28"/>
          <w:szCs w:val="28"/>
          <w:highlight w:val="none"/>
        </w:rPr>
      </w:pPr>
      <w:r>
        <w:rPr>
          <w:rFonts w:hint="default" w:ascii="Times New Roman" w:hAnsi="Times New Roman" w:eastAsia="黑体" w:cs="Times New Roman"/>
          <w:bCs/>
          <w:color w:val="auto"/>
          <w:sz w:val="28"/>
          <w:szCs w:val="28"/>
          <w:highlight w:val="none"/>
        </w:rPr>
        <w:t>（一）气象</w:t>
      </w:r>
    </w:p>
    <w:p w14:paraId="5E27F065">
      <w:pPr>
        <w:spacing w:line="360" w:lineRule="auto"/>
        <w:ind w:firstLine="480" w:firstLineChars="200"/>
        <w:rPr>
          <w:rFonts w:hint="default" w:ascii="Times New Roman" w:hAnsi="Times New Roman" w:cs="Times New Roman"/>
          <w:color w:val="auto"/>
          <w:sz w:val="24"/>
          <w:highlight w:val="none"/>
          <w:lang w:val="en-US" w:eastAsia="zh-CN"/>
        </w:rPr>
      </w:pPr>
      <w:bookmarkStart w:id="91" w:name="_Toc485629673"/>
      <w:r>
        <w:rPr>
          <w:rFonts w:hint="eastAsia" w:cs="Times New Roman"/>
          <w:color w:val="auto"/>
          <w:sz w:val="24"/>
          <w:highlight w:val="none"/>
          <w:lang w:val="en-US" w:eastAsia="zh-CN"/>
        </w:rPr>
        <w:t>本区</w:t>
      </w:r>
      <w:r>
        <w:rPr>
          <w:rFonts w:hint="default" w:ascii="Times New Roman" w:hAnsi="Times New Roman" w:cs="Times New Roman"/>
          <w:color w:val="auto"/>
          <w:sz w:val="24"/>
          <w:highlight w:val="none"/>
          <w:lang w:val="en-US" w:eastAsia="zh-CN"/>
        </w:rPr>
        <w:t>属温带大陆性季风气候，其特点是四季分明，春季干燥多大风，夏季湿热多雨，秋季凉爽多晴好天气，冬季漫长寒冷。年平均气温4.9℃，1月平均气温-15.7℃，极端最低气温-40.4℃，7月平均气温22.9℃，极端最高气温37.8℃，最低月均气温-21.0℃，最高月均气温24.7℃，平均气温年较差38.9℃，无霜期125天，年平均日照2284小时，年平均降水量677.4mm，极端年最大雨量948.8mm，极端年最少雨量464.5mm，降雨集中在每年6月至8月，7月最多。</w:t>
      </w:r>
    </w:p>
    <w:p w14:paraId="18B3438C">
      <w:pPr>
        <w:keepNext/>
        <w:keepLines/>
        <w:widowControl w:val="0"/>
        <w:spacing w:before="260" w:after="260" w:line="360" w:lineRule="auto"/>
        <w:outlineLvl w:val="2"/>
        <w:rPr>
          <w:rFonts w:hint="default" w:ascii="Times New Roman" w:hAnsi="Times New Roman" w:eastAsia="黑体" w:cs="Times New Roman"/>
          <w:bCs/>
          <w:color w:val="auto"/>
          <w:sz w:val="28"/>
          <w:szCs w:val="28"/>
          <w:highlight w:val="none"/>
        </w:rPr>
      </w:pPr>
      <w:r>
        <w:rPr>
          <w:rFonts w:hint="default" w:ascii="Times New Roman" w:hAnsi="Times New Roman" w:eastAsia="黑体" w:cs="Times New Roman"/>
          <w:bCs/>
          <w:color w:val="auto"/>
          <w:sz w:val="28"/>
          <w:szCs w:val="28"/>
          <w:highlight w:val="none"/>
        </w:rPr>
        <w:t>（二）水文</w:t>
      </w:r>
      <w:bookmarkEnd w:id="91"/>
    </w:p>
    <w:p w14:paraId="0362D7B2">
      <w:pPr>
        <w:spacing w:line="360" w:lineRule="auto"/>
        <w:ind w:firstLine="480" w:firstLineChars="200"/>
        <w:rPr>
          <w:rFonts w:hint="default" w:ascii="Times New Roman" w:hAnsi="Times New Roman" w:eastAsia="宋体" w:cs="Times New Roman"/>
          <w:color w:val="auto"/>
          <w:sz w:val="24"/>
          <w:highlight w:val="none"/>
          <w:lang w:val="en-US" w:eastAsia="zh-CN"/>
        </w:rPr>
      </w:pPr>
      <w:bookmarkStart w:id="92" w:name="_Toc485629674"/>
      <w:r>
        <w:rPr>
          <w:rFonts w:hint="default" w:ascii="Times New Roman" w:hAnsi="Times New Roman" w:cs="Times New Roman"/>
          <w:color w:val="auto"/>
          <w:sz w:val="24"/>
          <w:highlight w:val="none"/>
          <w:lang w:val="en-US" w:eastAsia="zh-CN"/>
        </w:rPr>
        <w:t>本区属松花江水系，主要河流有五里河。五里河由南向北从矿区东侧流过，在口前流入温德河，最终汇入松花江，流量4.4m</w:t>
      </w:r>
      <w:r>
        <w:rPr>
          <w:rFonts w:hint="default" w:ascii="Times New Roman" w:hAnsi="Times New Roman" w:cs="Times New Roman"/>
          <w:color w:val="auto"/>
          <w:sz w:val="24"/>
          <w:highlight w:val="none"/>
          <w:vertAlign w:val="superscript"/>
          <w:lang w:val="en-US" w:eastAsia="zh-CN"/>
        </w:rPr>
        <w:t>3</w:t>
      </w:r>
      <w:r>
        <w:rPr>
          <w:rFonts w:hint="default" w:ascii="Times New Roman" w:hAnsi="Times New Roman" w:cs="Times New Roman"/>
          <w:color w:val="auto"/>
          <w:sz w:val="24"/>
          <w:highlight w:val="none"/>
          <w:lang w:val="en-US" w:eastAsia="zh-CN"/>
        </w:rPr>
        <w:t>/s。矿区北侧有一条季节性小河，枯水期经常断流</w:t>
      </w:r>
      <w:r>
        <w:rPr>
          <w:rFonts w:hint="eastAsia" w:cs="Times New Roman"/>
          <w:color w:val="auto"/>
          <w:sz w:val="24"/>
          <w:highlight w:val="none"/>
          <w:lang w:val="en-US" w:eastAsia="zh-CN"/>
        </w:rPr>
        <w:t>。</w:t>
      </w:r>
    </w:p>
    <w:p w14:paraId="784759E5">
      <w:pPr>
        <w:keepNext/>
        <w:keepLines/>
        <w:widowControl w:val="0"/>
        <w:spacing w:before="260" w:after="260" w:line="360" w:lineRule="auto"/>
        <w:outlineLvl w:val="2"/>
        <w:rPr>
          <w:rFonts w:hint="default" w:ascii="Times New Roman" w:hAnsi="Times New Roman" w:eastAsia="黑体" w:cs="Times New Roman"/>
          <w:bCs/>
          <w:color w:val="auto"/>
          <w:sz w:val="28"/>
          <w:szCs w:val="28"/>
          <w:highlight w:val="none"/>
        </w:rPr>
      </w:pPr>
      <w:r>
        <w:rPr>
          <w:rFonts w:hint="default" w:ascii="Times New Roman" w:hAnsi="Times New Roman" w:eastAsia="黑体" w:cs="Times New Roman"/>
          <w:bCs/>
          <w:color w:val="auto"/>
          <w:sz w:val="28"/>
          <w:szCs w:val="28"/>
          <w:highlight w:val="none"/>
        </w:rPr>
        <w:t>（三）地形地貌</w:t>
      </w:r>
      <w:bookmarkEnd w:id="92"/>
    </w:p>
    <w:p w14:paraId="4723C9E0">
      <w:pPr>
        <w:spacing w:line="360" w:lineRule="auto"/>
        <w:ind w:firstLine="480" w:firstLineChars="200"/>
        <w:rPr>
          <w:rFonts w:hint="default" w:ascii="Times New Roman" w:hAnsi="Times New Roman" w:cs="Times New Roman"/>
          <w:color w:val="auto"/>
          <w:sz w:val="24"/>
          <w:highlight w:val="none"/>
        </w:rPr>
      </w:pPr>
      <w:bookmarkStart w:id="93" w:name="_Toc485629675"/>
      <w:r>
        <w:rPr>
          <w:rFonts w:hint="eastAsia" w:cs="Times New Roman"/>
          <w:color w:val="auto"/>
          <w:sz w:val="24"/>
          <w:highlight w:val="none"/>
          <w:lang w:val="en-US" w:eastAsia="zh-CN"/>
        </w:rPr>
        <w:t>本区</w:t>
      </w:r>
      <w:r>
        <w:rPr>
          <w:rFonts w:hint="default" w:ascii="Times New Roman" w:hAnsi="Times New Roman" w:cs="Times New Roman"/>
          <w:color w:val="auto"/>
          <w:sz w:val="24"/>
          <w:highlight w:val="none"/>
        </w:rPr>
        <w:t>位于吉林哈达岭北麓，区域地貌以中、低山，丘陵和松花江冲积平原为主要特征，区域上地势东高西低，矿区东部最高峰为南楼山，海拔1405m。矿区附近以低山丘陵为主，区内最高山为长缺子西山，海拔高程813m，其他山峰海拔高程均在400m～600m之间</w:t>
      </w:r>
      <w:r>
        <w:rPr>
          <w:rFonts w:hint="eastAsia" w:cs="Times New Roman"/>
          <w:color w:val="auto"/>
          <w:sz w:val="24"/>
          <w:highlight w:val="none"/>
          <w:lang w:eastAsia="zh-CN"/>
        </w:rPr>
        <w:t>，</w:t>
      </w:r>
      <w:r>
        <w:rPr>
          <w:rFonts w:hint="eastAsia" w:cs="Times New Roman"/>
          <w:color w:val="auto"/>
          <w:sz w:val="24"/>
          <w:highlight w:val="none"/>
          <w:lang w:val="en-US" w:eastAsia="zh-CN"/>
        </w:rPr>
        <w:t>地形坡度在15°~30°之间</w:t>
      </w:r>
      <w:r>
        <w:rPr>
          <w:rFonts w:hint="default" w:ascii="Times New Roman" w:hAnsi="Times New Roman" w:cs="Times New Roman"/>
          <w:color w:val="auto"/>
          <w:sz w:val="24"/>
          <w:highlight w:val="none"/>
        </w:rPr>
        <w:t>。</w:t>
      </w:r>
    </w:p>
    <w:p w14:paraId="751A365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drawing>
          <wp:inline distT="0" distB="0" distL="114300" distR="114300">
            <wp:extent cx="4765675" cy="3506470"/>
            <wp:effectExtent l="9525" t="9525" r="25400" b="27305"/>
            <wp:docPr id="53" name="图片 53" descr="6714dc690c5ad0dcebe44cecd8894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6714dc690c5ad0dcebe44cecd88942e"/>
                    <pic:cNvPicPr>
                      <a:picLocks noChangeAspect="1"/>
                    </pic:cNvPicPr>
                  </pic:nvPicPr>
                  <pic:blipFill>
                    <a:blip r:embed="rId25"/>
                    <a:srcRect l="19092" t="37641" r="3331"/>
                    <a:stretch>
                      <a:fillRect/>
                    </a:stretch>
                  </pic:blipFill>
                  <pic:spPr>
                    <a:xfrm rot="10800000">
                      <a:off x="0" y="0"/>
                      <a:ext cx="4765675" cy="3506470"/>
                    </a:xfrm>
                    <a:prstGeom prst="rect">
                      <a:avLst/>
                    </a:prstGeom>
                    <a:ln>
                      <a:solidFill>
                        <a:schemeClr val="tx1"/>
                      </a:solidFill>
                    </a:ln>
                  </pic:spPr>
                </pic:pic>
              </a:graphicData>
            </a:graphic>
          </wp:inline>
        </w:drawing>
      </w:r>
    </w:p>
    <w:p w14:paraId="2478B82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color w:val="auto"/>
          <w:sz w:val="21"/>
          <w:szCs w:val="21"/>
          <w:highlight w:val="none"/>
          <w:lang w:val="en-US" w:eastAsia="zh-CN"/>
        </w:rPr>
      </w:pPr>
      <w:r>
        <w:rPr>
          <w:rFonts w:hint="eastAsia" w:ascii="Times New Roman" w:hAnsi="Times New Roman" w:eastAsia="黑体" w:cs="Times New Roman"/>
          <w:b w:val="0"/>
          <w:bCs/>
          <w:color w:val="auto"/>
          <w:sz w:val="21"/>
          <w:szCs w:val="21"/>
          <w:highlight w:val="none"/>
          <w:lang w:val="en-US" w:eastAsia="zh-CN"/>
        </w:rPr>
        <w:t>照片2-1 矿山周边地貌照片</w:t>
      </w:r>
    </w:p>
    <w:p w14:paraId="3A6B17CD">
      <w:pPr>
        <w:keepNext/>
        <w:keepLines/>
        <w:widowControl w:val="0"/>
        <w:spacing w:before="260" w:after="260" w:line="360" w:lineRule="auto"/>
        <w:outlineLvl w:val="2"/>
        <w:rPr>
          <w:rFonts w:hint="default" w:ascii="Times New Roman" w:hAnsi="Times New Roman" w:eastAsia="黑体" w:cs="Times New Roman"/>
          <w:bCs/>
          <w:color w:val="auto"/>
          <w:sz w:val="28"/>
          <w:szCs w:val="28"/>
          <w:highlight w:val="none"/>
        </w:rPr>
      </w:pPr>
      <w:r>
        <w:rPr>
          <w:rFonts w:hint="default" w:ascii="Times New Roman" w:hAnsi="Times New Roman" w:eastAsia="黑体" w:cs="Times New Roman"/>
          <w:bCs/>
          <w:color w:val="auto"/>
          <w:sz w:val="28"/>
          <w:szCs w:val="28"/>
          <w:highlight w:val="none"/>
        </w:rPr>
        <w:t>（四）植被</w:t>
      </w:r>
      <w:bookmarkEnd w:id="93"/>
    </w:p>
    <w:p w14:paraId="5685A20A">
      <w:pPr>
        <w:spacing w:line="360" w:lineRule="auto"/>
        <w:ind w:firstLine="480" w:firstLineChars="200"/>
        <w:rPr>
          <w:rFonts w:hint="default" w:ascii="Times New Roman" w:hAnsi="Times New Roman" w:eastAsia="宋体" w:cs="Times New Roman"/>
          <w:color w:val="auto"/>
          <w:sz w:val="24"/>
          <w:highlight w:val="none"/>
          <w:lang w:val="en-US" w:eastAsia="zh-CN"/>
        </w:rPr>
      </w:pPr>
      <w:bookmarkStart w:id="94" w:name="_Toc485629676"/>
      <w:r>
        <w:rPr>
          <w:rFonts w:hint="default" w:ascii="Times New Roman" w:hAnsi="Times New Roman" w:cs="Times New Roman"/>
          <w:color w:val="auto"/>
          <w:sz w:val="24"/>
          <w:highlight w:val="none"/>
        </w:rPr>
        <w:t>区内植被发育，主要乔木树种有</w:t>
      </w:r>
      <w:r>
        <w:rPr>
          <w:rFonts w:hint="eastAsia" w:cs="Times New Roman"/>
          <w:color w:val="auto"/>
          <w:sz w:val="24"/>
          <w:highlight w:val="none"/>
          <w:lang w:val="en-US" w:eastAsia="zh-CN"/>
        </w:rPr>
        <w:t>柞</w:t>
      </w:r>
      <w:r>
        <w:rPr>
          <w:rFonts w:hint="default" w:ascii="Times New Roman" w:hAnsi="Times New Roman" w:cs="Times New Roman"/>
          <w:color w:val="auto"/>
          <w:sz w:val="24"/>
          <w:highlight w:val="none"/>
        </w:rPr>
        <w:t>、松、杨、白桦、糠锻、胡桃揪、水曲柳等。灌木树种主要有胡枝子、棒柴等。藤科植物主要有山葡萄、软枣子、五味子、木通等。农田植被主要为玉米、水稻、豆类和杂粮， 分布于评估区北侧低洼平坦地区。矿区植被</w:t>
      </w:r>
      <w:r>
        <w:rPr>
          <w:rFonts w:hint="default" w:ascii="Times New Roman" w:hAnsi="Times New Roman" w:cs="Times New Roman"/>
          <w:color w:val="auto"/>
          <w:sz w:val="24"/>
          <w:highlight w:val="none"/>
          <w:lang w:val="en-US" w:eastAsia="zh-CN"/>
        </w:rPr>
        <w:t>见照片2-1。</w:t>
      </w:r>
    </w:p>
    <w:p w14:paraId="4B1B776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黑体" w:cs="Times New Roman"/>
          <w:b w:val="0"/>
          <w:bCs/>
          <w:color w:val="auto"/>
          <w:sz w:val="21"/>
          <w:szCs w:val="21"/>
          <w:highlight w:val="none"/>
          <w:lang w:eastAsia="zh-CN"/>
        </w:rPr>
      </w:pPr>
      <w:r>
        <w:rPr>
          <w:rFonts w:hint="eastAsia" w:ascii="Times New Roman" w:hAnsi="Times New Roman" w:eastAsia="黑体" w:cs="Times New Roman"/>
          <w:b w:val="0"/>
          <w:bCs/>
          <w:color w:val="auto"/>
          <w:sz w:val="21"/>
          <w:szCs w:val="21"/>
          <w:highlight w:val="none"/>
          <w:lang w:eastAsia="zh-CN"/>
        </w:rPr>
        <w:drawing>
          <wp:inline distT="0" distB="0" distL="114300" distR="114300">
            <wp:extent cx="4798060" cy="3460115"/>
            <wp:effectExtent l="9525" t="9525" r="12065" b="16510"/>
            <wp:docPr id="57" name="图片 57" descr="dc650d56dbc5689fde38678e7588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dc650d56dbc5689fde38678e7588343"/>
                    <pic:cNvPicPr>
                      <a:picLocks noChangeAspect="1"/>
                    </pic:cNvPicPr>
                  </pic:nvPicPr>
                  <pic:blipFill>
                    <a:blip r:embed="rId26"/>
                    <a:srcRect t="17815" r="14531"/>
                    <a:stretch>
                      <a:fillRect/>
                    </a:stretch>
                  </pic:blipFill>
                  <pic:spPr>
                    <a:xfrm rot="10800000">
                      <a:off x="0" y="0"/>
                      <a:ext cx="4798060" cy="3460115"/>
                    </a:xfrm>
                    <a:prstGeom prst="rect">
                      <a:avLst/>
                    </a:prstGeom>
                    <a:ln>
                      <a:solidFill>
                        <a:schemeClr val="tx1"/>
                      </a:solidFill>
                    </a:ln>
                  </pic:spPr>
                </pic:pic>
              </a:graphicData>
            </a:graphic>
          </wp:inline>
        </w:drawing>
      </w:r>
    </w:p>
    <w:p w14:paraId="787A5FD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sz w:val="24"/>
          <w:highlight w:val="none"/>
        </w:rPr>
      </w:pPr>
      <w:r>
        <w:rPr>
          <w:rFonts w:hint="default" w:ascii="Times New Roman" w:hAnsi="Times New Roman" w:eastAsia="黑体" w:cs="Times New Roman"/>
          <w:b w:val="0"/>
          <w:bCs/>
          <w:color w:val="auto"/>
          <w:sz w:val="21"/>
          <w:szCs w:val="21"/>
          <w:highlight w:val="none"/>
        </w:rPr>
        <w:t>照片2</w:t>
      </w:r>
      <w:r>
        <w:rPr>
          <w:rFonts w:hint="eastAsia" w:eastAsia="黑体" w:cs="Times New Roman"/>
          <w:b w:val="0"/>
          <w:bCs/>
          <w:color w:val="auto"/>
          <w:sz w:val="21"/>
          <w:szCs w:val="21"/>
          <w:highlight w:val="none"/>
          <w:lang w:val="en-US" w:eastAsia="zh-CN"/>
        </w:rPr>
        <w:t>-2</w:t>
      </w:r>
      <w:r>
        <w:rPr>
          <w:rFonts w:hint="default" w:ascii="Times New Roman" w:hAnsi="Times New Roman" w:eastAsia="黑体" w:cs="Times New Roman"/>
          <w:b w:val="0"/>
          <w:bCs/>
          <w:color w:val="auto"/>
          <w:sz w:val="21"/>
          <w:szCs w:val="21"/>
          <w:highlight w:val="none"/>
        </w:rPr>
        <w:t xml:space="preserve">   矿区植被</w:t>
      </w:r>
    </w:p>
    <w:p w14:paraId="1EA128E6">
      <w:pPr>
        <w:keepNext w:val="0"/>
        <w:keepLines/>
        <w:pageBreakBefore w:val="0"/>
        <w:widowControl w:val="0"/>
        <w:kinsoku/>
        <w:wordWrap/>
        <w:overflowPunct/>
        <w:topLinePunct w:val="0"/>
        <w:autoSpaceDE/>
        <w:autoSpaceDN/>
        <w:bidi w:val="0"/>
        <w:adjustRightInd/>
        <w:snapToGrid/>
        <w:spacing w:before="260" w:after="260" w:line="360" w:lineRule="auto"/>
        <w:textAlignment w:val="auto"/>
        <w:outlineLvl w:val="2"/>
        <w:rPr>
          <w:rFonts w:hint="default" w:ascii="Times New Roman" w:hAnsi="Times New Roman" w:eastAsia="黑体" w:cs="Times New Roman"/>
          <w:bCs/>
          <w:color w:val="auto"/>
          <w:sz w:val="28"/>
          <w:szCs w:val="28"/>
          <w:highlight w:val="none"/>
        </w:rPr>
      </w:pPr>
      <w:r>
        <w:rPr>
          <w:rFonts w:hint="default" w:ascii="Times New Roman" w:hAnsi="Times New Roman" w:eastAsia="黑体" w:cs="Times New Roman"/>
          <w:bCs/>
          <w:color w:val="auto"/>
          <w:sz w:val="28"/>
          <w:szCs w:val="28"/>
          <w:highlight w:val="none"/>
        </w:rPr>
        <w:t>（五）土壤</w:t>
      </w:r>
      <w:bookmarkEnd w:id="94"/>
    </w:p>
    <w:p w14:paraId="03FDE411">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szCs w:val="24"/>
          <w:highlight w:val="none"/>
        </w:rPr>
        <w:t>评估区</w:t>
      </w:r>
      <w:r>
        <w:rPr>
          <w:rFonts w:hint="eastAsia" w:cs="Times New Roman"/>
          <w:color w:val="auto"/>
          <w:sz w:val="24"/>
          <w:szCs w:val="24"/>
          <w:highlight w:val="none"/>
          <w:lang w:val="en-US" w:eastAsia="zh-CN"/>
        </w:rPr>
        <w:t>周边</w:t>
      </w:r>
      <w:r>
        <w:rPr>
          <w:rFonts w:hint="default" w:ascii="Times New Roman" w:hAnsi="Times New Roman" w:cs="Times New Roman"/>
          <w:color w:val="auto"/>
          <w:sz w:val="24"/>
          <w:szCs w:val="24"/>
          <w:highlight w:val="none"/>
        </w:rPr>
        <w:t>土壤类型主要有山林黑土、黄油砂土、黑秋土、草炭土河游士、灰石土等，土壤共分5类15种。矿区附近的土壤类型主要为灰棕壤和少量山林黑土，厚度约为0.5m~1.0m。灰棕壤是一种发育在各类岩石风化物、残积物或坡积物上的山地土壤，其成土环境湿润，淋滤过程明显，钙、镁、铁、铝均有移动，呈弱碱性反应，并有粘粒向下移动现象。土壤结构体或下部石块表面上常附有碳酸钙粉,其下部具有铁锰胶膜，但</w:t>
      </w:r>
      <w:r>
        <w:rPr>
          <w:rFonts w:hint="eastAsia" w:cs="Times New Roman"/>
          <w:color w:val="auto"/>
          <w:sz w:val="24"/>
          <w:szCs w:val="24"/>
          <w:highlight w:val="none"/>
          <w:lang w:eastAsia="zh-CN"/>
        </w:rPr>
        <w:t>未</w:t>
      </w:r>
      <w:r>
        <w:rPr>
          <w:rFonts w:hint="default" w:ascii="Times New Roman" w:hAnsi="Times New Roman" w:cs="Times New Roman"/>
          <w:color w:val="auto"/>
          <w:sz w:val="24"/>
          <w:szCs w:val="24"/>
          <w:highlight w:val="none"/>
        </w:rPr>
        <w:t>形成明显的淀积层。下部即为岩石</w:t>
      </w:r>
      <w:r>
        <w:rPr>
          <w:rFonts w:hint="eastAsia" w:cs="Times New Roman"/>
          <w:color w:val="auto"/>
          <w:sz w:val="24"/>
          <w:szCs w:val="24"/>
          <w:highlight w:val="none"/>
          <w:lang w:val="en-US" w:eastAsia="zh-CN"/>
        </w:rPr>
        <w:t>碎块</w:t>
      </w:r>
      <w:r>
        <w:rPr>
          <w:rFonts w:hint="default" w:ascii="Times New Roman" w:hAnsi="Times New Roman" w:cs="Times New Roman"/>
          <w:color w:val="auto"/>
          <w:sz w:val="24"/>
          <w:highlight w:val="none"/>
        </w:rPr>
        <w:t>。</w:t>
      </w:r>
    </w:p>
    <w:p w14:paraId="4D0F80A8">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土壤自然断面见照片</w:t>
      </w:r>
      <w:r>
        <w:rPr>
          <w:rFonts w:hint="eastAsia" w:cs="Times New Roman"/>
          <w:color w:val="auto"/>
          <w:sz w:val="24"/>
          <w:highlight w:val="none"/>
          <w:lang w:val="en-US" w:eastAsia="zh-CN"/>
        </w:rPr>
        <w:t>2-2</w:t>
      </w:r>
      <w:r>
        <w:rPr>
          <w:rFonts w:hint="default" w:ascii="Times New Roman" w:hAnsi="Times New Roman" w:cs="Times New Roman"/>
          <w:color w:val="auto"/>
          <w:sz w:val="24"/>
          <w:highlight w:val="none"/>
        </w:rPr>
        <w:t>。</w:t>
      </w:r>
    </w:p>
    <w:p w14:paraId="3A796E8A">
      <w:pPr>
        <w:keepNext w:val="0"/>
        <w:keepLines w:val="0"/>
        <w:pageBreakBefore w:val="0"/>
        <w:widowControl/>
        <w:kinsoku/>
        <w:wordWrap/>
        <w:overflowPunct/>
        <w:topLinePunct w:val="0"/>
        <w:autoSpaceDE/>
        <w:autoSpaceDN/>
        <w:bidi w:val="0"/>
        <w:adjustRightInd/>
        <w:snapToGrid/>
        <w:spacing w:after="164" w:afterLines="50" w:line="0" w:lineRule="atLeast"/>
        <w:jc w:val="center"/>
        <w:textAlignment w:val="auto"/>
        <w:rPr>
          <w:bCs/>
          <w:color w:val="auto"/>
          <w:sz w:val="24"/>
          <w:highlight w:val="none"/>
        </w:rPr>
      </w:pPr>
      <w:r>
        <w:rPr>
          <w:bCs/>
          <w:color w:val="auto"/>
          <w:sz w:val="24"/>
          <w:highlight w:val="none"/>
        </w:rPr>
        <w:drawing>
          <wp:inline distT="0" distB="0" distL="114300" distR="114300">
            <wp:extent cx="3081655" cy="5130800"/>
            <wp:effectExtent l="9525" t="9525" r="13970" b="22225"/>
            <wp:docPr id="58" name="图片 1" descr="微信图片_2019082816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 descr="微信图片_20190828164601"/>
                    <pic:cNvPicPr>
                      <a:picLocks noChangeAspect="1"/>
                    </pic:cNvPicPr>
                  </pic:nvPicPr>
                  <pic:blipFill>
                    <a:blip r:embed="rId27"/>
                    <a:srcRect l="6168" t="10867" r="14430"/>
                    <a:stretch>
                      <a:fillRect/>
                    </a:stretch>
                  </pic:blipFill>
                  <pic:spPr>
                    <a:xfrm>
                      <a:off x="0" y="0"/>
                      <a:ext cx="3081655" cy="5130800"/>
                    </a:xfrm>
                    <a:prstGeom prst="rect">
                      <a:avLst/>
                    </a:prstGeom>
                    <a:noFill/>
                    <a:ln>
                      <a:solidFill>
                        <a:schemeClr val="tx1"/>
                      </a:solidFill>
                    </a:ln>
                  </pic:spPr>
                </pic:pic>
              </a:graphicData>
            </a:graphic>
          </wp:inline>
        </w:drawing>
      </w:r>
    </w:p>
    <w:p w14:paraId="0CB1A5CA">
      <w:pPr>
        <w:keepNext w:val="0"/>
        <w:keepLines w:val="0"/>
        <w:pageBreakBefore w:val="0"/>
        <w:widowControl/>
        <w:kinsoku/>
        <w:wordWrap/>
        <w:overflowPunct/>
        <w:topLinePunct w:val="0"/>
        <w:autoSpaceDE/>
        <w:autoSpaceDN/>
        <w:bidi w:val="0"/>
        <w:adjustRightInd/>
        <w:snapToGrid/>
        <w:spacing w:after="164" w:afterLines="50" w:line="0" w:lineRule="atLeast"/>
        <w:jc w:val="center"/>
        <w:textAlignment w:val="auto"/>
        <w:rPr>
          <w:rFonts w:hint="eastAsia" w:ascii="Times New Roman" w:hAnsi="Times New Roman" w:eastAsia="黑体" w:cs="Times New Roman"/>
          <w:b w:val="0"/>
          <w:bCs/>
          <w:color w:val="auto"/>
          <w:sz w:val="21"/>
          <w:szCs w:val="21"/>
          <w:highlight w:val="none"/>
          <w:lang w:val="en-US" w:eastAsia="zh-CN"/>
        </w:rPr>
      </w:pPr>
      <w:r>
        <w:rPr>
          <w:rFonts w:hint="default" w:ascii="Times New Roman" w:hAnsi="Times New Roman" w:eastAsia="黑体" w:cs="Times New Roman"/>
          <w:b w:val="0"/>
          <w:bCs/>
          <w:color w:val="auto"/>
          <w:sz w:val="21"/>
          <w:szCs w:val="21"/>
          <w:highlight w:val="none"/>
        </w:rPr>
        <w:t>照片2</w:t>
      </w:r>
      <w:r>
        <w:rPr>
          <w:rFonts w:hint="eastAsia" w:eastAsia="黑体" w:cs="Times New Roman"/>
          <w:b w:val="0"/>
          <w:bCs/>
          <w:color w:val="auto"/>
          <w:sz w:val="21"/>
          <w:szCs w:val="21"/>
          <w:highlight w:val="none"/>
          <w:lang w:val="en-US" w:eastAsia="zh-CN"/>
        </w:rPr>
        <w:t>-3</w:t>
      </w:r>
      <w:r>
        <w:rPr>
          <w:rFonts w:hint="default" w:ascii="Times New Roman" w:hAnsi="Times New Roman" w:eastAsia="黑体" w:cs="Times New Roman"/>
          <w:b w:val="0"/>
          <w:bCs/>
          <w:color w:val="auto"/>
          <w:sz w:val="21"/>
          <w:szCs w:val="21"/>
          <w:highlight w:val="none"/>
        </w:rPr>
        <w:t xml:space="preserve">  </w:t>
      </w:r>
      <w:r>
        <w:rPr>
          <w:rFonts w:hint="eastAsia" w:eastAsia="黑体" w:cs="Times New Roman"/>
          <w:b w:val="0"/>
          <w:bCs/>
          <w:color w:val="auto"/>
          <w:sz w:val="21"/>
          <w:szCs w:val="21"/>
          <w:highlight w:val="none"/>
          <w:lang w:val="en-US" w:eastAsia="zh-CN"/>
        </w:rPr>
        <w:t>林地</w:t>
      </w:r>
      <w:r>
        <w:rPr>
          <w:rFonts w:hint="default" w:ascii="Times New Roman" w:hAnsi="Times New Roman" w:eastAsia="黑体" w:cs="Times New Roman"/>
          <w:b w:val="0"/>
          <w:bCs/>
          <w:color w:val="auto"/>
          <w:sz w:val="21"/>
          <w:szCs w:val="21"/>
          <w:highlight w:val="none"/>
        </w:rPr>
        <w:t>土壤结构断面照片</w:t>
      </w:r>
    </w:p>
    <w:p w14:paraId="00AEC884">
      <w:pPr>
        <w:keepNext/>
        <w:keepLines/>
        <w:widowControl w:val="0"/>
        <w:spacing w:before="260" w:after="260" w:line="360" w:lineRule="auto"/>
        <w:outlineLvl w:val="1"/>
        <w:rPr>
          <w:rFonts w:hint="default" w:ascii="Times New Roman" w:hAnsi="Times New Roman" w:eastAsia="黑体" w:cs="Times New Roman"/>
          <w:bCs/>
          <w:color w:val="auto"/>
          <w:sz w:val="30"/>
          <w:szCs w:val="30"/>
          <w:highlight w:val="none"/>
        </w:rPr>
      </w:pPr>
      <w:bookmarkStart w:id="95" w:name="_Toc485629677"/>
      <w:bookmarkStart w:id="96" w:name="_Toc488075671"/>
      <w:bookmarkStart w:id="97" w:name="_Toc27198"/>
      <w:r>
        <w:rPr>
          <w:rFonts w:hint="default" w:ascii="Times New Roman" w:hAnsi="Times New Roman" w:eastAsia="黑体" w:cs="Times New Roman"/>
          <w:bCs/>
          <w:color w:val="auto"/>
          <w:sz w:val="30"/>
          <w:szCs w:val="30"/>
          <w:highlight w:val="none"/>
        </w:rPr>
        <w:t>二、矿区地质环境背景</w:t>
      </w:r>
      <w:bookmarkEnd w:id="95"/>
      <w:bookmarkEnd w:id="96"/>
      <w:bookmarkEnd w:id="97"/>
    </w:p>
    <w:p w14:paraId="013EAB17">
      <w:pPr>
        <w:keepNext/>
        <w:keepLines/>
        <w:widowControl w:val="0"/>
        <w:spacing w:before="260" w:after="260" w:line="360" w:lineRule="auto"/>
        <w:outlineLvl w:val="2"/>
        <w:rPr>
          <w:rFonts w:hint="default" w:ascii="Times New Roman" w:hAnsi="Times New Roman" w:eastAsia="黑体" w:cs="Times New Roman"/>
          <w:bCs/>
          <w:color w:val="auto"/>
          <w:sz w:val="28"/>
          <w:szCs w:val="28"/>
          <w:highlight w:val="none"/>
        </w:rPr>
      </w:pPr>
      <w:bookmarkStart w:id="98" w:name="_Toc485629678"/>
      <w:r>
        <w:rPr>
          <w:rFonts w:hint="default" w:ascii="Times New Roman" w:hAnsi="Times New Roman" w:eastAsia="黑体" w:cs="Times New Roman"/>
          <w:bCs/>
          <w:color w:val="auto"/>
          <w:sz w:val="28"/>
          <w:szCs w:val="28"/>
          <w:highlight w:val="none"/>
        </w:rPr>
        <w:t>（一）地层岩性</w:t>
      </w:r>
      <w:bookmarkEnd w:id="98"/>
    </w:p>
    <w:p w14:paraId="062B2DDD">
      <w:pPr>
        <w:spacing w:line="360" w:lineRule="auto"/>
        <w:ind w:firstLine="480" w:firstLineChars="200"/>
        <w:jc w:val="both"/>
        <w:rPr>
          <w:rFonts w:hint="default" w:ascii="Times New Roman" w:hAnsi="Times New Roman" w:cs="Times New Roman"/>
          <w:color w:val="auto"/>
          <w:sz w:val="24"/>
          <w:highlight w:val="none"/>
        </w:rPr>
      </w:pPr>
      <w:bookmarkStart w:id="99" w:name="_Toc485629679"/>
      <w:r>
        <w:rPr>
          <w:rFonts w:hint="default" w:ascii="Times New Roman" w:hAnsi="Times New Roman" w:cs="Times New Roman"/>
          <w:color w:val="auto"/>
          <w:sz w:val="24"/>
          <w:highlight w:val="none"/>
        </w:rPr>
        <w:t>本区位于天山-兴安地槽褶皱区（Ⅰ级）、吉黑褶皱系（亚Ⅰ级）、吉林优地槽褶皱带（Ⅱ级）、吉林复向斜（Ⅲ级）、小绥河—呼兰中间隆起（Ⅳ级）东缘。</w:t>
      </w:r>
    </w:p>
    <w:p w14:paraId="50616461">
      <w:pPr>
        <w:spacing w:line="360" w:lineRule="auto"/>
        <w:ind w:firstLine="482" w:firstLineChars="200"/>
        <w:jc w:val="both"/>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1、地层</w:t>
      </w:r>
    </w:p>
    <w:p w14:paraId="35D815CD">
      <w:pPr>
        <w:spacing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区域上出露地层有古生界呼兰群头道沟组、石炭系中统磨盘山组、二叠系下统大河深组、侏罗系下统玉兴屯组、南楼山组和第四系，从老至新分述如下：</w:t>
      </w:r>
    </w:p>
    <w:p w14:paraId="547FE183">
      <w:pPr>
        <w:spacing w:line="360" w:lineRule="auto"/>
        <w:ind w:firstLine="480" w:firstLineChars="200"/>
        <w:jc w:val="both"/>
        <w:rPr>
          <w:rFonts w:hint="default" w:ascii="Times New Roman" w:hAnsi="Times New Roman" w:cs="Times New Roman"/>
          <w:color w:val="auto"/>
          <w:sz w:val="24"/>
          <w:highlight w:val="none"/>
        </w:rPr>
      </w:pPr>
      <w:r>
        <w:rPr>
          <w:rFonts w:hint="eastAsia" w:cs="Times New Roman"/>
          <w:color w:val="auto"/>
          <w:sz w:val="24"/>
          <w:highlight w:val="none"/>
          <w:lang w:eastAsia="zh-CN"/>
        </w:rPr>
        <w:t>（</w:t>
      </w:r>
      <w:r>
        <w:rPr>
          <w:rFonts w:hint="eastAsia" w:cs="Times New Roman"/>
          <w:color w:val="auto"/>
          <w:sz w:val="24"/>
          <w:highlight w:val="none"/>
          <w:lang w:val="en-US" w:eastAsia="zh-CN"/>
        </w:rPr>
        <w:t>1</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古生界呼兰群头道沟组</w:t>
      </w:r>
    </w:p>
    <w:p w14:paraId="130C3B39">
      <w:pPr>
        <w:spacing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岩性上部为灰白色变质砂岩、变质火山凝灰岩、千枚状板岩夹大理岩；下部为深灰色-灰绿色斜长阳起石岩夹变质砂岩、变质安山质凝灰岩、变质英安岩等。主要出露于大黑山、头道沟、三家子一带。</w:t>
      </w:r>
    </w:p>
    <w:p w14:paraId="13B15646">
      <w:pPr>
        <w:spacing w:line="360" w:lineRule="auto"/>
        <w:ind w:firstLine="480" w:firstLineChars="200"/>
        <w:jc w:val="both"/>
        <w:rPr>
          <w:rFonts w:hint="default" w:ascii="Times New Roman" w:hAnsi="Times New Roman" w:cs="Times New Roman"/>
          <w:color w:val="auto"/>
          <w:sz w:val="24"/>
          <w:highlight w:val="none"/>
        </w:rPr>
      </w:pPr>
      <w:r>
        <w:rPr>
          <w:rFonts w:hint="eastAsia" w:cs="Times New Roman"/>
          <w:color w:val="auto"/>
          <w:sz w:val="24"/>
          <w:highlight w:val="none"/>
          <w:lang w:eastAsia="zh-CN"/>
        </w:rPr>
        <w:t>（</w:t>
      </w:r>
      <w:r>
        <w:rPr>
          <w:rFonts w:hint="eastAsia" w:cs="Times New Roman"/>
          <w:color w:val="auto"/>
          <w:sz w:val="24"/>
          <w:highlight w:val="none"/>
          <w:lang w:val="en-US" w:eastAsia="zh-CN"/>
        </w:rPr>
        <w:t>2</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石炭系中统磨盘山组</w:t>
      </w:r>
    </w:p>
    <w:p w14:paraId="03764949">
      <w:pPr>
        <w:spacing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岩性以大理岩为主，仅在芹菜沟附近有零星出露。</w:t>
      </w:r>
    </w:p>
    <w:p w14:paraId="512EA499">
      <w:pPr>
        <w:spacing w:line="360" w:lineRule="auto"/>
        <w:ind w:firstLine="480" w:firstLineChars="200"/>
        <w:jc w:val="both"/>
        <w:rPr>
          <w:rFonts w:hint="default" w:ascii="Times New Roman" w:hAnsi="Times New Roman" w:cs="Times New Roman"/>
          <w:color w:val="auto"/>
          <w:sz w:val="24"/>
          <w:highlight w:val="none"/>
        </w:rPr>
      </w:pPr>
      <w:r>
        <w:rPr>
          <w:rFonts w:hint="eastAsia" w:cs="Times New Roman"/>
          <w:color w:val="auto"/>
          <w:sz w:val="24"/>
          <w:highlight w:val="none"/>
          <w:lang w:eastAsia="zh-CN"/>
        </w:rPr>
        <w:t>（</w:t>
      </w:r>
      <w:r>
        <w:rPr>
          <w:rFonts w:hint="eastAsia" w:cs="Times New Roman"/>
          <w:color w:val="auto"/>
          <w:sz w:val="24"/>
          <w:highlight w:val="none"/>
          <w:lang w:val="en-US" w:eastAsia="zh-CN"/>
        </w:rPr>
        <w:t>3</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二叠系下统大河深组</w:t>
      </w:r>
    </w:p>
    <w:p w14:paraId="30F5E41F">
      <w:pPr>
        <w:spacing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岩性以凝灰板岩、英安岩、安山质凝灰岩为主。在小平岭南东小面积出露。</w:t>
      </w:r>
    </w:p>
    <w:p w14:paraId="22185A71">
      <w:pPr>
        <w:spacing w:line="360" w:lineRule="auto"/>
        <w:ind w:firstLine="480" w:firstLineChars="200"/>
        <w:jc w:val="both"/>
        <w:rPr>
          <w:rFonts w:hint="default" w:ascii="Times New Roman" w:hAnsi="Times New Roman" w:cs="Times New Roman"/>
          <w:color w:val="auto"/>
          <w:sz w:val="24"/>
          <w:highlight w:val="none"/>
        </w:rPr>
      </w:pPr>
      <w:r>
        <w:rPr>
          <w:rFonts w:hint="eastAsia" w:cs="Times New Roman"/>
          <w:color w:val="auto"/>
          <w:sz w:val="24"/>
          <w:highlight w:val="none"/>
          <w:lang w:eastAsia="zh-CN"/>
        </w:rPr>
        <w:t>（</w:t>
      </w:r>
      <w:r>
        <w:rPr>
          <w:rFonts w:hint="eastAsia" w:cs="Times New Roman"/>
          <w:color w:val="auto"/>
          <w:sz w:val="24"/>
          <w:highlight w:val="none"/>
          <w:lang w:val="en-US" w:eastAsia="zh-CN"/>
        </w:rPr>
        <w:t>4</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侏罗系下统玉兴屯组</w:t>
      </w:r>
    </w:p>
    <w:p w14:paraId="110D1C07">
      <w:pPr>
        <w:spacing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上部为浅灰色英安质熔结凝灰岩、流纹质凝灰岩夹凝灰质砂岩、凝灰质砾岩、凝灰质板岩；中部为黑灰色凝灰质砂砾岩、灰色凝灰质板岩、黑色板岩、英安岩、流纹质含角砾凝灰岩；下部为流纹质凝灰岩、安山质凝灰岩、流纹岩、底部为凝灰质砂砾岩和板岩。主要出露于稗子沟、头道沟、锅盔顶子一带。</w:t>
      </w:r>
    </w:p>
    <w:p w14:paraId="07BA4C3A">
      <w:pPr>
        <w:spacing w:line="360" w:lineRule="auto"/>
        <w:ind w:firstLine="480" w:firstLineChars="200"/>
        <w:jc w:val="both"/>
        <w:rPr>
          <w:rFonts w:hint="default" w:ascii="Times New Roman" w:hAnsi="Times New Roman" w:cs="Times New Roman"/>
          <w:color w:val="auto"/>
          <w:sz w:val="24"/>
          <w:highlight w:val="none"/>
        </w:rPr>
      </w:pPr>
      <w:r>
        <w:rPr>
          <w:rFonts w:hint="eastAsia" w:cs="Times New Roman"/>
          <w:color w:val="auto"/>
          <w:sz w:val="24"/>
          <w:highlight w:val="none"/>
          <w:lang w:eastAsia="zh-CN"/>
        </w:rPr>
        <w:t>（</w:t>
      </w:r>
      <w:r>
        <w:rPr>
          <w:rFonts w:hint="eastAsia" w:cs="Times New Roman"/>
          <w:color w:val="auto"/>
          <w:sz w:val="24"/>
          <w:highlight w:val="none"/>
          <w:lang w:val="en-US" w:eastAsia="zh-CN"/>
        </w:rPr>
        <w:t>5</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侏罗系下统南楼山组</w:t>
      </w:r>
    </w:p>
    <w:p w14:paraId="2758E183">
      <w:pPr>
        <w:spacing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上部为褐色安山质角砾凝灰岩、灰色-浅紫色安山岩、流纹质凝灰岩、流纹岩；中部为灰白色火山碎屑熔岩、浅灰色英安岩、浅灰色英安质凝灰岩、英安质角砾熔岩；下部为灰-深灰色英安岩、浅灰色英安质凝灰岩、英安质角砾熔岩。出露于小青顶子，双杨树水库一带。</w:t>
      </w:r>
    </w:p>
    <w:p w14:paraId="7DF650DD">
      <w:pPr>
        <w:spacing w:line="360" w:lineRule="auto"/>
        <w:ind w:firstLine="480" w:firstLineChars="200"/>
        <w:jc w:val="both"/>
        <w:rPr>
          <w:rFonts w:hint="default" w:ascii="Times New Roman" w:hAnsi="Times New Roman" w:cs="Times New Roman"/>
          <w:color w:val="auto"/>
          <w:sz w:val="24"/>
          <w:highlight w:val="none"/>
        </w:rPr>
      </w:pPr>
      <w:r>
        <w:rPr>
          <w:rFonts w:hint="eastAsia" w:cs="Times New Roman"/>
          <w:color w:val="auto"/>
          <w:sz w:val="24"/>
          <w:highlight w:val="none"/>
          <w:lang w:eastAsia="zh-CN"/>
        </w:rPr>
        <w:t>（</w:t>
      </w:r>
      <w:r>
        <w:rPr>
          <w:rFonts w:hint="eastAsia" w:cs="Times New Roman"/>
          <w:color w:val="auto"/>
          <w:sz w:val="24"/>
          <w:highlight w:val="none"/>
          <w:lang w:val="en-US" w:eastAsia="zh-CN"/>
        </w:rPr>
        <w:t>6</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第四系</w:t>
      </w:r>
    </w:p>
    <w:p w14:paraId="1B396C77">
      <w:pPr>
        <w:spacing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分布于河流两侧及沟谷之中，由冲积的粉砂质粘土、砂、卵砾石组成，在河流两岸构成Ⅰ、Ⅱ级阶地。 </w:t>
      </w:r>
    </w:p>
    <w:p w14:paraId="718328FA">
      <w:pPr>
        <w:spacing w:line="360" w:lineRule="auto"/>
        <w:ind w:firstLine="482" w:firstLineChars="200"/>
        <w:jc w:val="both"/>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2、岩浆岩</w:t>
      </w:r>
    </w:p>
    <w:p w14:paraId="73E33CF0">
      <w:pPr>
        <w:spacing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区域上岩浆岩比较发育，从加里东期侵入岩体到燕山期侵入岩体均有出露。</w:t>
      </w:r>
    </w:p>
    <w:p w14:paraId="40DE73F4">
      <w:pPr>
        <w:spacing w:line="360" w:lineRule="auto"/>
        <w:ind w:firstLine="480" w:firstLineChars="200"/>
        <w:jc w:val="both"/>
        <w:rPr>
          <w:rFonts w:hint="default" w:ascii="Times New Roman" w:hAnsi="Times New Roman" w:cs="Times New Roman"/>
          <w:color w:val="auto"/>
          <w:sz w:val="24"/>
          <w:highlight w:val="none"/>
        </w:rPr>
      </w:pPr>
      <w:r>
        <w:rPr>
          <w:rFonts w:hint="eastAsia" w:cs="Times New Roman"/>
          <w:color w:val="auto"/>
          <w:sz w:val="24"/>
          <w:highlight w:val="none"/>
          <w:lang w:eastAsia="zh-CN"/>
        </w:rPr>
        <w:t>（</w:t>
      </w:r>
      <w:r>
        <w:rPr>
          <w:rFonts w:hint="eastAsia" w:cs="Times New Roman"/>
          <w:color w:val="auto"/>
          <w:sz w:val="24"/>
          <w:highlight w:val="none"/>
          <w:lang w:val="en-US" w:eastAsia="zh-CN"/>
        </w:rPr>
        <w:t>1</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加里东晚期侵入岩</w:t>
      </w:r>
    </w:p>
    <w:p w14:paraId="10FFF390">
      <w:pPr>
        <w:spacing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主要出露于大黑山附近，岩性为变质辉长岩和变质闪长岩。呈小的岩株状产出。</w:t>
      </w:r>
    </w:p>
    <w:p w14:paraId="08CAF8C7">
      <w:pPr>
        <w:spacing w:line="360" w:lineRule="auto"/>
        <w:ind w:firstLine="480" w:firstLineChars="200"/>
        <w:jc w:val="both"/>
        <w:rPr>
          <w:rFonts w:hint="default" w:ascii="Times New Roman" w:hAnsi="Times New Roman" w:cs="Times New Roman"/>
          <w:color w:val="auto"/>
          <w:sz w:val="24"/>
          <w:highlight w:val="none"/>
        </w:rPr>
      </w:pPr>
      <w:r>
        <w:rPr>
          <w:rFonts w:hint="eastAsia" w:cs="Times New Roman"/>
          <w:color w:val="auto"/>
          <w:sz w:val="24"/>
          <w:highlight w:val="none"/>
          <w:lang w:eastAsia="zh-CN"/>
        </w:rPr>
        <w:t>（</w:t>
      </w:r>
      <w:r>
        <w:rPr>
          <w:rFonts w:hint="eastAsia" w:cs="Times New Roman"/>
          <w:color w:val="auto"/>
          <w:sz w:val="24"/>
          <w:highlight w:val="none"/>
          <w:lang w:val="en-US" w:eastAsia="zh-CN"/>
        </w:rPr>
        <w:t>2</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华力西期侵入岩</w:t>
      </w:r>
    </w:p>
    <w:p w14:paraId="5BB4D9B0">
      <w:pPr>
        <w:spacing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出露于桄子沟-马家沟一带，岩性为二长花岗岩。</w:t>
      </w:r>
    </w:p>
    <w:p w14:paraId="717F065D">
      <w:pPr>
        <w:spacing w:line="360" w:lineRule="auto"/>
        <w:ind w:firstLine="480" w:firstLineChars="200"/>
        <w:jc w:val="both"/>
        <w:rPr>
          <w:rFonts w:hint="default" w:ascii="Times New Roman" w:hAnsi="Times New Roman" w:cs="Times New Roman"/>
          <w:color w:val="auto"/>
          <w:sz w:val="24"/>
          <w:highlight w:val="none"/>
        </w:rPr>
      </w:pPr>
      <w:r>
        <w:rPr>
          <w:rFonts w:hint="eastAsia" w:cs="Times New Roman"/>
          <w:color w:val="auto"/>
          <w:sz w:val="24"/>
          <w:highlight w:val="none"/>
          <w:lang w:eastAsia="zh-CN"/>
        </w:rPr>
        <w:t>（</w:t>
      </w:r>
      <w:r>
        <w:rPr>
          <w:rFonts w:hint="eastAsia" w:cs="Times New Roman"/>
          <w:color w:val="auto"/>
          <w:sz w:val="24"/>
          <w:highlight w:val="none"/>
          <w:lang w:val="en-US" w:eastAsia="zh-CN"/>
        </w:rPr>
        <w:t>3</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燕山早期侵入岩</w:t>
      </w:r>
    </w:p>
    <w:p w14:paraId="7DCB2959">
      <w:pPr>
        <w:spacing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燕山早期侵入岩具多</w:t>
      </w:r>
      <w:r>
        <w:rPr>
          <w:rFonts w:hint="eastAsia" w:cs="Times New Roman"/>
          <w:color w:val="auto"/>
          <w:sz w:val="24"/>
          <w:highlight w:val="none"/>
          <w:lang w:eastAsia="zh-CN"/>
        </w:rPr>
        <w:t>旋回</w:t>
      </w:r>
      <w:r>
        <w:rPr>
          <w:rFonts w:hint="default" w:ascii="Times New Roman" w:hAnsi="Times New Roman" w:cs="Times New Roman"/>
          <w:color w:val="auto"/>
          <w:sz w:val="24"/>
          <w:highlight w:val="none"/>
        </w:rPr>
        <w:t>多阶段侵入特征。</w:t>
      </w:r>
    </w:p>
    <w:p w14:paraId="0D588C0E">
      <w:pPr>
        <w:spacing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燕山早期第一侵入阶段岩体以三道河次安山岩为代表。</w:t>
      </w:r>
    </w:p>
    <w:p w14:paraId="66D4084B">
      <w:pPr>
        <w:spacing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第二阶段第一期次代表岩体有头道沟超基性岩体、茨芽岗-草庙子花岗闪长岩体、木头拐子斜长花岗岩体。</w:t>
      </w:r>
    </w:p>
    <w:p w14:paraId="2C061B3E">
      <w:pPr>
        <w:spacing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第二阶段第二期次代表岩体有大崴子-白马夫花岗岩体、三道沟石英闪长岩体和刘家沟花岗闪长岩体。</w:t>
      </w:r>
    </w:p>
    <w:p w14:paraId="589A7918">
      <w:pPr>
        <w:spacing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第三阶段第一期次代表岩体有长岗岭-后撮落黑云母斜长花岗岩体。</w:t>
      </w:r>
    </w:p>
    <w:p w14:paraId="05EB4A67">
      <w:pPr>
        <w:spacing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第三阶段第二期次代表岩体有撮落黑云母斜长花岗斑岩岩体。</w:t>
      </w:r>
    </w:p>
    <w:p w14:paraId="281270D7">
      <w:pPr>
        <w:spacing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第三阶段第三期次代表岩体有白石砬子中细粒花岗岩体。</w:t>
      </w:r>
    </w:p>
    <w:p w14:paraId="3853F010">
      <w:pPr>
        <w:pStyle w:val="5"/>
        <w:rPr>
          <w:rFonts w:hint="default" w:ascii="Times New Roman" w:hAnsi="Times New Roman" w:eastAsia="黑体" w:cs="Times New Roman"/>
          <w:color w:val="auto"/>
          <w:szCs w:val="28"/>
          <w:highlight w:val="none"/>
        </w:rPr>
      </w:pPr>
      <w:r>
        <w:rPr>
          <w:rFonts w:hint="default" w:ascii="Times New Roman" w:hAnsi="Times New Roman" w:eastAsia="黑体" w:cs="Times New Roman"/>
          <w:color w:val="auto"/>
          <w:szCs w:val="28"/>
          <w:highlight w:val="none"/>
        </w:rPr>
        <w:t>（二）地质构造</w:t>
      </w:r>
      <w:bookmarkEnd w:id="99"/>
    </w:p>
    <w:p w14:paraId="5474A6A8">
      <w:pPr>
        <w:spacing w:line="360" w:lineRule="auto"/>
        <w:ind w:firstLine="480" w:firstLineChars="200"/>
        <w:jc w:val="both"/>
        <w:rPr>
          <w:rFonts w:hint="default" w:ascii="Times New Roman" w:hAnsi="Times New Roman" w:cs="Times New Roman"/>
          <w:color w:val="auto"/>
          <w:sz w:val="24"/>
          <w:highlight w:val="none"/>
        </w:rPr>
      </w:pPr>
      <w:bookmarkStart w:id="100" w:name="_Toc485629680"/>
      <w:r>
        <w:rPr>
          <w:rFonts w:hint="default" w:ascii="Times New Roman" w:hAnsi="Times New Roman" w:cs="Times New Roman"/>
          <w:color w:val="auto"/>
          <w:sz w:val="24"/>
          <w:highlight w:val="none"/>
        </w:rPr>
        <w:t xml:space="preserve">矿区位于双河镇—桦甸深断裂西侧，双（河镇）—桦（甸）断裂形成于早古生代，该断裂带长期发展，多次活动。 </w:t>
      </w:r>
    </w:p>
    <w:p w14:paraId="4CD520AC">
      <w:pPr>
        <w:spacing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区域上褶皱构造不发育。断裂构造有老栖沟-白石砬子断裂，该断裂走向北东30°，倾向南东，出露长20km，呈压性特点。另外还有东西走向的撮落断裂和北西走向的鸡冠砬子断裂。 </w:t>
      </w:r>
    </w:p>
    <w:p w14:paraId="3D031213">
      <w:pPr>
        <w:spacing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依据《中国地震动参数区划图》</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GB</w:t>
      </w:r>
      <w:r>
        <w:rPr>
          <w:rFonts w:hint="eastAsia" w:cs="Times New Roman"/>
          <w:color w:val="auto"/>
          <w:sz w:val="24"/>
          <w:highlight w:val="none"/>
          <w:lang w:val="en-US" w:eastAsia="zh-CN"/>
        </w:rPr>
        <w:t xml:space="preserve"> 1</w:t>
      </w:r>
      <w:r>
        <w:rPr>
          <w:rFonts w:hint="default" w:ascii="Times New Roman" w:hAnsi="Times New Roman" w:cs="Times New Roman"/>
          <w:color w:val="auto"/>
          <w:sz w:val="24"/>
          <w:highlight w:val="none"/>
        </w:rPr>
        <w:t>8306-2015</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评估区峰值加速度0.05g</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lang w:eastAsia="zh-CN"/>
        </w:rPr>
        <w:t>反应谱特征周期</w:t>
      </w:r>
      <w:r>
        <w:rPr>
          <w:rFonts w:hint="default" w:ascii="Times New Roman" w:hAnsi="Times New Roman" w:cs="Times New Roman"/>
          <w:color w:val="auto"/>
          <w:sz w:val="24"/>
          <w:highlight w:val="none"/>
        </w:rPr>
        <w:t>0.35s</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区域地壳较稳定。</w:t>
      </w:r>
    </w:p>
    <w:p w14:paraId="7EF93D4B">
      <w:pPr>
        <w:pStyle w:val="5"/>
        <w:rPr>
          <w:rFonts w:hint="default" w:ascii="Times New Roman" w:hAnsi="Times New Roman" w:eastAsia="黑体" w:cs="Times New Roman"/>
          <w:color w:val="auto"/>
          <w:szCs w:val="28"/>
          <w:highlight w:val="none"/>
        </w:rPr>
      </w:pPr>
      <w:r>
        <w:rPr>
          <w:rFonts w:hint="default" w:ascii="Times New Roman" w:hAnsi="Times New Roman" w:eastAsia="黑体" w:cs="Times New Roman"/>
          <w:color w:val="auto"/>
          <w:szCs w:val="28"/>
          <w:highlight w:val="none"/>
        </w:rPr>
        <w:t>（三）水文地质</w:t>
      </w:r>
      <w:bookmarkEnd w:id="100"/>
    </w:p>
    <w:p w14:paraId="7DC8FCCF">
      <w:pPr>
        <w:spacing w:line="360" w:lineRule="auto"/>
        <w:ind w:firstLine="480" w:firstLineChars="200"/>
        <w:jc w:val="both"/>
        <w:rPr>
          <w:rFonts w:hint="default" w:ascii="Times New Roman" w:hAnsi="Times New Roman" w:cs="Times New Roman"/>
          <w:color w:val="auto"/>
          <w:sz w:val="24"/>
          <w:highlight w:val="none"/>
        </w:rPr>
      </w:pPr>
      <w:bookmarkStart w:id="101" w:name="_Toc485629681"/>
      <w:r>
        <w:rPr>
          <w:rFonts w:hint="default" w:ascii="Times New Roman" w:hAnsi="Times New Roman" w:cs="Times New Roman"/>
          <w:color w:val="auto"/>
          <w:sz w:val="24"/>
          <w:highlight w:val="none"/>
        </w:rPr>
        <w:t>根据地下水的赋存条件、水力特征等，将矿区内地下水划分为第四系松散岩类孔隙潜水、花岗岩基岩风化裂隙水和大理岩溶隙裂隙水。</w:t>
      </w:r>
    </w:p>
    <w:p w14:paraId="23587CC8">
      <w:pPr>
        <w:spacing w:line="360" w:lineRule="auto"/>
        <w:ind w:firstLine="480" w:firstLineChars="200"/>
        <w:jc w:val="both"/>
        <w:rPr>
          <w:rFonts w:hint="default" w:ascii="Times New Roman" w:hAnsi="Times New Roman" w:cs="Times New Roman"/>
          <w:color w:val="auto"/>
          <w:sz w:val="24"/>
          <w:highlight w:val="none"/>
        </w:rPr>
      </w:pPr>
      <w:r>
        <w:rPr>
          <w:rFonts w:hint="eastAsia" w:cs="Times New Roman"/>
          <w:color w:val="auto"/>
          <w:sz w:val="24"/>
          <w:highlight w:val="none"/>
          <w:lang w:val="en-US" w:eastAsia="zh-CN"/>
        </w:rPr>
        <w:t>1、</w:t>
      </w:r>
      <w:r>
        <w:rPr>
          <w:rFonts w:hint="default" w:ascii="Times New Roman" w:hAnsi="Times New Roman" w:cs="Times New Roman"/>
          <w:color w:val="auto"/>
          <w:sz w:val="24"/>
          <w:highlight w:val="none"/>
        </w:rPr>
        <w:t>第四系松散岩类孔隙潜水</w:t>
      </w:r>
    </w:p>
    <w:p w14:paraId="3517AB8C">
      <w:pPr>
        <w:spacing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主要分布于矿区北侧和东侧更新统、全新统冲积砂、砾砂、卵砾石层中。含水层厚度3.00m～5.00m，最厚可达8.00m；水位埋深，5.00m～8.00m，单井涌水量大于100m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/d，水化学类型为重碳酸钙钠（HCO3--Ca2+-Na+）型水，矿化度＜0.50g/</w:t>
      </w:r>
      <w:r>
        <w:rPr>
          <w:rFonts w:hint="eastAsia" w:cs="Times New Roman"/>
          <w:color w:val="auto"/>
          <w:sz w:val="24"/>
          <w:highlight w:val="none"/>
          <w:lang w:val="en-US" w:eastAsia="zh-CN"/>
        </w:rPr>
        <w:t>L</w:t>
      </w:r>
      <w:r>
        <w:rPr>
          <w:rFonts w:hint="default" w:ascii="Times New Roman" w:hAnsi="Times New Roman" w:cs="Times New Roman"/>
          <w:color w:val="auto"/>
          <w:sz w:val="24"/>
          <w:highlight w:val="none"/>
        </w:rPr>
        <w:t>。</w:t>
      </w:r>
    </w:p>
    <w:p w14:paraId="51FB7CF1">
      <w:pPr>
        <w:spacing w:line="360" w:lineRule="auto"/>
        <w:ind w:firstLine="480" w:firstLineChars="200"/>
        <w:jc w:val="both"/>
        <w:rPr>
          <w:rFonts w:hint="default" w:ascii="Times New Roman" w:hAnsi="Times New Roman" w:cs="Times New Roman"/>
          <w:color w:val="auto"/>
          <w:sz w:val="24"/>
          <w:highlight w:val="none"/>
        </w:rPr>
      </w:pPr>
      <w:r>
        <w:rPr>
          <w:rFonts w:hint="eastAsia" w:cs="Times New Roman"/>
          <w:color w:val="auto"/>
          <w:sz w:val="24"/>
          <w:highlight w:val="none"/>
          <w:lang w:val="en-US" w:eastAsia="zh-CN"/>
        </w:rPr>
        <w:t>2、</w:t>
      </w:r>
      <w:r>
        <w:rPr>
          <w:rFonts w:hint="default" w:ascii="Times New Roman" w:hAnsi="Times New Roman" w:cs="Times New Roman"/>
          <w:color w:val="auto"/>
          <w:sz w:val="24"/>
          <w:highlight w:val="none"/>
        </w:rPr>
        <w:t>花岗岩风化裂隙水</w:t>
      </w:r>
    </w:p>
    <w:p w14:paraId="4FC3A5E7">
      <w:pPr>
        <w:spacing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埋藏于第四系松散堆积物之下分布于矿区周围的花岗岩风化网状裂隙带中，根据《1:50万吉林省水文地质图》，水位埋深15m～20m，含水层厚度3.00m～4.00m，泉流量0.48</w:t>
      </w:r>
      <w:r>
        <w:rPr>
          <w:rFonts w:hint="eastAsia" w:cs="Times New Roman"/>
          <w:color w:val="auto"/>
          <w:sz w:val="24"/>
          <w:highlight w:val="none"/>
          <w:lang w:val="en-US" w:eastAsia="zh-CN"/>
        </w:rPr>
        <w:t>L</w:t>
      </w:r>
      <w:r>
        <w:rPr>
          <w:rFonts w:hint="default" w:ascii="Times New Roman" w:hAnsi="Times New Roman" w:cs="Times New Roman"/>
          <w:color w:val="auto"/>
          <w:sz w:val="24"/>
          <w:highlight w:val="none"/>
        </w:rPr>
        <w:t>/s，单井涌水量小于100m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/d，水质类型为重碳酸钙型，矿化度＜0.50g/</w:t>
      </w:r>
      <w:r>
        <w:rPr>
          <w:rFonts w:hint="eastAsia" w:cs="Times New Roman"/>
          <w:color w:val="auto"/>
          <w:sz w:val="24"/>
          <w:highlight w:val="none"/>
          <w:lang w:val="en-US" w:eastAsia="zh-CN"/>
        </w:rPr>
        <w:t>L</w:t>
      </w:r>
      <w:r>
        <w:rPr>
          <w:rFonts w:hint="default" w:ascii="Times New Roman" w:hAnsi="Times New Roman" w:cs="Times New Roman"/>
          <w:color w:val="auto"/>
          <w:sz w:val="24"/>
          <w:highlight w:val="none"/>
        </w:rPr>
        <w:t>。</w:t>
      </w:r>
    </w:p>
    <w:p w14:paraId="3D9999DD">
      <w:pPr>
        <w:spacing w:line="360" w:lineRule="auto"/>
        <w:ind w:firstLine="480" w:firstLineChars="200"/>
        <w:jc w:val="both"/>
        <w:rPr>
          <w:rFonts w:hint="default" w:ascii="Times New Roman" w:hAnsi="Times New Roman" w:cs="Times New Roman"/>
          <w:color w:val="auto"/>
          <w:sz w:val="24"/>
          <w:highlight w:val="none"/>
        </w:rPr>
      </w:pPr>
      <w:r>
        <w:rPr>
          <w:rFonts w:hint="eastAsia" w:cs="Times New Roman"/>
          <w:color w:val="auto"/>
          <w:sz w:val="24"/>
          <w:highlight w:val="none"/>
          <w:lang w:val="en-US" w:eastAsia="zh-CN"/>
        </w:rPr>
        <w:t>3、</w:t>
      </w:r>
      <w:r>
        <w:rPr>
          <w:rFonts w:hint="default" w:ascii="Times New Roman" w:hAnsi="Times New Roman" w:cs="Times New Roman"/>
          <w:color w:val="auto"/>
          <w:sz w:val="24"/>
          <w:highlight w:val="none"/>
        </w:rPr>
        <w:t>大理岩溶隙裂隙水</w:t>
      </w:r>
    </w:p>
    <w:p w14:paraId="465885BC">
      <w:pPr>
        <w:spacing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分布于采场附近，含水层赋存于大理岩溶隙裂隙带中，含水量极贫。</w:t>
      </w:r>
    </w:p>
    <w:p w14:paraId="181B1712">
      <w:pPr>
        <w:spacing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该矿山为山坡露天开采，采场底盘标高457m，高于当地侵蚀基准面（335m），采场充水因素有两种形式：一为大气降水，其次是大理岩顶部风化带溶隙裂隙水渗入。据矿山介绍，目前无论是雨季或旱季没有采场积水现象，大气降水自然排泄良好。</w:t>
      </w:r>
    </w:p>
    <w:p w14:paraId="40A51F4F">
      <w:pPr>
        <w:spacing w:line="360" w:lineRule="auto"/>
        <w:ind w:firstLine="480" w:firstLineChars="200"/>
        <w:jc w:val="both"/>
        <w:rPr>
          <w:rFonts w:hint="default" w:ascii="Times New Roman" w:hAnsi="Times New Roman" w:cs="Times New Roman"/>
          <w:color w:val="auto"/>
          <w:sz w:val="24"/>
          <w:highlight w:val="none"/>
        </w:rPr>
      </w:pPr>
      <w:r>
        <w:rPr>
          <w:rFonts w:hint="eastAsia" w:cs="Times New Roman"/>
          <w:color w:val="auto"/>
          <w:sz w:val="24"/>
          <w:highlight w:val="none"/>
          <w:lang w:val="en-US" w:eastAsia="zh-CN"/>
        </w:rPr>
        <w:t>综上所述</w:t>
      </w:r>
      <w:r>
        <w:rPr>
          <w:rFonts w:hint="default" w:ascii="Times New Roman" w:hAnsi="Times New Roman" w:cs="Times New Roman"/>
          <w:color w:val="auto"/>
          <w:sz w:val="24"/>
          <w:highlight w:val="none"/>
        </w:rPr>
        <w:t>，矿床水文地质条件属简单类型。</w:t>
      </w:r>
    </w:p>
    <w:p w14:paraId="4911D620">
      <w:pPr>
        <w:keepNext/>
        <w:keepLines/>
        <w:widowControl w:val="0"/>
        <w:spacing w:before="260" w:after="260" w:line="360" w:lineRule="auto"/>
        <w:outlineLvl w:val="2"/>
        <w:rPr>
          <w:rFonts w:hint="default" w:ascii="Times New Roman" w:hAnsi="Times New Roman" w:eastAsia="黑体" w:cs="Times New Roman"/>
          <w:bCs/>
          <w:color w:val="auto"/>
          <w:sz w:val="28"/>
          <w:szCs w:val="28"/>
          <w:highlight w:val="none"/>
        </w:rPr>
      </w:pPr>
      <w:r>
        <w:rPr>
          <w:rFonts w:hint="default" w:ascii="Times New Roman" w:hAnsi="Times New Roman" w:eastAsia="黑体" w:cs="Times New Roman"/>
          <w:bCs/>
          <w:color w:val="auto"/>
          <w:sz w:val="28"/>
          <w:szCs w:val="28"/>
          <w:highlight w:val="none"/>
        </w:rPr>
        <w:t>（四）工程地质</w:t>
      </w:r>
      <w:bookmarkEnd w:id="101"/>
    </w:p>
    <w:p w14:paraId="36347D36">
      <w:pPr>
        <w:widowControl w:val="0"/>
        <w:numPr>
          <w:ilvl w:val="0"/>
          <w:numId w:val="0"/>
        </w:numPr>
        <w:spacing w:line="360" w:lineRule="auto"/>
        <w:ind w:left="0" w:leftChars="0" w:firstLine="480" w:firstLineChars="200"/>
        <w:jc w:val="both"/>
        <w:rPr>
          <w:rFonts w:hint="eastAsia" w:cs="Times New Roman"/>
          <w:color w:val="auto"/>
          <w:sz w:val="24"/>
          <w:highlight w:val="none"/>
          <w:lang w:eastAsia="zh-CN"/>
        </w:rPr>
      </w:pPr>
      <w:bookmarkStart w:id="102" w:name="_Toc485629682"/>
      <w:r>
        <w:rPr>
          <w:rFonts w:hint="eastAsia" w:cs="Times New Roman"/>
          <w:color w:val="auto"/>
          <w:sz w:val="24"/>
          <w:highlight w:val="none"/>
          <w:lang w:eastAsia="zh-CN"/>
        </w:rPr>
        <w:t>矿区中的岩石按其岩石类型和风化程度分为三个工程地质岩土组：</w:t>
      </w:r>
    </w:p>
    <w:p w14:paraId="2A1310E5">
      <w:pPr>
        <w:widowControl w:val="0"/>
        <w:numPr>
          <w:ilvl w:val="0"/>
          <w:numId w:val="0"/>
        </w:numPr>
        <w:spacing w:line="360" w:lineRule="auto"/>
        <w:ind w:left="0" w:leftChars="0" w:firstLine="480" w:firstLineChars="200"/>
        <w:jc w:val="both"/>
        <w:rPr>
          <w:rFonts w:hint="eastAsia" w:cs="Times New Roman"/>
          <w:color w:val="auto"/>
          <w:sz w:val="24"/>
          <w:highlight w:val="none"/>
          <w:lang w:eastAsia="zh-CN"/>
        </w:rPr>
      </w:pPr>
      <w:r>
        <w:rPr>
          <w:rFonts w:hint="eastAsia" w:cs="Times New Roman"/>
          <w:color w:val="auto"/>
          <w:sz w:val="24"/>
          <w:highlight w:val="none"/>
          <w:lang w:val="en-US" w:eastAsia="zh-CN"/>
        </w:rPr>
        <w:t>1、</w:t>
      </w:r>
      <w:r>
        <w:rPr>
          <w:rFonts w:hint="eastAsia" w:cs="Times New Roman"/>
          <w:color w:val="auto"/>
          <w:sz w:val="24"/>
          <w:highlight w:val="none"/>
          <w:lang w:eastAsia="zh-CN"/>
        </w:rPr>
        <w:t>松散土体组</w:t>
      </w:r>
    </w:p>
    <w:p w14:paraId="4C960A8A">
      <w:pPr>
        <w:widowControl w:val="0"/>
        <w:numPr>
          <w:ilvl w:val="0"/>
          <w:numId w:val="0"/>
        </w:numPr>
        <w:spacing w:line="360" w:lineRule="auto"/>
        <w:ind w:left="0" w:leftChars="0" w:firstLine="480" w:firstLineChars="200"/>
        <w:jc w:val="both"/>
        <w:rPr>
          <w:rFonts w:hint="eastAsia" w:cs="Times New Roman"/>
          <w:color w:val="auto"/>
          <w:sz w:val="24"/>
          <w:highlight w:val="none"/>
          <w:lang w:eastAsia="zh-CN"/>
        </w:rPr>
      </w:pPr>
      <w:r>
        <w:rPr>
          <w:rFonts w:hint="eastAsia" w:cs="Times New Roman"/>
          <w:color w:val="auto"/>
          <w:sz w:val="24"/>
          <w:highlight w:val="none"/>
          <w:lang w:eastAsia="zh-CN"/>
        </w:rPr>
        <w:t>分布在矿区地表，由腐植土、砂质亚粘土、大理岩碎石等组成。厚度1.50m～2.00m。该岩组松散、无胶结、不稳定。</w:t>
      </w:r>
    </w:p>
    <w:p w14:paraId="72CB891D">
      <w:pPr>
        <w:widowControl w:val="0"/>
        <w:numPr>
          <w:ilvl w:val="0"/>
          <w:numId w:val="0"/>
        </w:numPr>
        <w:spacing w:line="360" w:lineRule="auto"/>
        <w:ind w:left="0" w:leftChars="0" w:firstLine="480" w:firstLineChars="200"/>
        <w:jc w:val="both"/>
        <w:rPr>
          <w:rFonts w:hint="eastAsia" w:cs="Times New Roman"/>
          <w:color w:val="auto"/>
          <w:sz w:val="24"/>
          <w:highlight w:val="none"/>
          <w:lang w:eastAsia="zh-CN"/>
        </w:rPr>
      </w:pPr>
      <w:r>
        <w:rPr>
          <w:rFonts w:hint="eastAsia" w:cs="Times New Roman"/>
          <w:color w:val="auto"/>
          <w:sz w:val="24"/>
          <w:highlight w:val="none"/>
          <w:lang w:val="en-US" w:eastAsia="zh-CN"/>
        </w:rPr>
        <w:t>2、</w:t>
      </w:r>
      <w:r>
        <w:rPr>
          <w:rFonts w:hint="eastAsia" w:cs="Times New Roman"/>
          <w:color w:val="auto"/>
          <w:sz w:val="24"/>
          <w:highlight w:val="none"/>
          <w:lang w:eastAsia="zh-CN"/>
        </w:rPr>
        <w:t>半坚硬岩组</w:t>
      </w:r>
    </w:p>
    <w:p w14:paraId="751EAB10">
      <w:pPr>
        <w:widowControl w:val="0"/>
        <w:numPr>
          <w:ilvl w:val="0"/>
          <w:numId w:val="0"/>
        </w:numPr>
        <w:spacing w:line="360" w:lineRule="auto"/>
        <w:ind w:left="0" w:leftChars="0" w:firstLine="480" w:firstLineChars="200"/>
        <w:jc w:val="both"/>
        <w:rPr>
          <w:rFonts w:hint="eastAsia" w:cs="Times New Roman"/>
          <w:color w:val="auto"/>
          <w:sz w:val="24"/>
          <w:highlight w:val="none"/>
          <w:lang w:eastAsia="zh-CN"/>
        </w:rPr>
      </w:pPr>
      <w:r>
        <w:rPr>
          <w:rFonts w:hint="eastAsia" w:cs="Times New Roman"/>
          <w:color w:val="auto"/>
          <w:sz w:val="24"/>
          <w:highlight w:val="none"/>
          <w:lang w:eastAsia="zh-CN"/>
        </w:rPr>
        <w:t>矿体风化带，该岩组平均厚1.50m左右。因风化作用造成大理岩结构稳定性减弱，近地表风化裂隙发育，岩石较疏松，向下岩石逐渐变得坚硬，过渡到新鲜岩石变成坚硬岩组。</w:t>
      </w:r>
    </w:p>
    <w:p w14:paraId="6102B6B1">
      <w:pPr>
        <w:widowControl w:val="0"/>
        <w:numPr>
          <w:ilvl w:val="0"/>
          <w:numId w:val="0"/>
        </w:numPr>
        <w:spacing w:line="360" w:lineRule="auto"/>
        <w:ind w:left="0" w:leftChars="0" w:firstLine="480" w:firstLineChars="200"/>
        <w:jc w:val="both"/>
        <w:rPr>
          <w:rFonts w:hint="eastAsia" w:cs="Times New Roman"/>
          <w:color w:val="auto"/>
          <w:sz w:val="24"/>
          <w:highlight w:val="none"/>
          <w:lang w:eastAsia="zh-CN"/>
        </w:rPr>
      </w:pPr>
      <w:r>
        <w:rPr>
          <w:rFonts w:hint="eastAsia" w:cs="Times New Roman"/>
          <w:color w:val="auto"/>
          <w:sz w:val="24"/>
          <w:highlight w:val="none"/>
          <w:lang w:val="en-US" w:eastAsia="zh-CN"/>
        </w:rPr>
        <w:t>3、</w:t>
      </w:r>
      <w:r>
        <w:rPr>
          <w:rFonts w:hint="eastAsia" w:cs="Times New Roman"/>
          <w:color w:val="auto"/>
          <w:sz w:val="24"/>
          <w:highlight w:val="none"/>
          <w:lang w:eastAsia="zh-CN"/>
        </w:rPr>
        <w:t>坚硬岩组</w:t>
      </w:r>
    </w:p>
    <w:p w14:paraId="32A22F4E">
      <w:pPr>
        <w:widowControl w:val="0"/>
        <w:numPr>
          <w:ilvl w:val="0"/>
          <w:numId w:val="0"/>
        </w:numPr>
        <w:spacing w:line="360" w:lineRule="auto"/>
        <w:ind w:left="0" w:leftChars="0" w:firstLine="480" w:firstLineChars="200"/>
        <w:jc w:val="both"/>
        <w:rPr>
          <w:rFonts w:hint="eastAsia" w:cs="Times New Roman"/>
          <w:color w:val="auto"/>
          <w:sz w:val="24"/>
          <w:highlight w:val="none"/>
          <w:lang w:eastAsia="zh-CN"/>
        </w:rPr>
      </w:pPr>
      <w:r>
        <w:rPr>
          <w:rFonts w:hint="eastAsia" w:cs="Times New Roman"/>
          <w:color w:val="auto"/>
          <w:sz w:val="24"/>
          <w:highlight w:val="none"/>
          <w:lang w:eastAsia="zh-CN"/>
        </w:rPr>
        <w:t>新鲜大理岩，为开采的矿体，岩石呈致密块状，稳定性好，抗压性强，岩石坚硬，单轴抗压强度60～100Mpa，稳固性较好。</w:t>
      </w:r>
    </w:p>
    <w:p w14:paraId="56F1EDC2">
      <w:pPr>
        <w:widowControl w:val="0"/>
        <w:numPr>
          <w:ilvl w:val="0"/>
          <w:numId w:val="0"/>
        </w:numPr>
        <w:spacing w:line="360" w:lineRule="auto"/>
        <w:ind w:left="0" w:leftChars="0"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sz w:val="24"/>
          <w:highlight w:val="none"/>
          <w:lang w:eastAsia="zh-CN"/>
        </w:rPr>
        <w:t>本区工程地质条件属简单型</w:t>
      </w:r>
      <w:r>
        <w:rPr>
          <w:rFonts w:hint="default" w:ascii="Times New Roman" w:hAnsi="Times New Roman" w:eastAsia="宋体" w:cs="Times New Roman"/>
          <w:color w:val="auto"/>
          <w:kern w:val="2"/>
          <w:sz w:val="24"/>
          <w:szCs w:val="24"/>
          <w:highlight w:val="none"/>
          <w:lang w:val="en-US" w:eastAsia="zh-CN" w:bidi="ar-SA"/>
        </w:rPr>
        <w:t xml:space="preserve">。 </w:t>
      </w:r>
    </w:p>
    <w:p w14:paraId="3B5FE273">
      <w:pPr>
        <w:keepNext/>
        <w:keepLines/>
        <w:widowControl w:val="0"/>
        <w:spacing w:before="260" w:after="260" w:line="360" w:lineRule="auto"/>
        <w:outlineLvl w:val="2"/>
        <w:rPr>
          <w:rFonts w:hint="default" w:ascii="Times New Roman" w:hAnsi="Times New Roman" w:eastAsia="黑体" w:cs="Times New Roman"/>
          <w:bCs/>
          <w:color w:val="auto"/>
          <w:sz w:val="28"/>
          <w:szCs w:val="28"/>
          <w:highlight w:val="none"/>
        </w:rPr>
      </w:pPr>
      <w:r>
        <w:rPr>
          <w:rFonts w:hint="default" w:ascii="Times New Roman" w:hAnsi="Times New Roman" w:eastAsia="黑体" w:cs="Times New Roman"/>
          <w:bCs/>
          <w:color w:val="auto"/>
          <w:sz w:val="28"/>
          <w:szCs w:val="28"/>
          <w:highlight w:val="none"/>
        </w:rPr>
        <w:t>（五）矿体地质特征</w:t>
      </w:r>
      <w:bookmarkEnd w:id="102"/>
    </w:p>
    <w:p w14:paraId="3FAFF5D5">
      <w:pPr>
        <w:spacing w:line="360" w:lineRule="auto"/>
        <w:ind w:firstLine="480" w:firstLineChars="200"/>
        <w:jc w:val="both"/>
        <w:rPr>
          <w:rFonts w:hint="default" w:ascii="Times New Roman" w:hAnsi="Times New Roman" w:cs="Times New Roman"/>
          <w:color w:val="auto"/>
          <w:sz w:val="24"/>
          <w:highlight w:val="none"/>
        </w:rPr>
      </w:pPr>
      <w:bookmarkStart w:id="103" w:name="_Toc488075672"/>
      <w:bookmarkStart w:id="104" w:name="_Toc485629683"/>
      <w:r>
        <w:rPr>
          <w:rFonts w:hint="default" w:ascii="Times New Roman" w:hAnsi="Times New Roman" w:cs="Times New Roman"/>
          <w:color w:val="auto"/>
          <w:sz w:val="24"/>
          <w:highlight w:val="none"/>
        </w:rPr>
        <w:t>矿山所采矿体为古生界呼兰群头道沟组大理岩，该大理岩呈捕虏体状出露于燕山早期花岗闪长岩中，经实测出露面积约0.05km</w:t>
      </w:r>
      <w:r>
        <w:rPr>
          <w:rFonts w:hint="default" w:ascii="Times New Roman" w:hAnsi="Times New Roman" w:cs="Times New Roman"/>
          <w:color w:val="auto"/>
          <w:sz w:val="24"/>
          <w:highlight w:val="none"/>
          <w:vertAlign w:val="superscript"/>
        </w:rPr>
        <w:t>2</w:t>
      </w:r>
      <w:r>
        <w:rPr>
          <w:rFonts w:hint="default" w:ascii="Times New Roman" w:hAnsi="Times New Roman" w:cs="Times New Roman"/>
          <w:color w:val="auto"/>
          <w:sz w:val="24"/>
          <w:highlight w:val="none"/>
        </w:rPr>
        <w:t>左右，本矿所采其中一部分。矿区范围内矿体长160m～190m，宽80m～190m，大理岩层理产状355°∠80°、280°∠75°、320°∠53°，从大理岩产状变化特点看，该捕虏体保留了原始地层褶皱形态。</w:t>
      </w:r>
    </w:p>
    <w:p w14:paraId="2E499CF0">
      <w:pPr>
        <w:spacing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矿石为大理岩，乳白色及蓝灰色，粗粒花岗变晶结构，块状构造，矿物成分以方解石为主，局部含硅质条带及少量透闪石，方解石含量95%以上，矿物粒度4.00mm～5.00mm，局部2.00mm～3.00mm；硅质成分主要为石英和燧石，含量4%左右，粒径0.50mm～1.00mm；透闪石为纤维状，含量1%，粒径1.00mm。</w:t>
      </w:r>
    </w:p>
    <w:p w14:paraId="67DCF54B">
      <w:pPr>
        <w:spacing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矿体风化带相对较薄，最厚为2.00m，最薄0.50m。经统计，矿体风化带平均厚1.50m左右。风化带由风化大理岩构成，岩石中风化节理裂隙发育，大理岩外观多呈粒状，岩石比较疏松破碎，敲打后易形成粉末。矿体四周围岩为花岗闪长岩，地表覆盖层为第四系残坡积层及矿体风化带。</w:t>
      </w:r>
    </w:p>
    <w:p w14:paraId="381760E9">
      <w:pPr>
        <w:keepNext/>
        <w:keepLines/>
        <w:widowControl w:val="0"/>
        <w:spacing w:before="260" w:after="260" w:line="360" w:lineRule="auto"/>
        <w:outlineLvl w:val="1"/>
        <w:rPr>
          <w:rFonts w:hint="default" w:ascii="Times New Roman" w:hAnsi="Times New Roman" w:eastAsia="黑体" w:cs="Times New Roman"/>
          <w:bCs/>
          <w:color w:val="auto"/>
          <w:sz w:val="30"/>
          <w:szCs w:val="30"/>
          <w:highlight w:val="none"/>
        </w:rPr>
      </w:pPr>
      <w:bookmarkStart w:id="105" w:name="_Toc17113"/>
      <w:r>
        <w:rPr>
          <w:rFonts w:hint="default" w:ascii="Times New Roman" w:hAnsi="Times New Roman" w:eastAsia="黑体" w:cs="Times New Roman"/>
          <w:bCs/>
          <w:color w:val="auto"/>
          <w:sz w:val="30"/>
          <w:szCs w:val="30"/>
          <w:highlight w:val="none"/>
        </w:rPr>
        <w:t>三、矿区社会经济概况</w:t>
      </w:r>
      <w:bookmarkEnd w:id="103"/>
      <w:bookmarkEnd w:id="104"/>
      <w:bookmarkEnd w:id="105"/>
    </w:p>
    <w:p w14:paraId="705086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highlight w:val="none"/>
          <w:lang w:eastAsia="zh-CN"/>
        </w:rPr>
      </w:pPr>
      <w:r>
        <w:rPr>
          <w:rFonts w:hint="eastAsia" w:cs="Times New Roman"/>
          <w:color w:val="auto"/>
          <w:sz w:val="24"/>
          <w:highlight w:val="none"/>
          <w:lang w:eastAsia="zh-CN"/>
        </w:rPr>
        <w:t>永吉县，隶属吉林省吉林市，</w:t>
      </w:r>
      <w:r>
        <w:rPr>
          <w:rFonts w:hint="eastAsia" w:cs="Times New Roman"/>
          <w:color w:val="auto"/>
          <w:sz w:val="24"/>
          <w:highlight w:val="none"/>
          <w:lang w:val="en-US" w:eastAsia="zh-CN"/>
        </w:rPr>
        <w:t>位</w:t>
      </w:r>
      <w:r>
        <w:rPr>
          <w:rFonts w:hint="eastAsia" w:cs="Times New Roman"/>
          <w:color w:val="auto"/>
          <w:sz w:val="24"/>
          <w:highlight w:val="none"/>
          <w:lang w:eastAsia="zh-CN"/>
        </w:rPr>
        <w:t>于东经125°48′～126°40′，北纬43°18′～43°53′之间。地处吉林省中东部，东与吉林市丰满区接壤，南与桦甸、磐石两市相邻，西和长春市双阳区隔河（饮马河）相望，北与长春市的九台区、吉林市的船营区及丰满区前二道乡毗连。行政区域总面积2625</w:t>
      </w:r>
      <w:r>
        <w:rPr>
          <w:rFonts w:hint="eastAsia" w:cs="Times New Roman"/>
          <w:color w:val="auto"/>
          <w:sz w:val="24"/>
          <w:highlight w:val="none"/>
          <w:lang w:val="en-US" w:eastAsia="zh-CN"/>
        </w:rPr>
        <w:t>km</w:t>
      </w:r>
      <w:r>
        <w:rPr>
          <w:rFonts w:hint="eastAsia" w:cs="Times New Roman"/>
          <w:color w:val="auto"/>
          <w:sz w:val="24"/>
          <w:highlight w:val="none"/>
          <w:vertAlign w:val="superscript"/>
          <w:lang w:val="en-US" w:eastAsia="zh-CN"/>
        </w:rPr>
        <w:t>2</w:t>
      </w:r>
      <w:r>
        <w:rPr>
          <w:rFonts w:hint="eastAsia" w:cs="Times New Roman"/>
          <w:color w:val="auto"/>
          <w:sz w:val="24"/>
          <w:highlight w:val="none"/>
          <w:lang w:eastAsia="zh-CN"/>
        </w:rPr>
        <w:t>，常住总人口</w:t>
      </w:r>
      <w:r>
        <w:rPr>
          <w:rFonts w:hint="eastAsia" w:cs="Times New Roman"/>
          <w:color w:val="auto"/>
          <w:sz w:val="24"/>
          <w:highlight w:val="none"/>
          <w:lang w:val="en-US" w:eastAsia="zh-CN"/>
        </w:rPr>
        <w:t>约</w:t>
      </w:r>
      <w:r>
        <w:rPr>
          <w:rFonts w:hint="eastAsia" w:cs="Times New Roman"/>
          <w:color w:val="auto"/>
          <w:sz w:val="24"/>
          <w:highlight w:val="none"/>
          <w:lang w:eastAsia="zh-CN"/>
        </w:rPr>
        <w:t>42万人。</w:t>
      </w:r>
      <w:r>
        <w:rPr>
          <w:rFonts w:hint="eastAsia" w:cs="Times New Roman"/>
          <w:color w:val="auto"/>
          <w:sz w:val="24"/>
          <w:highlight w:val="none"/>
          <w:lang w:val="en-US" w:eastAsia="zh-CN"/>
        </w:rPr>
        <w:t>永吉县2023年</w:t>
      </w:r>
      <w:r>
        <w:rPr>
          <w:rFonts w:hint="eastAsia" w:cs="Times New Roman"/>
          <w:color w:val="auto"/>
          <w:sz w:val="24"/>
          <w:highlight w:val="none"/>
          <w:lang w:eastAsia="zh-CN"/>
        </w:rPr>
        <w:t>地区生产总值实现74.6亿元，增长7.5%；全口径和地方级财政收入完成10.5亿元和5.3亿元，分别增长31.2%、23%；城乡居民人均可支配收入增长7%。新建高标准农田12.8万亩，实施黑土地保护12.6万亩，推广保护性耕作2.5万亩，粮食播种面积稳定在126.2万亩，总产量达17.4亿斤，创历史新高。成功打造全国首个种业知识产权综合保护站，获评省级常规稻种子繁育基地。家庭农场、农民专业合作社分别发展至3148个、844个，土地流转面积达52.5万亩。永吉大米获评全国名特优新农产品。柞蚕制种量突破14万斤，占全国70%市场份额。人参制品精深加工量达6万斤，西阳镇获评国家级农业产业强镇（人参）。紫苏、蓝靛果、沙棘果种植规模持续扩大，北大湖榛子、罗圈沟葡萄产值分别达6000万元和8000万元。棚膜经济提标扩面，新建规模化园区2个，棚室面积达8500亩。精品畜牧业稳步发展，肉牛、生猪饲养量分别达4.8万头、67万头，家禽饲养量达750万羽。南响水村、施家村、莲花村获评省级“一村一品”示范村。农民收入稳步提高。6816名脱贫人口持续增收，人均年收入达13874元，增长17.4%。</w:t>
      </w:r>
    </w:p>
    <w:p w14:paraId="5A0AEE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highlight w:val="none"/>
          <w:lang w:eastAsia="zh-CN"/>
        </w:rPr>
      </w:pPr>
      <w:r>
        <w:rPr>
          <w:rFonts w:hint="eastAsia" w:cs="Times New Roman"/>
          <w:color w:val="auto"/>
          <w:sz w:val="24"/>
          <w:highlight w:val="none"/>
          <w:lang w:eastAsia="zh-CN"/>
        </w:rPr>
        <w:t>北大湖镇，隶属于吉林省吉林市永吉县，地处永吉县最南端。东与吉林市丰满区旺起镇接壤，南与桦甸市相连，西与永吉县双河镇、西阳镇毗邻，北与口前镇交界，距永吉县城22.5</w:t>
      </w:r>
      <w:r>
        <w:rPr>
          <w:rFonts w:hint="eastAsia" w:cs="Times New Roman"/>
          <w:color w:val="auto"/>
          <w:sz w:val="24"/>
          <w:highlight w:val="none"/>
          <w:lang w:val="en-US" w:eastAsia="zh-CN"/>
        </w:rPr>
        <w:t>km</w:t>
      </w:r>
      <w:r>
        <w:rPr>
          <w:rFonts w:hint="eastAsia" w:cs="Times New Roman"/>
          <w:color w:val="auto"/>
          <w:sz w:val="24"/>
          <w:highlight w:val="none"/>
          <w:lang w:eastAsia="zh-CN"/>
        </w:rPr>
        <w:t>， 区域总面积452.61</w:t>
      </w:r>
      <w:r>
        <w:rPr>
          <w:rFonts w:hint="eastAsia" w:cs="Times New Roman"/>
          <w:color w:val="auto"/>
          <w:sz w:val="24"/>
          <w:highlight w:val="none"/>
          <w:lang w:val="en-US" w:eastAsia="zh-CN"/>
        </w:rPr>
        <w:t>km</w:t>
      </w:r>
      <w:r>
        <w:rPr>
          <w:rFonts w:hint="eastAsia" w:cs="Times New Roman"/>
          <w:color w:val="auto"/>
          <w:sz w:val="24"/>
          <w:highlight w:val="none"/>
          <w:vertAlign w:val="superscript"/>
          <w:lang w:val="en-US" w:eastAsia="zh-CN"/>
        </w:rPr>
        <w:t>2</w:t>
      </w:r>
      <w:r>
        <w:rPr>
          <w:rFonts w:hint="eastAsia" w:cs="Times New Roman"/>
          <w:color w:val="auto"/>
          <w:sz w:val="24"/>
          <w:highlight w:val="none"/>
          <w:lang w:eastAsia="zh-CN"/>
        </w:rPr>
        <w:t>。</w:t>
      </w:r>
    </w:p>
    <w:p w14:paraId="62CAAE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highlight w:val="none"/>
        </w:rPr>
      </w:pPr>
      <w:r>
        <w:rPr>
          <w:rFonts w:hint="eastAsia" w:cs="Times New Roman"/>
          <w:color w:val="auto"/>
          <w:sz w:val="24"/>
          <w:highlight w:val="none"/>
          <w:lang w:eastAsia="zh-CN"/>
        </w:rPr>
        <w:t>截至2018年末，北大湖镇户籍人口</w:t>
      </w:r>
      <w:r>
        <w:rPr>
          <w:rFonts w:hint="eastAsia" w:cs="Times New Roman"/>
          <w:color w:val="auto"/>
          <w:sz w:val="24"/>
          <w:highlight w:val="none"/>
          <w:lang w:val="en-US" w:eastAsia="zh-CN"/>
        </w:rPr>
        <w:t>约</w:t>
      </w:r>
      <w:r>
        <w:rPr>
          <w:rFonts w:hint="eastAsia" w:cs="Times New Roman"/>
          <w:color w:val="auto"/>
          <w:sz w:val="24"/>
          <w:highlight w:val="none"/>
          <w:lang w:eastAsia="zh-CN"/>
        </w:rPr>
        <w:t>为3</w:t>
      </w:r>
      <w:r>
        <w:rPr>
          <w:rFonts w:hint="eastAsia" w:cs="Times New Roman"/>
          <w:color w:val="auto"/>
          <w:sz w:val="24"/>
          <w:highlight w:val="none"/>
          <w:lang w:val="en-US" w:eastAsia="zh-CN"/>
        </w:rPr>
        <w:t>.</w:t>
      </w:r>
      <w:r>
        <w:rPr>
          <w:rFonts w:hint="eastAsia" w:cs="Times New Roman"/>
          <w:color w:val="auto"/>
          <w:sz w:val="24"/>
          <w:highlight w:val="none"/>
          <w:lang w:eastAsia="zh-CN"/>
        </w:rPr>
        <w:t>8</w:t>
      </w:r>
      <w:r>
        <w:rPr>
          <w:rFonts w:hint="eastAsia" w:cs="Times New Roman"/>
          <w:color w:val="auto"/>
          <w:sz w:val="24"/>
          <w:highlight w:val="none"/>
          <w:lang w:val="en-US" w:eastAsia="zh-CN"/>
        </w:rPr>
        <w:t>3万</w:t>
      </w:r>
      <w:r>
        <w:rPr>
          <w:rFonts w:hint="eastAsia" w:cs="Times New Roman"/>
          <w:color w:val="auto"/>
          <w:sz w:val="24"/>
          <w:highlight w:val="none"/>
          <w:lang w:eastAsia="zh-CN"/>
        </w:rPr>
        <w:t>人</w:t>
      </w:r>
      <w:r>
        <w:rPr>
          <w:rFonts w:hint="default" w:ascii="Times New Roman" w:hAnsi="Times New Roman" w:cs="Times New Roman"/>
          <w:color w:val="auto"/>
          <w:sz w:val="24"/>
          <w:highlight w:val="none"/>
        </w:rPr>
        <w:t>。北大湖镇有耕地面积</w:t>
      </w:r>
      <w:r>
        <w:rPr>
          <w:rFonts w:hint="eastAsia" w:cs="Times New Roman"/>
          <w:color w:val="auto"/>
          <w:sz w:val="24"/>
          <w:highlight w:val="none"/>
          <w:lang w:val="en-US" w:eastAsia="zh-CN"/>
        </w:rPr>
        <w:t>约</w:t>
      </w:r>
      <w:r>
        <w:rPr>
          <w:rFonts w:hint="default" w:ascii="Times New Roman" w:hAnsi="Times New Roman" w:cs="Times New Roman"/>
          <w:color w:val="auto"/>
          <w:sz w:val="24"/>
          <w:highlight w:val="none"/>
        </w:rPr>
        <w:t>1</w:t>
      </w:r>
      <w:r>
        <w:rPr>
          <w:rFonts w:hint="eastAsia" w:cs="Times New Roman"/>
          <w:color w:val="auto"/>
          <w:sz w:val="24"/>
          <w:highlight w:val="none"/>
          <w:lang w:val="en-US" w:eastAsia="zh-CN"/>
        </w:rPr>
        <w:t>4</w:t>
      </w:r>
      <w:r>
        <w:rPr>
          <w:rFonts w:hint="default" w:ascii="Times New Roman" w:hAnsi="Times New Roman" w:cs="Times New Roman"/>
          <w:color w:val="auto"/>
          <w:sz w:val="24"/>
          <w:highlight w:val="none"/>
        </w:rPr>
        <w:t>万亩，人均3.5亩。北大湖镇粮食作物以玉米、水稻、大豆为主。</w:t>
      </w:r>
      <w:r>
        <w:rPr>
          <w:rFonts w:hint="eastAsia" w:cs="Times New Roman"/>
          <w:color w:val="auto"/>
          <w:sz w:val="24"/>
          <w:highlight w:val="none"/>
          <w:lang w:val="en-US" w:eastAsia="zh-CN"/>
        </w:rPr>
        <w:t>2024年，</w:t>
      </w:r>
      <w:r>
        <w:rPr>
          <w:rFonts w:hint="default" w:ascii="Times New Roman" w:hAnsi="Times New Roman" w:cs="Times New Roman"/>
          <w:color w:val="auto"/>
          <w:sz w:val="24"/>
          <w:highlight w:val="none"/>
        </w:rPr>
        <w:t>北大湖镇生产粮食</w:t>
      </w:r>
      <w:r>
        <w:rPr>
          <w:rFonts w:hint="eastAsia" w:cs="Times New Roman"/>
          <w:color w:val="auto"/>
          <w:sz w:val="24"/>
          <w:highlight w:val="none"/>
          <w:lang w:val="en-US" w:eastAsia="zh-CN"/>
        </w:rPr>
        <w:t>约12</w:t>
      </w:r>
      <w:r>
        <w:rPr>
          <w:rFonts w:hint="default" w:ascii="Times New Roman" w:hAnsi="Times New Roman" w:cs="Times New Roman"/>
          <w:color w:val="auto"/>
          <w:sz w:val="24"/>
          <w:highlight w:val="none"/>
        </w:rPr>
        <w:t>万吨，主要经济作物为蔬菜</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蔬菜产量2万吨。北大湖镇畜牧业以饲养鹿、生猪、牛、羊、貂、家禽为主。</w:t>
      </w:r>
    </w:p>
    <w:p w14:paraId="3627A745">
      <w:pPr>
        <w:keepNext/>
        <w:keepLines/>
        <w:widowControl w:val="0"/>
        <w:spacing w:before="260" w:after="260" w:line="360" w:lineRule="auto"/>
        <w:jc w:val="both"/>
        <w:outlineLvl w:val="1"/>
        <w:rPr>
          <w:rFonts w:hint="default" w:ascii="Times New Roman" w:hAnsi="Times New Roman" w:eastAsia="黑体" w:cs="Times New Roman"/>
          <w:bCs/>
          <w:color w:val="auto"/>
          <w:sz w:val="30"/>
          <w:szCs w:val="30"/>
          <w:highlight w:val="none"/>
        </w:rPr>
      </w:pPr>
      <w:bookmarkStart w:id="106" w:name="_Toc488075673"/>
      <w:bookmarkStart w:id="107" w:name="_Toc485629684"/>
      <w:bookmarkStart w:id="108" w:name="_Toc31952"/>
      <w:r>
        <w:rPr>
          <w:rFonts w:hint="default" w:ascii="Times New Roman" w:hAnsi="Times New Roman" w:eastAsia="黑体" w:cs="Times New Roman"/>
          <w:bCs/>
          <w:color w:val="auto"/>
          <w:sz w:val="30"/>
          <w:szCs w:val="30"/>
          <w:highlight w:val="none"/>
        </w:rPr>
        <w:t>四、矿区土地利用现状</w:t>
      </w:r>
      <w:bookmarkEnd w:id="106"/>
      <w:bookmarkEnd w:id="107"/>
      <w:bookmarkEnd w:id="108"/>
    </w:p>
    <w:p w14:paraId="19C5C896">
      <w:pPr>
        <w:widowControl w:val="0"/>
        <w:autoSpaceDE w:val="0"/>
        <w:autoSpaceDN w:val="0"/>
        <w:adjustRightInd w:val="0"/>
        <w:spacing w:before="120" w:line="360" w:lineRule="auto"/>
        <w:ind w:firstLine="480" w:firstLineChars="200"/>
        <w:jc w:val="both"/>
        <w:rPr>
          <w:rFonts w:hint="default" w:ascii="Times New Roman" w:hAnsi="Times New Roman" w:eastAsia="宋体" w:cs="Times New Roman"/>
          <w:color w:val="auto"/>
          <w:sz w:val="24"/>
          <w:szCs w:val="28"/>
          <w:highlight w:val="none"/>
          <w:lang w:val="en-US" w:eastAsia="zh-CN"/>
        </w:rPr>
      </w:pPr>
      <w:r>
        <w:rPr>
          <w:rFonts w:hint="default" w:ascii="Times New Roman" w:hAnsi="Times New Roman" w:cs="Times New Roman"/>
          <w:color w:val="auto"/>
          <w:sz w:val="24"/>
          <w:highlight w:val="none"/>
        </w:rPr>
        <w:t>根据《标准分幅土地利用现状图》（K5</w:t>
      </w:r>
      <w:r>
        <w:rPr>
          <w:rFonts w:hint="eastAsia" w:cs="Times New Roman"/>
          <w:color w:val="auto"/>
          <w:sz w:val="24"/>
          <w:highlight w:val="none"/>
          <w:lang w:val="en-US" w:eastAsia="zh-CN"/>
        </w:rPr>
        <w:t>2</w:t>
      </w:r>
      <w:r>
        <w:rPr>
          <w:rFonts w:hint="default" w:ascii="Times New Roman" w:hAnsi="Times New Roman" w:cs="Times New Roman"/>
          <w:color w:val="auto"/>
          <w:sz w:val="24"/>
          <w:highlight w:val="none"/>
        </w:rPr>
        <w:t>G0</w:t>
      </w:r>
      <w:r>
        <w:rPr>
          <w:rFonts w:hint="eastAsia" w:cs="Times New Roman"/>
          <w:color w:val="auto"/>
          <w:sz w:val="24"/>
          <w:highlight w:val="none"/>
          <w:lang w:val="en-US" w:eastAsia="zh-CN"/>
        </w:rPr>
        <w:t>14008</w:t>
      </w:r>
      <w:r>
        <w:rPr>
          <w:rFonts w:hint="default" w:ascii="Times New Roman" w:hAnsi="Times New Roman" w:cs="Times New Roman"/>
          <w:color w:val="auto"/>
          <w:sz w:val="24"/>
          <w:highlight w:val="none"/>
        </w:rPr>
        <w:t>）（1：10000），</w:t>
      </w:r>
      <w:r>
        <w:rPr>
          <w:rFonts w:hint="eastAsia" w:cs="Times New Roman"/>
          <w:color w:val="auto"/>
          <w:sz w:val="24"/>
          <w:highlight w:val="none"/>
          <w:lang w:eastAsia="zh-CN"/>
        </w:rPr>
        <w:t>北大湖采石场</w:t>
      </w:r>
      <w:r>
        <w:rPr>
          <w:rFonts w:hint="default" w:ascii="Times New Roman" w:hAnsi="Times New Roman" w:cs="Times New Roman"/>
          <w:color w:val="auto"/>
          <w:sz w:val="24"/>
          <w:highlight w:val="none"/>
        </w:rPr>
        <w:t>位于吉林省</w:t>
      </w:r>
      <w:r>
        <w:rPr>
          <w:rFonts w:hint="eastAsia" w:cs="Times New Roman"/>
          <w:color w:val="auto"/>
          <w:sz w:val="24"/>
          <w:highlight w:val="none"/>
          <w:lang w:eastAsia="zh-CN"/>
        </w:rPr>
        <w:t>永吉县北大湖镇</w:t>
      </w:r>
      <w:r>
        <w:rPr>
          <w:rFonts w:hint="default" w:ascii="Times New Roman" w:hAnsi="Times New Roman" w:cs="Times New Roman"/>
          <w:color w:val="auto"/>
          <w:sz w:val="24"/>
          <w:highlight w:val="none"/>
        </w:rPr>
        <w:t>境内，</w:t>
      </w:r>
      <w:bookmarkStart w:id="109" w:name="_Hlk62532695"/>
      <w:r>
        <w:rPr>
          <w:rFonts w:hint="default" w:ascii="Times New Roman" w:hAnsi="Times New Roman" w:cs="Times New Roman"/>
          <w:color w:val="auto"/>
          <w:sz w:val="24"/>
          <w:highlight w:val="none"/>
        </w:rPr>
        <w:t>矿区土地面积</w:t>
      </w:r>
      <w:r>
        <w:rPr>
          <w:rFonts w:hint="eastAsia" w:cs="Times New Roman"/>
          <w:color w:val="auto"/>
          <w:sz w:val="24"/>
          <w:highlight w:val="none"/>
          <w:lang w:val="en-US" w:eastAsia="zh-CN"/>
        </w:rPr>
        <w:t>2.54</w:t>
      </w:r>
      <w:r>
        <w:rPr>
          <w:rFonts w:hint="default" w:ascii="Times New Roman" w:hAnsi="Times New Roman" w:cs="Times New Roman"/>
          <w:color w:val="auto"/>
          <w:sz w:val="24"/>
          <w:highlight w:val="none"/>
        </w:rPr>
        <w:t>h</w:t>
      </w:r>
      <w:r>
        <w:rPr>
          <w:rFonts w:hint="default" w:ascii="Times New Roman" w:hAnsi="Times New Roman" w:cs="Times New Roman"/>
          <w:color w:val="auto"/>
          <w:sz w:val="24"/>
          <w:highlight w:val="none"/>
          <w:lang w:eastAsia="zh-CN"/>
        </w:rPr>
        <w:t>m</w:t>
      </w:r>
      <w:r>
        <w:rPr>
          <w:rFonts w:hint="default" w:ascii="Times New Roman" w:hAnsi="Times New Roman" w:cs="Times New Roman"/>
          <w:color w:val="auto"/>
          <w:sz w:val="24"/>
          <w:highlight w:val="none"/>
          <w:vertAlign w:val="superscript"/>
          <w:lang w:eastAsia="zh-CN"/>
        </w:rPr>
        <w:t>2</w:t>
      </w:r>
      <w:r>
        <w:rPr>
          <w:rFonts w:hint="default" w:ascii="Times New Roman" w:hAnsi="Times New Roman" w:cs="Times New Roman"/>
          <w:color w:val="auto"/>
          <w:sz w:val="24"/>
          <w:highlight w:val="none"/>
        </w:rPr>
        <w:t>，矿区范围内土地利用类型主要为</w:t>
      </w:r>
      <w:r>
        <w:rPr>
          <w:rFonts w:hint="eastAsia" w:cs="Times New Roman"/>
          <w:color w:val="auto"/>
          <w:sz w:val="24"/>
          <w:highlight w:val="none"/>
          <w:lang w:val="en-US" w:eastAsia="zh-CN"/>
        </w:rPr>
        <w:t>乔木</w:t>
      </w:r>
      <w:r>
        <w:rPr>
          <w:rFonts w:hint="default" w:ascii="Times New Roman" w:hAnsi="Times New Roman" w:cs="Times New Roman"/>
          <w:color w:val="auto"/>
          <w:sz w:val="24"/>
          <w:highlight w:val="none"/>
          <w:lang w:val="en-US" w:eastAsia="zh-CN"/>
        </w:rPr>
        <w:t>林地</w:t>
      </w:r>
      <w:r>
        <w:rPr>
          <w:rFonts w:hint="eastAsia" w:cs="Times New Roman"/>
          <w:color w:val="auto"/>
          <w:sz w:val="24"/>
          <w:highlight w:val="none"/>
          <w:lang w:val="en-US" w:eastAsia="zh-CN"/>
        </w:rPr>
        <w:t>和</w:t>
      </w:r>
      <w:r>
        <w:rPr>
          <w:rFonts w:hint="eastAsia" w:cs="Times New Roman"/>
          <w:color w:val="auto"/>
          <w:sz w:val="24"/>
          <w:szCs w:val="24"/>
          <w:highlight w:val="none"/>
          <w:lang w:val="en-US" w:eastAsia="zh-CN"/>
        </w:rPr>
        <w:t>采矿用地</w:t>
      </w:r>
      <w:r>
        <w:rPr>
          <w:rFonts w:hint="default" w:ascii="Times New Roman" w:hAnsi="Times New Roman" w:cs="Times New Roman"/>
          <w:color w:val="auto"/>
          <w:sz w:val="24"/>
          <w:highlight w:val="none"/>
        </w:rPr>
        <w:t>，具体为</w:t>
      </w:r>
      <w:r>
        <w:rPr>
          <w:rFonts w:hint="eastAsia" w:cs="Times New Roman"/>
          <w:color w:val="auto"/>
          <w:sz w:val="24"/>
          <w:highlight w:val="none"/>
          <w:lang w:val="en-US" w:eastAsia="zh-CN"/>
        </w:rPr>
        <w:t>乔木</w:t>
      </w:r>
      <w:r>
        <w:rPr>
          <w:rFonts w:hint="default" w:ascii="Times New Roman" w:hAnsi="Times New Roman" w:cs="Times New Roman"/>
          <w:color w:val="auto"/>
          <w:sz w:val="24"/>
          <w:highlight w:val="none"/>
          <w:lang w:val="en-US" w:eastAsia="zh-CN"/>
        </w:rPr>
        <w:t>林地</w:t>
      </w:r>
      <w:r>
        <w:rPr>
          <w:rFonts w:hint="eastAsia" w:cs="Times New Roman"/>
          <w:color w:val="auto"/>
          <w:sz w:val="24"/>
          <w:highlight w:val="none"/>
          <w:lang w:val="en-US" w:eastAsia="zh-CN"/>
        </w:rPr>
        <w:t>2.36</w:t>
      </w:r>
      <w:r>
        <w:rPr>
          <w:rFonts w:hint="default" w:ascii="Times New Roman" w:hAnsi="Times New Roman" w:cs="Times New Roman"/>
          <w:color w:val="auto"/>
          <w:sz w:val="24"/>
          <w:highlight w:val="none"/>
        </w:rPr>
        <w:t>h</w:t>
      </w:r>
      <w:r>
        <w:rPr>
          <w:rFonts w:hint="default" w:ascii="Times New Roman" w:hAnsi="Times New Roman" w:cs="Times New Roman"/>
          <w:color w:val="auto"/>
          <w:sz w:val="24"/>
          <w:highlight w:val="none"/>
          <w:lang w:eastAsia="zh-CN"/>
        </w:rPr>
        <w:t>m</w:t>
      </w:r>
      <w:r>
        <w:rPr>
          <w:rFonts w:hint="default" w:ascii="Times New Roman" w:hAnsi="Times New Roman" w:cs="Times New Roman"/>
          <w:color w:val="auto"/>
          <w:sz w:val="24"/>
          <w:highlight w:val="none"/>
          <w:vertAlign w:val="superscript"/>
          <w:lang w:eastAsia="zh-CN"/>
        </w:rPr>
        <w:t>2</w:t>
      </w:r>
      <w:r>
        <w:rPr>
          <w:rFonts w:hint="default" w:ascii="Times New Roman" w:hAnsi="Times New Roman" w:cs="Times New Roman"/>
          <w:color w:val="auto"/>
          <w:sz w:val="24"/>
          <w:highlight w:val="none"/>
        </w:rPr>
        <w:t>、采矿用地</w:t>
      </w:r>
      <w:r>
        <w:rPr>
          <w:rFonts w:hint="eastAsia" w:cs="Times New Roman"/>
          <w:color w:val="auto"/>
          <w:sz w:val="24"/>
          <w:highlight w:val="none"/>
          <w:lang w:val="en-US" w:eastAsia="zh-CN"/>
        </w:rPr>
        <w:t>0.18</w:t>
      </w:r>
      <w:r>
        <w:rPr>
          <w:rFonts w:hint="default" w:ascii="Times New Roman" w:hAnsi="Times New Roman" w:cs="Times New Roman"/>
          <w:color w:val="auto"/>
          <w:sz w:val="24"/>
          <w:highlight w:val="none"/>
        </w:rPr>
        <w:t>h</w:t>
      </w:r>
      <w:r>
        <w:rPr>
          <w:rFonts w:hint="default" w:ascii="Times New Roman" w:hAnsi="Times New Roman" w:cs="Times New Roman"/>
          <w:color w:val="auto"/>
          <w:sz w:val="24"/>
          <w:highlight w:val="none"/>
          <w:lang w:eastAsia="zh-CN"/>
        </w:rPr>
        <w:t>m</w:t>
      </w:r>
      <w:r>
        <w:rPr>
          <w:rFonts w:hint="default" w:ascii="Times New Roman" w:hAnsi="Times New Roman" w:cs="Times New Roman"/>
          <w:color w:val="auto"/>
          <w:sz w:val="24"/>
          <w:highlight w:val="none"/>
          <w:vertAlign w:val="superscript"/>
          <w:lang w:eastAsia="zh-CN"/>
        </w:rPr>
        <w:t>2</w:t>
      </w:r>
      <w:r>
        <w:rPr>
          <w:rFonts w:hint="default" w:ascii="Times New Roman" w:hAnsi="Times New Roman" w:cs="Times New Roman"/>
          <w:color w:val="auto"/>
          <w:sz w:val="24"/>
          <w:highlight w:val="none"/>
        </w:rPr>
        <w:t>。</w:t>
      </w:r>
      <w:r>
        <w:rPr>
          <w:rFonts w:hint="default" w:ascii="Times New Roman" w:hAnsi="Times New Roman" w:cs="Times New Roman"/>
          <w:color w:val="auto"/>
          <w:sz w:val="24"/>
          <w:szCs w:val="28"/>
          <w:highlight w:val="none"/>
        </w:rPr>
        <w:t>土地类型见表2-</w:t>
      </w:r>
      <w:r>
        <w:rPr>
          <w:rFonts w:hint="eastAsia" w:ascii="Times New Roman" w:hAnsi="Times New Roman" w:cs="Times New Roman"/>
          <w:color w:val="auto"/>
          <w:sz w:val="24"/>
          <w:szCs w:val="28"/>
          <w:highlight w:val="none"/>
          <w:lang w:val="en-US" w:eastAsia="zh-CN"/>
        </w:rPr>
        <w:t>1</w:t>
      </w:r>
      <w:r>
        <w:rPr>
          <w:rFonts w:hint="default" w:ascii="Times New Roman" w:hAnsi="Times New Roman" w:cs="Times New Roman"/>
          <w:color w:val="auto"/>
          <w:sz w:val="24"/>
          <w:szCs w:val="28"/>
          <w:highlight w:val="none"/>
        </w:rPr>
        <w:t>。</w:t>
      </w:r>
    </w:p>
    <w:p w14:paraId="4D475549">
      <w:pPr>
        <w:keepNext w:val="0"/>
        <w:keepLines w:val="0"/>
        <w:pageBreakBefore w:val="0"/>
        <w:widowControl w:val="0"/>
        <w:kinsoku/>
        <w:wordWrap/>
        <w:overflowPunct/>
        <w:topLinePunct w:val="0"/>
        <w:autoSpaceDE/>
        <w:autoSpaceDN/>
        <w:bidi w:val="0"/>
        <w:adjustRightInd/>
        <w:snapToGrid/>
        <w:spacing w:line="0" w:lineRule="atLeast"/>
        <w:jc w:val="center"/>
        <w:rPr>
          <w:rFonts w:hint="default" w:ascii="Times New Roman" w:hAnsi="Times New Roman" w:eastAsia="黑体" w:cs="Times New Roman"/>
          <w:bCs/>
          <w:color w:val="auto"/>
          <w:szCs w:val="21"/>
          <w:highlight w:val="none"/>
        </w:rPr>
      </w:pPr>
      <w:r>
        <w:rPr>
          <w:rFonts w:hint="default" w:ascii="Times New Roman" w:hAnsi="Times New Roman" w:eastAsia="黑体" w:cs="Times New Roman"/>
          <w:bCs/>
          <w:color w:val="auto"/>
          <w:szCs w:val="21"/>
          <w:highlight w:val="none"/>
        </w:rPr>
        <w:t>表2-</w:t>
      </w:r>
      <w:r>
        <w:rPr>
          <w:rFonts w:hint="eastAsia" w:ascii="Times New Roman" w:hAnsi="Times New Roman" w:eastAsia="黑体" w:cs="Times New Roman"/>
          <w:bCs/>
          <w:color w:val="auto"/>
          <w:szCs w:val="21"/>
          <w:highlight w:val="none"/>
          <w:lang w:val="en-US" w:eastAsia="zh-CN"/>
        </w:rPr>
        <w:t>1</w:t>
      </w:r>
      <w:r>
        <w:rPr>
          <w:rFonts w:hint="eastAsia" w:eastAsia="黑体" w:cs="Times New Roman"/>
          <w:bCs/>
          <w:color w:val="auto"/>
          <w:szCs w:val="21"/>
          <w:highlight w:val="none"/>
          <w:lang w:val="en-US" w:eastAsia="zh-CN"/>
        </w:rPr>
        <w:t xml:space="preserve">  矿区</w:t>
      </w:r>
      <w:r>
        <w:rPr>
          <w:rFonts w:hint="default" w:ascii="Times New Roman" w:hAnsi="Times New Roman" w:eastAsia="黑体" w:cs="Times New Roman"/>
          <w:bCs/>
          <w:color w:val="auto"/>
          <w:szCs w:val="21"/>
          <w:highlight w:val="none"/>
        </w:rPr>
        <w:t>土地利用现状一览表</w:t>
      </w:r>
    </w:p>
    <w:bookmarkEnd w:id="109"/>
    <w:tbl>
      <w:tblPr>
        <w:tblStyle w:val="34"/>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01"/>
        <w:gridCol w:w="1922"/>
        <w:gridCol w:w="1038"/>
        <w:gridCol w:w="1658"/>
        <w:gridCol w:w="1627"/>
        <w:gridCol w:w="2435"/>
      </w:tblGrid>
      <w:tr w14:paraId="210CDF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35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19992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Times New Roman" w:hAnsi="Times New Roman" w:eastAsia="宋体" w:cs="Times New Roman"/>
                <w:i w:val="0"/>
                <w:iCs w:val="0"/>
                <w:color w:val="auto"/>
                <w:sz w:val="21"/>
                <w:szCs w:val="21"/>
                <w:highlight w:val="none"/>
                <w:u w:val="none"/>
              </w:rPr>
            </w:pPr>
            <w:bookmarkStart w:id="110" w:name="_Toc488075674"/>
            <w:bookmarkStart w:id="111" w:name="_Toc485629685"/>
            <w:r>
              <w:rPr>
                <w:rFonts w:hint="default" w:ascii="Times New Roman" w:hAnsi="Times New Roman" w:eastAsia="宋体" w:cs="Times New Roman"/>
                <w:i w:val="0"/>
                <w:iCs w:val="0"/>
                <w:color w:val="auto"/>
                <w:kern w:val="0"/>
                <w:sz w:val="21"/>
                <w:szCs w:val="21"/>
                <w:highlight w:val="none"/>
                <w:u w:val="none"/>
                <w:lang w:val="en-US" w:eastAsia="zh-CN" w:bidi="ar"/>
              </w:rPr>
              <w:t>一级地类</w:t>
            </w:r>
          </w:p>
        </w:tc>
        <w:tc>
          <w:tcPr>
            <w:tcW w:w="145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5E616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二级地类</w:t>
            </w:r>
          </w:p>
        </w:tc>
        <w:tc>
          <w:tcPr>
            <w:tcW w:w="8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628FD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占用土地面积（h</w:t>
            </w:r>
            <w:r>
              <w:rPr>
                <w:rFonts w:hint="default" w:ascii="Times New Roman" w:hAnsi="Times New Roman" w:cs="Times New Roman"/>
                <w:i w:val="0"/>
                <w:iCs w:val="0"/>
                <w:color w:val="auto"/>
                <w:kern w:val="0"/>
                <w:sz w:val="21"/>
                <w:szCs w:val="21"/>
                <w:highlight w:val="none"/>
                <w:u w:val="none"/>
                <w:lang w:val="en-US" w:eastAsia="zh-CN" w:bidi="ar"/>
              </w:rPr>
              <w:t>m</w:t>
            </w:r>
            <w:r>
              <w:rPr>
                <w:rFonts w:hint="default" w:ascii="Times New Roman" w:hAnsi="Times New Roman" w:cs="Times New Roman"/>
                <w:i w:val="0"/>
                <w:iCs w:val="0"/>
                <w:color w:val="auto"/>
                <w:kern w:val="0"/>
                <w:sz w:val="21"/>
                <w:szCs w:val="21"/>
                <w:highlight w:val="none"/>
                <w:u w:val="none"/>
                <w:vertAlign w:val="superscript"/>
                <w:lang w:val="en-US" w:eastAsia="zh-CN" w:bidi="ar"/>
              </w:rPr>
              <w:t>2</w:t>
            </w: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ECD2D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占总面积的比例（%）</w:t>
            </w:r>
          </w:p>
        </w:tc>
      </w:tr>
      <w:tr w14:paraId="292C21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6D2F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03</w:t>
            </w:r>
          </w:p>
        </w:tc>
        <w:tc>
          <w:tcPr>
            <w:tcW w:w="10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12CE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林地</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282A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0301</w:t>
            </w:r>
          </w:p>
        </w:tc>
        <w:tc>
          <w:tcPr>
            <w:tcW w:w="8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0561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乔木林地</w:t>
            </w:r>
          </w:p>
        </w:tc>
        <w:tc>
          <w:tcPr>
            <w:tcW w:w="8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9C08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0.1800</w:t>
            </w:r>
          </w:p>
        </w:tc>
        <w:tc>
          <w:tcPr>
            <w:tcW w:w="1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4BA69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7.09</w:t>
            </w:r>
          </w:p>
        </w:tc>
      </w:tr>
      <w:tr w14:paraId="368863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E7FE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06</w:t>
            </w:r>
          </w:p>
        </w:tc>
        <w:tc>
          <w:tcPr>
            <w:tcW w:w="10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73DF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工矿仓储用地</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9652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0602</w:t>
            </w:r>
          </w:p>
        </w:tc>
        <w:tc>
          <w:tcPr>
            <w:tcW w:w="8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5DAC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采矿用地</w:t>
            </w:r>
          </w:p>
        </w:tc>
        <w:tc>
          <w:tcPr>
            <w:tcW w:w="8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659B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2.3600</w:t>
            </w:r>
          </w:p>
        </w:tc>
        <w:tc>
          <w:tcPr>
            <w:tcW w:w="1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A9E24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92.91</w:t>
            </w:r>
          </w:p>
        </w:tc>
      </w:tr>
      <w:tr w14:paraId="458E38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2811"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AFF9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合计</w:t>
            </w:r>
          </w:p>
        </w:tc>
        <w:tc>
          <w:tcPr>
            <w:tcW w:w="8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0A8B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2.5400</w:t>
            </w:r>
          </w:p>
        </w:tc>
        <w:tc>
          <w:tcPr>
            <w:tcW w:w="1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8B5C4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100.00</w:t>
            </w:r>
          </w:p>
        </w:tc>
      </w:tr>
    </w:tbl>
    <w:p w14:paraId="4CC754E1">
      <w:pPr>
        <w:keepNext/>
        <w:keepLines/>
        <w:widowControl w:val="0"/>
        <w:spacing w:before="260" w:after="260" w:line="360" w:lineRule="auto"/>
        <w:outlineLvl w:val="1"/>
        <w:rPr>
          <w:rFonts w:hint="default" w:ascii="Times New Roman" w:hAnsi="Times New Roman" w:eastAsia="黑体" w:cs="Times New Roman"/>
          <w:bCs/>
          <w:color w:val="auto"/>
          <w:sz w:val="30"/>
          <w:szCs w:val="30"/>
          <w:highlight w:val="none"/>
        </w:rPr>
      </w:pPr>
      <w:bookmarkStart w:id="112" w:name="_Toc390"/>
      <w:r>
        <w:rPr>
          <w:rFonts w:hint="default" w:ascii="Times New Roman" w:hAnsi="Times New Roman" w:eastAsia="黑体" w:cs="Times New Roman"/>
          <w:bCs/>
          <w:color w:val="auto"/>
          <w:sz w:val="30"/>
          <w:szCs w:val="30"/>
          <w:highlight w:val="none"/>
        </w:rPr>
        <w:t>五、矿山及周边其他人类重大工程活动</w:t>
      </w:r>
      <w:bookmarkEnd w:id="110"/>
      <w:bookmarkEnd w:id="111"/>
      <w:bookmarkEnd w:id="112"/>
    </w:p>
    <w:p w14:paraId="6FC676AE">
      <w:pPr>
        <w:widowControl w:val="0"/>
        <w:spacing w:line="360" w:lineRule="auto"/>
        <w:ind w:firstLine="460" w:firstLineChars="192"/>
        <w:jc w:val="both"/>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区内人类工程活动主要是</w:t>
      </w:r>
      <w:r>
        <w:rPr>
          <w:rFonts w:hint="eastAsia" w:cs="Times New Roman"/>
          <w:color w:val="auto"/>
          <w:kern w:val="0"/>
          <w:sz w:val="24"/>
          <w:highlight w:val="none"/>
          <w:lang w:eastAsia="zh-CN"/>
        </w:rPr>
        <w:t>永吉县北大湖镇北大湖采石场</w:t>
      </w:r>
      <w:r>
        <w:rPr>
          <w:rFonts w:hint="default" w:ascii="Times New Roman" w:hAnsi="Times New Roman" w:cs="Times New Roman"/>
          <w:color w:val="auto"/>
          <w:kern w:val="0"/>
          <w:sz w:val="24"/>
          <w:highlight w:val="none"/>
        </w:rPr>
        <w:t xml:space="preserve">的开采及厂区建设，矿区内地表植被较发育，破坏地质环境的人类工程活动强度较强烈。 </w:t>
      </w:r>
    </w:p>
    <w:p w14:paraId="4D76A4A2">
      <w:pPr>
        <w:widowControl w:val="0"/>
        <w:spacing w:line="360" w:lineRule="auto"/>
        <w:ind w:firstLine="460" w:firstLineChars="192"/>
        <w:jc w:val="both"/>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矿山已正式开采多年，采矿活动对矿区地质环境影响较强烈。</w:t>
      </w:r>
    </w:p>
    <w:p w14:paraId="4E74E74B">
      <w:pPr>
        <w:keepNext/>
        <w:keepLines/>
        <w:widowControl w:val="0"/>
        <w:spacing w:before="260" w:after="260" w:line="360" w:lineRule="auto"/>
        <w:outlineLvl w:val="1"/>
        <w:rPr>
          <w:rFonts w:hint="default" w:ascii="Times New Roman" w:hAnsi="Times New Roman" w:eastAsia="黑体" w:cs="Times New Roman"/>
          <w:bCs/>
          <w:color w:val="auto"/>
          <w:sz w:val="30"/>
          <w:szCs w:val="30"/>
          <w:highlight w:val="none"/>
        </w:rPr>
      </w:pPr>
      <w:bookmarkStart w:id="113" w:name="_Toc8642"/>
      <w:bookmarkStart w:id="114" w:name="_Toc488075675"/>
      <w:bookmarkStart w:id="115" w:name="_Toc485629686"/>
      <w:r>
        <w:rPr>
          <w:rFonts w:hint="default" w:ascii="Times New Roman" w:hAnsi="Times New Roman" w:eastAsia="黑体" w:cs="Times New Roman"/>
          <w:bCs/>
          <w:color w:val="auto"/>
          <w:sz w:val="30"/>
          <w:szCs w:val="30"/>
          <w:highlight w:val="none"/>
        </w:rPr>
        <w:t>六、矿山及周边</w:t>
      </w:r>
      <w:bookmarkStart w:id="116" w:name="_Hlk59039667"/>
      <w:r>
        <w:rPr>
          <w:rFonts w:hint="default" w:ascii="Times New Roman" w:hAnsi="Times New Roman" w:eastAsia="黑体" w:cs="Times New Roman"/>
          <w:bCs/>
          <w:color w:val="auto"/>
          <w:sz w:val="30"/>
          <w:szCs w:val="30"/>
          <w:highlight w:val="none"/>
        </w:rPr>
        <w:t>矿山地质环境治理与土地复垦</w:t>
      </w:r>
      <w:bookmarkEnd w:id="116"/>
      <w:r>
        <w:rPr>
          <w:rFonts w:hint="default" w:ascii="Times New Roman" w:hAnsi="Times New Roman" w:eastAsia="黑体" w:cs="Times New Roman"/>
          <w:bCs/>
          <w:color w:val="auto"/>
          <w:sz w:val="30"/>
          <w:szCs w:val="30"/>
          <w:highlight w:val="none"/>
        </w:rPr>
        <w:t>案例分析</w:t>
      </w:r>
      <w:bookmarkEnd w:id="113"/>
      <w:bookmarkEnd w:id="114"/>
      <w:bookmarkEnd w:id="115"/>
    </w:p>
    <w:p w14:paraId="1E1723A8">
      <w:pPr>
        <w:pStyle w:val="5"/>
        <w:spacing w:line="360" w:lineRule="auto"/>
        <w:rPr>
          <w:rFonts w:hint="default" w:ascii="Times New Roman" w:hAnsi="Times New Roman" w:eastAsia="黑体" w:cs="Times New Roman"/>
          <w:b w:val="0"/>
          <w:bCs w:val="0"/>
          <w:color w:val="auto"/>
          <w:szCs w:val="28"/>
          <w:highlight w:val="none"/>
          <w:lang w:eastAsia="zh-CN"/>
        </w:rPr>
      </w:pPr>
      <w:r>
        <w:rPr>
          <w:rFonts w:hint="default" w:ascii="Times New Roman" w:hAnsi="Times New Roman" w:eastAsia="黑体" w:cs="Times New Roman"/>
          <w:b w:val="0"/>
          <w:bCs w:val="0"/>
          <w:color w:val="auto"/>
          <w:szCs w:val="28"/>
          <w:highlight w:val="none"/>
          <w:lang w:eastAsia="zh-CN"/>
        </w:rPr>
        <w:t>（一）矿山地质环境治理与土地复垦工作</w:t>
      </w:r>
    </w:p>
    <w:p w14:paraId="149ACF67">
      <w:pPr>
        <w:widowControl w:val="0"/>
        <w:spacing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201</w:t>
      </w:r>
      <w:r>
        <w:rPr>
          <w:rFonts w:hint="eastAsia" w:cs="Times New Roman"/>
          <w:color w:val="auto"/>
          <w:sz w:val="24"/>
          <w:highlight w:val="none"/>
          <w:lang w:val="en-US" w:eastAsia="zh-CN"/>
        </w:rPr>
        <w:t>5</w:t>
      </w:r>
      <w:r>
        <w:rPr>
          <w:rFonts w:hint="default" w:ascii="Times New Roman" w:hAnsi="Times New Roman" w:cs="Times New Roman"/>
          <w:color w:val="auto"/>
          <w:sz w:val="24"/>
          <w:highlight w:val="none"/>
        </w:rPr>
        <w:t>年</w:t>
      </w:r>
      <w:r>
        <w:rPr>
          <w:rFonts w:hint="eastAsia" w:cs="Times New Roman"/>
          <w:color w:val="auto"/>
          <w:sz w:val="24"/>
          <w:highlight w:val="none"/>
          <w:lang w:val="en-US" w:eastAsia="zh-CN"/>
        </w:rPr>
        <w:t>1</w:t>
      </w:r>
      <w:r>
        <w:rPr>
          <w:rFonts w:hint="default" w:ascii="Times New Roman" w:hAnsi="Times New Roman" w:cs="Times New Roman"/>
          <w:color w:val="auto"/>
          <w:sz w:val="24"/>
          <w:highlight w:val="none"/>
        </w:rPr>
        <w:t>月，吉林</w:t>
      </w:r>
      <w:r>
        <w:rPr>
          <w:rFonts w:hint="eastAsia" w:cs="Times New Roman"/>
          <w:color w:val="auto"/>
          <w:sz w:val="24"/>
          <w:highlight w:val="none"/>
          <w:lang w:val="en-US" w:eastAsia="zh-CN"/>
        </w:rPr>
        <w:t>省兴亚矿业公司</w:t>
      </w:r>
      <w:r>
        <w:rPr>
          <w:rFonts w:hint="default" w:ascii="Times New Roman" w:hAnsi="Times New Roman" w:cs="Times New Roman"/>
          <w:color w:val="auto"/>
          <w:sz w:val="24"/>
          <w:highlight w:val="none"/>
          <w:lang w:val="en-US" w:eastAsia="zh-CN"/>
        </w:rPr>
        <w:t>编制了</w:t>
      </w:r>
      <w:r>
        <w:rPr>
          <w:rFonts w:hint="default" w:ascii="Times New Roman" w:hAnsi="Times New Roman" w:cs="Times New Roman"/>
          <w:color w:val="auto"/>
          <w:sz w:val="24"/>
          <w:highlight w:val="none"/>
        </w:rPr>
        <w:t>《</w:t>
      </w:r>
      <w:r>
        <w:rPr>
          <w:rFonts w:hint="eastAsia" w:cs="Times New Roman"/>
          <w:color w:val="auto"/>
          <w:sz w:val="24"/>
          <w:highlight w:val="none"/>
          <w:lang w:eastAsia="zh-CN"/>
        </w:rPr>
        <w:t>吉林市晟拓工贸有限公司北大湖采石场</w:t>
      </w:r>
      <w:r>
        <w:rPr>
          <w:rFonts w:hint="eastAsia" w:cs="Times New Roman"/>
          <w:color w:val="auto"/>
          <w:sz w:val="24"/>
          <w:highlight w:val="none"/>
          <w:lang w:val="en-US" w:eastAsia="zh-CN"/>
        </w:rPr>
        <w:t>方解石矿</w:t>
      </w:r>
      <w:r>
        <w:rPr>
          <w:rFonts w:hint="default" w:ascii="Times New Roman" w:hAnsi="Times New Roman" w:cs="Times New Roman"/>
          <w:color w:val="auto"/>
          <w:sz w:val="24"/>
          <w:highlight w:val="none"/>
        </w:rPr>
        <w:t>矿山地质环境恢复治理与土地复垦方案》</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其具体内容分述如下：</w:t>
      </w:r>
    </w:p>
    <w:p w14:paraId="726D15FE">
      <w:pPr>
        <w:widowControl w:val="0"/>
        <w:spacing w:line="360" w:lineRule="auto"/>
        <w:ind w:firstLine="482" w:firstLineChars="200"/>
        <w:jc w:val="both"/>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原恢复治理部分：</w:t>
      </w:r>
    </w:p>
    <w:p w14:paraId="70BAB1F8">
      <w:pPr>
        <w:widowControl w:val="0"/>
        <w:spacing w:line="360" w:lineRule="auto"/>
        <w:ind w:firstLine="482" w:firstLineChars="200"/>
        <w:jc w:val="both"/>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1、矿山地质灾害防治工程</w:t>
      </w:r>
    </w:p>
    <w:p w14:paraId="7B1DFC86">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生产期间严格按设计要求进行开采， 并留有安全及清扫平台， 采场最终边坡角</w:t>
      </w:r>
      <w:r>
        <w:rPr>
          <w:rFonts w:hint="eastAsia" w:cs="Times New Roman"/>
          <w:color w:val="auto"/>
          <w:sz w:val="24"/>
          <w:highlight w:val="none"/>
          <w:lang w:val="en-US" w:eastAsia="zh-CN"/>
        </w:rPr>
        <w:t>小于</w:t>
      </w:r>
      <w:r>
        <w:rPr>
          <w:rFonts w:hint="default" w:ascii="Times New Roman" w:hAnsi="Times New Roman" w:cs="Times New Roman"/>
          <w:color w:val="auto"/>
          <w:sz w:val="24"/>
          <w:highlight w:val="none"/>
        </w:rPr>
        <w:t xml:space="preserve">设计要求。终采后，对最终台阶边坡采用人工定期巡查监测，对裂隙密集部位采取定点监测，主要监测裂隙张开度及充 填物的变化。生产期间工程量及费用计入生产成本，恢复治理期间的工程量及费用计入恢复治理投资估算。 </w:t>
      </w:r>
    </w:p>
    <w:p w14:paraId="7AA4C10F">
      <w:pPr>
        <w:spacing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2、地下水资源破坏防治工程</w:t>
      </w:r>
    </w:p>
    <w:p w14:paraId="5CBB61F2">
      <w:pPr>
        <w:widowControl w:val="0"/>
        <w:spacing w:line="360" w:lineRule="auto"/>
        <w:ind w:firstLine="480" w:firstLineChars="200"/>
        <w:jc w:val="both"/>
        <w:rPr>
          <w:rFonts w:hint="default" w:ascii="Times New Roman" w:hAnsi="Times New Roman" w:cs="Times New Roman"/>
          <w:bCs/>
          <w:color w:val="auto"/>
          <w:sz w:val="24"/>
          <w:highlight w:val="none"/>
        </w:rPr>
      </w:pPr>
      <w:r>
        <w:rPr>
          <w:rFonts w:hint="default" w:ascii="Times New Roman" w:hAnsi="Times New Roman" w:cs="Times New Roman"/>
          <w:snapToGrid w:val="0"/>
          <w:color w:val="auto"/>
          <w:kern w:val="0"/>
          <w:sz w:val="24"/>
          <w:highlight w:val="none"/>
        </w:rPr>
        <w:t>该矿山采场底盘标高为457m，当地侵蚀基准面标高为335m，相对高差122m，采矿活动不会影响地下水位和水质的变化，对地下水资源影响较轻，不需要专设防治工程。</w:t>
      </w:r>
    </w:p>
    <w:p w14:paraId="120713BF">
      <w:pPr>
        <w:numPr>
          <w:ilvl w:val="0"/>
          <w:numId w:val="0"/>
        </w:numPr>
        <w:spacing w:line="360" w:lineRule="auto"/>
        <w:ind w:left="780" w:leftChars="0" w:hanging="360" w:firstLineChars="0"/>
        <w:jc w:val="both"/>
        <w:rPr>
          <w:rFonts w:hint="default" w:ascii="Times New Roman" w:hAnsi="Times New Roman" w:cs="Times New Roman"/>
          <w:b/>
          <w:bCs/>
          <w:color w:val="auto"/>
          <w:sz w:val="24"/>
          <w:highlight w:val="none"/>
        </w:rPr>
      </w:pPr>
      <w:r>
        <w:rPr>
          <w:rFonts w:hint="default" w:ascii="Times New Roman" w:hAnsi="Times New Roman" w:cs="Times New Roman"/>
          <w:b/>
          <w:bCs/>
          <w:color w:val="auto"/>
          <w:kern w:val="2"/>
          <w:sz w:val="24"/>
          <w:szCs w:val="24"/>
          <w:highlight w:val="none"/>
          <w:lang w:val="en-US" w:eastAsia="zh-CN" w:bidi="ar-SA"/>
        </w:rPr>
        <w:t>3</w:t>
      </w:r>
      <w:r>
        <w:rPr>
          <w:rFonts w:hint="default" w:ascii="Times New Roman" w:hAnsi="Times New Roman" w:eastAsia="宋体" w:cs="Times New Roman"/>
          <w:b/>
          <w:bCs/>
          <w:color w:val="auto"/>
          <w:kern w:val="2"/>
          <w:sz w:val="24"/>
          <w:szCs w:val="24"/>
          <w:highlight w:val="none"/>
          <w:lang w:val="en-US" w:eastAsia="zh-CN" w:bidi="ar-SA"/>
        </w:rPr>
        <w:t>、</w:t>
      </w:r>
      <w:r>
        <w:rPr>
          <w:rFonts w:hint="default" w:ascii="Times New Roman" w:hAnsi="Times New Roman" w:cs="Times New Roman"/>
          <w:b/>
          <w:bCs/>
          <w:color w:val="auto"/>
          <w:sz w:val="24"/>
          <w:highlight w:val="none"/>
        </w:rPr>
        <w:t>地形地貌景观破坏防治工程</w:t>
      </w:r>
    </w:p>
    <w:p w14:paraId="0943E981">
      <w:pPr>
        <w:spacing w:line="360" w:lineRule="auto"/>
        <w:ind w:firstLine="480" w:firstLineChars="200"/>
        <w:jc w:val="both"/>
        <w:rPr>
          <w:rFonts w:hint="default" w:ascii="Times New Roman" w:hAnsi="Times New Roman" w:eastAsia="宋体" w:cs="Times New Roman"/>
          <w:snapToGrid w:val="0"/>
          <w:color w:val="auto"/>
          <w:kern w:val="0"/>
          <w:sz w:val="24"/>
          <w:highlight w:val="none"/>
          <w:lang w:val="en-US" w:eastAsia="zh-CN"/>
        </w:rPr>
      </w:pPr>
      <w:r>
        <w:rPr>
          <w:rFonts w:hint="eastAsia" w:cs="Times New Roman"/>
          <w:snapToGrid w:val="0"/>
          <w:color w:val="auto"/>
          <w:kern w:val="0"/>
          <w:sz w:val="24"/>
          <w:highlight w:val="none"/>
          <w:lang w:val="en-US" w:eastAsia="zh-CN"/>
        </w:rPr>
        <w:t>（1）</w:t>
      </w:r>
      <w:r>
        <w:rPr>
          <w:rFonts w:hint="default" w:ascii="Times New Roman" w:hAnsi="Times New Roman" w:eastAsia="宋体" w:cs="Times New Roman"/>
          <w:snapToGrid w:val="0"/>
          <w:color w:val="auto"/>
          <w:kern w:val="0"/>
          <w:sz w:val="24"/>
          <w:highlight w:val="none"/>
          <w:lang w:val="en-US" w:eastAsia="zh-CN"/>
        </w:rPr>
        <w:t>废渣填垫采坑</w:t>
      </w:r>
    </w:p>
    <w:p w14:paraId="7B4D5656">
      <w:pPr>
        <w:spacing w:line="360" w:lineRule="auto"/>
        <w:ind w:firstLine="480" w:firstLineChars="200"/>
        <w:jc w:val="both"/>
        <w:rPr>
          <w:rFonts w:hint="default" w:ascii="Times New Roman" w:hAnsi="Times New Roman" w:eastAsia="宋体" w:cs="Times New Roman"/>
          <w:snapToGrid w:val="0"/>
          <w:color w:val="auto"/>
          <w:kern w:val="0"/>
          <w:sz w:val="24"/>
          <w:highlight w:val="none"/>
          <w:lang w:val="en-US" w:eastAsia="zh-CN"/>
        </w:rPr>
      </w:pPr>
      <w:r>
        <w:rPr>
          <w:rFonts w:hint="default" w:ascii="Times New Roman" w:hAnsi="Times New Roman" w:eastAsia="宋体" w:cs="Times New Roman"/>
          <w:snapToGrid w:val="0"/>
          <w:color w:val="auto"/>
          <w:kern w:val="0"/>
          <w:sz w:val="24"/>
          <w:highlight w:val="none"/>
          <w:lang w:val="en-US" w:eastAsia="zh-CN"/>
        </w:rPr>
        <w:t>采场底盘为石质硬底，覆土前除充填建筑垃圾外，还需要填垫一定厚度的废渣，使其具有渗透、径流、排涝等调节水分的功能，废渣填垫厚度约0. lm左右， 装载机自卸汽车装运。</w:t>
      </w:r>
    </w:p>
    <w:p w14:paraId="035402BF">
      <w:pPr>
        <w:spacing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料场及入场道路的挖深较浅，仍处于基岩风化裂隙带以内，可直接覆土植树。</w:t>
      </w:r>
    </w:p>
    <w:p w14:paraId="79E95BB6">
      <w:pPr>
        <w:spacing w:line="360" w:lineRule="auto"/>
        <w:ind w:firstLine="480" w:firstLineChars="200"/>
        <w:jc w:val="both"/>
        <w:rPr>
          <w:rFonts w:hint="eastAsia" w:cs="Times New Roman"/>
          <w:color w:val="auto"/>
          <w:sz w:val="24"/>
          <w:highlight w:val="none"/>
          <w:lang w:eastAsia="zh-CN"/>
        </w:rPr>
      </w:pPr>
      <w:r>
        <w:rPr>
          <w:rFonts w:hint="eastAsia" w:cs="Times New Roman"/>
          <w:color w:val="auto"/>
          <w:sz w:val="24"/>
          <w:highlight w:val="none"/>
          <w:lang w:eastAsia="zh-CN"/>
        </w:rPr>
        <w:t>（</w:t>
      </w:r>
      <w:r>
        <w:rPr>
          <w:rFonts w:hint="eastAsia" w:cs="Times New Roman"/>
          <w:color w:val="auto"/>
          <w:sz w:val="24"/>
          <w:highlight w:val="none"/>
          <w:lang w:val="en-US" w:eastAsia="zh-CN"/>
        </w:rPr>
        <w:t>2</w:t>
      </w:r>
      <w:r>
        <w:rPr>
          <w:rFonts w:hint="eastAsia" w:cs="Times New Roman"/>
          <w:color w:val="auto"/>
          <w:sz w:val="24"/>
          <w:highlight w:val="none"/>
          <w:lang w:eastAsia="zh-CN"/>
        </w:rPr>
        <w:t>）场地平整工程</w:t>
      </w:r>
    </w:p>
    <w:p w14:paraId="05C6739F">
      <w:pPr>
        <w:spacing w:line="360" w:lineRule="auto"/>
        <w:ind w:firstLine="480" w:firstLineChars="200"/>
        <w:jc w:val="both"/>
        <w:rPr>
          <w:rFonts w:hint="default" w:cs="Times New Roman"/>
          <w:color w:val="auto"/>
          <w:sz w:val="24"/>
          <w:highlight w:val="none"/>
          <w:lang w:val="en-US" w:eastAsia="zh-CN"/>
        </w:rPr>
      </w:pPr>
      <w:r>
        <w:rPr>
          <w:rFonts w:hint="eastAsia" w:cs="Times New Roman"/>
          <w:color w:val="auto"/>
          <w:sz w:val="24"/>
          <w:highlight w:val="none"/>
          <w:lang w:val="en-US" w:eastAsia="zh-CN"/>
        </w:rPr>
        <w:t>采场底盘填垫废渣后采用推土机推平。</w:t>
      </w:r>
    </w:p>
    <w:p w14:paraId="50664456">
      <w:pPr>
        <w:spacing w:line="360" w:lineRule="auto"/>
        <w:ind w:firstLine="482" w:firstLineChars="200"/>
        <w:rPr>
          <w:rFonts w:hint="default" w:ascii="Times New Roman" w:hAnsi="Times New Roman" w:cs="Times New Roman"/>
          <w:b/>
          <w:bCs/>
          <w:color w:val="auto"/>
          <w:kern w:val="44"/>
          <w:sz w:val="24"/>
          <w:highlight w:val="none"/>
        </w:rPr>
      </w:pPr>
      <w:r>
        <w:rPr>
          <w:rFonts w:hint="eastAsia" w:cs="Times New Roman"/>
          <w:b/>
          <w:bCs/>
          <w:color w:val="auto"/>
          <w:sz w:val="24"/>
          <w:highlight w:val="none"/>
          <w:lang w:val="en-US" w:eastAsia="zh-CN"/>
        </w:rPr>
        <w:t>4</w:t>
      </w:r>
      <w:r>
        <w:rPr>
          <w:rFonts w:hint="default" w:ascii="Times New Roman" w:hAnsi="Times New Roman" w:cs="Times New Roman"/>
          <w:b/>
          <w:bCs/>
          <w:color w:val="auto"/>
          <w:sz w:val="24"/>
          <w:highlight w:val="none"/>
        </w:rPr>
        <w:t>、</w:t>
      </w:r>
      <w:r>
        <w:rPr>
          <w:rFonts w:hint="default" w:ascii="Times New Roman" w:hAnsi="Times New Roman" w:cs="Times New Roman"/>
          <w:b/>
          <w:bCs/>
          <w:color w:val="auto"/>
          <w:kern w:val="44"/>
          <w:sz w:val="24"/>
          <w:highlight w:val="none"/>
        </w:rPr>
        <w:t>矿山地质环境监测工程</w:t>
      </w:r>
    </w:p>
    <w:p w14:paraId="5BB7061A">
      <w:pPr>
        <w:spacing w:line="360" w:lineRule="auto"/>
        <w:ind w:firstLine="480" w:firstLineChars="200"/>
        <w:rPr>
          <w:rFonts w:hint="default" w:cs="Times New Roman"/>
          <w:color w:val="auto"/>
          <w:kern w:val="0"/>
          <w:sz w:val="24"/>
          <w:highlight w:val="none"/>
          <w:lang w:val="en-US" w:eastAsia="zh-CN"/>
        </w:rPr>
      </w:pPr>
      <w:r>
        <w:rPr>
          <w:rFonts w:hint="eastAsia" w:cs="Times New Roman"/>
          <w:color w:val="auto"/>
          <w:kern w:val="0"/>
          <w:sz w:val="24"/>
          <w:highlight w:val="none"/>
          <w:lang w:val="en-US" w:eastAsia="zh-CN"/>
        </w:rPr>
        <w:t>（1）监测内容</w:t>
      </w:r>
    </w:p>
    <w:p w14:paraId="551B793A">
      <w:pPr>
        <w:spacing w:line="360" w:lineRule="auto"/>
        <w:ind w:firstLine="480" w:firstLineChars="200"/>
        <w:rPr>
          <w:rFonts w:hint="default" w:ascii="Times New Roman" w:hAnsi="Times New Roman" w:cs="Times New Roman"/>
          <w:color w:val="auto"/>
          <w:kern w:val="0"/>
          <w:sz w:val="24"/>
          <w:highlight w:val="none"/>
          <w:lang w:val="en-US" w:eastAsia="zh-CN"/>
        </w:rPr>
      </w:pPr>
      <w:r>
        <w:rPr>
          <w:rFonts w:hint="eastAsia" w:cs="Times New Roman"/>
          <w:color w:val="auto"/>
          <w:kern w:val="0"/>
          <w:sz w:val="24"/>
          <w:highlight w:val="none"/>
          <w:lang w:val="en-US" w:eastAsia="zh-CN"/>
        </w:rPr>
        <w:t>采矿可能引发的地质环境问题为岩体边坡崩塌，监测对象为最终台阶及渣堆边坡。</w:t>
      </w:r>
    </w:p>
    <w:p w14:paraId="48296397">
      <w:pPr>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cs="Times New Roman"/>
          <w:color w:val="auto"/>
          <w:kern w:val="0"/>
          <w:sz w:val="24"/>
          <w:highlight w:val="none"/>
          <w:lang w:eastAsia="zh-CN"/>
        </w:rPr>
        <w:t>（</w:t>
      </w:r>
      <w:r>
        <w:rPr>
          <w:rFonts w:hint="eastAsia" w:cs="Times New Roman"/>
          <w:color w:val="auto"/>
          <w:kern w:val="0"/>
          <w:sz w:val="24"/>
          <w:highlight w:val="none"/>
          <w:lang w:val="en-US" w:eastAsia="zh-CN"/>
        </w:rPr>
        <w:t>2</w:t>
      </w:r>
      <w:r>
        <w:rPr>
          <w:rFonts w:hint="default" w:ascii="Times New Roman" w:hAnsi="Times New Roman" w:cs="Times New Roman"/>
          <w:color w:val="auto"/>
          <w:kern w:val="0"/>
          <w:sz w:val="24"/>
          <w:highlight w:val="none"/>
          <w:lang w:eastAsia="zh-CN"/>
        </w:rPr>
        <w:t>）</w:t>
      </w:r>
      <w:r>
        <w:rPr>
          <w:rFonts w:hint="eastAsia" w:cs="Times New Roman"/>
          <w:color w:val="auto"/>
          <w:kern w:val="0"/>
          <w:sz w:val="24"/>
          <w:highlight w:val="none"/>
          <w:lang w:val="en-US" w:eastAsia="zh-CN"/>
        </w:rPr>
        <w:t>监测方法</w:t>
      </w:r>
    </w:p>
    <w:p w14:paraId="7335D74E">
      <w:pPr>
        <w:spacing w:line="360" w:lineRule="auto"/>
        <w:ind w:firstLine="480" w:firstLineChars="200"/>
        <w:rPr>
          <w:rFonts w:hint="default" w:ascii="Times New Roman" w:hAnsi="Times New Roman" w:cs="Times New Roman"/>
          <w:color w:val="auto"/>
          <w:kern w:val="0"/>
          <w:sz w:val="24"/>
          <w:highlight w:val="none"/>
        </w:rPr>
      </w:pPr>
      <w:r>
        <w:rPr>
          <w:rFonts w:hint="eastAsia" w:cs="Times New Roman"/>
          <w:color w:val="auto"/>
          <w:kern w:val="0"/>
          <w:sz w:val="24"/>
          <w:highlight w:val="none"/>
          <w:lang w:val="en-US" w:eastAsia="zh-CN"/>
        </w:rPr>
        <w:t>采用人工定期巡查、量测的方法</w:t>
      </w:r>
      <w:r>
        <w:rPr>
          <w:rFonts w:hint="default" w:ascii="Times New Roman" w:hAnsi="Times New Roman" w:cs="Times New Roman"/>
          <w:color w:val="auto"/>
          <w:kern w:val="0"/>
          <w:sz w:val="24"/>
          <w:highlight w:val="none"/>
        </w:rPr>
        <w:t xml:space="preserve">。 </w:t>
      </w:r>
    </w:p>
    <w:p w14:paraId="0FBF4A08">
      <w:pPr>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cs="Times New Roman"/>
          <w:color w:val="auto"/>
          <w:kern w:val="0"/>
          <w:sz w:val="24"/>
          <w:highlight w:val="none"/>
          <w:lang w:eastAsia="zh-CN"/>
        </w:rPr>
        <w:t>（</w:t>
      </w:r>
      <w:r>
        <w:rPr>
          <w:rFonts w:hint="eastAsia" w:cs="Times New Roman"/>
          <w:color w:val="auto"/>
          <w:kern w:val="0"/>
          <w:sz w:val="24"/>
          <w:highlight w:val="none"/>
          <w:lang w:val="en-US" w:eastAsia="zh-CN"/>
        </w:rPr>
        <w:t>3</w:t>
      </w:r>
      <w:r>
        <w:rPr>
          <w:rFonts w:hint="default" w:ascii="Times New Roman" w:hAnsi="Times New Roman" w:cs="Times New Roman"/>
          <w:color w:val="auto"/>
          <w:kern w:val="0"/>
          <w:sz w:val="24"/>
          <w:highlight w:val="none"/>
          <w:lang w:eastAsia="zh-CN"/>
        </w:rPr>
        <w:t>）</w:t>
      </w:r>
      <w:r>
        <w:rPr>
          <w:rFonts w:hint="eastAsia" w:cs="Times New Roman"/>
          <w:color w:val="auto"/>
          <w:kern w:val="0"/>
          <w:sz w:val="24"/>
          <w:highlight w:val="none"/>
          <w:lang w:val="en-US" w:eastAsia="zh-CN"/>
        </w:rPr>
        <w:t>监测频率</w:t>
      </w:r>
    </w:p>
    <w:p w14:paraId="32BC40C0">
      <w:pPr>
        <w:spacing w:line="360" w:lineRule="auto"/>
        <w:ind w:firstLine="480" w:firstLineChars="200"/>
        <w:rPr>
          <w:rFonts w:hint="default" w:ascii="Times New Roman" w:hAnsi="Times New Roman" w:cs="Times New Roman"/>
          <w:color w:val="auto"/>
          <w:kern w:val="0"/>
          <w:sz w:val="24"/>
          <w:highlight w:val="none"/>
        </w:rPr>
      </w:pPr>
      <w:r>
        <w:rPr>
          <w:rFonts w:hint="eastAsia" w:cs="Times New Roman"/>
          <w:color w:val="auto"/>
          <w:kern w:val="0"/>
          <w:sz w:val="24"/>
          <w:highlight w:val="none"/>
          <w:lang w:val="en-US" w:eastAsia="zh-CN"/>
        </w:rPr>
        <w:t>每月监测2次，雨后监测频率增加50%</w:t>
      </w:r>
      <w:r>
        <w:rPr>
          <w:rFonts w:hint="default" w:ascii="Times New Roman" w:hAnsi="Times New Roman" w:cs="Times New Roman"/>
          <w:color w:val="auto"/>
          <w:kern w:val="0"/>
          <w:sz w:val="24"/>
          <w:highlight w:val="none"/>
        </w:rPr>
        <w:t>。</w:t>
      </w:r>
    </w:p>
    <w:p w14:paraId="1C51E551">
      <w:pPr>
        <w:keepNext w:val="0"/>
        <w:keepLines w:val="0"/>
        <w:pageBreakBefore w:val="0"/>
        <w:kinsoku/>
        <w:wordWrap/>
        <w:overflowPunct/>
        <w:topLinePunct w:val="0"/>
        <w:autoSpaceDE/>
        <w:autoSpaceDN/>
        <w:bidi w:val="0"/>
        <w:adjustRightInd/>
        <w:snapToGrid/>
        <w:spacing w:line="0" w:lineRule="atLeast"/>
        <w:ind w:firstLine="420" w:firstLineChars="200"/>
        <w:jc w:val="center"/>
        <w:textAlignment w:val="auto"/>
        <w:rPr>
          <w:rFonts w:hint="default" w:ascii="Times New Roman" w:hAnsi="Times New Roman" w:eastAsia="黑体" w:cs="Times New Roman"/>
          <w:b w:val="0"/>
          <w:bCs/>
          <w:color w:val="auto"/>
          <w:sz w:val="21"/>
          <w:szCs w:val="21"/>
          <w:highlight w:val="none"/>
        </w:rPr>
      </w:pPr>
      <w:r>
        <w:rPr>
          <w:rFonts w:hint="default" w:ascii="Times New Roman" w:hAnsi="Times New Roman" w:eastAsia="黑体" w:cs="Times New Roman"/>
          <w:b w:val="0"/>
          <w:bCs/>
          <w:color w:val="auto"/>
          <w:sz w:val="21"/>
          <w:szCs w:val="21"/>
          <w:highlight w:val="none"/>
          <w:lang w:val="en-US" w:eastAsia="zh-CN"/>
        </w:rPr>
        <w:t>表2</w:t>
      </w:r>
      <w:r>
        <w:rPr>
          <w:rFonts w:hint="eastAsia" w:ascii="Times New Roman" w:hAnsi="Times New Roman" w:eastAsia="黑体" w:cs="Times New Roman"/>
          <w:b w:val="0"/>
          <w:bCs/>
          <w:color w:val="auto"/>
          <w:sz w:val="21"/>
          <w:szCs w:val="21"/>
          <w:highlight w:val="none"/>
          <w:lang w:val="en-US" w:eastAsia="zh-CN"/>
        </w:rPr>
        <w:t>-2</w:t>
      </w:r>
      <w:r>
        <w:rPr>
          <w:rFonts w:hint="default" w:ascii="Times New Roman" w:hAnsi="Times New Roman" w:eastAsia="黑体" w:cs="Times New Roman"/>
          <w:b w:val="0"/>
          <w:bCs/>
          <w:color w:val="auto"/>
          <w:sz w:val="21"/>
          <w:szCs w:val="21"/>
          <w:highlight w:val="none"/>
          <w:lang w:val="en-US" w:eastAsia="zh-CN"/>
        </w:rPr>
        <w:t xml:space="preserve">  上期方案</w:t>
      </w:r>
      <w:r>
        <w:rPr>
          <w:rFonts w:hint="default" w:ascii="Times New Roman" w:hAnsi="Times New Roman" w:eastAsia="黑体" w:cs="Times New Roman"/>
          <w:b w:val="0"/>
          <w:bCs/>
          <w:color w:val="auto"/>
          <w:sz w:val="21"/>
          <w:szCs w:val="21"/>
          <w:highlight w:val="none"/>
        </w:rPr>
        <w:t>矿山地质环境防治工程工程量统计表</w:t>
      </w:r>
    </w:p>
    <w:tbl>
      <w:tblPr>
        <w:tblStyle w:val="3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7"/>
        <w:gridCol w:w="3003"/>
        <w:gridCol w:w="2322"/>
        <w:gridCol w:w="2322"/>
      </w:tblGrid>
      <w:tr w14:paraId="33C4A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tblHeader/>
        </w:trPr>
        <w:tc>
          <w:tcPr>
            <w:tcW w:w="882" w:type="pct"/>
            <w:vAlign w:val="center"/>
          </w:tcPr>
          <w:p w14:paraId="55DB6011">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分区</w:t>
            </w:r>
          </w:p>
        </w:tc>
        <w:tc>
          <w:tcPr>
            <w:tcW w:w="1617" w:type="pct"/>
            <w:vAlign w:val="center"/>
          </w:tcPr>
          <w:p w14:paraId="25F467C1">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工程名称</w:t>
            </w:r>
          </w:p>
        </w:tc>
        <w:tc>
          <w:tcPr>
            <w:tcW w:w="1250" w:type="pct"/>
            <w:vAlign w:val="center"/>
          </w:tcPr>
          <w:p w14:paraId="00ACC4CF">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单位</w:t>
            </w:r>
          </w:p>
        </w:tc>
        <w:tc>
          <w:tcPr>
            <w:tcW w:w="1250" w:type="pct"/>
            <w:vAlign w:val="center"/>
          </w:tcPr>
          <w:p w14:paraId="7D40FBEB">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数量</w:t>
            </w:r>
          </w:p>
        </w:tc>
      </w:tr>
      <w:tr w14:paraId="051B0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882" w:type="pct"/>
            <w:vMerge w:val="restart"/>
            <w:vAlign w:val="center"/>
          </w:tcPr>
          <w:p w14:paraId="15BB0F66">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露天采场</w:t>
            </w:r>
          </w:p>
        </w:tc>
        <w:tc>
          <w:tcPr>
            <w:tcW w:w="1617" w:type="pct"/>
            <w:vAlign w:val="center"/>
          </w:tcPr>
          <w:p w14:paraId="3B4BBAC7">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一、地形地貌整治工程</w:t>
            </w:r>
          </w:p>
        </w:tc>
        <w:tc>
          <w:tcPr>
            <w:tcW w:w="1250" w:type="pct"/>
            <w:vAlign w:val="center"/>
          </w:tcPr>
          <w:p w14:paraId="1DBDF2AF">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vertAlign w:val="baseline"/>
              </w:rPr>
            </w:pPr>
          </w:p>
        </w:tc>
        <w:tc>
          <w:tcPr>
            <w:tcW w:w="1250" w:type="pct"/>
            <w:vAlign w:val="center"/>
          </w:tcPr>
          <w:p w14:paraId="3DB3EF27">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vertAlign w:val="baseline"/>
              </w:rPr>
            </w:pPr>
          </w:p>
        </w:tc>
      </w:tr>
      <w:tr w14:paraId="2C668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882" w:type="pct"/>
            <w:vMerge w:val="continue"/>
            <w:vAlign w:val="center"/>
          </w:tcPr>
          <w:p w14:paraId="13CA837E">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vertAlign w:val="baseline"/>
              </w:rPr>
            </w:pPr>
          </w:p>
        </w:tc>
        <w:tc>
          <w:tcPr>
            <w:tcW w:w="1617" w:type="pct"/>
            <w:vAlign w:val="center"/>
          </w:tcPr>
          <w:p w14:paraId="1AA04502">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1、采场回填建筑垃圾</w:t>
            </w:r>
          </w:p>
        </w:tc>
        <w:tc>
          <w:tcPr>
            <w:tcW w:w="1250" w:type="pct"/>
            <w:vAlign w:val="center"/>
          </w:tcPr>
          <w:p w14:paraId="0EEA6A95">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m</w:t>
            </w:r>
            <w:r>
              <w:rPr>
                <w:rFonts w:hint="default" w:ascii="Times New Roman" w:hAnsi="Times New Roman" w:eastAsia="宋体" w:cs="Times New Roman"/>
                <w:b w:val="0"/>
                <w:bCs/>
                <w:color w:val="auto"/>
                <w:sz w:val="21"/>
                <w:szCs w:val="21"/>
                <w:highlight w:val="none"/>
                <w:vertAlign w:val="superscript"/>
                <w:lang w:val="en-US" w:eastAsia="zh-CN"/>
              </w:rPr>
              <w:t>3</w:t>
            </w:r>
          </w:p>
        </w:tc>
        <w:tc>
          <w:tcPr>
            <w:tcW w:w="1250" w:type="pct"/>
            <w:vAlign w:val="center"/>
          </w:tcPr>
          <w:p w14:paraId="22B01A1B">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300</w:t>
            </w:r>
          </w:p>
        </w:tc>
      </w:tr>
      <w:tr w14:paraId="727D2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882" w:type="pct"/>
            <w:vMerge w:val="continue"/>
            <w:vAlign w:val="center"/>
          </w:tcPr>
          <w:p w14:paraId="5C791517">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vertAlign w:val="baseline"/>
              </w:rPr>
            </w:pPr>
          </w:p>
        </w:tc>
        <w:tc>
          <w:tcPr>
            <w:tcW w:w="1617" w:type="pct"/>
            <w:vAlign w:val="center"/>
          </w:tcPr>
          <w:p w14:paraId="285215C9">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2、采场回填废渣</w:t>
            </w:r>
          </w:p>
        </w:tc>
        <w:tc>
          <w:tcPr>
            <w:tcW w:w="1250" w:type="pct"/>
            <w:vAlign w:val="center"/>
          </w:tcPr>
          <w:p w14:paraId="6E347D7F">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vertAlign w:val="baseline"/>
              </w:rPr>
            </w:pPr>
            <w:r>
              <w:rPr>
                <w:rFonts w:hint="default" w:ascii="Times New Roman" w:hAnsi="Times New Roman" w:eastAsia="宋体" w:cs="Times New Roman"/>
                <w:b w:val="0"/>
                <w:bCs/>
                <w:color w:val="auto"/>
                <w:sz w:val="21"/>
                <w:szCs w:val="21"/>
                <w:highlight w:val="none"/>
                <w:vertAlign w:val="baseline"/>
                <w:lang w:val="en-US" w:eastAsia="zh-CN"/>
              </w:rPr>
              <w:t>m</w:t>
            </w:r>
            <w:r>
              <w:rPr>
                <w:rFonts w:hint="default" w:ascii="Times New Roman" w:hAnsi="Times New Roman" w:eastAsia="宋体" w:cs="Times New Roman"/>
                <w:b w:val="0"/>
                <w:bCs/>
                <w:color w:val="auto"/>
                <w:sz w:val="21"/>
                <w:szCs w:val="21"/>
                <w:highlight w:val="none"/>
                <w:vertAlign w:val="superscript"/>
                <w:lang w:val="en-US" w:eastAsia="zh-CN"/>
              </w:rPr>
              <w:t>3</w:t>
            </w:r>
          </w:p>
        </w:tc>
        <w:tc>
          <w:tcPr>
            <w:tcW w:w="1250" w:type="pct"/>
            <w:vAlign w:val="center"/>
          </w:tcPr>
          <w:p w14:paraId="5D3039C9">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1019</w:t>
            </w:r>
          </w:p>
        </w:tc>
      </w:tr>
      <w:tr w14:paraId="4B332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882" w:type="pct"/>
            <w:vMerge w:val="continue"/>
            <w:vAlign w:val="center"/>
          </w:tcPr>
          <w:p w14:paraId="5CA45AA8">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vertAlign w:val="baseline"/>
              </w:rPr>
            </w:pPr>
          </w:p>
        </w:tc>
        <w:tc>
          <w:tcPr>
            <w:tcW w:w="1617" w:type="pct"/>
            <w:vAlign w:val="center"/>
          </w:tcPr>
          <w:p w14:paraId="5A8D7D05">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3、采场场地平整</w:t>
            </w:r>
          </w:p>
        </w:tc>
        <w:tc>
          <w:tcPr>
            <w:tcW w:w="1250" w:type="pct"/>
            <w:vAlign w:val="center"/>
          </w:tcPr>
          <w:p w14:paraId="7BD10693">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vertAlign w:val="baseline"/>
              </w:rPr>
            </w:pPr>
            <w:r>
              <w:rPr>
                <w:rFonts w:hint="default" w:ascii="Times New Roman" w:hAnsi="Times New Roman" w:eastAsia="宋体" w:cs="Times New Roman"/>
                <w:b w:val="0"/>
                <w:bCs/>
                <w:color w:val="auto"/>
                <w:sz w:val="21"/>
                <w:szCs w:val="21"/>
                <w:highlight w:val="none"/>
                <w:vertAlign w:val="baseline"/>
                <w:lang w:val="en-US" w:eastAsia="zh-CN"/>
              </w:rPr>
              <w:t>m</w:t>
            </w:r>
            <w:r>
              <w:rPr>
                <w:rFonts w:hint="default" w:ascii="Times New Roman" w:hAnsi="Times New Roman" w:eastAsia="宋体" w:cs="Times New Roman"/>
                <w:b w:val="0"/>
                <w:bCs/>
                <w:color w:val="auto"/>
                <w:sz w:val="21"/>
                <w:szCs w:val="21"/>
                <w:highlight w:val="none"/>
                <w:vertAlign w:val="superscript"/>
                <w:lang w:val="en-US" w:eastAsia="zh-CN"/>
              </w:rPr>
              <w:t>3</w:t>
            </w:r>
          </w:p>
        </w:tc>
        <w:tc>
          <w:tcPr>
            <w:tcW w:w="1250" w:type="pct"/>
            <w:vAlign w:val="center"/>
          </w:tcPr>
          <w:p w14:paraId="229234C3">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1019</w:t>
            </w:r>
          </w:p>
        </w:tc>
      </w:tr>
      <w:tr w14:paraId="5472C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882" w:type="pct"/>
            <w:vMerge w:val="restart"/>
            <w:vAlign w:val="center"/>
          </w:tcPr>
          <w:p w14:paraId="5F305D4E">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工业区</w:t>
            </w:r>
          </w:p>
        </w:tc>
        <w:tc>
          <w:tcPr>
            <w:tcW w:w="1617" w:type="pct"/>
            <w:vAlign w:val="center"/>
          </w:tcPr>
          <w:p w14:paraId="74EB0F25">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一、地形地貌整治工程</w:t>
            </w:r>
          </w:p>
        </w:tc>
        <w:tc>
          <w:tcPr>
            <w:tcW w:w="1250" w:type="pct"/>
            <w:vAlign w:val="center"/>
          </w:tcPr>
          <w:p w14:paraId="5D885AD3">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vertAlign w:val="baseline"/>
              </w:rPr>
            </w:pPr>
          </w:p>
        </w:tc>
        <w:tc>
          <w:tcPr>
            <w:tcW w:w="1250" w:type="pct"/>
            <w:vAlign w:val="center"/>
          </w:tcPr>
          <w:p w14:paraId="51357126">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vertAlign w:val="baseline"/>
              </w:rPr>
            </w:pPr>
          </w:p>
        </w:tc>
      </w:tr>
      <w:tr w14:paraId="7AE32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882" w:type="pct"/>
            <w:vMerge w:val="continue"/>
            <w:vAlign w:val="center"/>
          </w:tcPr>
          <w:p w14:paraId="1AFF9801">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vertAlign w:val="baseline"/>
              </w:rPr>
            </w:pPr>
          </w:p>
        </w:tc>
        <w:tc>
          <w:tcPr>
            <w:tcW w:w="1617" w:type="pct"/>
            <w:vAlign w:val="center"/>
          </w:tcPr>
          <w:p w14:paraId="67F09826">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拆除建筑物</w:t>
            </w:r>
          </w:p>
        </w:tc>
        <w:tc>
          <w:tcPr>
            <w:tcW w:w="1250" w:type="pct"/>
            <w:vAlign w:val="center"/>
          </w:tcPr>
          <w:p w14:paraId="3EF92B42">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vertAlign w:val="baseline"/>
              </w:rPr>
            </w:pPr>
            <w:r>
              <w:rPr>
                <w:rFonts w:hint="default" w:ascii="Times New Roman" w:hAnsi="Times New Roman" w:eastAsia="宋体" w:cs="Times New Roman"/>
                <w:b w:val="0"/>
                <w:bCs/>
                <w:color w:val="auto"/>
                <w:sz w:val="21"/>
                <w:szCs w:val="21"/>
                <w:highlight w:val="none"/>
                <w:vertAlign w:val="baseline"/>
                <w:lang w:val="en-US" w:eastAsia="zh-CN"/>
              </w:rPr>
              <w:t>m</w:t>
            </w:r>
            <w:r>
              <w:rPr>
                <w:rFonts w:hint="default" w:ascii="Times New Roman" w:hAnsi="Times New Roman" w:eastAsia="宋体" w:cs="Times New Roman"/>
                <w:b w:val="0"/>
                <w:bCs/>
                <w:color w:val="auto"/>
                <w:sz w:val="21"/>
                <w:szCs w:val="21"/>
                <w:highlight w:val="none"/>
                <w:vertAlign w:val="superscript"/>
                <w:lang w:val="en-US" w:eastAsia="zh-CN"/>
              </w:rPr>
              <w:t>3</w:t>
            </w:r>
          </w:p>
        </w:tc>
        <w:tc>
          <w:tcPr>
            <w:tcW w:w="1250" w:type="pct"/>
            <w:vAlign w:val="center"/>
          </w:tcPr>
          <w:p w14:paraId="167D3EE3">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300</w:t>
            </w:r>
          </w:p>
        </w:tc>
      </w:tr>
    </w:tbl>
    <w:p w14:paraId="32ACA270">
      <w:pPr>
        <w:widowControl w:val="0"/>
        <w:spacing w:line="360" w:lineRule="auto"/>
        <w:jc w:val="both"/>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矿山地质环境恢复治理方案的费用为</w:t>
      </w:r>
      <w:r>
        <w:rPr>
          <w:rFonts w:hint="eastAsia" w:cs="Times New Roman"/>
          <w:b/>
          <w:color w:val="auto"/>
          <w:kern w:val="0"/>
          <w:sz w:val="24"/>
          <w:highlight w:val="none"/>
          <w:lang w:val="en-US" w:eastAsia="zh-CN"/>
        </w:rPr>
        <w:t>5.34</w:t>
      </w:r>
      <w:r>
        <w:rPr>
          <w:rFonts w:hint="default" w:ascii="Times New Roman" w:hAnsi="Times New Roman" w:cs="Times New Roman"/>
          <w:b/>
          <w:color w:val="auto"/>
          <w:sz w:val="24"/>
          <w:highlight w:val="none"/>
        </w:rPr>
        <w:t>万元。</w:t>
      </w:r>
    </w:p>
    <w:p w14:paraId="78DF4CC8">
      <w:pPr>
        <w:widowControl w:val="0"/>
        <w:spacing w:line="360" w:lineRule="auto"/>
        <w:ind w:firstLine="482" w:firstLineChars="200"/>
        <w:jc w:val="both"/>
        <w:rPr>
          <w:rFonts w:hint="default" w:ascii="Times New Roman" w:hAnsi="Times New Roman" w:cs="Times New Roman"/>
          <w:color w:val="auto"/>
          <w:sz w:val="24"/>
          <w:highlight w:val="none"/>
        </w:rPr>
      </w:pPr>
      <w:r>
        <w:rPr>
          <w:rFonts w:hint="default" w:ascii="Times New Roman" w:hAnsi="Times New Roman" w:cs="Times New Roman"/>
          <w:b/>
          <w:bCs/>
          <w:color w:val="auto"/>
          <w:sz w:val="24"/>
          <w:highlight w:val="none"/>
        </w:rPr>
        <w:t>原土地复</w:t>
      </w:r>
      <w:r>
        <w:rPr>
          <w:rFonts w:hint="default" w:ascii="Times New Roman" w:hAnsi="Times New Roman" w:cs="Times New Roman"/>
          <w:b/>
          <w:color w:val="auto"/>
          <w:sz w:val="24"/>
          <w:highlight w:val="none"/>
        </w:rPr>
        <w:t>垦部分</w:t>
      </w:r>
      <w:r>
        <w:rPr>
          <w:rFonts w:hint="default" w:ascii="Times New Roman" w:hAnsi="Times New Roman" w:cs="Times New Roman"/>
          <w:color w:val="auto"/>
          <w:sz w:val="24"/>
          <w:highlight w:val="none"/>
        </w:rPr>
        <w:t>：</w:t>
      </w:r>
    </w:p>
    <w:p w14:paraId="2EA98E63">
      <w:pPr>
        <w:numPr>
          <w:ilvl w:val="0"/>
          <w:numId w:val="0"/>
        </w:numPr>
        <w:spacing w:line="360" w:lineRule="auto"/>
        <w:ind w:firstLine="482" w:firstLineChars="200"/>
        <w:rPr>
          <w:rFonts w:hint="default" w:ascii="Times New Roman" w:hAnsi="Times New Roman" w:cs="Times New Roman"/>
          <w:b/>
          <w:bCs/>
          <w:color w:val="auto"/>
          <w:sz w:val="24"/>
          <w:highlight w:val="none"/>
          <w:lang w:val="en-US" w:eastAsia="zh-CN"/>
        </w:rPr>
      </w:pPr>
      <w:r>
        <w:rPr>
          <w:rFonts w:hint="default" w:ascii="Times New Roman" w:hAnsi="Times New Roman" w:eastAsia="宋体" w:cs="Times New Roman"/>
          <w:b/>
          <w:bCs/>
          <w:color w:val="auto"/>
          <w:kern w:val="2"/>
          <w:sz w:val="24"/>
          <w:szCs w:val="24"/>
          <w:highlight w:val="none"/>
          <w:lang w:val="en-US" w:eastAsia="zh-CN" w:bidi="ar-SA"/>
        </w:rPr>
        <w:t>1、</w:t>
      </w:r>
      <w:r>
        <w:rPr>
          <w:rFonts w:hint="default" w:ascii="Times New Roman" w:hAnsi="Times New Roman" w:cs="Times New Roman"/>
          <w:b/>
          <w:bCs/>
          <w:color w:val="auto"/>
          <w:sz w:val="24"/>
          <w:highlight w:val="none"/>
          <w:lang w:val="en-US" w:eastAsia="zh-CN"/>
        </w:rPr>
        <w:t>土地复垦工程</w:t>
      </w:r>
    </w:p>
    <w:p w14:paraId="2034B246">
      <w:pPr>
        <w:numPr>
          <w:ilvl w:val="0"/>
          <w:numId w:val="0"/>
        </w:numPr>
        <w:spacing w:line="360" w:lineRule="auto"/>
        <w:ind w:firstLine="480" w:firstLineChars="200"/>
        <w:rPr>
          <w:rFonts w:hint="default" w:cs="Times New Roman"/>
          <w:color w:val="auto"/>
          <w:sz w:val="24"/>
          <w:highlight w:val="none"/>
          <w:lang w:val="en-US" w:eastAsia="zh-CN"/>
        </w:rPr>
      </w:pPr>
      <w:r>
        <w:rPr>
          <w:rFonts w:hint="eastAsia" w:cs="Times New Roman"/>
          <w:color w:val="auto"/>
          <w:sz w:val="24"/>
          <w:highlight w:val="none"/>
          <w:lang w:eastAsia="zh-CN"/>
        </w:rPr>
        <w:t>（</w:t>
      </w:r>
      <w:r>
        <w:rPr>
          <w:rFonts w:hint="eastAsia" w:cs="Times New Roman"/>
          <w:color w:val="auto"/>
          <w:sz w:val="24"/>
          <w:highlight w:val="none"/>
          <w:lang w:val="en-US" w:eastAsia="zh-CN"/>
        </w:rPr>
        <w:t>1</w:t>
      </w:r>
      <w:r>
        <w:rPr>
          <w:rFonts w:hint="eastAsia" w:cs="Times New Roman"/>
          <w:color w:val="auto"/>
          <w:sz w:val="24"/>
          <w:highlight w:val="none"/>
          <w:lang w:eastAsia="zh-CN"/>
        </w:rPr>
        <w:t>）</w:t>
      </w:r>
      <w:r>
        <w:rPr>
          <w:rFonts w:hint="eastAsia" w:cs="Times New Roman"/>
          <w:color w:val="auto"/>
          <w:sz w:val="24"/>
          <w:highlight w:val="none"/>
          <w:lang w:val="en-US" w:eastAsia="zh-CN"/>
        </w:rPr>
        <w:t>采场工程设计</w:t>
      </w:r>
    </w:p>
    <w:p w14:paraId="65654C93">
      <w:pPr>
        <w:numPr>
          <w:ilvl w:val="0"/>
          <w:numId w:val="0"/>
        </w:num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先用废渣填垫厚度0.1m左右，填垫面积1.02hm</w:t>
      </w:r>
      <w:r>
        <w:rPr>
          <w:rFonts w:hint="eastAsia" w:cs="Times New Roman"/>
          <w:color w:val="auto"/>
          <w:sz w:val="24"/>
          <w:highlight w:val="none"/>
          <w:vertAlign w:val="superscript"/>
          <w:lang w:val="en-US" w:eastAsia="zh-CN"/>
        </w:rPr>
        <w:t>2</w:t>
      </w:r>
      <w:r>
        <w:rPr>
          <w:rFonts w:hint="eastAsia" w:cs="Times New Roman"/>
          <w:color w:val="auto"/>
          <w:sz w:val="24"/>
          <w:highlight w:val="none"/>
          <w:lang w:eastAsia="zh-CN"/>
        </w:rPr>
        <w:t>，</w:t>
      </w:r>
      <w:r>
        <w:rPr>
          <w:rFonts w:hint="eastAsia" w:cs="Times New Roman"/>
          <w:color w:val="auto"/>
          <w:sz w:val="24"/>
          <w:highlight w:val="none"/>
          <w:lang w:val="en-US" w:eastAsia="zh-CN"/>
        </w:rPr>
        <w:t>回填废渣1019m</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w:t>
      </w:r>
      <w:r>
        <w:rPr>
          <w:rFonts w:hint="default" w:ascii="Times New Roman" w:hAnsi="Times New Roman" w:cs="Times New Roman"/>
          <w:color w:val="auto"/>
          <w:sz w:val="24"/>
          <w:highlight w:val="none"/>
        </w:rPr>
        <w:t xml:space="preserve"> </w:t>
      </w:r>
      <w:r>
        <w:rPr>
          <w:rFonts w:hint="eastAsia" w:cs="Times New Roman"/>
          <w:color w:val="auto"/>
          <w:sz w:val="24"/>
          <w:highlight w:val="none"/>
          <w:lang w:val="en-US" w:eastAsia="zh-CN"/>
        </w:rPr>
        <w:t>装载机自卸汽车装运。采场底部覆土3056m</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，平台覆土2274m</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，覆土取自前期玻璃的表土。覆土后栽植落叶松，裸根苗栽方式，栽植密度2500株/hm</w:t>
      </w:r>
      <w:r>
        <w:rPr>
          <w:rFonts w:hint="eastAsia" w:cs="Times New Roman"/>
          <w:color w:val="auto"/>
          <w:sz w:val="24"/>
          <w:highlight w:val="none"/>
          <w:vertAlign w:val="superscript"/>
          <w:lang w:val="en-US" w:eastAsia="zh-CN"/>
        </w:rPr>
        <w:t>2</w:t>
      </w:r>
      <w:r>
        <w:rPr>
          <w:rFonts w:hint="eastAsia" w:cs="Times New Roman"/>
          <w:color w:val="auto"/>
          <w:sz w:val="24"/>
          <w:highlight w:val="none"/>
          <w:lang w:val="en-US" w:eastAsia="zh-CN"/>
        </w:rPr>
        <w:t>，需栽植4886株。</w:t>
      </w:r>
    </w:p>
    <w:p w14:paraId="647A1219">
      <w:pPr>
        <w:numPr>
          <w:ilvl w:val="0"/>
          <w:numId w:val="0"/>
        </w:numPr>
        <w:spacing w:line="360" w:lineRule="auto"/>
        <w:ind w:firstLine="480" w:firstLineChars="200"/>
        <w:rPr>
          <w:rFonts w:hint="eastAsia" w:cs="Times New Roman"/>
          <w:color w:val="auto"/>
          <w:sz w:val="24"/>
          <w:highlight w:val="none"/>
          <w:lang w:val="en-US" w:eastAsia="zh-CN"/>
        </w:rPr>
      </w:pPr>
      <w:r>
        <w:rPr>
          <w:rFonts w:hint="eastAsia" w:cs="Times New Roman"/>
          <w:color w:val="auto"/>
          <w:sz w:val="24"/>
          <w:highlight w:val="none"/>
          <w:lang w:eastAsia="zh-CN"/>
        </w:rPr>
        <w:t>（</w:t>
      </w:r>
      <w:r>
        <w:rPr>
          <w:rFonts w:hint="eastAsia" w:cs="Times New Roman"/>
          <w:color w:val="auto"/>
          <w:sz w:val="24"/>
          <w:highlight w:val="none"/>
          <w:lang w:val="en-US" w:eastAsia="zh-CN"/>
        </w:rPr>
        <w:t>2</w:t>
      </w:r>
      <w:r>
        <w:rPr>
          <w:rFonts w:hint="eastAsia" w:cs="Times New Roman"/>
          <w:color w:val="auto"/>
          <w:sz w:val="24"/>
          <w:highlight w:val="none"/>
          <w:lang w:eastAsia="zh-CN"/>
        </w:rPr>
        <w:t>）</w:t>
      </w:r>
      <w:r>
        <w:rPr>
          <w:rFonts w:hint="eastAsia" w:cs="Times New Roman"/>
          <w:color w:val="auto"/>
          <w:sz w:val="24"/>
          <w:highlight w:val="none"/>
          <w:lang w:val="en-US" w:eastAsia="zh-CN"/>
        </w:rPr>
        <w:t>工业场地工程设计</w:t>
      </w:r>
    </w:p>
    <w:p w14:paraId="1675E55A">
      <w:pPr>
        <w:numPr>
          <w:ilvl w:val="0"/>
          <w:numId w:val="0"/>
        </w:num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总覆土量9531m</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，装载机自卸汽车装运。覆土后栽植落叶松，裸根苗栽方式，栽植密度2500株/hm</w:t>
      </w:r>
      <w:r>
        <w:rPr>
          <w:rFonts w:hint="eastAsia" w:cs="Times New Roman"/>
          <w:color w:val="auto"/>
          <w:sz w:val="24"/>
          <w:highlight w:val="none"/>
          <w:vertAlign w:val="superscript"/>
          <w:lang w:val="en-US" w:eastAsia="zh-CN"/>
        </w:rPr>
        <w:t>2</w:t>
      </w:r>
      <w:r>
        <w:rPr>
          <w:rFonts w:hint="eastAsia" w:cs="Times New Roman"/>
          <w:color w:val="auto"/>
          <w:sz w:val="24"/>
          <w:highlight w:val="none"/>
          <w:lang w:val="en-US" w:eastAsia="zh-CN"/>
        </w:rPr>
        <w:t>，需栽植4991株。</w:t>
      </w:r>
    </w:p>
    <w:p w14:paraId="4C44D0B8">
      <w:pPr>
        <w:spacing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2、</w:t>
      </w:r>
      <w:r>
        <w:rPr>
          <w:rFonts w:hint="default" w:ascii="Times New Roman" w:hAnsi="Times New Roman" w:cs="Times New Roman"/>
          <w:b/>
          <w:bCs/>
          <w:color w:val="auto"/>
          <w:kern w:val="44"/>
          <w:sz w:val="24"/>
          <w:highlight w:val="none"/>
        </w:rPr>
        <w:t>监测</w:t>
      </w:r>
      <w:r>
        <w:rPr>
          <w:rFonts w:hint="eastAsia" w:cs="Times New Roman"/>
          <w:b/>
          <w:bCs/>
          <w:color w:val="auto"/>
          <w:kern w:val="44"/>
          <w:sz w:val="24"/>
          <w:highlight w:val="none"/>
          <w:lang w:val="en-US" w:eastAsia="zh-CN"/>
        </w:rPr>
        <w:t>管护</w:t>
      </w:r>
      <w:r>
        <w:rPr>
          <w:rFonts w:hint="default" w:ascii="Times New Roman" w:hAnsi="Times New Roman" w:cs="Times New Roman"/>
          <w:b/>
          <w:bCs/>
          <w:color w:val="auto"/>
          <w:kern w:val="44"/>
          <w:sz w:val="24"/>
          <w:highlight w:val="none"/>
        </w:rPr>
        <w:t>措施</w:t>
      </w:r>
    </w:p>
    <w:p w14:paraId="51C817F2">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复垦监测工作每年监测2次，累计监测8</w:t>
      </w:r>
      <w:r>
        <w:rPr>
          <w:rFonts w:hint="eastAsia" w:cs="Times New Roman"/>
          <w:color w:val="auto"/>
          <w:sz w:val="24"/>
          <w:highlight w:val="none"/>
          <w:lang w:val="en-US" w:eastAsia="zh-CN"/>
        </w:rPr>
        <w:t>次</w:t>
      </w:r>
      <w:r>
        <w:rPr>
          <w:rFonts w:hint="default" w:ascii="Times New Roman" w:hAnsi="Times New Roman" w:cs="Times New Roman"/>
          <w:color w:val="auto"/>
          <w:sz w:val="24"/>
          <w:highlight w:val="none"/>
        </w:rPr>
        <w:t>。林地管护工作累计3年</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 xml:space="preserve"> </w:t>
      </w:r>
    </w:p>
    <w:p w14:paraId="04E0D90B">
      <w:pPr>
        <w:keepNext w:val="0"/>
        <w:keepLines w:val="0"/>
        <w:pageBreakBefore w:val="0"/>
        <w:kinsoku/>
        <w:wordWrap/>
        <w:overflowPunct/>
        <w:topLinePunct w:val="0"/>
        <w:autoSpaceDE/>
        <w:autoSpaceDN/>
        <w:bidi w:val="0"/>
        <w:adjustRightInd/>
        <w:snapToGrid/>
        <w:spacing w:line="0" w:lineRule="atLeast"/>
        <w:ind w:firstLine="420" w:firstLineChars="200"/>
        <w:jc w:val="center"/>
        <w:textAlignment w:val="auto"/>
        <w:rPr>
          <w:rFonts w:hint="default" w:ascii="Times New Roman" w:hAnsi="Times New Roman" w:eastAsia="黑体" w:cs="Times New Roman"/>
          <w:b w:val="0"/>
          <w:bCs/>
          <w:color w:val="auto"/>
          <w:sz w:val="21"/>
          <w:szCs w:val="21"/>
          <w:highlight w:val="none"/>
          <w:lang w:val="en-US" w:eastAsia="zh-CN"/>
        </w:rPr>
      </w:pPr>
      <w:r>
        <w:rPr>
          <w:rFonts w:hint="default" w:ascii="Times New Roman" w:hAnsi="Times New Roman" w:eastAsia="黑体" w:cs="Times New Roman"/>
          <w:b w:val="0"/>
          <w:bCs/>
          <w:color w:val="auto"/>
          <w:sz w:val="21"/>
          <w:szCs w:val="21"/>
          <w:highlight w:val="none"/>
          <w:lang w:val="en-US" w:eastAsia="zh-CN"/>
        </w:rPr>
        <w:t>表2-</w:t>
      </w:r>
      <w:r>
        <w:rPr>
          <w:rFonts w:hint="eastAsia" w:ascii="Times New Roman" w:hAnsi="Times New Roman" w:eastAsia="黑体" w:cs="Times New Roman"/>
          <w:b w:val="0"/>
          <w:bCs/>
          <w:color w:val="auto"/>
          <w:sz w:val="21"/>
          <w:szCs w:val="21"/>
          <w:highlight w:val="none"/>
          <w:lang w:val="en-US" w:eastAsia="zh-CN"/>
        </w:rPr>
        <w:t>3</w:t>
      </w:r>
      <w:r>
        <w:rPr>
          <w:rFonts w:hint="default" w:ascii="Times New Roman" w:hAnsi="Times New Roman" w:eastAsia="黑体" w:cs="Times New Roman"/>
          <w:b w:val="0"/>
          <w:bCs/>
          <w:color w:val="auto"/>
          <w:sz w:val="21"/>
          <w:szCs w:val="21"/>
          <w:highlight w:val="none"/>
          <w:lang w:val="en-US" w:eastAsia="zh-CN"/>
        </w:rPr>
        <w:t xml:space="preserve">  上期方案土地复垦工程量表</w:t>
      </w:r>
    </w:p>
    <w:tbl>
      <w:tblPr>
        <w:tblStyle w:val="3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7"/>
        <w:gridCol w:w="3003"/>
        <w:gridCol w:w="2322"/>
        <w:gridCol w:w="2322"/>
      </w:tblGrid>
      <w:tr w14:paraId="7B54E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882" w:type="pct"/>
            <w:vAlign w:val="center"/>
          </w:tcPr>
          <w:p w14:paraId="519CF5B7">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分区</w:t>
            </w:r>
          </w:p>
        </w:tc>
        <w:tc>
          <w:tcPr>
            <w:tcW w:w="1617" w:type="pct"/>
            <w:vAlign w:val="center"/>
          </w:tcPr>
          <w:p w14:paraId="5745B909">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工程名称</w:t>
            </w:r>
          </w:p>
        </w:tc>
        <w:tc>
          <w:tcPr>
            <w:tcW w:w="1250" w:type="pct"/>
            <w:vAlign w:val="center"/>
          </w:tcPr>
          <w:p w14:paraId="54C06C4E">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单位</w:t>
            </w:r>
          </w:p>
        </w:tc>
        <w:tc>
          <w:tcPr>
            <w:tcW w:w="1250" w:type="pct"/>
            <w:vAlign w:val="center"/>
          </w:tcPr>
          <w:p w14:paraId="72A7DBA6">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数量</w:t>
            </w:r>
          </w:p>
        </w:tc>
      </w:tr>
      <w:tr w14:paraId="2CA1F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882" w:type="pct"/>
            <w:vMerge w:val="restart"/>
            <w:vAlign w:val="center"/>
          </w:tcPr>
          <w:p w14:paraId="4C2C9FCA">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露天采场</w:t>
            </w:r>
          </w:p>
        </w:tc>
        <w:tc>
          <w:tcPr>
            <w:tcW w:w="1617" w:type="pct"/>
            <w:vAlign w:val="center"/>
          </w:tcPr>
          <w:p w14:paraId="7A48DE39">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一、地形地貌整治工程</w:t>
            </w:r>
          </w:p>
        </w:tc>
        <w:tc>
          <w:tcPr>
            <w:tcW w:w="1250" w:type="pct"/>
            <w:vAlign w:val="center"/>
          </w:tcPr>
          <w:p w14:paraId="00865344">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vertAlign w:val="baseline"/>
              </w:rPr>
            </w:pPr>
          </w:p>
        </w:tc>
        <w:tc>
          <w:tcPr>
            <w:tcW w:w="1250" w:type="pct"/>
            <w:vAlign w:val="center"/>
          </w:tcPr>
          <w:p w14:paraId="550A38B6">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vertAlign w:val="baseline"/>
              </w:rPr>
            </w:pPr>
          </w:p>
        </w:tc>
      </w:tr>
      <w:tr w14:paraId="7E7B3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882" w:type="pct"/>
            <w:vMerge w:val="continue"/>
            <w:vAlign w:val="center"/>
          </w:tcPr>
          <w:p w14:paraId="191A38CF">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vertAlign w:val="baseline"/>
              </w:rPr>
            </w:pPr>
          </w:p>
        </w:tc>
        <w:tc>
          <w:tcPr>
            <w:tcW w:w="1617" w:type="pct"/>
            <w:vAlign w:val="center"/>
          </w:tcPr>
          <w:p w14:paraId="01E2FBCD">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1、</w:t>
            </w:r>
            <w:r>
              <w:rPr>
                <w:rFonts w:hint="eastAsia" w:cs="Times New Roman"/>
                <w:b w:val="0"/>
                <w:bCs/>
                <w:color w:val="auto"/>
                <w:sz w:val="21"/>
                <w:szCs w:val="21"/>
                <w:highlight w:val="none"/>
                <w:vertAlign w:val="baseline"/>
                <w:lang w:val="en-US" w:eastAsia="zh-CN"/>
              </w:rPr>
              <w:t>采场场地平整</w:t>
            </w:r>
          </w:p>
        </w:tc>
        <w:tc>
          <w:tcPr>
            <w:tcW w:w="1250" w:type="pct"/>
            <w:vAlign w:val="center"/>
          </w:tcPr>
          <w:p w14:paraId="76DDA71C">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m</w:t>
            </w:r>
            <w:r>
              <w:rPr>
                <w:rFonts w:hint="default" w:ascii="Times New Roman" w:hAnsi="Times New Roman" w:eastAsia="宋体" w:cs="Times New Roman"/>
                <w:b w:val="0"/>
                <w:bCs/>
                <w:color w:val="auto"/>
                <w:sz w:val="21"/>
                <w:szCs w:val="21"/>
                <w:highlight w:val="none"/>
                <w:vertAlign w:val="superscript"/>
                <w:lang w:val="en-US" w:eastAsia="zh-CN"/>
              </w:rPr>
              <w:t>3</w:t>
            </w:r>
          </w:p>
        </w:tc>
        <w:tc>
          <w:tcPr>
            <w:tcW w:w="1250" w:type="pct"/>
            <w:vAlign w:val="center"/>
          </w:tcPr>
          <w:p w14:paraId="062E84C2">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5330</w:t>
            </w:r>
          </w:p>
        </w:tc>
      </w:tr>
      <w:tr w14:paraId="0E60D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882" w:type="pct"/>
            <w:vMerge w:val="continue"/>
            <w:vAlign w:val="center"/>
          </w:tcPr>
          <w:p w14:paraId="6A4728B8">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vertAlign w:val="baseline"/>
              </w:rPr>
            </w:pPr>
          </w:p>
        </w:tc>
        <w:tc>
          <w:tcPr>
            <w:tcW w:w="1617" w:type="pct"/>
            <w:vAlign w:val="center"/>
          </w:tcPr>
          <w:p w14:paraId="007A540E">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覆土</w:t>
            </w:r>
          </w:p>
        </w:tc>
        <w:tc>
          <w:tcPr>
            <w:tcW w:w="1250" w:type="pct"/>
            <w:vAlign w:val="center"/>
          </w:tcPr>
          <w:p w14:paraId="36B308EB">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vertAlign w:val="baseline"/>
              </w:rPr>
            </w:pPr>
            <w:r>
              <w:rPr>
                <w:rFonts w:hint="default" w:ascii="Times New Roman" w:hAnsi="Times New Roman" w:eastAsia="宋体" w:cs="Times New Roman"/>
                <w:b w:val="0"/>
                <w:bCs/>
                <w:color w:val="auto"/>
                <w:sz w:val="21"/>
                <w:szCs w:val="21"/>
                <w:highlight w:val="none"/>
                <w:vertAlign w:val="baseline"/>
                <w:lang w:val="en-US" w:eastAsia="zh-CN"/>
              </w:rPr>
              <w:t>m</w:t>
            </w:r>
            <w:r>
              <w:rPr>
                <w:rFonts w:hint="default" w:ascii="Times New Roman" w:hAnsi="Times New Roman" w:eastAsia="宋体" w:cs="Times New Roman"/>
                <w:b w:val="0"/>
                <w:bCs/>
                <w:color w:val="auto"/>
                <w:sz w:val="21"/>
                <w:szCs w:val="21"/>
                <w:highlight w:val="none"/>
                <w:vertAlign w:val="superscript"/>
                <w:lang w:val="en-US" w:eastAsia="zh-CN"/>
              </w:rPr>
              <w:t>3</w:t>
            </w:r>
          </w:p>
        </w:tc>
        <w:tc>
          <w:tcPr>
            <w:tcW w:w="1250" w:type="pct"/>
            <w:vAlign w:val="center"/>
          </w:tcPr>
          <w:p w14:paraId="47585E7D">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5330</w:t>
            </w:r>
          </w:p>
        </w:tc>
      </w:tr>
      <w:tr w14:paraId="63742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882" w:type="pct"/>
            <w:vMerge w:val="continue"/>
            <w:vAlign w:val="center"/>
          </w:tcPr>
          <w:p w14:paraId="42C6E61B">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vertAlign w:val="baseline"/>
              </w:rPr>
            </w:pPr>
          </w:p>
        </w:tc>
        <w:tc>
          <w:tcPr>
            <w:tcW w:w="1617" w:type="pct"/>
            <w:vAlign w:val="center"/>
          </w:tcPr>
          <w:p w14:paraId="2219ECD6">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二</w:t>
            </w:r>
            <w:r>
              <w:rPr>
                <w:rFonts w:hint="default" w:ascii="Times New Roman" w:hAnsi="Times New Roman" w:eastAsia="宋体" w:cs="Times New Roman"/>
                <w:b w:val="0"/>
                <w:bCs/>
                <w:color w:val="auto"/>
                <w:sz w:val="21"/>
                <w:szCs w:val="21"/>
                <w:highlight w:val="none"/>
                <w:vertAlign w:val="baseline"/>
                <w:lang w:val="en-US" w:eastAsia="zh-CN"/>
              </w:rPr>
              <w:t>、</w:t>
            </w:r>
            <w:r>
              <w:rPr>
                <w:rFonts w:hint="eastAsia" w:cs="Times New Roman"/>
                <w:b w:val="0"/>
                <w:bCs/>
                <w:color w:val="auto"/>
                <w:sz w:val="21"/>
                <w:szCs w:val="21"/>
                <w:highlight w:val="none"/>
                <w:vertAlign w:val="baseline"/>
                <w:lang w:val="en-US" w:eastAsia="zh-CN"/>
              </w:rPr>
              <w:t>植被绿化</w:t>
            </w:r>
          </w:p>
        </w:tc>
        <w:tc>
          <w:tcPr>
            <w:tcW w:w="1250" w:type="pct"/>
            <w:vAlign w:val="center"/>
          </w:tcPr>
          <w:p w14:paraId="487594F0">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vertAlign w:val="baseline"/>
              </w:rPr>
            </w:pPr>
            <w:r>
              <w:rPr>
                <w:rFonts w:hint="default" w:ascii="Times New Roman" w:hAnsi="Times New Roman" w:eastAsia="宋体" w:cs="Times New Roman"/>
                <w:b w:val="0"/>
                <w:bCs/>
                <w:color w:val="auto"/>
                <w:sz w:val="21"/>
                <w:szCs w:val="21"/>
                <w:highlight w:val="none"/>
                <w:vertAlign w:val="baseline"/>
                <w:lang w:val="en-US" w:eastAsia="zh-CN"/>
              </w:rPr>
              <w:t>m</w:t>
            </w:r>
            <w:r>
              <w:rPr>
                <w:rFonts w:hint="default" w:ascii="Times New Roman" w:hAnsi="Times New Roman" w:eastAsia="宋体" w:cs="Times New Roman"/>
                <w:b w:val="0"/>
                <w:bCs/>
                <w:color w:val="auto"/>
                <w:sz w:val="21"/>
                <w:szCs w:val="21"/>
                <w:highlight w:val="none"/>
                <w:vertAlign w:val="superscript"/>
                <w:lang w:val="en-US" w:eastAsia="zh-CN"/>
              </w:rPr>
              <w:t>3</w:t>
            </w:r>
          </w:p>
        </w:tc>
        <w:tc>
          <w:tcPr>
            <w:tcW w:w="1250" w:type="pct"/>
            <w:vAlign w:val="center"/>
          </w:tcPr>
          <w:p w14:paraId="3325B8D6">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r>
      <w:tr w14:paraId="70387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882" w:type="pct"/>
            <w:vAlign w:val="center"/>
          </w:tcPr>
          <w:p w14:paraId="5532FA6A">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vertAlign w:val="baseline"/>
              </w:rPr>
            </w:pPr>
          </w:p>
        </w:tc>
        <w:tc>
          <w:tcPr>
            <w:tcW w:w="1617" w:type="pct"/>
            <w:vAlign w:val="center"/>
          </w:tcPr>
          <w:p w14:paraId="4F469107">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植树</w:t>
            </w:r>
          </w:p>
        </w:tc>
        <w:tc>
          <w:tcPr>
            <w:tcW w:w="1250" w:type="pct"/>
            <w:vAlign w:val="center"/>
          </w:tcPr>
          <w:p w14:paraId="18E102C1">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1250" w:type="pct"/>
            <w:vAlign w:val="center"/>
          </w:tcPr>
          <w:p w14:paraId="158B2534">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4886</w:t>
            </w:r>
          </w:p>
        </w:tc>
      </w:tr>
      <w:tr w14:paraId="1A9B1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882" w:type="pct"/>
            <w:vMerge w:val="restart"/>
            <w:vAlign w:val="center"/>
          </w:tcPr>
          <w:p w14:paraId="5A1EEBFE">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工业区</w:t>
            </w:r>
          </w:p>
        </w:tc>
        <w:tc>
          <w:tcPr>
            <w:tcW w:w="1617" w:type="pct"/>
            <w:vAlign w:val="center"/>
          </w:tcPr>
          <w:p w14:paraId="6F8FAE69">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一、地形地貌整治工程</w:t>
            </w:r>
          </w:p>
        </w:tc>
        <w:tc>
          <w:tcPr>
            <w:tcW w:w="1250" w:type="pct"/>
            <w:vAlign w:val="center"/>
          </w:tcPr>
          <w:p w14:paraId="5D535AE0">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vertAlign w:val="baseline"/>
              </w:rPr>
            </w:pPr>
            <w:r>
              <w:rPr>
                <w:rFonts w:hint="eastAsia" w:cs="Times New Roman"/>
                <w:b w:val="0"/>
                <w:bCs/>
                <w:color w:val="auto"/>
                <w:sz w:val="21"/>
                <w:szCs w:val="21"/>
                <w:highlight w:val="none"/>
                <w:vertAlign w:val="baseline"/>
                <w:lang w:val="en-US" w:eastAsia="zh-CN"/>
              </w:rPr>
              <w:t>株</w:t>
            </w:r>
          </w:p>
        </w:tc>
        <w:tc>
          <w:tcPr>
            <w:tcW w:w="1250" w:type="pct"/>
            <w:vAlign w:val="center"/>
          </w:tcPr>
          <w:p w14:paraId="53985E26">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vertAlign w:val="baseline"/>
              </w:rPr>
            </w:pPr>
          </w:p>
        </w:tc>
      </w:tr>
      <w:tr w14:paraId="12237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882" w:type="pct"/>
            <w:vMerge w:val="continue"/>
            <w:vAlign w:val="center"/>
          </w:tcPr>
          <w:p w14:paraId="0B6B818F">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vertAlign w:val="baseline"/>
              </w:rPr>
            </w:pPr>
          </w:p>
        </w:tc>
        <w:tc>
          <w:tcPr>
            <w:tcW w:w="1617" w:type="pct"/>
            <w:vAlign w:val="center"/>
          </w:tcPr>
          <w:p w14:paraId="4AB052AB">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覆土</w:t>
            </w:r>
          </w:p>
        </w:tc>
        <w:tc>
          <w:tcPr>
            <w:tcW w:w="1250" w:type="pct"/>
            <w:vAlign w:val="center"/>
          </w:tcPr>
          <w:p w14:paraId="3CBECFAB">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vertAlign w:val="baseline"/>
              </w:rPr>
            </w:pPr>
            <w:r>
              <w:rPr>
                <w:rFonts w:hint="default" w:ascii="Times New Roman" w:hAnsi="Times New Roman" w:eastAsia="宋体" w:cs="Times New Roman"/>
                <w:b w:val="0"/>
                <w:bCs/>
                <w:color w:val="auto"/>
                <w:sz w:val="21"/>
                <w:szCs w:val="21"/>
                <w:highlight w:val="none"/>
                <w:vertAlign w:val="baseline"/>
                <w:lang w:val="en-US" w:eastAsia="zh-CN"/>
              </w:rPr>
              <w:t>m</w:t>
            </w:r>
            <w:r>
              <w:rPr>
                <w:rFonts w:hint="default" w:ascii="Times New Roman" w:hAnsi="Times New Roman" w:eastAsia="宋体" w:cs="Times New Roman"/>
                <w:b w:val="0"/>
                <w:bCs/>
                <w:color w:val="auto"/>
                <w:sz w:val="21"/>
                <w:szCs w:val="21"/>
                <w:highlight w:val="none"/>
                <w:vertAlign w:val="superscript"/>
                <w:lang w:val="en-US" w:eastAsia="zh-CN"/>
              </w:rPr>
              <w:t>3</w:t>
            </w:r>
          </w:p>
        </w:tc>
        <w:tc>
          <w:tcPr>
            <w:tcW w:w="1250" w:type="pct"/>
            <w:vAlign w:val="center"/>
          </w:tcPr>
          <w:p w14:paraId="3E591099">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9531</w:t>
            </w:r>
          </w:p>
        </w:tc>
      </w:tr>
      <w:tr w14:paraId="71E44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882" w:type="pct"/>
            <w:vAlign w:val="center"/>
          </w:tcPr>
          <w:p w14:paraId="701C9891">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vertAlign w:val="baseline"/>
              </w:rPr>
            </w:pPr>
          </w:p>
        </w:tc>
        <w:tc>
          <w:tcPr>
            <w:tcW w:w="1617" w:type="pct"/>
            <w:vAlign w:val="center"/>
          </w:tcPr>
          <w:p w14:paraId="747B1828">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植树</w:t>
            </w:r>
          </w:p>
        </w:tc>
        <w:tc>
          <w:tcPr>
            <w:tcW w:w="1250" w:type="pct"/>
            <w:vAlign w:val="center"/>
          </w:tcPr>
          <w:p w14:paraId="31F71837">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株</w:t>
            </w:r>
          </w:p>
        </w:tc>
        <w:tc>
          <w:tcPr>
            <w:tcW w:w="1250" w:type="pct"/>
            <w:vAlign w:val="center"/>
          </w:tcPr>
          <w:p w14:paraId="46C51D83">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4991</w:t>
            </w:r>
          </w:p>
        </w:tc>
      </w:tr>
      <w:tr w14:paraId="012EB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882" w:type="pct"/>
            <w:vAlign w:val="center"/>
          </w:tcPr>
          <w:p w14:paraId="510B79BE">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vertAlign w:val="baseline"/>
              </w:rPr>
            </w:pPr>
          </w:p>
        </w:tc>
        <w:tc>
          <w:tcPr>
            <w:tcW w:w="1617" w:type="pct"/>
            <w:vAlign w:val="center"/>
          </w:tcPr>
          <w:p w14:paraId="532EB528">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剥离与管护</w:t>
            </w:r>
          </w:p>
        </w:tc>
        <w:tc>
          <w:tcPr>
            <w:tcW w:w="1250" w:type="pct"/>
            <w:vAlign w:val="center"/>
          </w:tcPr>
          <w:p w14:paraId="25D0A39C">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m</w:t>
            </w:r>
            <w:r>
              <w:rPr>
                <w:rFonts w:hint="default" w:ascii="Times New Roman" w:hAnsi="Times New Roman" w:eastAsia="宋体" w:cs="Times New Roman"/>
                <w:b w:val="0"/>
                <w:bCs/>
                <w:color w:val="auto"/>
                <w:sz w:val="21"/>
                <w:szCs w:val="21"/>
                <w:highlight w:val="none"/>
                <w:vertAlign w:val="superscript"/>
                <w:lang w:val="en-US" w:eastAsia="zh-CN"/>
              </w:rPr>
              <w:t>3</w:t>
            </w:r>
          </w:p>
        </w:tc>
        <w:tc>
          <w:tcPr>
            <w:tcW w:w="1250" w:type="pct"/>
            <w:vAlign w:val="center"/>
          </w:tcPr>
          <w:p w14:paraId="58E22AA1">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15390</w:t>
            </w:r>
          </w:p>
        </w:tc>
      </w:tr>
    </w:tbl>
    <w:p w14:paraId="2A38657F">
      <w:pPr>
        <w:widowControl w:val="0"/>
        <w:spacing w:line="360" w:lineRule="auto"/>
        <w:jc w:val="both"/>
        <w:rPr>
          <w:rFonts w:hint="default" w:ascii="Times New Roman" w:hAnsi="Times New Roman" w:cs="Times New Roman"/>
          <w:b/>
          <w:bCs/>
          <w:color w:val="auto"/>
          <w:sz w:val="24"/>
          <w:highlight w:val="none"/>
        </w:rPr>
      </w:pPr>
      <w:r>
        <w:rPr>
          <w:rFonts w:hint="default" w:ascii="Times New Roman" w:hAnsi="Times New Roman" w:cs="Times New Roman"/>
          <w:b/>
          <w:color w:val="auto"/>
          <w:sz w:val="24"/>
          <w:highlight w:val="none"/>
        </w:rPr>
        <w:t>土地复垦资金动态总投资为动态投资</w:t>
      </w:r>
      <w:r>
        <w:rPr>
          <w:rFonts w:hint="eastAsia" w:cs="Times New Roman"/>
          <w:b/>
          <w:color w:val="auto"/>
          <w:sz w:val="24"/>
          <w:highlight w:val="none"/>
          <w:lang w:val="en-US" w:eastAsia="zh-CN"/>
        </w:rPr>
        <w:t>41.56</w:t>
      </w:r>
      <w:r>
        <w:rPr>
          <w:rFonts w:hint="default" w:ascii="Times New Roman" w:hAnsi="Times New Roman" w:cs="Times New Roman"/>
          <w:b/>
          <w:color w:val="auto"/>
          <w:sz w:val="24"/>
          <w:highlight w:val="none"/>
        </w:rPr>
        <w:t>万元，静态投资</w:t>
      </w:r>
      <w:r>
        <w:rPr>
          <w:rFonts w:hint="eastAsia" w:cs="Times New Roman"/>
          <w:b/>
          <w:color w:val="auto"/>
          <w:sz w:val="24"/>
          <w:highlight w:val="none"/>
          <w:lang w:val="en-US" w:eastAsia="zh-CN"/>
        </w:rPr>
        <w:t>48.04</w:t>
      </w:r>
      <w:r>
        <w:rPr>
          <w:rFonts w:hint="default" w:ascii="Times New Roman" w:hAnsi="Times New Roman" w:cs="Times New Roman"/>
          <w:b/>
          <w:color w:val="auto"/>
          <w:sz w:val="24"/>
          <w:highlight w:val="none"/>
        </w:rPr>
        <w:t>万元</w:t>
      </w:r>
      <w:r>
        <w:rPr>
          <w:rFonts w:hint="default" w:ascii="Times New Roman" w:hAnsi="Times New Roman" w:cs="Times New Roman"/>
          <w:b/>
          <w:bCs/>
          <w:color w:val="auto"/>
          <w:sz w:val="24"/>
          <w:highlight w:val="none"/>
        </w:rPr>
        <w:t>。</w:t>
      </w:r>
    </w:p>
    <w:p w14:paraId="5C3691B3">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对比说明：</w:t>
      </w:r>
    </w:p>
    <w:p w14:paraId="405AE02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highlight w:val="none"/>
        </w:rPr>
      </w:pP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1</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原方案201</w:t>
      </w:r>
      <w:r>
        <w:rPr>
          <w:rFonts w:hint="eastAsia" w:cs="Times New Roman"/>
          <w:color w:val="auto"/>
          <w:sz w:val="24"/>
          <w:highlight w:val="none"/>
          <w:lang w:val="en-US" w:eastAsia="zh-CN"/>
        </w:rPr>
        <w:t>5</w:t>
      </w:r>
      <w:r>
        <w:rPr>
          <w:rFonts w:hint="default" w:ascii="Times New Roman" w:hAnsi="Times New Roman" w:cs="Times New Roman"/>
          <w:color w:val="auto"/>
          <w:sz w:val="24"/>
          <w:highlight w:val="none"/>
        </w:rPr>
        <w:t>年编制，距现在</w:t>
      </w:r>
      <w:r>
        <w:rPr>
          <w:rFonts w:hint="default" w:ascii="Times New Roman" w:hAnsi="Times New Roman" w:cs="Times New Roman"/>
          <w:color w:val="auto"/>
          <w:sz w:val="24"/>
          <w:highlight w:val="none"/>
          <w:lang w:val="en-US" w:eastAsia="zh-CN"/>
        </w:rPr>
        <w:t>已</w:t>
      </w:r>
      <w:r>
        <w:rPr>
          <w:rFonts w:hint="eastAsia" w:cs="Times New Roman"/>
          <w:color w:val="auto"/>
          <w:sz w:val="24"/>
          <w:highlight w:val="none"/>
          <w:lang w:val="en-US" w:eastAsia="zh-CN"/>
        </w:rPr>
        <w:t>有10</w:t>
      </w:r>
      <w:r>
        <w:rPr>
          <w:rFonts w:hint="default" w:ascii="Times New Roman" w:hAnsi="Times New Roman" w:cs="Times New Roman"/>
          <w:color w:val="auto"/>
          <w:sz w:val="24"/>
          <w:highlight w:val="none"/>
          <w:lang w:val="en-US" w:eastAsia="zh-CN"/>
        </w:rPr>
        <w:t>年</w:t>
      </w:r>
      <w:r>
        <w:rPr>
          <w:rFonts w:hint="default" w:ascii="Times New Roman" w:hAnsi="Times New Roman" w:cs="Times New Roman"/>
          <w:color w:val="auto"/>
          <w:sz w:val="24"/>
          <w:highlight w:val="none"/>
        </w:rPr>
        <w:t>，不适用。</w:t>
      </w:r>
    </w:p>
    <w:p w14:paraId="64DC6B3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highlight w:val="none"/>
        </w:rPr>
      </w:pP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2</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上期方案费用较低，本次按现价进行重新计算</w:t>
      </w:r>
      <w:r>
        <w:rPr>
          <w:rFonts w:hint="default" w:ascii="Times New Roman" w:hAnsi="Times New Roman" w:cs="Times New Roman"/>
          <w:color w:val="auto"/>
          <w:sz w:val="24"/>
          <w:highlight w:val="none"/>
        </w:rPr>
        <w:t>。</w:t>
      </w:r>
    </w:p>
    <w:p w14:paraId="567B7CE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highlight w:val="none"/>
        </w:rPr>
      </w:pPr>
      <w:r>
        <w:rPr>
          <w:rFonts w:hint="eastAsia" w:ascii="Times New Roman" w:hAnsi="Times New Roman" w:cs="Times New Roman"/>
          <w:color w:val="auto"/>
          <w:sz w:val="24"/>
          <w:highlight w:val="none"/>
          <w:lang w:val="en-US" w:eastAsia="zh-CN"/>
        </w:rPr>
        <w:t>（3）</w:t>
      </w:r>
      <w:r>
        <w:rPr>
          <w:rFonts w:hint="default" w:ascii="Times New Roman" w:hAnsi="Times New Roman" w:cs="Times New Roman"/>
          <w:color w:val="auto"/>
          <w:sz w:val="24"/>
          <w:highlight w:val="none"/>
        </w:rPr>
        <w:t>各单元面积重新复核；</w:t>
      </w:r>
    </w:p>
    <w:p w14:paraId="677A5F9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highlight w:val="none"/>
          <w:lang w:eastAsia="zh-CN"/>
        </w:rPr>
      </w:pPr>
      <w:r>
        <w:rPr>
          <w:rFonts w:hint="eastAsia"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rPr>
        <w:t>复垦单位与复垦方向发生了变化</w:t>
      </w:r>
      <w:r>
        <w:rPr>
          <w:rFonts w:hint="default" w:ascii="Times New Roman" w:hAnsi="Times New Roman" w:cs="Times New Roman"/>
          <w:color w:val="auto"/>
          <w:sz w:val="24"/>
          <w:highlight w:val="none"/>
          <w:lang w:eastAsia="zh-CN"/>
        </w:rPr>
        <w:t>。</w:t>
      </w:r>
    </w:p>
    <w:p w14:paraId="65F2122D">
      <w:pPr>
        <w:pStyle w:val="5"/>
        <w:spacing w:line="360" w:lineRule="auto"/>
        <w:rPr>
          <w:rFonts w:hint="default" w:ascii="Times New Roman" w:hAnsi="Times New Roman" w:eastAsia="黑体" w:cs="Times New Roman"/>
          <w:b w:val="0"/>
          <w:bCs w:val="0"/>
          <w:color w:val="auto"/>
          <w:szCs w:val="28"/>
          <w:highlight w:val="none"/>
          <w:lang w:eastAsia="zh-CN"/>
        </w:rPr>
      </w:pPr>
      <w:r>
        <w:rPr>
          <w:rFonts w:hint="default" w:ascii="Times New Roman" w:hAnsi="Times New Roman" w:eastAsia="黑体" w:cs="Times New Roman"/>
          <w:b w:val="0"/>
          <w:bCs w:val="0"/>
          <w:color w:val="auto"/>
          <w:szCs w:val="28"/>
          <w:highlight w:val="none"/>
          <w:lang w:eastAsia="zh-CN"/>
        </w:rPr>
        <w:t>（二）周边矿山</w:t>
      </w:r>
    </w:p>
    <w:p w14:paraId="7E8E3AEC">
      <w:pPr>
        <w:spacing w:line="360" w:lineRule="auto"/>
        <w:ind w:firstLine="460" w:firstLineChars="192"/>
        <w:rPr>
          <w:rFonts w:hint="eastAsia" w:cs="Times New Roman"/>
          <w:color w:val="auto"/>
          <w:sz w:val="24"/>
          <w:highlight w:val="none"/>
          <w:lang w:val="en-US" w:eastAsia="zh-CN"/>
        </w:rPr>
      </w:pPr>
      <w:r>
        <w:rPr>
          <w:rFonts w:hint="default" w:ascii="Times New Roman" w:hAnsi="Times New Roman" w:cs="Times New Roman"/>
          <w:color w:val="auto"/>
          <w:sz w:val="24"/>
          <w:highlight w:val="none"/>
        </w:rPr>
        <w:t>矿山周边</w:t>
      </w:r>
      <w:r>
        <w:rPr>
          <w:rFonts w:hint="eastAsia" w:cs="Times New Roman"/>
          <w:color w:val="auto"/>
          <w:sz w:val="24"/>
          <w:highlight w:val="none"/>
          <w:lang w:val="en-US" w:eastAsia="zh-CN"/>
        </w:rPr>
        <w:t>5km为未见其他矿山。周边矿山案例参考《永吉县国利萤石有限责任公司萤石矿矿山地质环境保护与土地复垦方案》。永吉县国利萤石有限责任公司萤石矿位于吉林省永吉县一拉溪镇碾子沟村境内，开采矿种为萤石（普通），开采方式为露天开采，设计生产规模：1.00×10</w:t>
      </w:r>
      <w:r>
        <w:rPr>
          <w:rFonts w:hint="eastAsia" w:cs="Times New Roman"/>
          <w:color w:val="auto"/>
          <w:sz w:val="24"/>
          <w:highlight w:val="none"/>
          <w:vertAlign w:val="superscript"/>
          <w:lang w:val="en-US" w:eastAsia="zh-CN"/>
        </w:rPr>
        <w:t>4</w:t>
      </w:r>
      <w:r>
        <w:rPr>
          <w:rFonts w:hint="eastAsia" w:cs="Times New Roman"/>
          <w:color w:val="auto"/>
          <w:sz w:val="24"/>
          <w:highlight w:val="none"/>
          <w:lang w:val="en-US" w:eastAsia="zh-CN"/>
        </w:rPr>
        <w:t>t/a，矿区面积：0.1209km</w:t>
      </w:r>
      <w:r>
        <w:rPr>
          <w:rFonts w:hint="eastAsia" w:cs="Times New Roman"/>
          <w:color w:val="auto"/>
          <w:sz w:val="24"/>
          <w:highlight w:val="none"/>
          <w:vertAlign w:val="superscript"/>
          <w:lang w:val="en-US" w:eastAsia="zh-CN"/>
        </w:rPr>
        <w:t>2</w:t>
      </w:r>
      <w:r>
        <w:rPr>
          <w:rFonts w:hint="eastAsia" w:cs="Times New Roman"/>
          <w:color w:val="auto"/>
          <w:sz w:val="24"/>
          <w:highlight w:val="none"/>
          <w:lang w:val="en-US" w:eastAsia="zh-CN"/>
        </w:rPr>
        <w:t>，开采标高：+295m～+200m。</w:t>
      </w:r>
    </w:p>
    <w:p w14:paraId="6CB74F6B">
      <w:pPr>
        <w:spacing w:line="360" w:lineRule="auto"/>
        <w:ind w:firstLine="460" w:firstLineChars="192"/>
        <w:rPr>
          <w:rFonts w:hint="eastAsia" w:cs="Times New Roman"/>
          <w:color w:val="auto"/>
          <w:sz w:val="24"/>
          <w:highlight w:val="none"/>
          <w:lang w:val="en-US" w:eastAsia="zh-CN"/>
        </w:rPr>
      </w:pPr>
      <w:r>
        <w:rPr>
          <w:rFonts w:hint="eastAsia" w:cs="Times New Roman"/>
          <w:color w:val="auto"/>
          <w:sz w:val="24"/>
          <w:highlight w:val="none"/>
          <w:lang w:val="en-US" w:eastAsia="zh-CN"/>
        </w:rPr>
        <w:t>《永吉县国利萤石有限责任公司萤石矿矿山地质环境保护与土地复垦方案》涉及的矿山地质环境治理和复垦工程措施如下：</w:t>
      </w:r>
    </w:p>
    <w:p w14:paraId="5EC0DDC9">
      <w:pPr>
        <w:spacing w:line="360" w:lineRule="auto"/>
        <w:ind w:firstLine="460" w:firstLineChars="192"/>
        <w:rPr>
          <w:rFonts w:hint="default" w:cs="Times New Roman"/>
          <w:color w:val="auto"/>
          <w:sz w:val="24"/>
          <w:highlight w:val="none"/>
          <w:lang w:val="en-US" w:eastAsia="zh-CN"/>
        </w:rPr>
      </w:pPr>
      <w:r>
        <w:rPr>
          <w:rFonts w:hint="default" w:cs="Times New Roman"/>
          <w:color w:val="auto"/>
          <w:sz w:val="24"/>
          <w:highlight w:val="none"/>
          <w:lang w:val="en-US" w:eastAsia="zh-CN"/>
        </w:rPr>
        <w:t>1、矿山地质灾害预防措施</w:t>
      </w:r>
    </w:p>
    <w:p w14:paraId="55E56BFB">
      <w:pPr>
        <w:spacing w:line="360" w:lineRule="auto"/>
        <w:ind w:firstLine="460" w:firstLineChars="192"/>
        <w:rPr>
          <w:rFonts w:hint="default" w:cs="Times New Roman"/>
          <w:color w:val="auto"/>
          <w:sz w:val="24"/>
          <w:highlight w:val="none"/>
          <w:lang w:val="en-US" w:eastAsia="zh-CN"/>
        </w:rPr>
      </w:pPr>
      <w:r>
        <w:rPr>
          <w:rFonts w:hint="default" w:cs="Times New Roman"/>
          <w:color w:val="auto"/>
          <w:sz w:val="24"/>
          <w:highlight w:val="none"/>
          <w:lang w:val="en-US" w:eastAsia="zh-CN"/>
        </w:rPr>
        <w:t>在露天采场周边周围设置12个警示牌，为了防止人畜误入露天采坑造成的危险，在露天采场周围布设围栏进行边缘封闭，避免人员、动物进入造成意外的损伤。</w:t>
      </w:r>
    </w:p>
    <w:p w14:paraId="6768A326">
      <w:pPr>
        <w:spacing w:line="360" w:lineRule="auto"/>
        <w:ind w:firstLine="460" w:firstLineChars="192"/>
        <w:rPr>
          <w:rFonts w:hint="eastAsia" w:cs="Times New Roman"/>
          <w:color w:val="auto"/>
          <w:sz w:val="24"/>
          <w:highlight w:val="none"/>
          <w:lang w:val="en-US" w:eastAsia="zh-CN"/>
        </w:rPr>
      </w:pPr>
      <w:r>
        <w:rPr>
          <w:rFonts w:hint="eastAsia" w:cs="Times New Roman"/>
          <w:color w:val="auto"/>
          <w:sz w:val="24"/>
          <w:highlight w:val="none"/>
          <w:lang w:val="en-US" w:eastAsia="zh-CN"/>
        </w:rPr>
        <w:t>对</w:t>
      </w:r>
      <w:r>
        <w:rPr>
          <w:rFonts w:hint="default" w:cs="Times New Roman"/>
          <w:color w:val="auto"/>
          <w:sz w:val="24"/>
          <w:highlight w:val="none"/>
          <w:lang w:val="en-US" w:eastAsia="zh-CN"/>
        </w:rPr>
        <w:t>露天采场开采前未损毁区域进行表土剥离，表土剥离量5994m</w:t>
      </w:r>
      <w:r>
        <w:rPr>
          <w:rFonts w:hint="default" w:cs="Times New Roman"/>
          <w:color w:val="auto"/>
          <w:sz w:val="24"/>
          <w:highlight w:val="none"/>
          <w:vertAlign w:val="superscript"/>
          <w:lang w:val="en-US" w:eastAsia="zh-CN"/>
        </w:rPr>
        <w:t>3</w:t>
      </w:r>
      <w:r>
        <w:rPr>
          <w:rFonts w:hint="default" w:cs="Times New Roman"/>
          <w:color w:val="auto"/>
          <w:sz w:val="24"/>
          <w:highlight w:val="none"/>
          <w:lang w:val="en-US" w:eastAsia="zh-CN"/>
        </w:rPr>
        <w:t>，剥离的表土在露天采场西侧进行集中堆放。</w:t>
      </w:r>
      <w:r>
        <w:rPr>
          <w:rFonts w:hint="eastAsia" w:cs="Times New Roman"/>
          <w:color w:val="auto"/>
          <w:sz w:val="24"/>
          <w:highlight w:val="none"/>
          <w:lang w:val="en-US" w:eastAsia="zh-CN"/>
        </w:rPr>
        <w:t>表土堆场</w:t>
      </w:r>
      <w:r>
        <w:rPr>
          <w:rFonts w:hint="default" w:cs="Times New Roman"/>
          <w:color w:val="auto"/>
          <w:sz w:val="24"/>
          <w:highlight w:val="none"/>
          <w:lang w:val="en-US" w:eastAsia="zh-CN"/>
        </w:rPr>
        <w:t>设计撒播草籽进行防护，草种选用紫花苜蓿，撒播草籽量30kg/hm</w:t>
      </w:r>
      <w:r>
        <w:rPr>
          <w:rFonts w:hint="default" w:cs="Times New Roman"/>
          <w:color w:val="auto"/>
          <w:sz w:val="24"/>
          <w:highlight w:val="none"/>
          <w:vertAlign w:val="superscript"/>
          <w:lang w:val="en-US" w:eastAsia="zh-CN"/>
        </w:rPr>
        <w:t>2</w:t>
      </w:r>
      <w:r>
        <w:rPr>
          <w:rFonts w:hint="eastAsia" w:cs="Times New Roman"/>
          <w:color w:val="auto"/>
          <w:sz w:val="24"/>
          <w:highlight w:val="none"/>
          <w:lang w:val="en-US" w:eastAsia="zh-CN"/>
        </w:rPr>
        <w:t>。</w:t>
      </w:r>
    </w:p>
    <w:p w14:paraId="29F5D94A">
      <w:pPr>
        <w:spacing w:line="360" w:lineRule="auto"/>
        <w:ind w:firstLine="460" w:firstLineChars="192"/>
        <w:rPr>
          <w:rFonts w:hint="eastAsia" w:cs="Times New Roman"/>
          <w:color w:val="auto"/>
          <w:sz w:val="24"/>
          <w:highlight w:val="none"/>
          <w:lang w:val="en-US" w:eastAsia="zh-CN"/>
        </w:rPr>
      </w:pPr>
      <w:r>
        <w:rPr>
          <w:rFonts w:hint="eastAsia" w:cs="Times New Roman"/>
          <w:color w:val="auto"/>
          <w:sz w:val="24"/>
          <w:highlight w:val="none"/>
          <w:lang w:val="en-US" w:eastAsia="zh-CN"/>
        </w:rPr>
        <w:t>2、矿山地质灾害治理措施</w:t>
      </w:r>
    </w:p>
    <w:p w14:paraId="7E33AC87">
      <w:pPr>
        <w:spacing w:line="360" w:lineRule="auto"/>
        <w:ind w:firstLine="460" w:firstLineChars="192"/>
        <w:rPr>
          <w:rFonts w:hint="default" w:cs="Times New Roman"/>
          <w:color w:val="auto"/>
          <w:sz w:val="24"/>
          <w:highlight w:val="none"/>
          <w:lang w:val="en-US" w:eastAsia="zh-CN"/>
        </w:rPr>
      </w:pPr>
      <w:r>
        <w:rPr>
          <w:rFonts w:hint="default" w:cs="Times New Roman"/>
          <w:color w:val="auto"/>
          <w:sz w:val="24"/>
          <w:highlight w:val="none"/>
          <w:lang w:val="en-US" w:eastAsia="zh-CN"/>
        </w:rPr>
        <w:t>对露天采坑及表土堆场边坡进行清理。矿山闭矿后期，对废弃构筑物进行拆除，恢复地形地貌景观。在拆除构筑物完成后，对场地进行平整，在场地平整工程实施过程中要保证露天采坑能够满足自然排水要求。</w:t>
      </w:r>
    </w:p>
    <w:p w14:paraId="56FE4938">
      <w:pPr>
        <w:spacing w:line="360" w:lineRule="auto"/>
        <w:ind w:firstLine="460" w:firstLineChars="192"/>
        <w:rPr>
          <w:rFonts w:hint="eastAsia" w:cs="Times New Roman"/>
          <w:color w:val="auto"/>
          <w:sz w:val="24"/>
          <w:highlight w:val="none"/>
          <w:lang w:val="en-US" w:eastAsia="zh-CN"/>
        </w:rPr>
      </w:pPr>
      <w:r>
        <w:rPr>
          <w:rFonts w:hint="eastAsia" w:cs="Times New Roman"/>
          <w:color w:val="auto"/>
          <w:sz w:val="24"/>
          <w:highlight w:val="none"/>
          <w:lang w:val="en-US" w:eastAsia="zh-CN"/>
        </w:rPr>
        <w:t>3、土地复垦工程措施</w:t>
      </w:r>
    </w:p>
    <w:p w14:paraId="6E681020">
      <w:pPr>
        <w:spacing w:line="360" w:lineRule="auto"/>
        <w:ind w:firstLine="460" w:firstLineChars="192"/>
        <w:rPr>
          <w:rFonts w:hint="eastAsia" w:cs="Times New Roman"/>
          <w:color w:val="auto"/>
          <w:sz w:val="24"/>
          <w:highlight w:val="none"/>
          <w:lang w:val="en-US" w:eastAsia="zh-CN"/>
        </w:rPr>
      </w:pPr>
      <w:r>
        <w:rPr>
          <w:rFonts w:hint="default" w:cs="Times New Roman"/>
          <w:color w:val="auto"/>
          <w:sz w:val="24"/>
          <w:highlight w:val="none"/>
          <w:lang w:val="en-US" w:eastAsia="zh-CN"/>
        </w:rPr>
        <w:t>矿山待复垦土地涉及的复垦工程包括覆土、树木种植、栽植爬山虎</w:t>
      </w:r>
      <w:r>
        <w:rPr>
          <w:rFonts w:hint="eastAsia" w:cs="Times New Roman"/>
          <w:color w:val="auto"/>
          <w:sz w:val="24"/>
          <w:highlight w:val="none"/>
          <w:lang w:val="en-US" w:eastAsia="zh-CN"/>
        </w:rPr>
        <w:t>、</w:t>
      </w:r>
      <w:r>
        <w:rPr>
          <w:rFonts w:hint="default" w:cs="Times New Roman"/>
          <w:color w:val="auto"/>
          <w:sz w:val="24"/>
          <w:highlight w:val="none"/>
          <w:lang w:val="en-US" w:eastAsia="zh-CN"/>
        </w:rPr>
        <w:t>撒播草种</w:t>
      </w:r>
      <w:r>
        <w:rPr>
          <w:rFonts w:hint="eastAsia" w:cs="Times New Roman"/>
          <w:color w:val="auto"/>
          <w:sz w:val="24"/>
          <w:highlight w:val="none"/>
          <w:lang w:val="en-US" w:eastAsia="zh-CN"/>
        </w:rPr>
        <w:t>等工程。设计树木采用穴栽，种植穴尺寸为0.6×0.6×0.6m（长×宽×深），露天采场坑底及平台为石质地面，无法直接开挖种植穴，表土回覆前，平台回填0.5m废渣。矿山最后一年生产产生的废渣在露天采坑平台上堆放，复垦时利用推土机推平废渣。植被工程选择株行距2m×2m，每公顷种植落叶松2500株。同时对复垦的土地进行撒播草种，在管护期间，利用绿肥法，改善土壤结构和提高土壤肥力，选用紫花苜蓿作为种植绿肥，撒播草籽量30kg/hm</w:t>
      </w:r>
      <w:r>
        <w:rPr>
          <w:rFonts w:hint="eastAsia" w:cs="Times New Roman"/>
          <w:color w:val="auto"/>
          <w:sz w:val="24"/>
          <w:highlight w:val="none"/>
          <w:vertAlign w:val="superscript"/>
          <w:lang w:val="en-US" w:eastAsia="zh-CN"/>
        </w:rPr>
        <w:t>2</w:t>
      </w:r>
      <w:r>
        <w:rPr>
          <w:rFonts w:hint="eastAsia" w:cs="Times New Roman"/>
          <w:color w:val="auto"/>
          <w:sz w:val="24"/>
          <w:highlight w:val="none"/>
          <w:lang w:val="en-US" w:eastAsia="zh-CN"/>
        </w:rPr>
        <w:t>。</w:t>
      </w:r>
    </w:p>
    <w:p w14:paraId="75C81A01">
      <w:pPr>
        <w:spacing w:line="360" w:lineRule="auto"/>
        <w:ind w:firstLine="460" w:firstLineChars="192"/>
        <w:rPr>
          <w:rFonts w:hint="default" w:cs="Times New Roman"/>
          <w:color w:val="auto"/>
          <w:sz w:val="24"/>
          <w:highlight w:val="none"/>
          <w:lang w:val="en-US" w:eastAsia="zh-CN"/>
        </w:rPr>
      </w:pPr>
      <w:r>
        <w:rPr>
          <w:rFonts w:hint="eastAsia" w:cs="Times New Roman"/>
          <w:color w:val="auto"/>
          <w:sz w:val="24"/>
          <w:highlight w:val="none"/>
          <w:lang w:val="en-US" w:eastAsia="zh-CN"/>
        </w:rPr>
        <w:t>周边矿山案例对本方案的意义：</w:t>
      </w:r>
    </w:p>
    <w:p w14:paraId="4D4ACC3F">
      <w:pPr>
        <w:spacing w:line="360" w:lineRule="auto"/>
        <w:ind w:firstLine="460" w:firstLineChars="192"/>
        <w:rPr>
          <w:rFonts w:hint="default" w:cs="Times New Roman"/>
          <w:color w:val="auto"/>
          <w:sz w:val="24"/>
          <w:highlight w:val="none"/>
          <w:lang w:val="en-US" w:eastAsia="zh-CN"/>
        </w:rPr>
      </w:pPr>
      <w:r>
        <w:rPr>
          <w:rFonts w:hint="default" w:cs="Times New Roman"/>
          <w:color w:val="auto"/>
          <w:sz w:val="24"/>
          <w:highlight w:val="none"/>
          <w:lang w:val="en-US" w:eastAsia="zh-CN"/>
        </w:rPr>
        <w:t>（1）</w:t>
      </w:r>
      <w:r>
        <w:rPr>
          <w:rFonts w:hint="eastAsia" w:cs="Times New Roman"/>
          <w:color w:val="auto"/>
          <w:sz w:val="24"/>
          <w:highlight w:val="none"/>
          <w:lang w:val="en-US" w:eastAsia="zh-CN"/>
        </w:rPr>
        <w:t>周边矿山</w:t>
      </w:r>
      <w:r>
        <w:rPr>
          <w:rFonts w:hint="default" w:cs="Times New Roman"/>
          <w:color w:val="auto"/>
          <w:sz w:val="24"/>
          <w:highlight w:val="none"/>
          <w:lang w:val="en-US" w:eastAsia="zh-CN"/>
        </w:rPr>
        <w:t>提出的保护方案、工程治理方案、监测方案本着经济实用、因地制宜、合理有效、以最小的投入获得最大效益为原则，可以最大限度地保护人民生命财产的安全，有效地预防矿山环境问题的发生、发展，使矿山地质环境问题得到有效的保护和防治。</w:t>
      </w:r>
      <w:r>
        <w:rPr>
          <w:rFonts w:hint="eastAsia" w:cs="Times New Roman"/>
          <w:color w:val="auto"/>
          <w:sz w:val="24"/>
          <w:highlight w:val="none"/>
          <w:lang w:val="en-US" w:eastAsia="zh-CN"/>
        </w:rPr>
        <w:t>基本适用于本矿山。</w:t>
      </w:r>
    </w:p>
    <w:p w14:paraId="6BE39622">
      <w:pPr>
        <w:spacing w:line="360" w:lineRule="auto"/>
        <w:ind w:firstLine="460" w:firstLineChars="192"/>
        <w:rPr>
          <w:rFonts w:hint="default" w:cs="Times New Roman"/>
          <w:color w:val="auto"/>
          <w:sz w:val="24"/>
          <w:highlight w:val="none"/>
          <w:lang w:val="en-US" w:eastAsia="zh-CN"/>
        </w:rPr>
      </w:pPr>
      <w:r>
        <w:rPr>
          <w:rFonts w:hint="default" w:cs="Times New Roman"/>
          <w:color w:val="auto"/>
          <w:sz w:val="24"/>
          <w:highlight w:val="none"/>
          <w:lang w:val="en-US" w:eastAsia="zh-CN"/>
        </w:rPr>
        <w:t>（2）该方案所设计的土地平整工程、覆土工程、植被恢复工程等治理技术和覆盖工艺技术是我国属于比较成熟的矿山地质环境治理恢复工程技术，在省内多个矿山的治理都在广泛应用</w:t>
      </w:r>
      <w:r>
        <w:rPr>
          <w:rFonts w:hint="eastAsia" w:cs="Times New Roman"/>
          <w:color w:val="auto"/>
          <w:sz w:val="24"/>
          <w:highlight w:val="none"/>
          <w:lang w:val="en-US" w:eastAsia="zh-CN"/>
        </w:rPr>
        <w:t>，本矿山也可使用。</w:t>
      </w:r>
    </w:p>
    <w:p w14:paraId="4DE285A9">
      <w:pPr>
        <w:spacing w:line="360" w:lineRule="auto"/>
        <w:ind w:firstLine="460" w:firstLineChars="192"/>
        <w:rPr>
          <w:rFonts w:hint="default" w:cs="Times New Roman"/>
          <w:color w:val="auto"/>
          <w:sz w:val="24"/>
          <w:highlight w:val="none"/>
          <w:lang w:val="en-US" w:eastAsia="zh-CN"/>
        </w:rPr>
      </w:pPr>
      <w:r>
        <w:rPr>
          <w:rFonts w:hint="default" w:cs="Times New Roman"/>
          <w:color w:val="auto"/>
          <w:sz w:val="24"/>
          <w:highlight w:val="none"/>
          <w:lang w:val="en-US" w:eastAsia="zh-CN"/>
        </w:rPr>
        <w:t>（3）</w:t>
      </w:r>
      <w:r>
        <w:rPr>
          <w:rFonts w:hint="eastAsia" w:cs="Times New Roman"/>
          <w:color w:val="auto"/>
          <w:sz w:val="24"/>
          <w:highlight w:val="none"/>
          <w:lang w:val="en-US" w:eastAsia="zh-CN"/>
        </w:rPr>
        <w:t>周边矿山治理与复垦</w:t>
      </w:r>
      <w:r>
        <w:rPr>
          <w:rFonts w:hint="default" w:cs="Times New Roman"/>
          <w:color w:val="auto"/>
          <w:sz w:val="24"/>
          <w:highlight w:val="none"/>
          <w:lang w:val="en-US" w:eastAsia="zh-CN"/>
        </w:rPr>
        <w:t>工程的实施消除了矿山地质灾害隐患，提高植被覆盖率，有效</w:t>
      </w:r>
      <w:r>
        <w:rPr>
          <w:rFonts w:hint="eastAsia" w:cs="Times New Roman"/>
          <w:color w:val="auto"/>
          <w:sz w:val="24"/>
          <w:highlight w:val="none"/>
          <w:lang w:val="en-US" w:eastAsia="zh-CN"/>
        </w:rPr>
        <w:t>地</w:t>
      </w:r>
      <w:r>
        <w:rPr>
          <w:rFonts w:hint="default" w:cs="Times New Roman"/>
          <w:color w:val="auto"/>
          <w:sz w:val="24"/>
          <w:highlight w:val="none"/>
          <w:lang w:val="en-US" w:eastAsia="zh-CN"/>
        </w:rPr>
        <w:t>改善当地生态环境，并取得较好的社会、经济、环境效益，对本矿山闭矿后工程实施具有一定借鉴意义。</w:t>
      </w:r>
    </w:p>
    <w:p w14:paraId="0E70FA28">
      <w:pPr>
        <w:spacing w:line="360" w:lineRule="auto"/>
        <w:ind w:firstLine="460" w:firstLineChars="192"/>
        <w:rPr>
          <w:rFonts w:hint="default" w:cs="Times New Roman"/>
          <w:color w:val="auto"/>
          <w:sz w:val="24"/>
          <w:highlight w:val="none"/>
          <w:lang w:val="en-US" w:eastAsia="zh-CN"/>
        </w:rPr>
        <w:sectPr>
          <w:footerReference r:id="rId10" w:type="default"/>
          <w:pgSz w:w="11906" w:h="16838"/>
          <w:pgMar w:top="1440" w:right="1417" w:bottom="1440" w:left="1417" w:header="851" w:footer="992" w:gutter="0"/>
          <w:pgBorders w:offsetFrom="page">
            <w:top w:val="none" w:sz="0" w:space="0"/>
            <w:left w:val="none" w:sz="0" w:space="0"/>
            <w:bottom w:val="none" w:sz="0" w:space="0"/>
            <w:right w:val="none" w:sz="0" w:space="0"/>
          </w:pgBorders>
          <w:pgNumType w:fmt="decimal" w:start="1"/>
          <w:cols w:space="720" w:num="1"/>
          <w:docGrid w:type="lines" w:linePitch="326" w:charSpace="0"/>
        </w:sectPr>
      </w:pPr>
    </w:p>
    <w:bookmarkEnd w:id="86"/>
    <w:p w14:paraId="0CCF97F8">
      <w:pPr>
        <w:pStyle w:val="3"/>
        <w:jc w:val="center"/>
        <w:rPr>
          <w:rFonts w:hint="default" w:ascii="Times New Roman" w:hAnsi="Times New Roman" w:cs="Times New Roman"/>
          <w:bCs w:val="0"/>
          <w:color w:val="auto"/>
          <w:sz w:val="24"/>
          <w:szCs w:val="24"/>
          <w:highlight w:val="none"/>
        </w:rPr>
      </w:pPr>
      <w:bookmarkStart w:id="117" w:name="_Toc485629687"/>
      <w:bookmarkStart w:id="118" w:name="_Toc508869976"/>
      <w:bookmarkStart w:id="119" w:name="_Toc9063"/>
      <w:bookmarkStart w:id="120" w:name="_Toc487105312"/>
      <w:bookmarkStart w:id="121" w:name="_Hlk11175905"/>
      <w:r>
        <w:rPr>
          <w:rFonts w:hint="default" w:ascii="Times New Roman" w:hAnsi="Times New Roman" w:eastAsia="黑体" w:cs="Times New Roman"/>
          <w:b w:val="0"/>
          <w:color w:val="auto"/>
          <w:sz w:val="32"/>
          <w:szCs w:val="32"/>
          <w:highlight w:val="none"/>
        </w:rPr>
        <w:t>第三章  矿山地质环境影响和土地损毁评估</w:t>
      </w:r>
      <w:bookmarkEnd w:id="117"/>
      <w:bookmarkEnd w:id="118"/>
      <w:bookmarkEnd w:id="119"/>
    </w:p>
    <w:p w14:paraId="6A29D9E1">
      <w:pPr>
        <w:keepNext/>
        <w:keepLines/>
        <w:widowControl w:val="0"/>
        <w:spacing w:before="260" w:after="260" w:line="360" w:lineRule="auto"/>
        <w:outlineLvl w:val="1"/>
        <w:rPr>
          <w:rFonts w:hint="default" w:ascii="Times New Roman" w:hAnsi="Times New Roman" w:eastAsia="黑体" w:cs="Times New Roman"/>
          <w:bCs/>
          <w:color w:val="auto"/>
          <w:sz w:val="30"/>
          <w:szCs w:val="30"/>
          <w:highlight w:val="none"/>
          <w:lang w:eastAsia="zh-CN"/>
        </w:rPr>
      </w:pPr>
      <w:bookmarkStart w:id="122" w:name="_Toc485629688"/>
      <w:bookmarkStart w:id="123" w:name="_Toc508869977"/>
      <w:bookmarkStart w:id="124" w:name="_Toc28443"/>
      <w:r>
        <w:rPr>
          <w:rFonts w:hint="default" w:ascii="Times New Roman" w:hAnsi="Times New Roman" w:eastAsia="黑体" w:cs="Times New Roman"/>
          <w:bCs/>
          <w:color w:val="auto"/>
          <w:sz w:val="30"/>
          <w:szCs w:val="30"/>
          <w:highlight w:val="none"/>
        </w:rPr>
        <w:t>一、矿山地质环境与土地资源调查概述</w:t>
      </w:r>
      <w:bookmarkEnd w:id="122"/>
      <w:bookmarkEnd w:id="123"/>
      <w:bookmarkEnd w:id="124"/>
    </w:p>
    <w:p w14:paraId="254F3301">
      <w:pPr>
        <w:spacing w:line="360" w:lineRule="auto"/>
        <w:ind w:firstLine="460" w:firstLineChars="19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公司于202</w:t>
      </w:r>
      <w:r>
        <w:rPr>
          <w:rFonts w:hint="eastAsia" w:cs="Times New Roman"/>
          <w:color w:val="auto"/>
          <w:sz w:val="24"/>
          <w:highlight w:val="none"/>
          <w:lang w:val="en-US" w:eastAsia="zh-CN"/>
        </w:rPr>
        <w:t>5</w:t>
      </w:r>
      <w:r>
        <w:rPr>
          <w:rFonts w:hint="default" w:ascii="Times New Roman" w:hAnsi="Times New Roman" w:cs="Times New Roman"/>
          <w:color w:val="auto"/>
          <w:sz w:val="24"/>
          <w:highlight w:val="none"/>
        </w:rPr>
        <w:t>年</w:t>
      </w:r>
      <w:r>
        <w:rPr>
          <w:rFonts w:hint="eastAsia" w:cs="Times New Roman"/>
          <w:color w:val="auto"/>
          <w:sz w:val="24"/>
          <w:highlight w:val="none"/>
          <w:lang w:val="en-US" w:eastAsia="zh-CN"/>
        </w:rPr>
        <w:t>4</w:t>
      </w:r>
      <w:r>
        <w:rPr>
          <w:rFonts w:hint="default" w:ascii="Times New Roman" w:hAnsi="Times New Roman" w:cs="Times New Roman"/>
          <w:color w:val="auto"/>
          <w:sz w:val="24"/>
          <w:highlight w:val="none"/>
        </w:rPr>
        <w:t>月</w:t>
      </w:r>
      <w:r>
        <w:rPr>
          <w:rFonts w:hint="eastAsia" w:cs="Times New Roman"/>
          <w:color w:val="auto"/>
          <w:sz w:val="24"/>
          <w:highlight w:val="none"/>
          <w:lang w:val="en-US" w:eastAsia="zh-CN"/>
        </w:rPr>
        <w:t>29</w:t>
      </w:r>
      <w:r>
        <w:rPr>
          <w:rFonts w:hint="default" w:ascii="Times New Roman" w:hAnsi="Times New Roman" w:cs="Times New Roman"/>
          <w:color w:val="auto"/>
          <w:sz w:val="24"/>
          <w:highlight w:val="none"/>
        </w:rPr>
        <w:t>日开展野外调查工作，野外调查采用1：2000的地形图作为底图，底图来源于开发利用方案，进行矿山地质环境调查，采用地形地貌以及地质罗盘定位，并与GPS定位相校核。地质调查路线采用线路穿越法、布点法并数码拍照。</w:t>
      </w:r>
    </w:p>
    <w:p w14:paraId="13A27DED">
      <w:pPr>
        <w:spacing w:line="360" w:lineRule="auto"/>
        <w:ind w:firstLine="460" w:firstLineChars="19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对矿山地质环境调查过程中，积极访问当地政府工作人员及村民，调查的内容主要是各类地质灾害的分布现状、规模、发生时间以及稳定程度；地形地貌、地质遗迹、土地利用、地质覆盖以及当地的农业活动、经济活动，以便为方案的编制提供充分依据。</w:t>
      </w:r>
    </w:p>
    <w:p w14:paraId="155C8DDA">
      <w:pPr>
        <w:spacing w:line="360" w:lineRule="auto"/>
        <w:ind w:firstLine="460" w:firstLineChars="19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在对土地环境调查过程中，调查的内容主要是矿区土地利用类型、数量、质量和土地权属等情况，以便为方案的编制提供充分依据。</w:t>
      </w:r>
    </w:p>
    <w:p w14:paraId="7526934B">
      <w:pPr>
        <w:keepNext w:val="0"/>
        <w:keepLines w:val="0"/>
        <w:pageBreakBefore w:val="0"/>
        <w:widowControl w:val="0"/>
        <w:kinsoku/>
        <w:wordWrap/>
        <w:overflowPunct/>
        <w:topLinePunct w:val="0"/>
        <w:autoSpaceDE/>
        <w:autoSpaceDN/>
        <w:bidi w:val="0"/>
        <w:adjustRightInd/>
        <w:snapToGrid/>
        <w:spacing w:before="157" w:beforeLines="50" w:line="0" w:lineRule="atLeast"/>
        <w:ind w:firstLine="0" w:firstLineChars="0"/>
        <w:jc w:val="center"/>
        <w:textAlignment w:val="auto"/>
        <w:rPr>
          <w:rFonts w:hint="default" w:ascii="Times New Roman" w:hAnsi="Times New Roman" w:eastAsia="黑体" w:cs="Times New Roman"/>
          <w:b w:val="0"/>
          <w:bCs/>
          <w:color w:val="auto"/>
          <w:szCs w:val="21"/>
          <w:highlight w:val="none"/>
        </w:rPr>
      </w:pPr>
      <w:r>
        <w:rPr>
          <w:rFonts w:hint="default" w:ascii="Times New Roman" w:hAnsi="Times New Roman" w:eastAsia="黑体" w:cs="Times New Roman"/>
          <w:b w:val="0"/>
          <w:bCs/>
          <w:color w:val="auto"/>
          <w:szCs w:val="21"/>
          <w:highlight w:val="none"/>
        </w:rPr>
        <w:t>表3-1  完成工作量一览表</w:t>
      </w:r>
    </w:p>
    <w:tbl>
      <w:tblPr>
        <w:tblStyle w:val="34"/>
        <w:tblpPr w:leftFromText="180" w:rightFromText="180" w:vertAnchor="text" w:horzAnchor="margin" w:tblpY="92"/>
        <w:tblOverlap w:val="never"/>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616"/>
        <w:gridCol w:w="3100"/>
        <w:gridCol w:w="1636"/>
        <w:gridCol w:w="2170"/>
      </w:tblGrid>
      <w:tr w14:paraId="553B25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exact"/>
        </w:trPr>
        <w:tc>
          <w:tcPr>
            <w:tcW w:w="4716" w:type="dxa"/>
            <w:gridSpan w:val="2"/>
            <w:vMerge w:val="restart"/>
            <w:vAlign w:val="center"/>
          </w:tcPr>
          <w:p w14:paraId="2126276A">
            <w:pPr>
              <w:widowControl w:val="0"/>
              <w:tabs>
                <w:tab w:val="left" w:pos="6100"/>
              </w:tabs>
              <w:autoSpaceDE w:val="0"/>
              <w:autoSpaceDN w:val="0"/>
              <w:adjustRightIn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zh-CN"/>
              </w:rPr>
              <w:t>项</w:t>
            </w:r>
            <w:r>
              <w:rPr>
                <w:rFonts w:hint="default" w:ascii="Times New Roman" w:hAnsi="Times New Roman" w:cs="Times New Roman"/>
                <w:color w:val="auto"/>
                <w:szCs w:val="21"/>
                <w:highlight w:val="none"/>
              </w:rPr>
              <w:t xml:space="preserve">     </w:t>
            </w:r>
            <w:r>
              <w:rPr>
                <w:rFonts w:hint="default" w:ascii="Times New Roman" w:hAnsi="Times New Roman" w:cs="Times New Roman"/>
                <w:color w:val="auto"/>
                <w:szCs w:val="21"/>
                <w:highlight w:val="none"/>
                <w:lang w:val="zh-CN"/>
              </w:rPr>
              <w:t>目</w:t>
            </w:r>
          </w:p>
        </w:tc>
        <w:tc>
          <w:tcPr>
            <w:tcW w:w="3806" w:type="dxa"/>
            <w:gridSpan w:val="2"/>
            <w:vAlign w:val="center"/>
          </w:tcPr>
          <w:p w14:paraId="00E82281">
            <w:pPr>
              <w:widowControl w:val="0"/>
              <w:tabs>
                <w:tab w:val="left" w:pos="6100"/>
              </w:tabs>
              <w:autoSpaceDE w:val="0"/>
              <w:autoSpaceDN w:val="0"/>
              <w:adjustRightIn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zh-CN"/>
              </w:rPr>
              <w:t>工作量</w:t>
            </w:r>
          </w:p>
        </w:tc>
      </w:tr>
      <w:tr w14:paraId="19C18A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exact"/>
        </w:trPr>
        <w:tc>
          <w:tcPr>
            <w:tcW w:w="4716" w:type="dxa"/>
            <w:gridSpan w:val="2"/>
            <w:vMerge w:val="continue"/>
            <w:vAlign w:val="center"/>
          </w:tcPr>
          <w:p w14:paraId="3CCA2058">
            <w:pPr>
              <w:widowControl w:val="0"/>
              <w:tabs>
                <w:tab w:val="left" w:pos="6100"/>
              </w:tabs>
              <w:autoSpaceDE w:val="0"/>
              <w:autoSpaceDN w:val="0"/>
              <w:adjustRightInd w:val="0"/>
              <w:jc w:val="center"/>
              <w:rPr>
                <w:rFonts w:hint="default" w:ascii="Times New Roman" w:hAnsi="Times New Roman" w:cs="Times New Roman"/>
                <w:color w:val="auto"/>
                <w:szCs w:val="21"/>
                <w:highlight w:val="none"/>
              </w:rPr>
            </w:pPr>
          </w:p>
        </w:tc>
        <w:tc>
          <w:tcPr>
            <w:tcW w:w="1636" w:type="dxa"/>
            <w:vAlign w:val="center"/>
          </w:tcPr>
          <w:p w14:paraId="3AAADB49">
            <w:pPr>
              <w:widowControl w:val="0"/>
              <w:tabs>
                <w:tab w:val="left" w:pos="6100"/>
              </w:tabs>
              <w:autoSpaceDE w:val="0"/>
              <w:autoSpaceDN w:val="0"/>
              <w:adjustRightIn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zh-CN"/>
              </w:rPr>
              <w:t>单位</w:t>
            </w:r>
          </w:p>
        </w:tc>
        <w:tc>
          <w:tcPr>
            <w:tcW w:w="2170" w:type="dxa"/>
            <w:vAlign w:val="center"/>
          </w:tcPr>
          <w:p w14:paraId="09680AE1">
            <w:pPr>
              <w:widowControl w:val="0"/>
              <w:tabs>
                <w:tab w:val="left" w:pos="6100"/>
              </w:tabs>
              <w:autoSpaceDE w:val="0"/>
              <w:autoSpaceDN w:val="0"/>
              <w:adjustRightIn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zh-CN"/>
              </w:rPr>
              <w:t>数量</w:t>
            </w:r>
          </w:p>
        </w:tc>
      </w:tr>
      <w:tr w14:paraId="3EA770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exact"/>
        </w:trPr>
        <w:tc>
          <w:tcPr>
            <w:tcW w:w="1616" w:type="dxa"/>
            <w:vMerge w:val="restart"/>
            <w:vAlign w:val="center"/>
          </w:tcPr>
          <w:p w14:paraId="057B483B">
            <w:pPr>
              <w:widowControl w:val="0"/>
              <w:tabs>
                <w:tab w:val="left" w:pos="6100"/>
              </w:tabs>
              <w:autoSpaceDE w:val="0"/>
              <w:autoSpaceDN w:val="0"/>
              <w:adjustRightInd w:val="0"/>
              <w:jc w:val="center"/>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lang w:val="zh-CN"/>
              </w:rPr>
              <w:t>综合</w:t>
            </w:r>
          </w:p>
          <w:p w14:paraId="6A6ECA20">
            <w:pPr>
              <w:widowControl w:val="0"/>
              <w:tabs>
                <w:tab w:val="left" w:pos="6100"/>
              </w:tabs>
              <w:autoSpaceDE w:val="0"/>
              <w:autoSpaceDN w:val="0"/>
              <w:adjustRightIn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zh-CN"/>
              </w:rPr>
              <w:t>调查</w:t>
            </w:r>
          </w:p>
        </w:tc>
        <w:tc>
          <w:tcPr>
            <w:tcW w:w="3100" w:type="dxa"/>
            <w:vAlign w:val="center"/>
          </w:tcPr>
          <w:p w14:paraId="3705C05B">
            <w:pPr>
              <w:widowControl w:val="0"/>
              <w:tabs>
                <w:tab w:val="left" w:pos="6100"/>
              </w:tabs>
              <w:autoSpaceDE w:val="0"/>
              <w:autoSpaceDN w:val="0"/>
              <w:adjustRightIn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zh-CN"/>
              </w:rPr>
              <w:t>调查面积</w:t>
            </w:r>
          </w:p>
        </w:tc>
        <w:tc>
          <w:tcPr>
            <w:tcW w:w="1636" w:type="dxa"/>
            <w:vAlign w:val="center"/>
          </w:tcPr>
          <w:p w14:paraId="0B869F1F">
            <w:pPr>
              <w:widowControl w:val="0"/>
              <w:tabs>
                <w:tab w:val="left" w:pos="6100"/>
              </w:tabs>
              <w:autoSpaceDE w:val="0"/>
              <w:autoSpaceDN w:val="0"/>
              <w:adjustRightInd w:val="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val="en-US" w:eastAsia="zh-CN"/>
              </w:rPr>
              <w:t>h</w:t>
            </w:r>
            <w:r>
              <w:rPr>
                <w:rFonts w:hint="default" w:ascii="Times New Roman" w:hAnsi="Times New Roman" w:cs="Times New Roman"/>
                <w:color w:val="auto"/>
                <w:szCs w:val="21"/>
                <w:highlight w:val="none"/>
                <w:lang w:eastAsia="zh-CN"/>
              </w:rPr>
              <w:t>m</w:t>
            </w:r>
            <w:r>
              <w:rPr>
                <w:rFonts w:hint="default" w:ascii="Times New Roman" w:hAnsi="Times New Roman" w:cs="Times New Roman"/>
                <w:color w:val="auto"/>
                <w:szCs w:val="21"/>
                <w:highlight w:val="none"/>
                <w:vertAlign w:val="superscript"/>
                <w:lang w:eastAsia="zh-CN"/>
              </w:rPr>
              <w:t>2</w:t>
            </w:r>
          </w:p>
        </w:tc>
        <w:tc>
          <w:tcPr>
            <w:tcW w:w="2170" w:type="dxa"/>
            <w:vAlign w:val="center"/>
          </w:tcPr>
          <w:p w14:paraId="15BFC10C">
            <w:pPr>
              <w:widowControl w:val="0"/>
              <w:tabs>
                <w:tab w:val="left" w:pos="6100"/>
              </w:tabs>
              <w:autoSpaceDE w:val="0"/>
              <w:autoSpaceDN w:val="0"/>
              <w:adjustRightInd w:val="0"/>
              <w:jc w:val="center"/>
              <w:rPr>
                <w:rFonts w:hint="default" w:ascii="Times New Roman" w:hAnsi="Times New Roman" w:eastAsia="宋体" w:cs="Times New Roman"/>
                <w:color w:val="auto"/>
                <w:szCs w:val="21"/>
                <w:highlight w:val="none"/>
                <w:lang w:eastAsia="zh-CN"/>
              </w:rPr>
            </w:pPr>
            <w:r>
              <w:rPr>
                <w:rFonts w:hint="eastAsia" w:cs="Times New Roman"/>
                <w:color w:val="auto"/>
                <w:szCs w:val="21"/>
                <w:highlight w:val="none"/>
                <w:lang w:eastAsia="zh-CN"/>
              </w:rPr>
              <w:t>81.4093</w:t>
            </w:r>
          </w:p>
        </w:tc>
      </w:tr>
      <w:tr w14:paraId="1A6764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exact"/>
        </w:trPr>
        <w:tc>
          <w:tcPr>
            <w:tcW w:w="1616" w:type="dxa"/>
            <w:vMerge w:val="continue"/>
            <w:vAlign w:val="center"/>
          </w:tcPr>
          <w:p w14:paraId="741DBA8D">
            <w:pPr>
              <w:widowControl w:val="0"/>
              <w:tabs>
                <w:tab w:val="left" w:pos="6100"/>
              </w:tabs>
              <w:autoSpaceDE w:val="0"/>
              <w:autoSpaceDN w:val="0"/>
              <w:adjustRightInd w:val="0"/>
              <w:jc w:val="center"/>
              <w:rPr>
                <w:rFonts w:hint="default" w:ascii="Times New Roman" w:hAnsi="Times New Roman" w:cs="Times New Roman"/>
                <w:color w:val="auto"/>
                <w:szCs w:val="21"/>
                <w:highlight w:val="none"/>
                <w:lang w:val="zh-CN"/>
              </w:rPr>
            </w:pPr>
          </w:p>
        </w:tc>
        <w:tc>
          <w:tcPr>
            <w:tcW w:w="3100" w:type="dxa"/>
            <w:vAlign w:val="center"/>
          </w:tcPr>
          <w:p w14:paraId="742F9810">
            <w:pPr>
              <w:widowControl w:val="0"/>
              <w:tabs>
                <w:tab w:val="left" w:pos="6100"/>
              </w:tabs>
              <w:autoSpaceDE w:val="0"/>
              <w:autoSpaceDN w:val="0"/>
              <w:adjustRightInd w:val="0"/>
              <w:jc w:val="center"/>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lang w:val="zh-CN"/>
              </w:rPr>
              <w:t>调查路线</w:t>
            </w:r>
          </w:p>
        </w:tc>
        <w:tc>
          <w:tcPr>
            <w:tcW w:w="1636" w:type="dxa"/>
            <w:vAlign w:val="center"/>
          </w:tcPr>
          <w:p w14:paraId="290B2CE2">
            <w:pPr>
              <w:widowControl w:val="0"/>
              <w:tabs>
                <w:tab w:val="left" w:pos="6100"/>
              </w:tabs>
              <w:autoSpaceDE w:val="0"/>
              <w:autoSpaceDN w:val="0"/>
              <w:adjustRightIn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km</w:t>
            </w:r>
          </w:p>
        </w:tc>
        <w:tc>
          <w:tcPr>
            <w:tcW w:w="2170" w:type="dxa"/>
            <w:vAlign w:val="center"/>
          </w:tcPr>
          <w:p w14:paraId="340E6C36">
            <w:pPr>
              <w:widowControl w:val="0"/>
              <w:tabs>
                <w:tab w:val="left" w:pos="6100"/>
              </w:tabs>
              <w:autoSpaceDE w:val="0"/>
              <w:autoSpaceDN w:val="0"/>
              <w:adjustRightIn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3.25</w:t>
            </w:r>
          </w:p>
        </w:tc>
      </w:tr>
      <w:tr w14:paraId="3E9F2B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exact"/>
        </w:trPr>
        <w:tc>
          <w:tcPr>
            <w:tcW w:w="1616" w:type="dxa"/>
            <w:vMerge w:val="continue"/>
            <w:vAlign w:val="center"/>
          </w:tcPr>
          <w:p w14:paraId="6C126359">
            <w:pPr>
              <w:widowControl w:val="0"/>
              <w:tabs>
                <w:tab w:val="left" w:pos="6100"/>
              </w:tabs>
              <w:autoSpaceDE w:val="0"/>
              <w:autoSpaceDN w:val="0"/>
              <w:adjustRightInd w:val="0"/>
              <w:jc w:val="center"/>
              <w:rPr>
                <w:rFonts w:hint="default" w:ascii="Times New Roman" w:hAnsi="Times New Roman" w:cs="Times New Roman"/>
                <w:color w:val="auto"/>
                <w:szCs w:val="21"/>
                <w:highlight w:val="none"/>
              </w:rPr>
            </w:pPr>
          </w:p>
        </w:tc>
        <w:tc>
          <w:tcPr>
            <w:tcW w:w="3100" w:type="dxa"/>
            <w:vAlign w:val="center"/>
          </w:tcPr>
          <w:p w14:paraId="09DB7620">
            <w:pPr>
              <w:tabs>
                <w:tab w:val="left" w:pos="6100"/>
              </w:tabs>
              <w:autoSpaceDE w:val="0"/>
              <w:autoSpaceDN w:val="0"/>
              <w:adjustRightInd w:val="0"/>
              <w:jc w:val="center"/>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lang w:val="zh-CN"/>
              </w:rPr>
              <w:t>地质环境调查点</w:t>
            </w:r>
          </w:p>
        </w:tc>
        <w:tc>
          <w:tcPr>
            <w:tcW w:w="1636" w:type="dxa"/>
            <w:vAlign w:val="center"/>
          </w:tcPr>
          <w:p w14:paraId="309725A9">
            <w:pPr>
              <w:tabs>
                <w:tab w:val="left" w:pos="6100"/>
              </w:tabs>
              <w:autoSpaceDE w:val="0"/>
              <w:autoSpaceDN w:val="0"/>
              <w:adjustRightInd w:val="0"/>
              <w:jc w:val="center"/>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lang w:val="zh-CN"/>
              </w:rPr>
              <w:t>点</w:t>
            </w:r>
          </w:p>
        </w:tc>
        <w:tc>
          <w:tcPr>
            <w:tcW w:w="2170" w:type="dxa"/>
            <w:vAlign w:val="center"/>
          </w:tcPr>
          <w:p w14:paraId="2F2ABEC8">
            <w:pPr>
              <w:tabs>
                <w:tab w:val="left" w:pos="6100"/>
              </w:tabs>
              <w:autoSpaceDE w:val="0"/>
              <w:autoSpaceDN w:val="0"/>
              <w:adjustRightInd w:val="0"/>
              <w:jc w:val="center"/>
              <w:rPr>
                <w:rFonts w:hint="default" w:ascii="Times New Roman" w:hAnsi="Times New Roman" w:eastAsia="宋体" w:cs="Times New Roman"/>
                <w:color w:val="auto"/>
                <w:szCs w:val="21"/>
                <w:highlight w:val="none"/>
                <w:lang w:eastAsia="zh-CN"/>
              </w:rPr>
            </w:pPr>
            <w:r>
              <w:rPr>
                <w:rFonts w:hint="eastAsia" w:cs="Times New Roman"/>
                <w:color w:val="auto"/>
                <w:szCs w:val="21"/>
                <w:highlight w:val="none"/>
                <w:lang w:val="en-US" w:eastAsia="zh-CN"/>
              </w:rPr>
              <w:t>12</w:t>
            </w:r>
          </w:p>
        </w:tc>
      </w:tr>
      <w:tr w14:paraId="527DE4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exact"/>
        </w:trPr>
        <w:tc>
          <w:tcPr>
            <w:tcW w:w="1616" w:type="dxa"/>
            <w:vMerge w:val="continue"/>
            <w:vAlign w:val="center"/>
          </w:tcPr>
          <w:p w14:paraId="77CC5335">
            <w:pPr>
              <w:widowControl w:val="0"/>
              <w:tabs>
                <w:tab w:val="left" w:pos="6100"/>
              </w:tabs>
              <w:autoSpaceDE w:val="0"/>
              <w:autoSpaceDN w:val="0"/>
              <w:adjustRightInd w:val="0"/>
              <w:jc w:val="center"/>
              <w:rPr>
                <w:rFonts w:hint="default" w:ascii="Times New Roman" w:hAnsi="Times New Roman" w:cs="Times New Roman"/>
                <w:color w:val="auto"/>
                <w:szCs w:val="21"/>
                <w:highlight w:val="none"/>
              </w:rPr>
            </w:pPr>
          </w:p>
        </w:tc>
        <w:tc>
          <w:tcPr>
            <w:tcW w:w="3100" w:type="dxa"/>
            <w:vAlign w:val="center"/>
          </w:tcPr>
          <w:p w14:paraId="177B4BFA">
            <w:pPr>
              <w:widowControl w:val="0"/>
              <w:tabs>
                <w:tab w:val="left" w:pos="6100"/>
              </w:tabs>
              <w:autoSpaceDE w:val="0"/>
              <w:autoSpaceDN w:val="0"/>
              <w:adjustRightIn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zh-CN"/>
              </w:rPr>
              <w:t>数码照片</w:t>
            </w:r>
          </w:p>
        </w:tc>
        <w:tc>
          <w:tcPr>
            <w:tcW w:w="1636" w:type="dxa"/>
            <w:vAlign w:val="center"/>
          </w:tcPr>
          <w:p w14:paraId="30ED253F">
            <w:pPr>
              <w:widowControl w:val="0"/>
              <w:tabs>
                <w:tab w:val="left" w:pos="6100"/>
              </w:tabs>
              <w:autoSpaceDE w:val="0"/>
              <w:autoSpaceDN w:val="0"/>
              <w:adjustRightIn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zh-CN"/>
              </w:rPr>
              <w:t>张</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zh-CN"/>
              </w:rPr>
              <w:t>选用张</w:t>
            </w:r>
          </w:p>
        </w:tc>
        <w:tc>
          <w:tcPr>
            <w:tcW w:w="2170" w:type="dxa"/>
            <w:vAlign w:val="center"/>
          </w:tcPr>
          <w:p w14:paraId="7F417AF6">
            <w:pPr>
              <w:widowControl w:val="0"/>
              <w:tabs>
                <w:tab w:val="left" w:pos="6100"/>
              </w:tabs>
              <w:autoSpaceDE w:val="0"/>
              <w:autoSpaceDN w:val="0"/>
              <w:adjustRightInd w:val="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36/</w:t>
            </w:r>
            <w:r>
              <w:rPr>
                <w:rFonts w:hint="default" w:ascii="Times New Roman" w:hAnsi="Times New Roman" w:cs="Times New Roman"/>
                <w:color w:val="auto"/>
                <w:szCs w:val="21"/>
                <w:highlight w:val="none"/>
                <w:lang w:val="en-US" w:eastAsia="zh-CN"/>
              </w:rPr>
              <w:t>9</w:t>
            </w:r>
          </w:p>
        </w:tc>
      </w:tr>
      <w:tr w14:paraId="255BA9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exact"/>
        </w:trPr>
        <w:tc>
          <w:tcPr>
            <w:tcW w:w="1616" w:type="dxa"/>
            <w:vMerge w:val="restart"/>
            <w:vAlign w:val="center"/>
          </w:tcPr>
          <w:p w14:paraId="25C36C77">
            <w:pPr>
              <w:widowControl w:val="0"/>
              <w:tabs>
                <w:tab w:val="left" w:pos="6100"/>
              </w:tabs>
              <w:autoSpaceDE w:val="0"/>
              <w:autoSpaceDN w:val="0"/>
              <w:adjustRightIn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zh-CN"/>
              </w:rPr>
              <w:t>收集资料</w:t>
            </w:r>
          </w:p>
        </w:tc>
        <w:tc>
          <w:tcPr>
            <w:tcW w:w="3100" w:type="dxa"/>
            <w:vAlign w:val="center"/>
          </w:tcPr>
          <w:p w14:paraId="0228E11D">
            <w:pPr>
              <w:widowControl w:val="0"/>
              <w:tabs>
                <w:tab w:val="left" w:pos="6100"/>
              </w:tabs>
              <w:autoSpaceDE w:val="0"/>
              <w:autoSpaceDN w:val="0"/>
              <w:adjustRightInd w:val="0"/>
              <w:jc w:val="center"/>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lang w:val="zh-CN"/>
              </w:rPr>
              <w:t>开发利用方案</w:t>
            </w:r>
          </w:p>
        </w:tc>
        <w:tc>
          <w:tcPr>
            <w:tcW w:w="1636" w:type="dxa"/>
            <w:vAlign w:val="center"/>
          </w:tcPr>
          <w:p w14:paraId="4CBD0C40">
            <w:pPr>
              <w:widowControl w:val="0"/>
              <w:tabs>
                <w:tab w:val="left" w:pos="6100"/>
              </w:tabs>
              <w:autoSpaceDE w:val="0"/>
              <w:autoSpaceDN w:val="0"/>
              <w:adjustRightInd w:val="0"/>
              <w:jc w:val="center"/>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lang w:val="zh-CN"/>
              </w:rPr>
              <w:t>份</w:t>
            </w:r>
          </w:p>
        </w:tc>
        <w:tc>
          <w:tcPr>
            <w:tcW w:w="2170" w:type="dxa"/>
            <w:vAlign w:val="center"/>
          </w:tcPr>
          <w:p w14:paraId="59DC024C">
            <w:pPr>
              <w:widowControl w:val="0"/>
              <w:tabs>
                <w:tab w:val="left" w:pos="6100"/>
              </w:tabs>
              <w:autoSpaceDE w:val="0"/>
              <w:autoSpaceDN w:val="0"/>
              <w:adjustRightIn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r>
      <w:tr w14:paraId="472A45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exact"/>
        </w:trPr>
        <w:tc>
          <w:tcPr>
            <w:tcW w:w="1616" w:type="dxa"/>
            <w:vMerge w:val="continue"/>
            <w:vAlign w:val="center"/>
          </w:tcPr>
          <w:p w14:paraId="7A11CC42">
            <w:pPr>
              <w:widowControl w:val="0"/>
              <w:tabs>
                <w:tab w:val="left" w:pos="6100"/>
              </w:tabs>
              <w:autoSpaceDE w:val="0"/>
              <w:autoSpaceDN w:val="0"/>
              <w:adjustRightInd w:val="0"/>
              <w:jc w:val="center"/>
              <w:rPr>
                <w:rFonts w:hint="default" w:ascii="Times New Roman" w:hAnsi="Times New Roman" w:cs="Times New Roman"/>
                <w:color w:val="auto"/>
                <w:szCs w:val="21"/>
                <w:highlight w:val="none"/>
              </w:rPr>
            </w:pPr>
          </w:p>
        </w:tc>
        <w:tc>
          <w:tcPr>
            <w:tcW w:w="3100" w:type="dxa"/>
            <w:vAlign w:val="center"/>
          </w:tcPr>
          <w:p w14:paraId="4DE0A932">
            <w:pPr>
              <w:widowControl w:val="0"/>
              <w:tabs>
                <w:tab w:val="left" w:pos="6100"/>
              </w:tabs>
              <w:autoSpaceDE w:val="0"/>
              <w:autoSpaceDN w:val="0"/>
              <w:adjustRightIn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zh-CN"/>
              </w:rPr>
              <w:t>其他报告</w:t>
            </w:r>
          </w:p>
        </w:tc>
        <w:tc>
          <w:tcPr>
            <w:tcW w:w="1636" w:type="dxa"/>
            <w:vAlign w:val="center"/>
          </w:tcPr>
          <w:p w14:paraId="7DF2AB54">
            <w:pPr>
              <w:widowControl w:val="0"/>
              <w:tabs>
                <w:tab w:val="left" w:pos="6100"/>
              </w:tabs>
              <w:autoSpaceDE w:val="0"/>
              <w:autoSpaceDN w:val="0"/>
              <w:adjustRightIn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zh-CN"/>
              </w:rPr>
              <w:t>份</w:t>
            </w:r>
          </w:p>
        </w:tc>
        <w:tc>
          <w:tcPr>
            <w:tcW w:w="2170" w:type="dxa"/>
            <w:vAlign w:val="center"/>
          </w:tcPr>
          <w:p w14:paraId="57DDF884">
            <w:pPr>
              <w:widowControl w:val="0"/>
              <w:tabs>
                <w:tab w:val="left" w:pos="6100"/>
              </w:tabs>
              <w:autoSpaceDE w:val="0"/>
              <w:autoSpaceDN w:val="0"/>
              <w:adjustRightIn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w:t>
            </w:r>
          </w:p>
        </w:tc>
      </w:tr>
      <w:tr w14:paraId="3587E3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exact"/>
        </w:trPr>
        <w:tc>
          <w:tcPr>
            <w:tcW w:w="1616" w:type="dxa"/>
            <w:vMerge w:val="restart"/>
            <w:vAlign w:val="center"/>
          </w:tcPr>
          <w:p w14:paraId="4355A606">
            <w:pPr>
              <w:widowControl w:val="0"/>
              <w:tabs>
                <w:tab w:val="left" w:pos="6100"/>
              </w:tabs>
              <w:autoSpaceDE w:val="0"/>
              <w:autoSpaceDN w:val="0"/>
              <w:adjustRightIn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zh-CN"/>
              </w:rPr>
              <w:t>成    果</w:t>
            </w:r>
          </w:p>
        </w:tc>
        <w:tc>
          <w:tcPr>
            <w:tcW w:w="3100" w:type="dxa"/>
            <w:vAlign w:val="center"/>
          </w:tcPr>
          <w:p w14:paraId="232C267E">
            <w:pPr>
              <w:widowControl w:val="0"/>
              <w:tabs>
                <w:tab w:val="left" w:pos="6100"/>
              </w:tabs>
              <w:autoSpaceDE w:val="0"/>
              <w:autoSpaceDN w:val="0"/>
              <w:adjustRightIn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zh-CN"/>
              </w:rPr>
              <w:t>方案</w:t>
            </w:r>
          </w:p>
        </w:tc>
        <w:tc>
          <w:tcPr>
            <w:tcW w:w="1636" w:type="dxa"/>
            <w:vAlign w:val="center"/>
          </w:tcPr>
          <w:p w14:paraId="40B5F20E">
            <w:pPr>
              <w:widowControl w:val="0"/>
              <w:tabs>
                <w:tab w:val="left" w:pos="6100"/>
              </w:tabs>
              <w:autoSpaceDE w:val="0"/>
              <w:autoSpaceDN w:val="0"/>
              <w:adjustRightIn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zh-CN"/>
              </w:rPr>
              <w:t>份</w:t>
            </w:r>
          </w:p>
        </w:tc>
        <w:tc>
          <w:tcPr>
            <w:tcW w:w="2170" w:type="dxa"/>
            <w:vAlign w:val="center"/>
          </w:tcPr>
          <w:p w14:paraId="7661294C">
            <w:pPr>
              <w:widowControl w:val="0"/>
              <w:tabs>
                <w:tab w:val="left" w:pos="6100"/>
              </w:tabs>
              <w:autoSpaceDE w:val="0"/>
              <w:autoSpaceDN w:val="0"/>
              <w:adjustRightIn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r>
      <w:tr w14:paraId="234F2A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exact"/>
        </w:trPr>
        <w:tc>
          <w:tcPr>
            <w:tcW w:w="1616" w:type="dxa"/>
            <w:vMerge w:val="continue"/>
            <w:vAlign w:val="center"/>
          </w:tcPr>
          <w:p w14:paraId="1E6B57D6">
            <w:pPr>
              <w:widowControl w:val="0"/>
              <w:tabs>
                <w:tab w:val="left" w:pos="6100"/>
              </w:tabs>
              <w:autoSpaceDE w:val="0"/>
              <w:autoSpaceDN w:val="0"/>
              <w:adjustRightInd w:val="0"/>
              <w:jc w:val="center"/>
              <w:rPr>
                <w:rFonts w:hint="default" w:ascii="Times New Roman" w:hAnsi="Times New Roman" w:cs="Times New Roman"/>
                <w:color w:val="auto"/>
                <w:szCs w:val="21"/>
                <w:highlight w:val="none"/>
                <w:lang w:val="zh-CN"/>
              </w:rPr>
            </w:pPr>
          </w:p>
        </w:tc>
        <w:tc>
          <w:tcPr>
            <w:tcW w:w="3100" w:type="dxa"/>
            <w:vAlign w:val="center"/>
          </w:tcPr>
          <w:p w14:paraId="4804862B">
            <w:pPr>
              <w:widowControl w:val="0"/>
              <w:tabs>
                <w:tab w:val="left" w:pos="6100"/>
              </w:tabs>
              <w:autoSpaceDE w:val="0"/>
              <w:autoSpaceDN w:val="0"/>
              <w:adjustRightInd w:val="0"/>
              <w:jc w:val="center"/>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lang w:val="zh-CN"/>
              </w:rPr>
              <w:t>图件</w:t>
            </w:r>
          </w:p>
        </w:tc>
        <w:tc>
          <w:tcPr>
            <w:tcW w:w="1636" w:type="dxa"/>
            <w:vAlign w:val="center"/>
          </w:tcPr>
          <w:p w14:paraId="7F06E0EF">
            <w:pPr>
              <w:widowControl w:val="0"/>
              <w:tabs>
                <w:tab w:val="left" w:pos="6100"/>
              </w:tabs>
              <w:autoSpaceDE w:val="0"/>
              <w:autoSpaceDN w:val="0"/>
              <w:adjustRightInd w:val="0"/>
              <w:jc w:val="center"/>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lang w:val="zh-CN"/>
              </w:rPr>
              <w:t>张</w:t>
            </w:r>
          </w:p>
        </w:tc>
        <w:tc>
          <w:tcPr>
            <w:tcW w:w="2170" w:type="dxa"/>
            <w:vAlign w:val="center"/>
          </w:tcPr>
          <w:p w14:paraId="716723E8">
            <w:pPr>
              <w:widowControl w:val="0"/>
              <w:tabs>
                <w:tab w:val="left" w:pos="6100"/>
              </w:tabs>
              <w:autoSpaceDE w:val="0"/>
              <w:autoSpaceDN w:val="0"/>
              <w:adjustRightInd w:val="0"/>
              <w:jc w:val="center"/>
              <w:rPr>
                <w:rFonts w:hint="eastAsia" w:ascii="Times New Roman" w:hAnsi="Times New Roman" w:eastAsia="宋体" w:cs="Times New Roman"/>
                <w:color w:val="auto"/>
                <w:szCs w:val="21"/>
                <w:highlight w:val="none"/>
                <w:lang w:eastAsia="zh-CN"/>
              </w:rPr>
            </w:pPr>
            <w:r>
              <w:rPr>
                <w:rFonts w:hint="eastAsia" w:ascii="Times New Roman" w:hAnsi="Times New Roman" w:cs="Times New Roman"/>
                <w:color w:val="auto"/>
                <w:szCs w:val="21"/>
                <w:highlight w:val="none"/>
                <w:lang w:val="en-US" w:eastAsia="zh-CN"/>
              </w:rPr>
              <w:t>8</w:t>
            </w:r>
          </w:p>
        </w:tc>
      </w:tr>
    </w:tbl>
    <w:p w14:paraId="15E8F9F3">
      <w:pPr>
        <w:keepNext/>
        <w:keepLines/>
        <w:widowControl w:val="0"/>
        <w:spacing w:before="260" w:after="260" w:line="360" w:lineRule="auto"/>
        <w:outlineLvl w:val="1"/>
        <w:rPr>
          <w:rFonts w:hint="default" w:ascii="Times New Roman" w:hAnsi="Times New Roman" w:eastAsia="黑体" w:cs="Times New Roman"/>
          <w:bCs/>
          <w:color w:val="auto"/>
          <w:sz w:val="30"/>
          <w:szCs w:val="30"/>
          <w:highlight w:val="none"/>
        </w:rPr>
      </w:pPr>
      <w:bookmarkStart w:id="125" w:name="_Toc508869978"/>
      <w:bookmarkStart w:id="126" w:name="_Toc485629689"/>
      <w:bookmarkStart w:id="127" w:name="_Toc29450"/>
      <w:r>
        <w:rPr>
          <w:rFonts w:hint="default" w:ascii="Times New Roman" w:hAnsi="Times New Roman" w:eastAsia="黑体" w:cs="Times New Roman"/>
          <w:bCs/>
          <w:color w:val="auto"/>
          <w:sz w:val="30"/>
          <w:szCs w:val="30"/>
          <w:highlight w:val="none"/>
        </w:rPr>
        <w:t>二、矿山地质环境影响评估</w:t>
      </w:r>
      <w:bookmarkEnd w:id="125"/>
      <w:bookmarkEnd w:id="126"/>
      <w:bookmarkEnd w:id="127"/>
    </w:p>
    <w:p w14:paraId="7F4F3E85">
      <w:pPr>
        <w:pStyle w:val="5"/>
        <w:rPr>
          <w:rFonts w:hint="default" w:ascii="Times New Roman" w:hAnsi="Times New Roman" w:eastAsia="黑体" w:cs="Times New Roman"/>
          <w:b w:val="0"/>
          <w:bCs w:val="0"/>
          <w:color w:val="auto"/>
          <w:szCs w:val="28"/>
          <w:highlight w:val="none"/>
        </w:rPr>
      </w:pPr>
      <w:bookmarkStart w:id="128" w:name="_Toc485629690"/>
      <w:bookmarkStart w:id="129" w:name="_Hlk62786563"/>
      <w:r>
        <w:rPr>
          <w:rFonts w:hint="default" w:ascii="Times New Roman" w:hAnsi="Times New Roman" w:eastAsia="黑体" w:cs="Times New Roman"/>
          <w:b w:val="0"/>
          <w:bCs w:val="0"/>
          <w:color w:val="auto"/>
          <w:szCs w:val="28"/>
          <w:highlight w:val="none"/>
        </w:rPr>
        <w:t>（一）评估范围和评估级别</w:t>
      </w:r>
      <w:bookmarkEnd w:id="128"/>
    </w:p>
    <w:bookmarkEnd w:id="129"/>
    <w:p w14:paraId="26ABC0DA">
      <w:pPr>
        <w:spacing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1、评估范围</w:t>
      </w:r>
    </w:p>
    <w:p w14:paraId="79AB9996">
      <w:pPr>
        <w:spacing w:line="360" w:lineRule="auto"/>
        <w:ind w:firstLine="460" w:firstLineChars="19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该矿区地形地貌、地质构造条件、开采条件、环境地质问题以及今后建设可能引发或加剧的环境地质问题，综合考虑未来开采可能对地质环境影响的程度，适当考虑地形起伏变化、分水岭分布及矿山开采对地下水资源影响情况圈定评估区范围，项目区外扩</w:t>
      </w:r>
      <w:r>
        <w:rPr>
          <w:rFonts w:hint="eastAsia" w:cs="Times New Roman"/>
          <w:color w:val="auto"/>
          <w:sz w:val="24"/>
          <w:highlight w:val="none"/>
          <w:lang w:val="en-US" w:eastAsia="zh-CN"/>
        </w:rPr>
        <w:t>200</w:t>
      </w: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300</w:t>
      </w:r>
      <w:r>
        <w:rPr>
          <w:rFonts w:hint="default" w:ascii="Times New Roman" w:hAnsi="Times New Roman" w:cs="Times New Roman"/>
          <w:color w:val="auto"/>
          <w:sz w:val="24"/>
          <w:highlight w:val="none"/>
        </w:rPr>
        <w:t>m作为项目影响区范围，评估区面积</w:t>
      </w:r>
      <w:r>
        <w:rPr>
          <w:rFonts w:hint="eastAsia" w:cs="Times New Roman"/>
          <w:color w:val="auto"/>
          <w:sz w:val="24"/>
          <w:highlight w:val="none"/>
          <w:lang w:eastAsia="zh-CN"/>
        </w:rPr>
        <w:t>81.4093</w:t>
      </w:r>
      <w:r>
        <w:rPr>
          <w:rFonts w:hint="default" w:ascii="Times New Roman" w:hAnsi="Times New Roman" w:cs="Times New Roman"/>
          <w:color w:val="auto"/>
          <w:sz w:val="24"/>
          <w:highlight w:val="none"/>
          <w:lang w:val="en-US" w:eastAsia="zh-CN"/>
        </w:rPr>
        <w:t>h</w:t>
      </w:r>
      <w:r>
        <w:rPr>
          <w:rFonts w:hint="default" w:ascii="Times New Roman" w:hAnsi="Times New Roman" w:cs="Times New Roman"/>
          <w:color w:val="auto"/>
          <w:sz w:val="24"/>
          <w:highlight w:val="none"/>
          <w:lang w:eastAsia="zh-CN"/>
        </w:rPr>
        <w:t>m</w:t>
      </w:r>
      <w:r>
        <w:rPr>
          <w:rFonts w:hint="default" w:ascii="Times New Roman" w:hAnsi="Times New Roman" w:cs="Times New Roman"/>
          <w:color w:val="auto"/>
          <w:sz w:val="24"/>
          <w:highlight w:val="none"/>
          <w:vertAlign w:val="superscript"/>
          <w:lang w:eastAsia="zh-CN"/>
        </w:rPr>
        <w:t>2</w:t>
      </w:r>
      <w:r>
        <w:rPr>
          <w:rFonts w:hint="default" w:ascii="Times New Roman" w:hAnsi="Times New Roman" w:cs="Times New Roman"/>
          <w:color w:val="auto"/>
          <w:sz w:val="24"/>
          <w:highlight w:val="none"/>
        </w:rPr>
        <w:t>。</w:t>
      </w:r>
    </w:p>
    <w:p w14:paraId="386F7005">
      <w:pPr>
        <w:spacing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2、评估级别</w:t>
      </w:r>
    </w:p>
    <w:p w14:paraId="5A4C1383">
      <w:pPr>
        <w:widowControl w:val="0"/>
        <w:spacing w:line="360" w:lineRule="auto"/>
        <w:ind w:firstLine="460" w:firstLineChars="192"/>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矿山地质环境影响评估级别根据评估区重要程度、矿山生产建设规模、矿山地质环境条件复杂程度综合确定。</w:t>
      </w:r>
    </w:p>
    <w:p w14:paraId="4A7D7C4C">
      <w:pPr>
        <w:widowControl w:val="0"/>
        <w:spacing w:line="360" w:lineRule="auto"/>
        <w:ind w:firstLine="460" w:firstLineChars="192"/>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1）评估区重要程度</w:t>
      </w:r>
    </w:p>
    <w:p w14:paraId="3E7425DC">
      <w:pPr>
        <w:widowControl w:val="0"/>
        <w:spacing w:line="360" w:lineRule="auto"/>
        <w:ind w:firstLine="460" w:firstLineChars="192"/>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评估区内居民主要为矿区生产人员等，居民集中区人口约为</w:t>
      </w:r>
      <w:r>
        <w:rPr>
          <w:rFonts w:hint="eastAsia" w:cs="Times New Roman"/>
          <w:color w:val="auto"/>
          <w:sz w:val="24"/>
          <w:highlight w:val="none"/>
          <w:lang w:val="en-US" w:eastAsia="zh-CN"/>
        </w:rPr>
        <w:t>2</w:t>
      </w:r>
      <w:r>
        <w:rPr>
          <w:rFonts w:hint="default" w:ascii="Times New Roman" w:hAnsi="Times New Roman" w:cs="Times New Roman"/>
          <w:color w:val="auto"/>
          <w:sz w:val="24"/>
          <w:highlight w:val="none"/>
        </w:rPr>
        <w:t>0人；评估区内无重要交通要道及建筑设施；远离自然保护区及旅游景点；无重要水源地；土地利用类型为</w:t>
      </w:r>
      <w:r>
        <w:rPr>
          <w:rFonts w:hint="default" w:ascii="Times New Roman" w:hAnsi="Times New Roman" w:cs="Times New Roman"/>
          <w:color w:val="auto"/>
          <w:sz w:val="24"/>
          <w:highlight w:val="none"/>
          <w:lang w:val="en-US" w:eastAsia="zh-CN"/>
        </w:rPr>
        <w:t>乔木</w:t>
      </w:r>
      <w:r>
        <w:rPr>
          <w:rFonts w:hint="default" w:ascii="Times New Roman" w:hAnsi="Times New Roman" w:cs="Times New Roman"/>
          <w:color w:val="auto"/>
          <w:sz w:val="24"/>
          <w:highlight w:val="none"/>
        </w:rPr>
        <w:t>林地</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采矿用地；根据《矿山地质环境保护与恢复治理编制规范》附录B，评估区的重要程度划分为</w:t>
      </w:r>
      <w:r>
        <w:rPr>
          <w:rFonts w:hint="eastAsia" w:cs="Times New Roman"/>
          <w:color w:val="auto"/>
          <w:sz w:val="24"/>
          <w:highlight w:val="none"/>
          <w:lang w:val="en-US" w:eastAsia="zh-CN"/>
        </w:rPr>
        <w:t>较重要区</w:t>
      </w:r>
      <w:r>
        <w:rPr>
          <w:rFonts w:hint="default" w:ascii="Times New Roman" w:hAnsi="Times New Roman" w:cs="Times New Roman"/>
          <w:color w:val="auto"/>
          <w:sz w:val="24"/>
          <w:highlight w:val="none"/>
        </w:rPr>
        <w:t>（表3-2）。</w:t>
      </w:r>
    </w:p>
    <w:p w14:paraId="5E4495C1">
      <w:pPr>
        <w:keepNext w:val="0"/>
        <w:keepLines w:val="0"/>
        <w:pageBreakBefore w:val="0"/>
        <w:widowControl w:val="0"/>
        <w:kinsoku/>
        <w:wordWrap/>
        <w:overflowPunct/>
        <w:topLinePunct w:val="0"/>
        <w:autoSpaceDE/>
        <w:autoSpaceDN/>
        <w:bidi w:val="0"/>
        <w:adjustRightInd/>
        <w:snapToGrid/>
        <w:spacing w:before="157" w:beforeLines="50" w:line="0" w:lineRule="atLeast"/>
        <w:ind w:firstLine="0" w:firstLineChars="0"/>
        <w:jc w:val="center"/>
        <w:textAlignment w:val="auto"/>
        <w:rPr>
          <w:rFonts w:hint="default" w:ascii="Times New Roman" w:hAnsi="Times New Roman" w:eastAsia="黑体" w:cs="Times New Roman"/>
          <w:b w:val="0"/>
          <w:bCs/>
          <w:color w:val="auto"/>
          <w:szCs w:val="21"/>
          <w:highlight w:val="none"/>
        </w:rPr>
      </w:pPr>
      <w:r>
        <w:rPr>
          <w:rFonts w:hint="default" w:ascii="Times New Roman" w:hAnsi="Times New Roman" w:eastAsia="黑体" w:cs="Times New Roman"/>
          <w:b w:val="0"/>
          <w:bCs/>
          <w:color w:val="auto"/>
          <w:szCs w:val="21"/>
          <w:highlight w:val="none"/>
        </w:rPr>
        <w:t>表3-2   评估区重要程度分级表</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938"/>
        <w:gridCol w:w="2744"/>
      </w:tblGrid>
      <w:tr w14:paraId="45A85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2840" w:type="dxa"/>
            <w:vAlign w:val="center"/>
          </w:tcPr>
          <w:p w14:paraId="4DA11797">
            <w:pPr>
              <w:widowControl w:val="0"/>
              <w:spacing w:line="18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重要区</w:t>
            </w:r>
          </w:p>
        </w:tc>
        <w:tc>
          <w:tcPr>
            <w:tcW w:w="2938" w:type="dxa"/>
            <w:vAlign w:val="center"/>
          </w:tcPr>
          <w:p w14:paraId="43EE350A">
            <w:pPr>
              <w:widowControl w:val="0"/>
              <w:spacing w:line="18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较重要区</w:t>
            </w:r>
          </w:p>
        </w:tc>
        <w:tc>
          <w:tcPr>
            <w:tcW w:w="2744" w:type="dxa"/>
            <w:tcBorders>
              <w:bottom w:val="single" w:color="auto" w:sz="4" w:space="0"/>
            </w:tcBorders>
            <w:vAlign w:val="center"/>
          </w:tcPr>
          <w:p w14:paraId="13844B13">
            <w:pPr>
              <w:widowControl w:val="0"/>
              <w:spacing w:line="18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一般区</w:t>
            </w:r>
          </w:p>
        </w:tc>
      </w:tr>
      <w:tr w14:paraId="4020F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exact"/>
          <w:jc w:val="center"/>
        </w:trPr>
        <w:tc>
          <w:tcPr>
            <w:tcW w:w="2840" w:type="dxa"/>
            <w:vAlign w:val="center"/>
          </w:tcPr>
          <w:p w14:paraId="0102E083">
            <w:pPr>
              <w:widowControl w:val="0"/>
              <w:spacing w:line="180" w:lineRule="auto"/>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1．分布有500人以上的居民集中居住区；</w:t>
            </w:r>
          </w:p>
        </w:tc>
        <w:tc>
          <w:tcPr>
            <w:tcW w:w="2938" w:type="dxa"/>
            <w:tcBorders>
              <w:right w:val="single" w:color="auto" w:sz="4" w:space="0"/>
            </w:tcBorders>
            <w:vAlign w:val="center"/>
          </w:tcPr>
          <w:p w14:paraId="4525196D">
            <w:pPr>
              <w:widowControl w:val="0"/>
              <w:spacing w:line="180" w:lineRule="auto"/>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1．分布有200～500人的居民集中居住区；</w:t>
            </w:r>
          </w:p>
        </w:tc>
        <w:tc>
          <w:tcPr>
            <w:tcW w:w="2744" w:type="dxa"/>
            <w:tcBorders>
              <w:top w:val="single" w:color="auto" w:sz="4" w:space="0"/>
              <w:left w:val="single" w:color="auto" w:sz="4" w:space="0"/>
              <w:bottom w:val="single" w:color="auto" w:sz="4" w:space="0"/>
              <w:right w:val="single" w:color="auto" w:sz="4" w:space="0"/>
            </w:tcBorders>
            <w:vAlign w:val="center"/>
          </w:tcPr>
          <w:p w14:paraId="55556C0D">
            <w:pPr>
              <w:widowControl w:val="0"/>
              <w:spacing w:line="180" w:lineRule="auto"/>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shd w:val="clear" w:fill="A4A4A4" w:themeFill="background1" w:themeFillShade="A5"/>
              </w:rPr>
              <w:t>1．居民居住分散，居民集中居住区人口在200人以下；</w:t>
            </w:r>
          </w:p>
        </w:tc>
      </w:tr>
      <w:tr w14:paraId="79625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exact"/>
          <w:jc w:val="center"/>
        </w:trPr>
        <w:tc>
          <w:tcPr>
            <w:tcW w:w="2840" w:type="dxa"/>
            <w:vAlign w:val="center"/>
          </w:tcPr>
          <w:p w14:paraId="376AA2A6">
            <w:pPr>
              <w:widowControl w:val="0"/>
              <w:spacing w:line="180" w:lineRule="auto"/>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2．分布有高速公路、一级公路、中型以上水利、电力工程或其他重要建筑设施；</w:t>
            </w:r>
          </w:p>
        </w:tc>
        <w:tc>
          <w:tcPr>
            <w:tcW w:w="2938" w:type="dxa"/>
            <w:vAlign w:val="center"/>
          </w:tcPr>
          <w:p w14:paraId="69F0A1BB">
            <w:pPr>
              <w:widowControl w:val="0"/>
              <w:spacing w:line="180" w:lineRule="auto"/>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2．分布有二级公路、小型水利、电力工程或其他较重要建筑设施；</w:t>
            </w:r>
          </w:p>
        </w:tc>
        <w:tc>
          <w:tcPr>
            <w:tcW w:w="2744" w:type="dxa"/>
            <w:tcBorders>
              <w:top w:val="single" w:color="auto" w:sz="4" w:space="0"/>
            </w:tcBorders>
            <w:vAlign w:val="center"/>
          </w:tcPr>
          <w:p w14:paraId="6A087F6F">
            <w:pPr>
              <w:widowControl w:val="0"/>
              <w:spacing w:line="180" w:lineRule="auto"/>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shd w:val="clear" w:fill="A4A4A4" w:themeFill="background1" w:themeFillShade="A5"/>
              </w:rPr>
              <w:t>2．无重要交通要道或建筑设施</w:t>
            </w:r>
            <w:r>
              <w:rPr>
                <w:rFonts w:hint="default" w:ascii="Times New Roman" w:hAnsi="Times New Roman" w:cs="Times New Roman"/>
                <w:color w:val="auto"/>
                <w:szCs w:val="21"/>
                <w:highlight w:val="none"/>
              </w:rPr>
              <w:t>；</w:t>
            </w:r>
          </w:p>
        </w:tc>
      </w:tr>
      <w:tr w14:paraId="3A2B2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Align w:val="center"/>
          </w:tcPr>
          <w:p w14:paraId="0D873A7A">
            <w:pPr>
              <w:widowControl w:val="0"/>
              <w:spacing w:line="180" w:lineRule="auto"/>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3．矿区紧邻国家级自然保护区（含地质公园、风景名胜区等）或重要旅游景区（点）；</w:t>
            </w:r>
          </w:p>
        </w:tc>
        <w:tc>
          <w:tcPr>
            <w:tcW w:w="2938" w:type="dxa"/>
            <w:vAlign w:val="center"/>
          </w:tcPr>
          <w:p w14:paraId="6E2028EB">
            <w:pPr>
              <w:widowControl w:val="0"/>
              <w:spacing w:line="180" w:lineRule="auto"/>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3．紧邻省级、县级自然保护区或较重要旅游景区（点）；</w:t>
            </w:r>
          </w:p>
        </w:tc>
        <w:tc>
          <w:tcPr>
            <w:tcW w:w="2744" w:type="dxa"/>
            <w:vAlign w:val="center"/>
          </w:tcPr>
          <w:p w14:paraId="2D2148D8">
            <w:pPr>
              <w:widowControl w:val="0"/>
              <w:spacing w:line="180" w:lineRule="auto"/>
              <w:jc w:val="both"/>
              <w:rPr>
                <w:rFonts w:hint="default" w:ascii="Times New Roman" w:hAnsi="Times New Roman" w:cs="Times New Roman"/>
                <w:color w:val="auto"/>
                <w:szCs w:val="21"/>
                <w:highlight w:val="none"/>
                <w:shd w:val="clear" w:color="auto" w:fill="B3B3B3"/>
              </w:rPr>
            </w:pPr>
            <w:r>
              <w:rPr>
                <w:rFonts w:hint="default" w:ascii="Times New Roman" w:hAnsi="Times New Roman" w:cs="Times New Roman"/>
                <w:color w:val="auto"/>
                <w:szCs w:val="21"/>
                <w:highlight w:val="none"/>
                <w:shd w:val="clear" w:fill="A4A4A4" w:themeFill="background1" w:themeFillShade="A5"/>
              </w:rPr>
              <w:t>3．远离各级自然保护区及旅游景区（点）</w:t>
            </w:r>
            <w:r>
              <w:rPr>
                <w:rFonts w:hint="default" w:ascii="Times New Roman" w:hAnsi="Times New Roman" w:cs="Times New Roman"/>
                <w:color w:val="auto"/>
                <w:szCs w:val="21"/>
                <w:highlight w:val="none"/>
              </w:rPr>
              <w:t>；</w:t>
            </w:r>
          </w:p>
        </w:tc>
      </w:tr>
      <w:tr w14:paraId="25CE8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exact"/>
          <w:jc w:val="center"/>
        </w:trPr>
        <w:tc>
          <w:tcPr>
            <w:tcW w:w="2840" w:type="dxa"/>
            <w:vAlign w:val="center"/>
          </w:tcPr>
          <w:p w14:paraId="5EB9E85F">
            <w:pPr>
              <w:widowControl w:val="0"/>
              <w:spacing w:line="180" w:lineRule="auto"/>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4．有重要水源地；</w:t>
            </w:r>
          </w:p>
        </w:tc>
        <w:tc>
          <w:tcPr>
            <w:tcW w:w="2938" w:type="dxa"/>
            <w:vAlign w:val="center"/>
          </w:tcPr>
          <w:p w14:paraId="637FB7E8">
            <w:pPr>
              <w:widowControl w:val="0"/>
              <w:spacing w:line="180" w:lineRule="auto"/>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4．有较重要水源地；</w:t>
            </w:r>
          </w:p>
        </w:tc>
        <w:tc>
          <w:tcPr>
            <w:tcW w:w="2744" w:type="dxa"/>
            <w:vAlign w:val="center"/>
          </w:tcPr>
          <w:p w14:paraId="3913991D">
            <w:pPr>
              <w:widowControl w:val="0"/>
              <w:spacing w:line="180" w:lineRule="auto"/>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shd w:val="clear" w:color="auto" w:fill="B3B3B3"/>
              </w:rPr>
              <w:t>4．无较重要水源地；</w:t>
            </w:r>
          </w:p>
        </w:tc>
      </w:tr>
      <w:tr w14:paraId="33098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2840" w:type="dxa"/>
            <w:vAlign w:val="center"/>
          </w:tcPr>
          <w:p w14:paraId="7208BC89">
            <w:pPr>
              <w:widowControl w:val="0"/>
              <w:spacing w:line="180" w:lineRule="auto"/>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5．破坏耕地、园地。</w:t>
            </w:r>
          </w:p>
        </w:tc>
        <w:tc>
          <w:tcPr>
            <w:tcW w:w="2938" w:type="dxa"/>
            <w:vAlign w:val="center"/>
          </w:tcPr>
          <w:p w14:paraId="30F20FF3">
            <w:pPr>
              <w:widowControl w:val="0"/>
              <w:spacing w:line="180" w:lineRule="auto"/>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shd w:val="clear" w:fill="A4A4A4" w:themeFill="background1" w:themeFillShade="A5"/>
              </w:rPr>
              <w:t>5．破坏林地、</w:t>
            </w:r>
            <w:r>
              <w:rPr>
                <w:rFonts w:hint="default" w:ascii="Times New Roman" w:hAnsi="Times New Roman" w:cs="Times New Roman"/>
                <w:color w:val="auto"/>
                <w:szCs w:val="21"/>
                <w:highlight w:val="none"/>
              </w:rPr>
              <w:t>草地。</w:t>
            </w:r>
          </w:p>
        </w:tc>
        <w:tc>
          <w:tcPr>
            <w:tcW w:w="2744" w:type="dxa"/>
            <w:vAlign w:val="center"/>
          </w:tcPr>
          <w:p w14:paraId="40596D61">
            <w:pPr>
              <w:widowControl w:val="0"/>
              <w:spacing w:line="180" w:lineRule="auto"/>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5．破坏其他类型土地。</w:t>
            </w:r>
          </w:p>
        </w:tc>
      </w:tr>
      <w:tr w14:paraId="199C2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exact"/>
          <w:jc w:val="center"/>
        </w:trPr>
        <w:tc>
          <w:tcPr>
            <w:tcW w:w="8522" w:type="dxa"/>
            <w:gridSpan w:val="3"/>
            <w:vAlign w:val="center"/>
          </w:tcPr>
          <w:p w14:paraId="1FE8D0F9">
            <w:pPr>
              <w:widowControl w:val="0"/>
              <w:spacing w:line="180" w:lineRule="auto"/>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注：评估区重要程度分级确定采取上一级别优先的原则，只要有一条符合者即为该级别。</w:t>
            </w:r>
          </w:p>
        </w:tc>
      </w:tr>
    </w:tbl>
    <w:p w14:paraId="62EED86C">
      <w:pPr>
        <w:widowControl w:val="0"/>
        <w:spacing w:line="360" w:lineRule="auto"/>
        <w:ind w:firstLine="460" w:firstLineChars="192"/>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2） 矿山生产建设规模</w:t>
      </w:r>
    </w:p>
    <w:p w14:paraId="7EBFB5D5">
      <w:pPr>
        <w:widowControl w:val="0"/>
        <w:spacing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矿山的生产规模为</w:t>
      </w:r>
      <w:r>
        <w:rPr>
          <w:rFonts w:hint="eastAsia" w:cs="Times New Roman"/>
          <w:color w:val="auto"/>
          <w:sz w:val="24"/>
          <w:highlight w:val="none"/>
          <w:lang w:val="en-US" w:eastAsia="zh-CN"/>
        </w:rPr>
        <w:t>10</w:t>
      </w:r>
      <w:r>
        <w:rPr>
          <w:rFonts w:hint="default" w:ascii="Times New Roman" w:hAnsi="Times New Roman" w:cs="Times New Roman"/>
          <w:color w:val="auto"/>
          <w:sz w:val="24"/>
          <w:highlight w:val="none"/>
        </w:rPr>
        <w:t>万吨/年，开采方式为</w:t>
      </w:r>
      <w:r>
        <w:rPr>
          <w:rFonts w:hint="eastAsia" w:cs="Times New Roman"/>
          <w:color w:val="auto"/>
          <w:sz w:val="24"/>
          <w:highlight w:val="none"/>
          <w:lang w:val="en-US" w:eastAsia="zh-CN"/>
        </w:rPr>
        <w:t>露天开采</w:t>
      </w:r>
      <w:r>
        <w:rPr>
          <w:rFonts w:hint="default" w:ascii="Times New Roman" w:hAnsi="Times New Roman" w:cs="Times New Roman"/>
          <w:color w:val="auto"/>
          <w:sz w:val="24"/>
          <w:highlight w:val="none"/>
        </w:rPr>
        <w:t>，根据《矿山地质环境保护与恢复治理方案编制规范》附录D，参照</w:t>
      </w:r>
      <w:r>
        <w:rPr>
          <w:rFonts w:hint="eastAsia" w:cs="Times New Roman"/>
          <w:color w:val="auto"/>
          <w:sz w:val="24"/>
          <w:highlight w:val="none"/>
          <w:lang w:val="en-US" w:eastAsia="zh-CN"/>
        </w:rPr>
        <w:t>石</w:t>
      </w:r>
      <w:r>
        <w:rPr>
          <w:rFonts w:hint="default" w:ascii="Times New Roman" w:hAnsi="Times New Roman" w:cs="Times New Roman"/>
          <w:color w:val="auto"/>
          <w:sz w:val="24"/>
          <w:highlight w:val="none"/>
        </w:rPr>
        <w:t>灰岩建设规模划分，其生产建设规模划分为小型。</w:t>
      </w:r>
    </w:p>
    <w:p w14:paraId="0E45903C">
      <w:pPr>
        <w:keepNext w:val="0"/>
        <w:keepLines w:val="0"/>
        <w:pageBreakBefore w:val="0"/>
        <w:widowControl w:val="0"/>
        <w:kinsoku/>
        <w:wordWrap/>
        <w:overflowPunct/>
        <w:topLinePunct w:val="0"/>
        <w:autoSpaceDE/>
        <w:autoSpaceDN/>
        <w:bidi w:val="0"/>
        <w:adjustRightInd/>
        <w:snapToGrid/>
        <w:spacing w:before="157" w:beforeLines="50" w:line="0" w:lineRule="atLeast"/>
        <w:ind w:firstLine="0" w:firstLineChars="0"/>
        <w:jc w:val="center"/>
        <w:textAlignment w:val="auto"/>
        <w:rPr>
          <w:rFonts w:hint="default" w:ascii="Times New Roman" w:hAnsi="Times New Roman" w:eastAsia="黑体" w:cs="Times New Roman"/>
          <w:b w:val="0"/>
          <w:bCs/>
          <w:color w:val="auto"/>
          <w:szCs w:val="21"/>
          <w:highlight w:val="none"/>
        </w:rPr>
      </w:pPr>
      <w:r>
        <w:rPr>
          <w:rFonts w:hint="default" w:ascii="Times New Roman" w:hAnsi="Times New Roman" w:eastAsia="黑体" w:cs="Times New Roman"/>
          <w:b w:val="0"/>
          <w:bCs/>
          <w:color w:val="auto"/>
          <w:szCs w:val="21"/>
          <w:highlight w:val="none"/>
        </w:rPr>
        <w:t>表3-3 矿山生产建设规模分类一览表</w:t>
      </w:r>
    </w:p>
    <w:tbl>
      <w:tblPr>
        <w:tblStyle w:val="34"/>
        <w:tblW w:w="490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7"/>
        <w:gridCol w:w="1550"/>
        <w:gridCol w:w="1167"/>
        <w:gridCol w:w="1215"/>
        <w:gridCol w:w="1252"/>
        <w:gridCol w:w="1456"/>
      </w:tblGrid>
      <w:tr w14:paraId="13075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1032" w:type="pct"/>
            <w:vMerge w:val="restart"/>
            <w:vAlign w:val="center"/>
          </w:tcPr>
          <w:p w14:paraId="68FFBA2C">
            <w:pPr>
              <w:widowControl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矿种类别</w:t>
            </w:r>
          </w:p>
        </w:tc>
        <w:tc>
          <w:tcPr>
            <w:tcW w:w="926" w:type="pct"/>
            <w:vMerge w:val="restart"/>
            <w:vAlign w:val="center"/>
          </w:tcPr>
          <w:p w14:paraId="704C8EA2">
            <w:pPr>
              <w:widowControl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计量单位</w:t>
            </w:r>
          </w:p>
        </w:tc>
        <w:tc>
          <w:tcPr>
            <w:tcW w:w="2171" w:type="pct"/>
            <w:gridSpan w:val="3"/>
            <w:vAlign w:val="center"/>
          </w:tcPr>
          <w:p w14:paraId="42CE47F4">
            <w:pPr>
              <w:widowControl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年生产量</w:t>
            </w:r>
          </w:p>
        </w:tc>
        <w:tc>
          <w:tcPr>
            <w:tcW w:w="870" w:type="pct"/>
            <w:vMerge w:val="restart"/>
            <w:vAlign w:val="center"/>
          </w:tcPr>
          <w:p w14:paraId="635F495F">
            <w:pPr>
              <w:widowControl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备注</w:t>
            </w:r>
          </w:p>
        </w:tc>
      </w:tr>
      <w:tr w14:paraId="6AEBF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032" w:type="pct"/>
            <w:vMerge w:val="continue"/>
            <w:vAlign w:val="center"/>
          </w:tcPr>
          <w:p w14:paraId="6E507847">
            <w:pPr>
              <w:widowControl w:val="0"/>
              <w:jc w:val="center"/>
              <w:rPr>
                <w:rFonts w:hint="default" w:ascii="Times New Roman" w:hAnsi="Times New Roman" w:cs="Times New Roman"/>
                <w:color w:val="auto"/>
                <w:highlight w:val="none"/>
              </w:rPr>
            </w:pPr>
          </w:p>
        </w:tc>
        <w:tc>
          <w:tcPr>
            <w:tcW w:w="926" w:type="pct"/>
            <w:vMerge w:val="continue"/>
            <w:vAlign w:val="center"/>
          </w:tcPr>
          <w:p w14:paraId="2E997012">
            <w:pPr>
              <w:widowControl w:val="0"/>
              <w:jc w:val="center"/>
              <w:rPr>
                <w:rFonts w:hint="default" w:ascii="Times New Roman" w:hAnsi="Times New Roman" w:cs="Times New Roman"/>
                <w:color w:val="auto"/>
                <w:highlight w:val="none"/>
              </w:rPr>
            </w:pPr>
          </w:p>
        </w:tc>
        <w:tc>
          <w:tcPr>
            <w:tcW w:w="697" w:type="pct"/>
            <w:vAlign w:val="center"/>
          </w:tcPr>
          <w:p w14:paraId="12822E9F">
            <w:pPr>
              <w:widowControl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大型</w:t>
            </w:r>
          </w:p>
        </w:tc>
        <w:tc>
          <w:tcPr>
            <w:tcW w:w="726" w:type="pct"/>
            <w:vAlign w:val="center"/>
          </w:tcPr>
          <w:p w14:paraId="0544276E">
            <w:pPr>
              <w:widowControl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中型</w:t>
            </w:r>
          </w:p>
        </w:tc>
        <w:tc>
          <w:tcPr>
            <w:tcW w:w="748" w:type="pct"/>
            <w:vAlign w:val="center"/>
          </w:tcPr>
          <w:p w14:paraId="6A78AA16">
            <w:pPr>
              <w:widowControl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小型</w:t>
            </w:r>
          </w:p>
        </w:tc>
        <w:tc>
          <w:tcPr>
            <w:tcW w:w="870" w:type="pct"/>
            <w:vMerge w:val="continue"/>
            <w:vAlign w:val="center"/>
          </w:tcPr>
          <w:p w14:paraId="7FBCF5BE">
            <w:pPr>
              <w:widowControl w:val="0"/>
              <w:jc w:val="center"/>
              <w:rPr>
                <w:rFonts w:hint="default" w:ascii="Times New Roman" w:hAnsi="Times New Roman" w:cs="Times New Roman"/>
                <w:color w:val="auto"/>
                <w:highlight w:val="none"/>
              </w:rPr>
            </w:pPr>
          </w:p>
        </w:tc>
      </w:tr>
      <w:tr w14:paraId="2558D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1032" w:type="pct"/>
            <w:vAlign w:val="center"/>
          </w:tcPr>
          <w:p w14:paraId="01C3947C">
            <w:pPr>
              <w:pStyle w:val="75"/>
              <w:jc w:val="center"/>
              <w:rPr>
                <w:rFonts w:hint="eastAsia" w:ascii="Times New Roman" w:hAnsi="Times New Roman" w:eastAsia="宋体" w:cs="Times New Roman"/>
                <w:color w:val="auto"/>
                <w:highlight w:val="none"/>
                <w:lang w:eastAsia="zh-CN"/>
              </w:rPr>
            </w:pPr>
            <w:r>
              <w:rPr>
                <w:rFonts w:hint="eastAsia" w:eastAsia="宋体" w:cs="Times New Roman"/>
                <w:color w:val="auto"/>
                <w:highlight w:val="none"/>
                <w:lang w:val="en-US" w:eastAsia="zh-CN"/>
              </w:rPr>
              <w:t>方解石</w:t>
            </w:r>
          </w:p>
        </w:tc>
        <w:tc>
          <w:tcPr>
            <w:tcW w:w="926" w:type="pct"/>
            <w:vAlign w:val="center"/>
          </w:tcPr>
          <w:p w14:paraId="0DB20BCF">
            <w:pPr>
              <w:pStyle w:val="75"/>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万吨</w:t>
            </w:r>
          </w:p>
        </w:tc>
        <w:tc>
          <w:tcPr>
            <w:tcW w:w="697" w:type="pct"/>
            <w:vAlign w:val="center"/>
          </w:tcPr>
          <w:p w14:paraId="3F4A9A86">
            <w:pPr>
              <w:pStyle w:val="75"/>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≥1</w:t>
            </w:r>
            <w:r>
              <w:rPr>
                <w:rFonts w:hint="default" w:ascii="Times New Roman" w:hAnsi="Times New Roman" w:eastAsia="宋体" w:cs="Times New Roman"/>
                <w:color w:val="auto"/>
                <w:highlight w:val="none"/>
                <w:lang w:val="en-US" w:eastAsia="zh-CN"/>
              </w:rPr>
              <w:t>0</w:t>
            </w:r>
            <w:r>
              <w:rPr>
                <w:rFonts w:hint="eastAsia" w:eastAsia="宋体" w:cs="Times New Roman"/>
                <w:color w:val="auto"/>
                <w:highlight w:val="none"/>
                <w:lang w:val="en-US" w:eastAsia="zh-CN"/>
              </w:rPr>
              <w:t>0</w:t>
            </w:r>
          </w:p>
        </w:tc>
        <w:tc>
          <w:tcPr>
            <w:tcW w:w="726" w:type="pct"/>
            <w:vAlign w:val="center"/>
          </w:tcPr>
          <w:p w14:paraId="0DA60961">
            <w:pPr>
              <w:pStyle w:val="75"/>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1</w:t>
            </w:r>
            <w:r>
              <w:rPr>
                <w:rFonts w:hint="default" w:ascii="Times New Roman" w:hAnsi="Times New Roman" w:eastAsia="宋体" w:cs="Times New Roman"/>
                <w:color w:val="auto"/>
                <w:highlight w:val="none"/>
                <w:lang w:val="en-US" w:eastAsia="zh-CN"/>
              </w:rPr>
              <w:t>0</w:t>
            </w:r>
            <w:r>
              <w:rPr>
                <w:rFonts w:hint="eastAsia" w:eastAsia="宋体" w:cs="Times New Roman"/>
                <w:color w:val="auto"/>
                <w:highlight w:val="none"/>
                <w:lang w:val="en-US" w:eastAsia="zh-CN"/>
              </w:rPr>
              <w:t>0</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val="en-US" w:eastAsia="zh-CN"/>
              </w:rPr>
              <w:t>5</w:t>
            </w:r>
            <w:r>
              <w:rPr>
                <w:rFonts w:hint="eastAsia" w:eastAsia="宋体" w:cs="Times New Roman"/>
                <w:color w:val="auto"/>
                <w:highlight w:val="none"/>
                <w:lang w:val="en-US" w:eastAsia="zh-CN"/>
              </w:rPr>
              <w:t>0</w:t>
            </w:r>
          </w:p>
        </w:tc>
        <w:tc>
          <w:tcPr>
            <w:tcW w:w="748" w:type="pct"/>
            <w:vAlign w:val="center"/>
          </w:tcPr>
          <w:p w14:paraId="7E5FDEEC">
            <w:pPr>
              <w:widowControl w:val="0"/>
              <w:spacing w:line="180" w:lineRule="auto"/>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Cs w:val="21"/>
                <w:highlight w:val="none"/>
                <w:shd w:val="clear" w:color="auto" w:fill="B3B3B3"/>
              </w:rPr>
              <w:t>＜</w:t>
            </w:r>
            <w:r>
              <w:rPr>
                <w:rFonts w:hint="default" w:ascii="Times New Roman" w:hAnsi="Times New Roman" w:eastAsia="宋体" w:cs="Times New Roman"/>
                <w:color w:val="auto"/>
                <w:szCs w:val="21"/>
                <w:highlight w:val="none"/>
                <w:shd w:val="clear" w:color="auto" w:fill="B3B3B3"/>
                <w:lang w:val="en-US" w:eastAsia="zh-CN"/>
              </w:rPr>
              <w:t>5</w:t>
            </w:r>
            <w:r>
              <w:rPr>
                <w:rFonts w:hint="eastAsia" w:ascii="Times New Roman" w:hAnsi="Times New Roman" w:eastAsia="宋体" w:cs="Times New Roman"/>
                <w:color w:val="auto"/>
                <w:szCs w:val="21"/>
                <w:highlight w:val="none"/>
                <w:shd w:val="clear" w:color="auto" w:fill="B3B3B3"/>
                <w:lang w:val="en-US" w:eastAsia="zh-CN"/>
              </w:rPr>
              <w:t>0</w:t>
            </w:r>
          </w:p>
        </w:tc>
        <w:tc>
          <w:tcPr>
            <w:tcW w:w="870" w:type="pct"/>
            <w:vAlign w:val="center"/>
          </w:tcPr>
          <w:p w14:paraId="21B1AD37">
            <w:pPr>
              <w:pStyle w:val="75"/>
              <w:jc w:val="center"/>
              <w:rPr>
                <w:rFonts w:hint="eastAsia" w:ascii="Times New Roman" w:hAnsi="Times New Roman" w:eastAsia="宋体" w:cs="Times New Roman"/>
                <w:color w:val="auto"/>
                <w:highlight w:val="none"/>
                <w:lang w:eastAsia="zh-CN"/>
              </w:rPr>
            </w:pPr>
            <w:r>
              <w:rPr>
                <w:rFonts w:hint="eastAsia" w:eastAsia="宋体" w:cs="Times New Roman"/>
                <w:color w:val="auto"/>
                <w:highlight w:val="none"/>
                <w:lang w:val="en-US" w:eastAsia="zh-CN"/>
              </w:rPr>
              <w:t>参考石灰岩</w:t>
            </w:r>
          </w:p>
        </w:tc>
      </w:tr>
    </w:tbl>
    <w:p w14:paraId="76C0F350">
      <w:pPr>
        <w:keepNext w:val="0"/>
        <w:keepLines w:val="0"/>
        <w:pageBreakBefore w:val="0"/>
        <w:widowControl w:val="0"/>
        <w:kinsoku/>
        <w:wordWrap/>
        <w:overflowPunct/>
        <w:topLinePunct w:val="0"/>
        <w:autoSpaceDE/>
        <w:autoSpaceDN/>
        <w:bidi w:val="0"/>
        <w:adjustRightInd/>
        <w:snapToGrid/>
        <w:spacing w:before="157" w:beforeLines="50" w:line="360" w:lineRule="auto"/>
        <w:ind w:firstLine="460" w:firstLineChars="192"/>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 矿山地质环境复杂程度</w:t>
      </w:r>
    </w:p>
    <w:p w14:paraId="141811B4">
      <w:pPr>
        <w:widowControl w:val="0"/>
        <w:spacing w:line="360" w:lineRule="auto"/>
        <w:ind w:firstLine="480" w:firstLineChars="200"/>
        <w:jc w:val="both"/>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采矿矿层（体）位于地下水位以上，采场汇水面积小，与区域含水层或地表水联系不密切，采场正常涌水量小于3000m</w:t>
      </w:r>
      <w:r>
        <w:rPr>
          <w:rFonts w:hint="default" w:ascii="Times New Roman" w:hAnsi="Times New Roman" w:cs="Times New Roman"/>
          <w:color w:val="auto"/>
          <w:kern w:val="0"/>
          <w:sz w:val="24"/>
          <w:highlight w:val="none"/>
          <w:vertAlign w:val="superscript"/>
        </w:rPr>
        <w:t>3</w:t>
      </w:r>
      <w:r>
        <w:rPr>
          <w:rFonts w:hint="default" w:ascii="Times New Roman" w:hAnsi="Times New Roman" w:cs="Times New Roman"/>
          <w:color w:val="auto"/>
          <w:kern w:val="0"/>
          <w:sz w:val="24"/>
          <w:highlight w:val="none"/>
        </w:rPr>
        <w:t xml:space="preserve">/d，采矿和疏干排水不易导致矿区周围主要含水层影响或破坏。 </w:t>
      </w:r>
    </w:p>
    <w:p w14:paraId="315EE69A">
      <w:pPr>
        <w:widowControl w:val="0"/>
        <w:spacing w:line="360" w:lineRule="auto"/>
        <w:ind w:firstLine="480" w:firstLineChars="200"/>
        <w:jc w:val="both"/>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矿体为古生界呼兰群头道沟组大理岩，该大理岩呈捕虏体状赋存于燕山早期花岗闪长岩中</w:t>
      </w:r>
      <w:r>
        <w:rPr>
          <w:rFonts w:hint="default"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rPr>
        <w:t>稳固性</w:t>
      </w:r>
      <w:r>
        <w:rPr>
          <w:rFonts w:hint="eastAsia" w:cs="Times New Roman"/>
          <w:color w:val="auto"/>
          <w:kern w:val="0"/>
          <w:sz w:val="24"/>
          <w:highlight w:val="none"/>
          <w:lang w:val="en-US" w:eastAsia="zh-CN"/>
        </w:rPr>
        <w:t>好</w:t>
      </w:r>
      <w:r>
        <w:rPr>
          <w:rFonts w:hint="default" w:ascii="Times New Roman" w:hAnsi="Times New Roman" w:cs="Times New Roman"/>
          <w:color w:val="auto"/>
          <w:kern w:val="0"/>
          <w:sz w:val="24"/>
          <w:highlight w:val="none"/>
        </w:rPr>
        <w:t xml:space="preserve">，矿山工程场地地基稳固性好。 </w:t>
      </w:r>
    </w:p>
    <w:p w14:paraId="2D3F95CA">
      <w:pPr>
        <w:widowControl w:val="0"/>
        <w:spacing w:line="360" w:lineRule="auto"/>
        <w:ind w:firstLine="480" w:firstLineChars="200"/>
        <w:jc w:val="both"/>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 xml:space="preserve">矿区内地质构造不发育， 为新构造运动上升区，地震基本烈度VI度。 </w:t>
      </w:r>
    </w:p>
    <w:p w14:paraId="07237D65">
      <w:pPr>
        <w:widowControl w:val="0"/>
        <w:spacing w:line="360" w:lineRule="auto"/>
        <w:ind w:firstLine="480" w:firstLineChars="200"/>
        <w:jc w:val="both"/>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现状条件下评估区内矿山地质环境问题的类型少，现状条件下地质灾害不发育</w:t>
      </w:r>
      <w:r>
        <w:rPr>
          <w:rFonts w:hint="eastAsia" w:cs="Times New Roman"/>
          <w:color w:val="auto"/>
          <w:kern w:val="0"/>
          <w:sz w:val="24"/>
          <w:highlight w:val="none"/>
          <w:lang w:eastAsia="zh-CN"/>
        </w:rPr>
        <w:t>，</w:t>
      </w:r>
      <w:r>
        <w:rPr>
          <w:rFonts w:hint="default" w:ascii="Times New Roman" w:hAnsi="Times New Roman" w:cs="Times New Roman"/>
          <w:color w:val="auto"/>
          <w:kern w:val="0"/>
          <w:sz w:val="24"/>
          <w:highlight w:val="none"/>
        </w:rPr>
        <w:t xml:space="preserve">危害性小。 </w:t>
      </w:r>
    </w:p>
    <w:p w14:paraId="11E6C69F">
      <w:pPr>
        <w:widowControl w:val="0"/>
        <w:spacing w:line="360" w:lineRule="auto"/>
        <w:ind w:firstLine="480" w:firstLineChars="200"/>
        <w:jc w:val="both"/>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 xml:space="preserve">采场面积及采坑深度小，边坡较稳定，不易产生地质灾害。 </w:t>
      </w:r>
    </w:p>
    <w:p w14:paraId="74B90E35">
      <w:pPr>
        <w:widowControl w:val="0"/>
        <w:spacing w:line="360" w:lineRule="auto"/>
        <w:ind w:firstLine="480" w:firstLineChars="200"/>
        <w:jc w:val="both"/>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地貌单位类型单一，微地貌形态简单，地形较平缓，有利于自然排水，地形坡度一般</w:t>
      </w:r>
      <w:r>
        <w:rPr>
          <w:rFonts w:hint="eastAsia" w:cs="Times New Roman"/>
          <w:color w:val="auto"/>
          <w:kern w:val="0"/>
          <w:sz w:val="24"/>
          <w:highlight w:val="none"/>
          <w:lang w:val="en-US" w:eastAsia="zh-CN"/>
        </w:rPr>
        <w:t>15~30</w:t>
      </w:r>
      <w:r>
        <w:rPr>
          <w:rFonts w:hint="default" w:ascii="Times New Roman" w:hAnsi="Times New Roman" w:cs="Times New Roman"/>
          <w:color w:val="auto"/>
          <w:kern w:val="0"/>
          <w:sz w:val="24"/>
          <w:highlight w:val="none"/>
        </w:rPr>
        <w:t>°</w:t>
      </w:r>
      <w:r>
        <w:rPr>
          <w:rFonts w:hint="eastAsia" w:cs="Times New Roman"/>
          <w:color w:val="auto"/>
          <w:kern w:val="0"/>
          <w:sz w:val="24"/>
          <w:highlight w:val="none"/>
          <w:lang w:val="en-US" w:eastAsia="zh-CN"/>
        </w:rPr>
        <w:t>之间</w:t>
      </w:r>
      <w:r>
        <w:rPr>
          <w:rFonts w:hint="default" w:ascii="Times New Roman" w:hAnsi="Times New Roman" w:cs="Times New Roman"/>
          <w:color w:val="auto"/>
          <w:kern w:val="0"/>
          <w:sz w:val="24"/>
          <w:highlight w:val="none"/>
        </w:rPr>
        <w:t xml:space="preserve">，相对高差小。 </w:t>
      </w:r>
    </w:p>
    <w:p w14:paraId="1247484B">
      <w:pPr>
        <w:widowControl w:val="0"/>
        <w:spacing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kern w:val="0"/>
          <w:sz w:val="24"/>
          <w:highlight w:val="none"/>
        </w:rPr>
        <w:t>综上所述，将矿山地质环境复杂程度确定为中等类型。</w:t>
      </w:r>
      <w:r>
        <w:rPr>
          <w:rFonts w:hint="default" w:ascii="Times New Roman" w:hAnsi="Times New Roman" w:cs="Times New Roman"/>
          <w:color w:val="auto"/>
          <w:sz w:val="24"/>
          <w:highlight w:val="none"/>
        </w:rPr>
        <w:t>分级原则见表3-4。</w:t>
      </w:r>
    </w:p>
    <w:p w14:paraId="11208607">
      <w:pPr>
        <w:pStyle w:val="90"/>
        <w:rPr>
          <w:rFonts w:ascii="Times New Roman" w:hAnsi="Times New Roman" w:cs="Times New Roman"/>
          <w:color w:val="auto"/>
          <w:sz w:val="28"/>
          <w:szCs w:val="28"/>
          <w:highlight w:val="none"/>
        </w:rPr>
      </w:pPr>
      <w:r>
        <w:rPr>
          <w:rFonts w:ascii="Times New Roman" w:hAnsi="Times New Roman" w:cs="Times New Roman"/>
          <w:color w:val="auto"/>
          <w:highlight w:val="none"/>
        </w:rPr>
        <w:t>表3-</w:t>
      </w:r>
      <w:r>
        <w:rPr>
          <w:rFonts w:hint="eastAsia" w:ascii="Times New Roman" w:hAnsi="Times New Roman" w:cs="Times New Roman"/>
          <w:color w:val="auto"/>
          <w:highlight w:val="none"/>
        </w:rPr>
        <w:t xml:space="preserve">4  </w:t>
      </w:r>
      <w:r>
        <w:rPr>
          <w:rFonts w:ascii="Times New Roman" w:hAnsi="Times New Roman" w:cs="Times New Roman"/>
          <w:color w:val="auto"/>
          <w:highlight w:val="none"/>
        </w:rPr>
        <w:t>露天开采矿山地质环境条件复杂程度分级表</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0"/>
        <w:gridCol w:w="2870"/>
        <w:gridCol w:w="2822"/>
      </w:tblGrid>
      <w:tr w14:paraId="0537B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952" w:type="dxa"/>
            <w:vAlign w:val="center"/>
          </w:tcPr>
          <w:p w14:paraId="27C282ED">
            <w:pPr>
              <w:pStyle w:val="167"/>
              <w:rPr>
                <w:rFonts w:eastAsia="宋体"/>
                <w:color w:val="auto"/>
                <w:highlight w:val="none"/>
              </w:rPr>
            </w:pPr>
            <w:r>
              <w:rPr>
                <w:rFonts w:eastAsia="宋体"/>
                <w:color w:val="auto"/>
                <w:highlight w:val="none"/>
              </w:rPr>
              <w:t>复杂</w:t>
            </w:r>
          </w:p>
        </w:tc>
        <w:tc>
          <w:tcPr>
            <w:tcW w:w="2952" w:type="dxa"/>
            <w:vAlign w:val="center"/>
          </w:tcPr>
          <w:p w14:paraId="6C258367">
            <w:pPr>
              <w:pStyle w:val="167"/>
              <w:rPr>
                <w:rFonts w:eastAsia="宋体"/>
                <w:color w:val="auto"/>
                <w:highlight w:val="none"/>
              </w:rPr>
            </w:pPr>
            <w:r>
              <w:rPr>
                <w:rFonts w:eastAsia="宋体"/>
                <w:color w:val="auto"/>
                <w:highlight w:val="none"/>
                <w:shd w:val="clear" w:color="auto" w:fill="A4A4A4" w:themeFill="background1" w:themeFillShade="A5"/>
              </w:rPr>
              <w:t>中等</w:t>
            </w:r>
          </w:p>
        </w:tc>
        <w:tc>
          <w:tcPr>
            <w:tcW w:w="2952" w:type="dxa"/>
            <w:tcBorders>
              <w:bottom w:val="single" w:color="auto" w:sz="4" w:space="0"/>
            </w:tcBorders>
            <w:vAlign w:val="center"/>
          </w:tcPr>
          <w:p w14:paraId="762F074B">
            <w:pPr>
              <w:pStyle w:val="167"/>
              <w:rPr>
                <w:rFonts w:eastAsia="宋体"/>
                <w:color w:val="auto"/>
                <w:highlight w:val="none"/>
              </w:rPr>
            </w:pPr>
            <w:r>
              <w:rPr>
                <w:rFonts w:eastAsia="宋体"/>
                <w:color w:val="auto"/>
                <w:highlight w:val="none"/>
              </w:rPr>
              <w:t>简单</w:t>
            </w:r>
          </w:p>
        </w:tc>
      </w:tr>
      <w:tr w14:paraId="3DB88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52" w:type="dxa"/>
            <w:shd w:val="clear" w:color="auto" w:fill="auto"/>
            <w:vAlign w:val="center"/>
          </w:tcPr>
          <w:p w14:paraId="44BEDBCE">
            <w:pPr>
              <w:pStyle w:val="167"/>
              <w:rPr>
                <w:rFonts w:eastAsia="宋体"/>
                <w:color w:val="auto"/>
                <w:highlight w:val="none"/>
              </w:rPr>
            </w:pPr>
            <w:r>
              <w:rPr>
                <w:rFonts w:eastAsia="宋体"/>
                <w:color w:val="auto"/>
                <w:highlight w:val="none"/>
              </w:rPr>
              <w:t>1、采矿矿层（体）位于地下水位以下，采矿汇水面积大，采场进水边界条件复杂，与区域含水层或地表水联系密切，地下水补给、径流条件好，采场正常涌水量大于10000m</w:t>
            </w:r>
            <w:r>
              <w:rPr>
                <w:rFonts w:eastAsia="宋体"/>
                <w:color w:val="auto"/>
                <w:highlight w:val="none"/>
                <w:vertAlign w:val="superscript"/>
              </w:rPr>
              <w:t>3</w:t>
            </w:r>
            <w:r>
              <w:rPr>
                <w:rFonts w:eastAsia="宋体"/>
                <w:color w:val="auto"/>
                <w:highlight w:val="none"/>
              </w:rPr>
              <w:t>/d，采矿活动和疏干排水容易导致区域主要含水层破坏。</w:t>
            </w:r>
          </w:p>
        </w:tc>
        <w:tc>
          <w:tcPr>
            <w:tcW w:w="2952" w:type="dxa"/>
            <w:shd w:val="clear" w:color="auto" w:fill="auto"/>
            <w:vAlign w:val="center"/>
          </w:tcPr>
          <w:p w14:paraId="69034666">
            <w:pPr>
              <w:pStyle w:val="167"/>
              <w:rPr>
                <w:rFonts w:eastAsia="宋体"/>
                <w:color w:val="auto"/>
                <w:highlight w:val="none"/>
              </w:rPr>
            </w:pPr>
            <w:r>
              <w:rPr>
                <w:rFonts w:eastAsia="宋体"/>
                <w:color w:val="auto"/>
                <w:highlight w:val="none"/>
              </w:rPr>
              <w:t>1、采矿矿层（体）局部位于地下水位以下，采场汇水面积较大，与区域含水层或地表水联系较密切，采场正常涌水量3000~10000m</w:t>
            </w:r>
            <w:r>
              <w:rPr>
                <w:rFonts w:eastAsia="宋体"/>
                <w:color w:val="auto"/>
                <w:highlight w:val="none"/>
                <w:vertAlign w:val="superscript"/>
              </w:rPr>
              <w:t>3</w:t>
            </w:r>
            <w:r>
              <w:rPr>
                <w:rFonts w:eastAsia="宋体"/>
                <w:color w:val="auto"/>
                <w:highlight w:val="none"/>
              </w:rPr>
              <w:t>/d，采矿和疏干排水比较容易导致矿区周围主要含水层影响或破坏。</w:t>
            </w:r>
          </w:p>
        </w:tc>
        <w:tc>
          <w:tcPr>
            <w:tcW w:w="2952" w:type="dxa"/>
            <w:shd w:val="clear" w:color="auto" w:fill="auto"/>
            <w:vAlign w:val="center"/>
          </w:tcPr>
          <w:p w14:paraId="3DB0ABB8">
            <w:pPr>
              <w:pStyle w:val="167"/>
              <w:rPr>
                <w:rFonts w:eastAsia="宋体"/>
                <w:color w:val="auto"/>
                <w:highlight w:val="none"/>
              </w:rPr>
            </w:pPr>
            <w:r>
              <w:rPr>
                <w:rFonts w:eastAsia="宋体"/>
                <w:color w:val="auto"/>
                <w:highlight w:val="none"/>
                <w:shd w:val="clear" w:color="auto" w:fill="A4A4A4" w:themeFill="background1" w:themeFillShade="A5"/>
              </w:rPr>
              <w:t>1、采矿矿层（体）位于地下水位以上，采场汇水面积小，与区域含水层或地表水联系不密切，采场正常涌水量小于3000m</w:t>
            </w:r>
            <w:r>
              <w:rPr>
                <w:rFonts w:eastAsia="宋体"/>
                <w:color w:val="auto"/>
                <w:highlight w:val="none"/>
                <w:shd w:val="clear" w:color="auto" w:fill="A4A4A4" w:themeFill="background1" w:themeFillShade="A5"/>
                <w:vertAlign w:val="superscript"/>
              </w:rPr>
              <w:t>3</w:t>
            </w:r>
            <w:r>
              <w:rPr>
                <w:rFonts w:eastAsia="宋体"/>
                <w:color w:val="auto"/>
                <w:highlight w:val="none"/>
                <w:shd w:val="clear" w:color="auto" w:fill="A4A4A4" w:themeFill="background1" w:themeFillShade="A5"/>
              </w:rPr>
              <w:t>/d，采矿和疏干排水不易导致矿区周围主要含水层影响或破坏。</w:t>
            </w:r>
          </w:p>
        </w:tc>
      </w:tr>
      <w:tr w14:paraId="03E1D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52" w:type="dxa"/>
            <w:vAlign w:val="center"/>
          </w:tcPr>
          <w:p w14:paraId="6AC27688">
            <w:pPr>
              <w:pStyle w:val="167"/>
              <w:rPr>
                <w:rFonts w:eastAsia="宋体"/>
                <w:color w:val="auto"/>
                <w:highlight w:val="none"/>
              </w:rPr>
            </w:pPr>
            <w:r>
              <w:rPr>
                <w:rFonts w:eastAsia="宋体"/>
                <w:color w:val="auto"/>
                <w:highlight w:val="none"/>
              </w:rPr>
              <w:t>2、矿床围岩岩体结构以碎裂结构、散体结构为主，软弱结构面、不良工程地质层发育，存在饱水软弱岩层或松散软弱岩层，含水砂层多，分布广，残破积层、基岩风化破碎带厚度大于10m、稳固性差，采场岩石边坡风化破碎或土层松软，边坡外倾软弱结构面或危岩发育，易导致边坡失稳。</w:t>
            </w:r>
          </w:p>
        </w:tc>
        <w:tc>
          <w:tcPr>
            <w:tcW w:w="2952" w:type="dxa"/>
            <w:vAlign w:val="center"/>
          </w:tcPr>
          <w:p w14:paraId="414A20AA">
            <w:pPr>
              <w:pStyle w:val="167"/>
              <w:rPr>
                <w:rFonts w:eastAsia="宋体"/>
                <w:color w:val="auto"/>
                <w:highlight w:val="none"/>
              </w:rPr>
            </w:pPr>
            <w:r>
              <w:rPr>
                <w:rFonts w:eastAsia="宋体"/>
                <w:color w:val="auto"/>
                <w:highlight w:val="none"/>
              </w:rPr>
              <w:t>2、矿床围岩岩体结构以薄到厚层状结构为主，软弱结构面、不良工程地质层发育中等，存在饱水软弱岩层和含水砂层，残破积层、基岩风化破碎带厚度5-10m、稳固性较差，采场边坡岩石边坡风化较破碎，边坡存在外倾软弱结构面或危岩，局部可能产生坡失稳。</w:t>
            </w:r>
          </w:p>
        </w:tc>
        <w:tc>
          <w:tcPr>
            <w:tcW w:w="2952" w:type="dxa"/>
            <w:shd w:val="clear" w:color="auto" w:fill="auto"/>
            <w:vAlign w:val="center"/>
          </w:tcPr>
          <w:p w14:paraId="53D3EAC1">
            <w:pPr>
              <w:pStyle w:val="167"/>
              <w:rPr>
                <w:rFonts w:eastAsia="宋体"/>
                <w:color w:val="auto"/>
                <w:highlight w:val="none"/>
              </w:rPr>
            </w:pPr>
            <w:r>
              <w:rPr>
                <w:rFonts w:eastAsia="宋体"/>
                <w:color w:val="auto"/>
                <w:highlight w:val="none"/>
                <w:shd w:val="clear" w:color="auto" w:fill="A4A4A4" w:themeFill="background1" w:themeFillShade="A5"/>
              </w:rPr>
              <w:t>2、矿床围岩岩体结构以巨厚状-块状整体结构为主，软弱结构面、不良工程地质层不发育，残破积层、基岩风化破碎带厚度小于5m、稳固性较好，采场边坡岩石较完整到完整，土层薄，边坡基本不存在外倾软弱结构面或危岩，边坡较稳定。</w:t>
            </w:r>
          </w:p>
        </w:tc>
      </w:tr>
      <w:tr w14:paraId="2B53F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52" w:type="dxa"/>
            <w:vAlign w:val="center"/>
          </w:tcPr>
          <w:p w14:paraId="09C8F5E8">
            <w:pPr>
              <w:pStyle w:val="167"/>
              <w:rPr>
                <w:rFonts w:eastAsia="宋体"/>
                <w:color w:val="auto"/>
                <w:highlight w:val="none"/>
              </w:rPr>
            </w:pPr>
            <w:r>
              <w:rPr>
                <w:rFonts w:eastAsia="宋体"/>
                <w:color w:val="auto"/>
                <w:highlight w:val="none"/>
              </w:rPr>
              <w:t>3、地质构造复杂。矿床围岩岩层产状变化大，断裂构造发育或有全新世活动断裂，导水断裂切割矿层（体）围岩、覆盖和主要含水层（带）或沟通地表水体，导水性强，对采场充水影响大。</w:t>
            </w:r>
          </w:p>
        </w:tc>
        <w:tc>
          <w:tcPr>
            <w:tcW w:w="2952" w:type="dxa"/>
            <w:vAlign w:val="center"/>
          </w:tcPr>
          <w:p w14:paraId="7D8E8DA9">
            <w:pPr>
              <w:pStyle w:val="167"/>
              <w:rPr>
                <w:rFonts w:eastAsia="宋体"/>
                <w:color w:val="auto"/>
                <w:highlight w:val="none"/>
              </w:rPr>
            </w:pPr>
            <w:r>
              <w:rPr>
                <w:rFonts w:eastAsia="宋体"/>
                <w:color w:val="auto"/>
                <w:highlight w:val="none"/>
              </w:rPr>
              <w:t>3、地质构造较复杂。矿床围岩岩层产状变化较大，断裂构造较发育，切割矿层（体）围岩、覆盖和含水层（带），导水性差，对采场充水影响较大。</w:t>
            </w:r>
          </w:p>
        </w:tc>
        <w:tc>
          <w:tcPr>
            <w:tcW w:w="2952" w:type="dxa"/>
            <w:vAlign w:val="center"/>
          </w:tcPr>
          <w:p w14:paraId="60DD7811">
            <w:pPr>
              <w:pStyle w:val="167"/>
              <w:rPr>
                <w:rFonts w:eastAsia="宋体"/>
                <w:color w:val="auto"/>
                <w:highlight w:val="none"/>
              </w:rPr>
            </w:pPr>
            <w:r>
              <w:rPr>
                <w:rFonts w:eastAsia="宋体"/>
                <w:color w:val="auto"/>
                <w:highlight w:val="none"/>
                <w:shd w:val="clear" w:color="auto" w:fill="A4A4A4" w:themeFill="background1" w:themeFillShade="A5"/>
              </w:rPr>
              <w:t>3、地质构造简单。矿床围岩岩层产状变化小，断裂构造较不发育，断裂未切割矿层（体）围岩、覆盖，对采场充水影响小。</w:t>
            </w:r>
          </w:p>
        </w:tc>
      </w:tr>
      <w:tr w14:paraId="2FE2B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52" w:type="dxa"/>
            <w:vAlign w:val="center"/>
          </w:tcPr>
          <w:p w14:paraId="50616FD5">
            <w:pPr>
              <w:pStyle w:val="167"/>
              <w:rPr>
                <w:rFonts w:eastAsia="宋体"/>
                <w:color w:val="auto"/>
                <w:highlight w:val="none"/>
              </w:rPr>
            </w:pPr>
            <w:r>
              <w:rPr>
                <w:rFonts w:eastAsia="宋体"/>
                <w:color w:val="auto"/>
                <w:highlight w:val="none"/>
              </w:rPr>
              <w:t>4、现状条件下原生地质灾害发育，或矿山地质环境问题的类型多，危害大。</w:t>
            </w:r>
          </w:p>
        </w:tc>
        <w:tc>
          <w:tcPr>
            <w:tcW w:w="2952" w:type="dxa"/>
            <w:vAlign w:val="center"/>
          </w:tcPr>
          <w:p w14:paraId="450C14EC">
            <w:pPr>
              <w:pStyle w:val="167"/>
              <w:rPr>
                <w:rFonts w:eastAsia="宋体"/>
                <w:color w:val="auto"/>
                <w:highlight w:val="none"/>
              </w:rPr>
            </w:pPr>
            <w:r>
              <w:rPr>
                <w:rFonts w:eastAsia="宋体"/>
                <w:color w:val="auto"/>
                <w:highlight w:val="none"/>
              </w:rPr>
              <w:t>4、现状条件下矿山地质环境问题的类型较多，危害较大。</w:t>
            </w:r>
          </w:p>
        </w:tc>
        <w:tc>
          <w:tcPr>
            <w:tcW w:w="2952" w:type="dxa"/>
            <w:vAlign w:val="center"/>
          </w:tcPr>
          <w:p w14:paraId="7B8B73B4">
            <w:pPr>
              <w:pStyle w:val="167"/>
              <w:rPr>
                <w:rFonts w:eastAsia="宋体"/>
                <w:color w:val="auto"/>
                <w:highlight w:val="none"/>
              </w:rPr>
            </w:pPr>
            <w:r>
              <w:rPr>
                <w:rFonts w:eastAsia="宋体"/>
                <w:color w:val="auto"/>
                <w:highlight w:val="none"/>
                <w:shd w:val="clear" w:color="auto" w:fill="A4A4A4" w:themeFill="background1" w:themeFillShade="A5"/>
              </w:rPr>
              <w:t>4、现状条件下矿山地质环境问题的类型少，危害小。</w:t>
            </w:r>
          </w:p>
        </w:tc>
      </w:tr>
      <w:tr w14:paraId="4E822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52" w:type="dxa"/>
            <w:vAlign w:val="center"/>
          </w:tcPr>
          <w:p w14:paraId="275FABD9">
            <w:pPr>
              <w:pStyle w:val="167"/>
              <w:rPr>
                <w:rFonts w:eastAsia="宋体"/>
                <w:color w:val="auto"/>
                <w:highlight w:val="none"/>
              </w:rPr>
            </w:pPr>
            <w:r>
              <w:rPr>
                <w:rFonts w:eastAsia="宋体"/>
                <w:color w:val="auto"/>
                <w:highlight w:val="none"/>
              </w:rPr>
              <w:t>5、采场面积及采坑深度大，边坡不稳定易产生地质灾害。</w:t>
            </w:r>
          </w:p>
        </w:tc>
        <w:tc>
          <w:tcPr>
            <w:tcW w:w="2952" w:type="dxa"/>
            <w:shd w:val="clear" w:color="auto" w:fill="auto"/>
            <w:vAlign w:val="center"/>
          </w:tcPr>
          <w:p w14:paraId="1C50780E">
            <w:pPr>
              <w:pStyle w:val="167"/>
              <w:rPr>
                <w:rFonts w:eastAsia="宋体"/>
                <w:color w:val="auto"/>
                <w:highlight w:val="none"/>
                <w:shd w:val="pct10" w:color="auto" w:fill="FFFFFF"/>
              </w:rPr>
            </w:pPr>
            <w:r>
              <w:rPr>
                <w:rFonts w:eastAsia="宋体"/>
                <w:color w:val="auto"/>
                <w:highlight w:val="none"/>
                <w:shd w:val="clear" w:color="auto" w:fill="A4A4A4" w:themeFill="background1" w:themeFillShade="A5"/>
              </w:rPr>
              <w:t>5、采场面积及采坑深度较大，边坡较不稳定，较易产生地质灾害。</w:t>
            </w:r>
          </w:p>
        </w:tc>
        <w:tc>
          <w:tcPr>
            <w:tcW w:w="2952" w:type="dxa"/>
            <w:vAlign w:val="center"/>
          </w:tcPr>
          <w:p w14:paraId="561A6ADB">
            <w:pPr>
              <w:pStyle w:val="167"/>
              <w:rPr>
                <w:rFonts w:eastAsia="宋体"/>
                <w:color w:val="auto"/>
                <w:highlight w:val="none"/>
              </w:rPr>
            </w:pPr>
            <w:r>
              <w:rPr>
                <w:rFonts w:eastAsia="宋体"/>
                <w:color w:val="auto"/>
                <w:highlight w:val="none"/>
              </w:rPr>
              <w:t>5、采场面积及采坑深度小，边坡较稳定，不易产生地质灾害。</w:t>
            </w:r>
          </w:p>
        </w:tc>
      </w:tr>
      <w:tr w14:paraId="67BAE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52" w:type="dxa"/>
            <w:vAlign w:val="center"/>
          </w:tcPr>
          <w:p w14:paraId="735690C0">
            <w:pPr>
              <w:pStyle w:val="167"/>
              <w:rPr>
                <w:rFonts w:eastAsia="宋体"/>
                <w:color w:val="auto"/>
                <w:highlight w:val="none"/>
              </w:rPr>
            </w:pPr>
            <w:r>
              <w:rPr>
                <w:rFonts w:eastAsia="宋体"/>
                <w:color w:val="auto"/>
                <w:highlight w:val="none"/>
              </w:rPr>
              <w:t>6、地貌单元类型较多，微地貌形态复杂，地形起伏变化大，不利于自然排水，地形坡度一般大于35°，相对高差大，高坡方向岩层倾向与采坑斜坡多为同向。</w:t>
            </w:r>
          </w:p>
        </w:tc>
        <w:tc>
          <w:tcPr>
            <w:tcW w:w="2952" w:type="dxa"/>
            <w:vAlign w:val="center"/>
          </w:tcPr>
          <w:p w14:paraId="5AFC0372">
            <w:pPr>
              <w:pStyle w:val="167"/>
              <w:rPr>
                <w:rFonts w:eastAsia="宋体"/>
                <w:color w:val="auto"/>
                <w:highlight w:val="none"/>
              </w:rPr>
            </w:pPr>
            <w:r>
              <w:rPr>
                <w:rFonts w:eastAsia="宋体"/>
                <w:color w:val="auto"/>
                <w:highlight w:val="none"/>
              </w:rPr>
              <w:t>6、地貌单元类型较多，微地貌形态较复杂，地形起伏变化中等，自然排水条件一般，</w:t>
            </w:r>
            <w:r>
              <w:rPr>
                <w:rFonts w:eastAsia="宋体"/>
                <w:color w:val="auto"/>
                <w:highlight w:val="none"/>
                <w:shd w:val="clear" w:color="auto" w:fill="A4A4A4" w:themeFill="background1" w:themeFillShade="A5"/>
              </w:rPr>
              <w:t>地形坡度一般20~35°，相对高差较大，</w:t>
            </w:r>
            <w:r>
              <w:rPr>
                <w:rFonts w:eastAsia="宋体"/>
                <w:color w:val="auto"/>
                <w:highlight w:val="none"/>
              </w:rPr>
              <w:t>高坡方向岩层倾向与采坑斜坡多为斜交。</w:t>
            </w:r>
          </w:p>
        </w:tc>
        <w:tc>
          <w:tcPr>
            <w:tcW w:w="2952" w:type="dxa"/>
            <w:vAlign w:val="center"/>
          </w:tcPr>
          <w:p w14:paraId="111D0342">
            <w:pPr>
              <w:pStyle w:val="167"/>
              <w:rPr>
                <w:rFonts w:eastAsia="宋体"/>
                <w:color w:val="auto"/>
                <w:highlight w:val="none"/>
              </w:rPr>
            </w:pPr>
            <w:r>
              <w:rPr>
                <w:rFonts w:eastAsia="宋体"/>
                <w:color w:val="auto"/>
                <w:highlight w:val="none"/>
                <w:shd w:val="clear" w:color="auto" w:fill="A4A4A4" w:themeFill="background1" w:themeFillShade="A5"/>
              </w:rPr>
              <w:t>6、地貌单位类型单一，微地貌形态简单，</w:t>
            </w:r>
            <w:r>
              <w:rPr>
                <w:rFonts w:eastAsia="宋体"/>
                <w:color w:val="auto"/>
                <w:highlight w:val="none"/>
              </w:rPr>
              <w:t>地形较</w:t>
            </w:r>
          </w:p>
          <w:p w14:paraId="2112C276">
            <w:pPr>
              <w:pStyle w:val="167"/>
              <w:rPr>
                <w:rFonts w:eastAsia="宋体"/>
                <w:color w:val="auto"/>
                <w:highlight w:val="none"/>
                <w:shd w:val="clear" w:color="auto" w:fill="A4A4A4" w:themeFill="background1" w:themeFillShade="A5"/>
              </w:rPr>
            </w:pPr>
            <w:r>
              <w:rPr>
                <w:rFonts w:eastAsia="宋体"/>
                <w:color w:val="auto"/>
                <w:highlight w:val="none"/>
              </w:rPr>
              <w:t>平缓，有利于自然排水，地形坡度一般小于20°，相对高差小，</w:t>
            </w:r>
            <w:r>
              <w:rPr>
                <w:rFonts w:eastAsia="宋体"/>
                <w:color w:val="auto"/>
                <w:highlight w:val="none"/>
                <w:shd w:val="clear" w:color="auto" w:fill="A4A4A4" w:themeFill="background1" w:themeFillShade="A5"/>
              </w:rPr>
              <w:t>高坡方向岩层倾向与采坑斜坡多为反向坡。</w:t>
            </w:r>
          </w:p>
        </w:tc>
      </w:tr>
      <w:tr w14:paraId="3E08E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56" w:type="dxa"/>
            <w:gridSpan w:val="3"/>
            <w:vAlign w:val="center"/>
          </w:tcPr>
          <w:p w14:paraId="08479AC3">
            <w:pPr>
              <w:pStyle w:val="167"/>
              <w:rPr>
                <w:rFonts w:eastAsia="宋体"/>
                <w:color w:val="auto"/>
                <w:highlight w:val="none"/>
              </w:rPr>
            </w:pPr>
            <w:r>
              <w:rPr>
                <w:rFonts w:eastAsia="宋体"/>
                <w:color w:val="auto"/>
                <w:highlight w:val="none"/>
              </w:rPr>
              <w:t>注：采区就上原则。前6条中只要有一条满足某一级别，应定为该级别。</w:t>
            </w:r>
          </w:p>
        </w:tc>
      </w:tr>
    </w:tbl>
    <w:p w14:paraId="2B04563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根据相关规定（表3-5），将矿山地质环境影响评估级别确定为</w:t>
      </w:r>
      <w:r>
        <w:rPr>
          <w:rFonts w:hint="eastAsia" w:cs="Times New Roman"/>
          <w:color w:val="auto"/>
          <w:sz w:val="24"/>
          <w:highlight w:val="none"/>
          <w:lang w:val="en-US" w:eastAsia="zh-CN"/>
        </w:rPr>
        <w:t>二</w:t>
      </w:r>
      <w:r>
        <w:rPr>
          <w:rFonts w:hint="default" w:ascii="Times New Roman" w:hAnsi="Times New Roman" w:cs="Times New Roman"/>
          <w:color w:val="auto"/>
          <w:sz w:val="24"/>
          <w:highlight w:val="none"/>
        </w:rPr>
        <w:t>级。</w:t>
      </w:r>
    </w:p>
    <w:p w14:paraId="463DC505">
      <w:pPr>
        <w:keepNext w:val="0"/>
        <w:keepLines w:val="0"/>
        <w:pageBreakBefore w:val="0"/>
        <w:widowControl w:val="0"/>
        <w:kinsoku/>
        <w:wordWrap/>
        <w:overflowPunct/>
        <w:topLinePunct w:val="0"/>
        <w:autoSpaceDE/>
        <w:autoSpaceDN/>
        <w:bidi w:val="0"/>
        <w:adjustRightInd/>
        <w:snapToGrid/>
        <w:spacing w:before="157" w:beforeLines="50" w:line="0" w:lineRule="atLeast"/>
        <w:ind w:firstLine="0" w:firstLineChars="0"/>
        <w:jc w:val="center"/>
        <w:textAlignment w:val="auto"/>
        <w:rPr>
          <w:rFonts w:hint="default" w:ascii="Times New Roman" w:hAnsi="Times New Roman" w:eastAsia="黑体" w:cs="Times New Roman"/>
          <w:b w:val="0"/>
          <w:bCs/>
          <w:color w:val="auto"/>
          <w:szCs w:val="21"/>
          <w:highlight w:val="none"/>
        </w:rPr>
      </w:pPr>
      <w:r>
        <w:rPr>
          <w:rFonts w:hint="default" w:ascii="Times New Roman" w:hAnsi="Times New Roman" w:eastAsia="黑体" w:cs="Times New Roman"/>
          <w:b w:val="0"/>
          <w:bCs/>
          <w:color w:val="auto"/>
          <w:szCs w:val="21"/>
          <w:highlight w:val="none"/>
        </w:rPr>
        <w:t>表3-5 矿山地质环境影响评估精度分级表</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8"/>
        <w:gridCol w:w="1980"/>
        <w:gridCol w:w="1544"/>
        <w:gridCol w:w="1545"/>
        <w:gridCol w:w="1545"/>
      </w:tblGrid>
      <w:tr w14:paraId="1E44C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1908" w:type="dxa"/>
            <w:vMerge w:val="restart"/>
            <w:vAlign w:val="center"/>
          </w:tcPr>
          <w:p w14:paraId="0A5F1BB9">
            <w:pPr>
              <w:widowControl w:val="0"/>
              <w:ind w:firstLine="105" w:firstLineChars="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评估区重要程度</w:t>
            </w:r>
          </w:p>
        </w:tc>
        <w:tc>
          <w:tcPr>
            <w:tcW w:w="1980" w:type="dxa"/>
            <w:vMerge w:val="restart"/>
            <w:vAlign w:val="center"/>
          </w:tcPr>
          <w:p w14:paraId="24055F2E">
            <w:pPr>
              <w:widowControl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矿山生产建设规模</w:t>
            </w:r>
          </w:p>
        </w:tc>
        <w:tc>
          <w:tcPr>
            <w:tcW w:w="4634" w:type="dxa"/>
            <w:gridSpan w:val="3"/>
            <w:vAlign w:val="center"/>
          </w:tcPr>
          <w:p w14:paraId="73BD65ED">
            <w:pPr>
              <w:widowControl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地质环境条件复杂程度</w:t>
            </w:r>
          </w:p>
        </w:tc>
      </w:tr>
      <w:tr w14:paraId="0A92B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1908" w:type="dxa"/>
            <w:vMerge w:val="continue"/>
            <w:vAlign w:val="center"/>
          </w:tcPr>
          <w:p w14:paraId="73FC30E9">
            <w:pPr>
              <w:widowControl w:val="0"/>
              <w:jc w:val="center"/>
              <w:rPr>
                <w:rFonts w:hint="default" w:ascii="Times New Roman" w:hAnsi="Times New Roman" w:cs="Times New Roman"/>
                <w:color w:val="auto"/>
                <w:szCs w:val="21"/>
                <w:highlight w:val="none"/>
              </w:rPr>
            </w:pPr>
          </w:p>
        </w:tc>
        <w:tc>
          <w:tcPr>
            <w:tcW w:w="1980" w:type="dxa"/>
            <w:vMerge w:val="continue"/>
            <w:vAlign w:val="center"/>
          </w:tcPr>
          <w:p w14:paraId="2BFB215E">
            <w:pPr>
              <w:widowControl w:val="0"/>
              <w:jc w:val="center"/>
              <w:rPr>
                <w:rFonts w:hint="default" w:ascii="Times New Roman" w:hAnsi="Times New Roman" w:cs="Times New Roman"/>
                <w:color w:val="auto"/>
                <w:szCs w:val="21"/>
                <w:highlight w:val="none"/>
              </w:rPr>
            </w:pPr>
          </w:p>
        </w:tc>
        <w:tc>
          <w:tcPr>
            <w:tcW w:w="1544" w:type="dxa"/>
            <w:vAlign w:val="center"/>
          </w:tcPr>
          <w:p w14:paraId="4BB85CDC">
            <w:pPr>
              <w:widowControl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复杂</w:t>
            </w:r>
          </w:p>
        </w:tc>
        <w:tc>
          <w:tcPr>
            <w:tcW w:w="1545" w:type="dxa"/>
            <w:vAlign w:val="center"/>
          </w:tcPr>
          <w:p w14:paraId="1EFAC38A">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shd w:val="clear" w:fill="D7D7D7" w:themeFill="background1" w:themeFillShade="D8"/>
              </w:rPr>
              <w:t>中等</w:t>
            </w:r>
          </w:p>
        </w:tc>
        <w:tc>
          <w:tcPr>
            <w:tcW w:w="1545" w:type="dxa"/>
            <w:shd w:val="clear" w:color="auto" w:fill="auto"/>
            <w:vAlign w:val="center"/>
          </w:tcPr>
          <w:p w14:paraId="7ECBED52">
            <w:pPr>
              <w:widowControl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简单</w:t>
            </w:r>
          </w:p>
        </w:tc>
      </w:tr>
      <w:tr w14:paraId="1A905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1908" w:type="dxa"/>
            <w:vMerge w:val="restart"/>
            <w:vAlign w:val="center"/>
          </w:tcPr>
          <w:p w14:paraId="3AB8ABCC">
            <w:pPr>
              <w:widowControl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重要区</w:t>
            </w:r>
          </w:p>
        </w:tc>
        <w:tc>
          <w:tcPr>
            <w:tcW w:w="1980" w:type="dxa"/>
            <w:vAlign w:val="center"/>
          </w:tcPr>
          <w:p w14:paraId="42BC2AA6">
            <w:pPr>
              <w:widowControl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大型</w:t>
            </w:r>
          </w:p>
        </w:tc>
        <w:tc>
          <w:tcPr>
            <w:tcW w:w="1544" w:type="dxa"/>
            <w:vAlign w:val="center"/>
          </w:tcPr>
          <w:p w14:paraId="48280A0F">
            <w:pPr>
              <w:widowControl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一级</w:t>
            </w:r>
          </w:p>
        </w:tc>
        <w:tc>
          <w:tcPr>
            <w:tcW w:w="1545" w:type="dxa"/>
            <w:vAlign w:val="center"/>
          </w:tcPr>
          <w:p w14:paraId="77DA2856">
            <w:pPr>
              <w:widowControl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一级</w:t>
            </w:r>
          </w:p>
        </w:tc>
        <w:tc>
          <w:tcPr>
            <w:tcW w:w="1545" w:type="dxa"/>
            <w:shd w:val="clear" w:color="auto" w:fill="auto"/>
            <w:vAlign w:val="center"/>
          </w:tcPr>
          <w:p w14:paraId="0F99BFFF">
            <w:pPr>
              <w:widowControl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一级</w:t>
            </w:r>
          </w:p>
        </w:tc>
      </w:tr>
      <w:tr w14:paraId="06F7A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1908" w:type="dxa"/>
            <w:vMerge w:val="continue"/>
            <w:vAlign w:val="center"/>
          </w:tcPr>
          <w:p w14:paraId="7A491AE7">
            <w:pPr>
              <w:widowControl w:val="0"/>
              <w:jc w:val="center"/>
              <w:rPr>
                <w:rFonts w:hint="default" w:ascii="Times New Roman" w:hAnsi="Times New Roman" w:cs="Times New Roman"/>
                <w:color w:val="auto"/>
                <w:szCs w:val="21"/>
                <w:highlight w:val="none"/>
              </w:rPr>
            </w:pPr>
          </w:p>
        </w:tc>
        <w:tc>
          <w:tcPr>
            <w:tcW w:w="1980" w:type="dxa"/>
            <w:vAlign w:val="center"/>
          </w:tcPr>
          <w:p w14:paraId="261E74FC">
            <w:pPr>
              <w:widowControl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中型</w:t>
            </w:r>
          </w:p>
        </w:tc>
        <w:tc>
          <w:tcPr>
            <w:tcW w:w="1544" w:type="dxa"/>
            <w:vAlign w:val="center"/>
          </w:tcPr>
          <w:p w14:paraId="6E9B7A4E">
            <w:pPr>
              <w:widowControl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一级</w:t>
            </w:r>
          </w:p>
        </w:tc>
        <w:tc>
          <w:tcPr>
            <w:tcW w:w="1545" w:type="dxa"/>
            <w:vAlign w:val="center"/>
          </w:tcPr>
          <w:p w14:paraId="4DBCD7C3">
            <w:pPr>
              <w:widowControl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一级</w:t>
            </w:r>
          </w:p>
        </w:tc>
        <w:tc>
          <w:tcPr>
            <w:tcW w:w="1545" w:type="dxa"/>
            <w:shd w:val="clear" w:color="auto" w:fill="auto"/>
            <w:vAlign w:val="center"/>
          </w:tcPr>
          <w:p w14:paraId="66FD98BF">
            <w:pPr>
              <w:widowControl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一级</w:t>
            </w:r>
          </w:p>
        </w:tc>
      </w:tr>
      <w:tr w14:paraId="3944D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1908" w:type="dxa"/>
            <w:vMerge w:val="continue"/>
            <w:vAlign w:val="center"/>
          </w:tcPr>
          <w:p w14:paraId="5B855A75">
            <w:pPr>
              <w:widowControl w:val="0"/>
              <w:jc w:val="center"/>
              <w:rPr>
                <w:rFonts w:hint="default" w:ascii="Times New Roman" w:hAnsi="Times New Roman" w:cs="Times New Roman"/>
                <w:color w:val="auto"/>
                <w:szCs w:val="21"/>
                <w:highlight w:val="none"/>
              </w:rPr>
            </w:pPr>
          </w:p>
        </w:tc>
        <w:tc>
          <w:tcPr>
            <w:tcW w:w="1980" w:type="dxa"/>
            <w:vAlign w:val="center"/>
          </w:tcPr>
          <w:p w14:paraId="23433EC4">
            <w:pPr>
              <w:widowControl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小型</w:t>
            </w:r>
          </w:p>
        </w:tc>
        <w:tc>
          <w:tcPr>
            <w:tcW w:w="1544" w:type="dxa"/>
            <w:vAlign w:val="center"/>
          </w:tcPr>
          <w:p w14:paraId="7EA274DD">
            <w:pPr>
              <w:widowControl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一级</w:t>
            </w:r>
          </w:p>
        </w:tc>
        <w:tc>
          <w:tcPr>
            <w:tcW w:w="1545" w:type="dxa"/>
            <w:vAlign w:val="center"/>
          </w:tcPr>
          <w:p w14:paraId="29AC4D10">
            <w:pPr>
              <w:widowControl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一级</w:t>
            </w:r>
          </w:p>
        </w:tc>
        <w:tc>
          <w:tcPr>
            <w:tcW w:w="1545" w:type="dxa"/>
            <w:shd w:val="clear" w:color="auto" w:fill="auto"/>
            <w:vAlign w:val="center"/>
          </w:tcPr>
          <w:p w14:paraId="73615EA1">
            <w:pPr>
              <w:widowControl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二级</w:t>
            </w:r>
          </w:p>
        </w:tc>
      </w:tr>
      <w:tr w14:paraId="48E31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1908" w:type="dxa"/>
            <w:vMerge w:val="restart"/>
            <w:vAlign w:val="center"/>
          </w:tcPr>
          <w:p w14:paraId="19E29D01">
            <w:pPr>
              <w:widowControl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shd w:val="clear" w:fill="A4A4A4" w:themeFill="background1" w:themeFillShade="A5"/>
              </w:rPr>
              <w:t>较重要区</w:t>
            </w:r>
          </w:p>
        </w:tc>
        <w:tc>
          <w:tcPr>
            <w:tcW w:w="1980" w:type="dxa"/>
            <w:vAlign w:val="center"/>
          </w:tcPr>
          <w:p w14:paraId="4A893856">
            <w:pPr>
              <w:widowControl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大型</w:t>
            </w:r>
          </w:p>
        </w:tc>
        <w:tc>
          <w:tcPr>
            <w:tcW w:w="1544" w:type="dxa"/>
            <w:vAlign w:val="center"/>
          </w:tcPr>
          <w:p w14:paraId="207795B2">
            <w:pPr>
              <w:widowControl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一级</w:t>
            </w:r>
          </w:p>
        </w:tc>
        <w:tc>
          <w:tcPr>
            <w:tcW w:w="1545" w:type="dxa"/>
            <w:vAlign w:val="center"/>
          </w:tcPr>
          <w:p w14:paraId="0B2D5119">
            <w:pPr>
              <w:widowControl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一级</w:t>
            </w:r>
          </w:p>
        </w:tc>
        <w:tc>
          <w:tcPr>
            <w:tcW w:w="1545" w:type="dxa"/>
            <w:shd w:val="clear" w:color="auto" w:fill="auto"/>
            <w:vAlign w:val="center"/>
          </w:tcPr>
          <w:p w14:paraId="09823856">
            <w:pPr>
              <w:widowControl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一级</w:t>
            </w:r>
          </w:p>
        </w:tc>
      </w:tr>
      <w:tr w14:paraId="68709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1908" w:type="dxa"/>
            <w:vMerge w:val="continue"/>
            <w:vAlign w:val="center"/>
          </w:tcPr>
          <w:p w14:paraId="0BBD40A1">
            <w:pPr>
              <w:widowControl w:val="0"/>
              <w:jc w:val="center"/>
              <w:rPr>
                <w:rFonts w:hint="default" w:ascii="Times New Roman" w:hAnsi="Times New Roman" w:cs="Times New Roman"/>
                <w:color w:val="auto"/>
                <w:szCs w:val="21"/>
                <w:highlight w:val="none"/>
              </w:rPr>
            </w:pPr>
          </w:p>
        </w:tc>
        <w:tc>
          <w:tcPr>
            <w:tcW w:w="1980" w:type="dxa"/>
            <w:vAlign w:val="center"/>
          </w:tcPr>
          <w:p w14:paraId="720C0ED3">
            <w:pPr>
              <w:widowControl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中型</w:t>
            </w:r>
          </w:p>
        </w:tc>
        <w:tc>
          <w:tcPr>
            <w:tcW w:w="1544" w:type="dxa"/>
            <w:vAlign w:val="center"/>
          </w:tcPr>
          <w:p w14:paraId="7A03D5EB">
            <w:pPr>
              <w:widowControl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一级</w:t>
            </w:r>
          </w:p>
        </w:tc>
        <w:tc>
          <w:tcPr>
            <w:tcW w:w="1545" w:type="dxa"/>
            <w:vAlign w:val="center"/>
          </w:tcPr>
          <w:p w14:paraId="39FAA7E7">
            <w:pPr>
              <w:widowControl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二级</w:t>
            </w:r>
          </w:p>
        </w:tc>
        <w:tc>
          <w:tcPr>
            <w:tcW w:w="1545" w:type="dxa"/>
            <w:shd w:val="clear" w:color="auto" w:fill="auto"/>
            <w:vAlign w:val="center"/>
          </w:tcPr>
          <w:p w14:paraId="69EA9B96">
            <w:pPr>
              <w:widowControl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二级</w:t>
            </w:r>
          </w:p>
        </w:tc>
      </w:tr>
      <w:tr w14:paraId="339FA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1908" w:type="dxa"/>
            <w:vMerge w:val="continue"/>
            <w:vAlign w:val="center"/>
          </w:tcPr>
          <w:p w14:paraId="748D3155">
            <w:pPr>
              <w:widowControl w:val="0"/>
              <w:jc w:val="center"/>
              <w:rPr>
                <w:rFonts w:hint="default" w:ascii="Times New Roman" w:hAnsi="Times New Roman" w:cs="Times New Roman"/>
                <w:color w:val="auto"/>
                <w:szCs w:val="21"/>
                <w:highlight w:val="none"/>
              </w:rPr>
            </w:pPr>
          </w:p>
        </w:tc>
        <w:tc>
          <w:tcPr>
            <w:tcW w:w="1980" w:type="dxa"/>
            <w:vAlign w:val="center"/>
          </w:tcPr>
          <w:p w14:paraId="16E7AEB5">
            <w:pPr>
              <w:widowControl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shd w:val="clear" w:fill="A4A4A4" w:themeFill="background1" w:themeFillShade="A5"/>
              </w:rPr>
              <w:t>小型</w:t>
            </w:r>
          </w:p>
        </w:tc>
        <w:tc>
          <w:tcPr>
            <w:tcW w:w="1544" w:type="dxa"/>
            <w:vAlign w:val="center"/>
          </w:tcPr>
          <w:p w14:paraId="24A6DE70">
            <w:pPr>
              <w:widowControl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一级</w:t>
            </w:r>
          </w:p>
        </w:tc>
        <w:tc>
          <w:tcPr>
            <w:tcW w:w="1545" w:type="dxa"/>
            <w:shd w:val="clear" w:color="auto" w:fill="auto"/>
            <w:vAlign w:val="center"/>
          </w:tcPr>
          <w:p w14:paraId="4886AEE2">
            <w:pPr>
              <w:widowControl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shd w:val="clear" w:fill="A4A4A4" w:themeFill="background1" w:themeFillShade="A5"/>
              </w:rPr>
              <w:t>二级</w:t>
            </w:r>
          </w:p>
        </w:tc>
        <w:tc>
          <w:tcPr>
            <w:tcW w:w="1545" w:type="dxa"/>
            <w:shd w:val="clear" w:color="auto" w:fill="auto"/>
            <w:vAlign w:val="center"/>
          </w:tcPr>
          <w:p w14:paraId="04ED667A">
            <w:pPr>
              <w:widowControl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三级</w:t>
            </w:r>
          </w:p>
        </w:tc>
      </w:tr>
      <w:tr w14:paraId="0D9DD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1908" w:type="dxa"/>
            <w:vMerge w:val="restart"/>
            <w:vAlign w:val="center"/>
          </w:tcPr>
          <w:p w14:paraId="4EF4A94F">
            <w:pPr>
              <w:widowControl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一般区</w:t>
            </w:r>
          </w:p>
        </w:tc>
        <w:tc>
          <w:tcPr>
            <w:tcW w:w="1980" w:type="dxa"/>
            <w:vAlign w:val="center"/>
          </w:tcPr>
          <w:p w14:paraId="59F52351">
            <w:pPr>
              <w:widowControl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大型</w:t>
            </w:r>
          </w:p>
        </w:tc>
        <w:tc>
          <w:tcPr>
            <w:tcW w:w="1544" w:type="dxa"/>
            <w:vAlign w:val="center"/>
          </w:tcPr>
          <w:p w14:paraId="4591EA3F">
            <w:pPr>
              <w:widowControl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一级</w:t>
            </w:r>
          </w:p>
        </w:tc>
        <w:tc>
          <w:tcPr>
            <w:tcW w:w="1545" w:type="dxa"/>
            <w:vAlign w:val="center"/>
          </w:tcPr>
          <w:p w14:paraId="0CEF1043">
            <w:pPr>
              <w:widowControl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二级</w:t>
            </w:r>
          </w:p>
        </w:tc>
        <w:tc>
          <w:tcPr>
            <w:tcW w:w="1545" w:type="dxa"/>
            <w:vAlign w:val="center"/>
          </w:tcPr>
          <w:p w14:paraId="705BF152">
            <w:pPr>
              <w:widowControl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二级</w:t>
            </w:r>
          </w:p>
        </w:tc>
      </w:tr>
      <w:tr w14:paraId="499C4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1908" w:type="dxa"/>
            <w:vMerge w:val="continue"/>
            <w:vAlign w:val="center"/>
          </w:tcPr>
          <w:p w14:paraId="2A434FE9">
            <w:pPr>
              <w:widowControl w:val="0"/>
              <w:jc w:val="center"/>
              <w:rPr>
                <w:rFonts w:hint="default" w:ascii="Times New Roman" w:hAnsi="Times New Roman" w:cs="Times New Roman"/>
                <w:color w:val="auto"/>
                <w:szCs w:val="21"/>
                <w:highlight w:val="none"/>
              </w:rPr>
            </w:pPr>
          </w:p>
        </w:tc>
        <w:tc>
          <w:tcPr>
            <w:tcW w:w="1980" w:type="dxa"/>
            <w:vAlign w:val="center"/>
          </w:tcPr>
          <w:p w14:paraId="3DEF6F91">
            <w:pPr>
              <w:widowControl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中型</w:t>
            </w:r>
          </w:p>
        </w:tc>
        <w:tc>
          <w:tcPr>
            <w:tcW w:w="1544" w:type="dxa"/>
            <w:vAlign w:val="center"/>
          </w:tcPr>
          <w:p w14:paraId="7936AF35">
            <w:pPr>
              <w:widowControl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一级</w:t>
            </w:r>
          </w:p>
        </w:tc>
        <w:tc>
          <w:tcPr>
            <w:tcW w:w="1545" w:type="dxa"/>
            <w:vAlign w:val="center"/>
          </w:tcPr>
          <w:p w14:paraId="310CDE42">
            <w:pPr>
              <w:widowControl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二级</w:t>
            </w:r>
          </w:p>
        </w:tc>
        <w:tc>
          <w:tcPr>
            <w:tcW w:w="1545" w:type="dxa"/>
            <w:vAlign w:val="center"/>
          </w:tcPr>
          <w:p w14:paraId="79D4715C">
            <w:pPr>
              <w:widowControl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三级</w:t>
            </w:r>
          </w:p>
        </w:tc>
      </w:tr>
      <w:tr w14:paraId="2F4E5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1908" w:type="dxa"/>
            <w:vMerge w:val="continue"/>
          </w:tcPr>
          <w:p w14:paraId="6ECB1C6E">
            <w:pPr>
              <w:widowControl w:val="0"/>
              <w:jc w:val="center"/>
              <w:rPr>
                <w:rFonts w:hint="default" w:ascii="Times New Roman" w:hAnsi="Times New Roman" w:cs="Times New Roman"/>
                <w:color w:val="auto"/>
                <w:szCs w:val="21"/>
                <w:highlight w:val="none"/>
              </w:rPr>
            </w:pPr>
          </w:p>
        </w:tc>
        <w:tc>
          <w:tcPr>
            <w:tcW w:w="1980" w:type="dxa"/>
          </w:tcPr>
          <w:p w14:paraId="61A6245A">
            <w:pPr>
              <w:widowControl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小型</w:t>
            </w:r>
          </w:p>
        </w:tc>
        <w:tc>
          <w:tcPr>
            <w:tcW w:w="1544" w:type="dxa"/>
          </w:tcPr>
          <w:p w14:paraId="3FA83D53">
            <w:pPr>
              <w:widowControl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二级</w:t>
            </w:r>
          </w:p>
        </w:tc>
        <w:tc>
          <w:tcPr>
            <w:tcW w:w="1545" w:type="dxa"/>
          </w:tcPr>
          <w:p w14:paraId="226FE0A1">
            <w:pPr>
              <w:widowControl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三级</w:t>
            </w:r>
          </w:p>
        </w:tc>
        <w:tc>
          <w:tcPr>
            <w:tcW w:w="1545" w:type="dxa"/>
          </w:tcPr>
          <w:p w14:paraId="32964959">
            <w:pPr>
              <w:widowControl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三级</w:t>
            </w:r>
          </w:p>
        </w:tc>
      </w:tr>
    </w:tbl>
    <w:p w14:paraId="1AF211C7">
      <w:pPr>
        <w:keepNext/>
        <w:keepLines/>
        <w:widowControl w:val="0"/>
        <w:spacing w:before="260" w:after="260" w:line="416" w:lineRule="auto"/>
        <w:outlineLvl w:val="2"/>
        <w:rPr>
          <w:rFonts w:hint="default" w:ascii="Times New Roman" w:hAnsi="Times New Roman" w:eastAsia="黑体" w:cs="Times New Roman"/>
          <w:bCs/>
          <w:color w:val="auto"/>
          <w:sz w:val="28"/>
          <w:szCs w:val="28"/>
          <w:highlight w:val="none"/>
        </w:rPr>
      </w:pPr>
      <w:bookmarkStart w:id="130" w:name="_Toc485629691"/>
      <w:r>
        <w:rPr>
          <w:rFonts w:hint="default" w:ascii="Times New Roman" w:hAnsi="Times New Roman" w:eastAsia="黑体" w:cs="Times New Roman"/>
          <w:bCs/>
          <w:color w:val="auto"/>
          <w:sz w:val="28"/>
          <w:szCs w:val="28"/>
          <w:highlight w:val="none"/>
        </w:rPr>
        <w:t>（二）矿山地质灾害现状分析与预测</w:t>
      </w:r>
      <w:bookmarkEnd w:id="130"/>
    </w:p>
    <w:p w14:paraId="23BD9A28">
      <w:pPr>
        <w:spacing w:line="360" w:lineRule="auto"/>
        <w:ind w:firstLine="482" w:firstLineChars="200"/>
        <w:rPr>
          <w:rFonts w:hint="default" w:ascii="Times New Roman" w:hAnsi="Times New Roman" w:cs="Times New Roman"/>
          <w:b/>
          <w:bCs/>
          <w:color w:val="auto"/>
          <w:sz w:val="24"/>
          <w:highlight w:val="none"/>
        </w:rPr>
      </w:pPr>
      <w:bookmarkStart w:id="131" w:name="_Toc485629696"/>
      <w:r>
        <w:rPr>
          <w:rFonts w:hint="default" w:ascii="Times New Roman" w:hAnsi="Times New Roman" w:cs="Times New Roman"/>
          <w:b/>
          <w:bCs/>
          <w:color w:val="auto"/>
          <w:sz w:val="24"/>
          <w:highlight w:val="none"/>
        </w:rPr>
        <w:t>1、矿山地质灾害现状分析</w:t>
      </w:r>
    </w:p>
    <w:p w14:paraId="2638D0FB">
      <w:pPr>
        <w:widowControl w:val="0"/>
        <w:spacing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根据《地质灾害危险性评估规范》（</w:t>
      </w:r>
      <w:r>
        <w:rPr>
          <w:rFonts w:hint="default" w:ascii="Times New Roman" w:hAnsi="Times New Roman" w:cs="Times New Roman"/>
          <w:color w:val="auto"/>
          <w:sz w:val="24"/>
          <w:highlight w:val="none"/>
          <w:lang w:val="en-US" w:eastAsia="zh-CN"/>
        </w:rPr>
        <w:t>GB</w:t>
      </w:r>
      <w:r>
        <w:rPr>
          <w:rFonts w:hint="default" w:ascii="Times New Roman" w:hAnsi="Times New Roman" w:cs="Times New Roman"/>
          <w:color w:val="auto"/>
          <w:sz w:val="24"/>
          <w:highlight w:val="none"/>
        </w:rPr>
        <w:t>/T</w:t>
      </w:r>
      <w:r>
        <w:rPr>
          <w:rFonts w:hint="eastAsia" w:cs="Times New Roman"/>
          <w:color w:val="auto"/>
          <w:sz w:val="24"/>
          <w:highlight w:val="none"/>
          <w:lang w:val="en-US" w:eastAsia="zh-CN"/>
        </w:rPr>
        <w:t xml:space="preserve"> </w:t>
      </w:r>
      <w:r>
        <w:rPr>
          <w:rFonts w:hint="default" w:ascii="Times New Roman" w:hAnsi="Times New Roman" w:cs="Times New Roman"/>
          <w:color w:val="auto"/>
          <w:sz w:val="24"/>
          <w:highlight w:val="none"/>
        </w:rPr>
        <w:t>40112-2021），地质灾害危险性评估灾种主要为崩塌、滑坡、泥石流、岩溶塌陷</w:t>
      </w:r>
      <w:r>
        <w:rPr>
          <w:rFonts w:hint="default"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rPr>
        <w:t>采空塌陷、地裂缝和地面沉降等。</w:t>
      </w:r>
    </w:p>
    <w:p w14:paraId="7CAAEFF2">
      <w:pPr>
        <w:widowControl w:val="0"/>
        <w:spacing w:line="360" w:lineRule="auto"/>
        <w:ind w:firstLine="480" w:firstLineChars="200"/>
        <w:jc w:val="both"/>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rPr>
        <w:t>矿山采用露天开采，形成了</w:t>
      </w:r>
      <w:r>
        <w:rPr>
          <w:rFonts w:hint="eastAsia" w:cs="Times New Roman"/>
          <w:color w:val="auto"/>
          <w:sz w:val="24"/>
          <w:highlight w:val="none"/>
          <w:lang w:val="en-US" w:eastAsia="zh-CN"/>
        </w:rPr>
        <w:t>1个</w:t>
      </w:r>
      <w:r>
        <w:rPr>
          <w:rFonts w:hint="default" w:ascii="Times New Roman" w:hAnsi="Times New Roman" w:cs="Times New Roman"/>
          <w:color w:val="auto"/>
          <w:sz w:val="24"/>
          <w:highlight w:val="none"/>
        </w:rPr>
        <w:t>露天采坑。</w:t>
      </w:r>
      <w:r>
        <w:rPr>
          <w:rFonts w:hint="eastAsia" w:cs="Times New Roman"/>
          <w:color w:val="auto"/>
          <w:sz w:val="24"/>
          <w:highlight w:val="none"/>
          <w:lang w:val="en-US" w:eastAsia="zh-CN"/>
        </w:rPr>
        <w:t>采坑最大开采深度约40m，</w:t>
      </w:r>
      <w:r>
        <w:rPr>
          <w:rFonts w:hint="default" w:ascii="Times New Roman" w:hAnsi="Times New Roman" w:cs="Times New Roman"/>
          <w:color w:val="auto"/>
          <w:sz w:val="24"/>
          <w:highlight w:val="none"/>
          <w:lang w:val="en-US" w:eastAsia="zh-CN"/>
        </w:rPr>
        <w:t>经野外实地调查，矿山露天采坑边坡</w:t>
      </w:r>
      <w:r>
        <w:rPr>
          <w:rFonts w:hint="eastAsia" w:cs="Times New Roman"/>
          <w:color w:val="auto"/>
          <w:sz w:val="24"/>
          <w:highlight w:val="none"/>
          <w:lang w:val="en-US" w:eastAsia="zh-CN"/>
        </w:rPr>
        <w:t>较稳定</w:t>
      </w:r>
      <w:r>
        <w:rPr>
          <w:rFonts w:hint="default" w:ascii="Times New Roman" w:hAnsi="Times New Roman" w:cs="Times New Roman"/>
          <w:color w:val="auto"/>
          <w:sz w:val="24"/>
          <w:highlight w:val="none"/>
          <w:lang w:val="en-US" w:eastAsia="zh-CN"/>
        </w:rPr>
        <w:t>，现状条件下，引发崩塌地质灾害的危害可能性小，危险性小。</w:t>
      </w:r>
    </w:p>
    <w:p w14:paraId="5FBE5DE5">
      <w:pPr>
        <w:spacing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2、矿山地质灾害危险性预测</w:t>
      </w:r>
    </w:p>
    <w:p w14:paraId="5C40E7AE">
      <w:pPr>
        <w:pStyle w:val="137"/>
        <w:spacing w:line="360" w:lineRule="auto"/>
        <w:ind w:firstLine="526" w:firstLineChars="225"/>
        <w:rPr>
          <w:rFonts w:eastAsiaTheme="majorEastAsia"/>
          <w:color w:val="auto"/>
          <w:spacing w:val="-3"/>
          <w:sz w:val="24"/>
          <w:highlight w:val="none"/>
        </w:rPr>
      </w:pPr>
      <w:bookmarkStart w:id="132" w:name="_Toc485629692"/>
      <w:r>
        <w:rPr>
          <w:rFonts w:hint="eastAsia" w:eastAsiaTheme="majorEastAsia"/>
          <w:color w:val="auto"/>
          <w:spacing w:val="-3"/>
          <w:sz w:val="24"/>
          <w:highlight w:val="none"/>
        </w:rPr>
        <w:t>（1）露天采坑引发地质灾害预测分析</w:t>
      </w:r>
    </w:p>
    <w:p w14:paraId="4104F01A">
      <w:pPr>
        <w:widowControl w:val="0"/>
        <w:spacing w:line="360" w:lineRule="auto"/>
        <w:ind w:firstLine="480" w:firstLineChars="200"/>
        <w:jc w:val="both"/>
        <w:rPr>
          <w:color w:val="auto"/>
          <w:sz w:val="24"/>
          <w:highlight w:val="none"/>
        </w:rPr>
      </w:pPr>
      <w:r>
        <w:rPr>
          <w:rFonts w:hint="eastAsia"/>
          <w:color w:val="auto"/>
          <w:sz w:val="24"/>
          <w:highlight w:val="none"/>
        </w:rPr>
        <w:t>根据开发利用方案，</w:t>
      </w:r>
      <w:r>
        <w:rPr>
          <w:color w:val="auto"/>
          <w:sz w:val="24"/>
          <w:highlight w:val="none"/>
        </w:rPr>
        <w:t>矿山</w:t>
      </w:r>
      <w:r>
        <w:rPr>
          <w:rFonts w:hint="eastAsia"/>
          <w:color w:val="auto"/>
          <w:sz w:val="24"/>
          <w:highlight w:val="none"/>
        </w:rPr>
        <w:t>开采将</w:t>
      </w:r>
      <w:r>
        <w:rPr>
          <w:color w:val="auto"/>
          <w:sz w:val="24"/>
          <w:highlight w:val="none"/>
        </w:rPr>
        <w:t>形成一个采坑，矿山采掘或爆破施工后，在台阶坡面可能会留下松动体，在重力和外力作下，局部地段易引发及遭受小型崩塌地质灾害。但由于岩体属坚硬块状岩类，岩体较完整，且评估区内无重要建筑物及居民地，在矿开采过程中，严格按设计施工，可有效减少上述地质灾害发生的可能性。边坡角与节理面倾角相近，根据开发利用方案设计最终边坡角</w:t>
      </w:r>
      <w:r>
        <w:rPr>
          <w:rFonts w:hint="eastAsia"/>
          <w:color w:val="auto"/>
          <w:sz w:val="24"/>
          <w:highlight w:val="none"/>
        </w:rPr>
        <w:t>≤50</w:t>
      </w:r>
      <w:r>
        <w:rPr>
          <w:color w:val="auto"/>
          <w:sz w:val="24"/>
          <w:highlight w:val="none"/>
        </w:rPr>
        <w:t>°，边坡发生崩塌的可能性小，崩塌的规模小。根据表3-</w:t>
      </w:r>
      <w:r>
        <w:rPr>
          <w:rFonts w:hint="eastAsia"/>
          <w:color w:val="auto"/>
          <w:sz w:val="24"/>
          <w:highlight w:val="none"/>
        </w:rPr>
        <w:t>6</w:t>
      </w:r>
      <w:r>
        <w:rPr>
          <w:color w:val="auto"/>
          <w:sz w:val="24"/>
          <w:highlight w:val="none"/>
        </w:rPr>
        <w:t>、3-</w:t>
      </w:r>
      <w:r>
        <w:rPr>
          <w:rFonts w:hint="eastAsia"/>
          <w:color w:val="auto"/>
          <w:sz w:val="24"/>
          <w:highlight w:val="none"/>
        </w:rPr>
        <w:t>7</w:t>
      </w:r>
      <w:r>
        <w:rPr>
          <w:color w:val="auto"/>
          <w:sz w:val="24"/>
          <w:highlight w:val="none"/>
        </w:rPr>
        <w:t>，预测采矿活动引发崩塌地质灾害的危害</w:t>
      </w:r>
      <w:r>
        <w:rPr>
          <w:rFonts w:hint="eastAsia"/>
          <w:color w:val="auto"/>
          <w:sz w:val="24"/>
          <w:highlight w:val="none"/>
        </w:rPr>
        <w:t>可能性小</w:t>
      </w:r>
      <w:r>
        <w:rPr>
          <w:color w:val="auto"/>
          <w:sz w:val="24"/>
          <w:highlight w:val="none"/>
        </w:rPr>
        <w:t>，危险性小。</w:t>
      </w:r>
    </w:p>
    <w:p w14:paraId="5F975492">
      <w:pPr>
        <w:pStyle w:val="90"/>
        <w:rPr>
          <w:rFonts w:ascii="Times New Roman" w:hAnsi="Times New Roman" w:cs="Times New Roman"/>
          <w:color w:val="auto"/>
          <w:highlight w:val="none"/>
        </w:rPr>
      </w:pPr>
      <w:r>
        <w:rPr>
          <w:rFonts w:ascii="Times New Roman" w:hAnsi="Times New Roman" w:cs="Times New Roman"/>
          <w:color w:val="auto"/>
          <w:highlight w:val="none"/>
        </w:rPr>
        <w:t>表3-</w:t>
      </w:r>
      <w:r>
        <w:rPr>
          <w:rFonts w:hint="eastAsia" w:ascii="Times New Roman" w:hAnsi="Times New Roman" w:cs="Times New Roman"/>
          <w:color w:val="auto"/>
          <w:highlight w:val="none"/>
        </w:rPr>
        <w:t xml:space="preserve">6 </w:t>
      </w:r>
      <w:r>
        <w:rPr>
          <w:rFonts w:ascii="Times New Roman" w:hAnsi="Times New Roman" w:cs="Times New Roman"/>
          <w:color w:val="auto"/>
          <w:highlight w:val="none"/>
        </w:rPr>
        <w:t xml:space="preserve"> 地质灾害危险性分级表</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1"/>
        <w:gridCol w:w="2274"/>
        <w:gridCol w:w="2284"/>
        <w:gridCol w:w="2283"/>
      </w:tblGrid>
      <w:tr w14:paraId="5CCB7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986" w:type="pct"/>
            <w:vMerge w:val="restart"/>
            <w:vAlign w:val="center"/>
          </w:tcPr>
          <w:p w14:paraId="4B943EF4">
            <w:pPr>
              <w:widowControl w:val="0"/>
              <w:snapToGrid w:val="0"/>
              <w:jc w:val="center"/>
              <w:rPr>
                <w:b/>
                <w:color w:val="auto"/>
                <w:szCs w:val="21"/>
                <w:highlight w:val="none"/>
              </w:rPr>
            </w:pPr>
            <w:r>
              <w:rPr>
                <w:b w:val="0"/>
                <w:bCs/>
                <w:color w:val="auto"/>
                <w:szCs w:val="21"/>
                <w:highlight w:val="none"/>
              </w:rPr>
              <w:t>危害程度</w:t>
            </w:r>
          </w:p>
        </w:tc>
        <w:tc>
          <w:tcPr>
            <w:tcW w:w="4013" w:type="pct"/>
            <w:gridSpan w:val="3"/>
            <w:vAlign w:val="center"/>
          </w:tcPr>
          <w:p w14:paraId="113FEF49">
            <w:pPr>
              <w:widowControl w:val="0"/>
              <w:snapToGrid w:val="0"/>
              <w:ind w:firstLine="422"/>
              <w:jc w:val="center"/>
              <w:rPr>
                <w:b/>
                <w:color w:val="auto"/>
                <w:szCs w:val="21"/>
                <w:highlight w:val="none"/>
              </w:rPr>
            </w:pPr>
            <w:r>
              <w:rPr>
                <w:b/>
                <w:color w:val="auto"/>
                <w:szCs w:val="21"/>
                <w:highlight w:val="none"/>
              </w:rPr>
              <w:t>发育程度</w:t>
            </w:r>
          </w:p>
        </w:tc>
      </w:tr>
      <w:tr w14:paraId="11107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986" w:type="pct"/>
            <w:vMerge w:val="continue"/>
            <w:vAlign w:val="center"/>
          </w:tcPr>
          <w:p w14:paraId="03F18E34">
            <w:pPr>
              <w:widowControl w:val="0"/>
              <w:snapToGrid w:val="0"/>
              <w:ind w:firstLine="420"/>
              <w:jc w:val="center"/>
              <w:rPr>
                <w:color w:val="auto"/>
                <w:szCs w:val="21"/>
                <w:highlight w:val="none"/>
              </w:rPr>
            </w:pPr>
          </w:p>
        </w:tc>
        <w:tc>
          <w:tcPr>
            <w:tcW w:w="1334" w:type="pct"/>
            <w:vAlign w:val="center"/>
          </w:tcPr>
          <w:p w14:paraId="64E902C2">
            <w:pPr>
              <w:widowControl w:val="0"/>
              <w:snapToGrid w:val="0"/>
              <w:ind w:firstLine="420"/>
              <w:jc w:val="center"/>
              <w:rPr>
                <w:color w:val="auto"/>
                <w:szCs w:val="21"/>
                <w:highlight w:val="none"/>
              </w:rPr>
            </w:pPr>
            <w:r>
              <w:rPr>
                <w:color w:val="auto"/>
                <w:szCs w:val="21"/>
                <w:highlight w:val="none"/>
              </w:rPr>
              <w:t>强</w:t>
            </w:r>
          </w:p>
        </w:tc>
        <w:tc>
          <w:tcPr>
            <w:tcW w:w="1340" w:type="pct"/>
            <w:vAlign w:val="center"/>
          </w:tcPr>
          <w:p w14:paraId="5A1BAA36">
            <w:pPr>
              <w:widowControl w:val="0"/>
              <w:snapToGrid w:val="0"/>
              <w:ind w:firstLine="420"/>
              <w:jc w:val="center"/>
              <w:rPr>
                <w:color w:val="auto"/>
                <w:szCs w:val="21"/>
                <w:highlight w:val="none"/>
              </w:rPr>
            </w:pPr>
            <w:r>
              <w:rPr>
                <w:color w:val="auto"/>
                <w:szCs w:val="21"/>
                <w:highlight w:val="none"/>
              </w:rPr>
              <w:t>中等</w:t>
            </w:r>
          </w:p>
        </w:tc>
        <w:tc>
          <w:tcPr>
            <w:tcW w:w="1338" w:type="pct"/>
            <w:vAlign w:val="center"/>
          </w:tcPr>
          <w:p w14:paraId="725DBC5F">
            <w:pPr>
              <w:keepNext w:val="0"/>
              <w:keepLines w:val="0"/>
              <w:pageBreakBefore w:val="0"/>
              <w:widowControl w:val="0"/>
              <w:kinsoku/>
              <w:wordWrap/>
              <w:overflowPunct/>
              <w:topLinePunct w:val="0"/>
              <w:autoSpaceDE/>
              <w:autoSpaceDN/>
              <w:bidi w:val="0"/>
              <w:adjustRightInd/>
              <w:snapToGrid w:val="0"/>
              <w:ind w:firstLine="0"/>
              <w:jc w:val="center"/>
              <w:textAlignment w:val="auto"/>
              <w:rPr>
                <w:b w:val="0"/>
                <w:bCs w:val="0"/>
                <w:color w:val="auto"/>
                <w:szCs w:val="21"/>
                <w:highlight w:val="none"/>
                <w:u w:val="none"/>
              </w:rPr>
            </w:pPr>
            <w:r>
              <w:rPr>
                <w:b/>
                <w:bCs/>
                <w:color w:val="auto"/>
                <w:szCs w:val="21"/>
                <w:highlight w:val="none"/>
                <w:u w:val="none"/>
              </w:rPr>
              <w:t>弱</w:t>
            </w:r>
          </w:p>
        </w:tc>
      </w:tr>
      <w:tr w14:paraId="2DD7C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986" w:type="pct"/>
            <w:vAlign w:val="center"/>
          </w:tcPr>
          <w:p w14:paraId="3EEA0DCD">
            <w:pPr>
              <w:widowControl w:val="0"/>
              <w:snapToGrid w:val="0"/>
              <w:jc w:val="center"/>
              <w:rPr>
                <w:color w:val="auto"/>
                <w:szCs w:val="21"/>
                <w:highlight w:val="none"/>
              </w:rPr>
            </w:pPr>
            <w:r>
              <w:rPr>
                <w:color w:val="auto"/>
                <w:szCs w:val="21"/>
                <w:highlight w:val="none"/>
              </w:rPr>
              <w:t>大</w:t>
            </w:r>
          </w:p>
        </w:tc>
        <w:tc>
          <w:tcPr>
            <w:tcW w:w="1334" w:type="pct"/>
            <w:vAlign w:val="center"/>
          </w:tcPr>
          <w:p w14:paraId="34204CE3">
            <w:pPr>
              <w:widowControl w:val="0"/>
              <w:snapToGrid w:val="0"/>
              <w:ind w:firstLine="420"/>
              <w:jc w:val="center"/>
              <w:rPr>
                <w:color w:val="auto"/>
                <w:szCs w:val="21"/>
                <w:highlight w:val="none"/>
              </w:rPr>
            </w:pPr>
            <w:r>
              <w:rPr>
                <w:color w:val="auto"/>
                <w:szCs w:val="21"/>
                <w:highlight w:val="none"/>
              </w:rPr>
              <w:t>危险性大</w:t>
            </w:r>
          </w:p>
        </w:tc>
        <w:tc>
          <w:tcPr>
            <w:tcW w:w="1340" w:type="pct"/>
            <w:vAlign w:val="center"/>
          </w:tcPr>
          <w:p w14:paraId="56326B04">
            <w:pPr>
              <w:widowControl w:val="0"/>
              <w:snapToGrid w:val="0"/>
              <w:ind w:firstLine="420"/>
              <w:jc w:val="center"/>
              <w:rPr>
                <w:color w:val="auto"/>
                <w:szCs w:val="21"/>
                <w:highlight w:val="none"/>
              </w:rPr>
            </w:pPr>
            <w:r>
              <w:rPr>
                <w:color w:val="auto"/>
                <w:szCs w:val="21"/>
                <w:highlight w:val="none"/>
              </w:rPr>
              <w:t>危险性大</w:t>
            </w:r>
          </w:p>
        </w:tc>
        <w:tc>
          <w:tcPr>
            <w:tcW w:w="1338" w:type="pct"/>
            <w:vAlign w:val="center"/>
          </w:tcPr>
          <w:p w14:paraId="67406E63">
            <w:pPr>
              <w:keepNext w:val="0"/>
              <w:keepLines w:val="0"/>
              <w:pageBreakBefore w:val="0"/>
              <w:widowControl w:val="0"/>
              <w:kinsoku/>
              <w:wordWrap/>
              <w:overflowPunct/>
              <w:topLinePunct w:val="0"/>
              <w:autoSpaceDE/>
              <w:autoSpaceDN/>
              <w:bidi w:val="0"/>
              <w:adjustRightInd/>
              <w:snapToGrid w:val="0"/>
              <w:ind w:firstLine="0"/>
              <w:jc w:val="center"/>
              <w:textAlignment w:val="auto"/>
              <w:rPr>
                <w:b w:val="0"/>
                <w:bCs w:val="0"/>
                <w:color w:val="auto"/>
                <w:szCs w:val="21"/>
                <w:highlight w:val="none"/>
                <w:u w:val="none"/>
              </w:rPr>
            </w:pPr>
            <w:r>
              <w:rPr>
                <w:b w:val="0"/>
                <w:bCs w:val="0"/>
                <w:color w:val="auto"/>
                <w:szCs w:val="21"/>
                <w:highlight w:val="none"/>
                <w:u w:val="none"/>
              </w:rPr>
              <w:t>危险性中等</w:t>
            </w:r>
          </w:p>
        </w:tc>
      </w:tr>
      <w:tr w14:paraId="54547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986" w:type="pct"/>
            <w:vAlign w:val="center"/>
          </w:tcPr>
          <w:p w14:paraId="4A30A5C2">
            <w:pPr>
              <w:widowControl w:val="0"/>
              <w:snapToGrid w:val="0"/>
              <w:jc w:val="center"/>
              <w:rPr>
                <w:color w:val="auto"/>
                <w:szCs w:val="21"/>
                <w:highlight w:val="none"/>
              </w:rPr>
            </w:pPr>
            <w:r>
              <w:rPr>
                <w:color w:val="auto"/>
                <w:szCs w:val="21"/>
                <w:highlight w:val="none"/>
              </w:rPr>
              <w:t>中等</w:t>
            </w:r>
          </w:p>
        </w:tc>
        <w:tc>
          <w:tcPr>
            <w:tcW w:w="1334" w:type="pct"/>
            <w:vAlign w:val="center"/>
          </w:tcPr>
          <w:p w14:paraId="4753EB1A">
            <w:pPr>
              <w:widowControl w:val="0"/>
              <w:snapToGrid w:val="0"/>
              <w:ind w:firstLine="420"/>
              <w:jc w:val="center"/>
              <w:rPr>
                <w:color w:val="auto"/>
                <w:szCs w:val="21"/>
                <w:highlight w:val="none"/>
              </w:rPr>
            </w:pPr>
            <w:r>
              <w:rPr>
                <w:color w:val="auto"/>
                <w:szCs w:val="21"/>
                <w:highlight w:val="none"/>
              </w:rPr>
              <w:t>危险性大</w:t>
            </w:r>
          </w:p>
        </w:tc>
        <w:tc>
          <w:tcPr>
            <w:tcW w:w="1340" w:type="pct"/>
            <w:vAlign w:val="center"/>
          </w:tcPr>
          <w:p w14:paraId="796F264C">
            <w:pPr>
              <w:widowControl w:val="0"/>
              <w:snapToGrid w:val="0"/>
              <w:ind w:firstLine="420"/>
              <w:jc w:val="center"/>
              <w:rPr>
                <w:color w:val="auto"/>
                <w:szCs w:val="21"/>
                <w:highlight w:val="none"/>
              </w:rPr>
            </w:pPr>
            <w:r>
              <w:rPr>
                <w:color w:val="auto"/>
                <w:szCs w:val="21"/>
                <w:highlight w:val="none"/>
              </w:rPr>
              <w:t>危险性中等</w:t>
            </w:r>
          </w:p>
        </w:tc>
        <w:tc>
          <w:tcPr>
            <w:tcW w:w="1338" w:type="pct"/>
            <w:vAlign w:val="center"/>
          </w:tcPr>
          <w:p w14:paraId="381D3A5B">
            <w:pPr>
              <w:keepNext w:val="0"/>
              <w:keepLines w:val="0"/>
              <w:pageBreakBefore w:val="0"/>
              <w:widowControl w:val="0"/>
              <w:kinsoku/>
              <w:wordWrap/>
              <w:overflowPunct/>
              <w:topLinePunct w:val="0"/>
              <w:autoSpaceDE/>
              <w:autoSpaceDN/>
              <w:bidi w:val="0"/>
              <w:adjustRightInd/>
              <w:snapToGrid w:val="0"/>
              <w:ind w:firstLine="0"/>
              <w:jc w:val="center"/>
              <w:textAlignment w:val="auto"/>
              <w:rPr>
                <w:b w:val="0"/>
                <w:bCs w:val="0"/>
                <w:color w:val="auto"/>
                <w:szCs w:val="21"/>
                <w:highlight w:val="none"/>
                <w:u w:val="none"/>
              </w:rPr>
            </w:pPr>
            <w:r>
              <w:rPr>
                <w:b w:val="0"/>
                <w:bCs w:val="0"/>
                <w:color w:val="auto"/>
                <w:szCs w:val="21"/>
                <w:highlight w:val="none"/>
                <w:u w:val="none"/>
              </w:rPr>
              <w:t>危险性中等</w:t>
            </w:r>
          </w:p>
        </w:tc>
      </w:tr>
      <w:tr w14:paraId="17DF7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 w:hRule="atLeast"/>
        </w:trPr>
        <w:tc>
          <w:tcPr>
            <w:tcW w:w="986" w:type="pct"/>
            <w:vAlign w:val="center"/>
          </w:tcPr>
          <w:p w14:paraId="48154098">
            <w:pPr>
              <w:widowControl w:val="0"/>
              <w:snapToGrid w:val="0"/>
              <w:jc w:val="center"/>
              <w:rPr>
                <w:color w:val="auto"/>
                <w:szCs w:val="21"/>
                <w:highlight w:val="none"/>
                <w:u w:val="wave"/>
              </w:rPr>
            </w:pPr>
            <w:r>
              <w:rPr>
                <w:b/>
                <w:bCs/>
                <w:color w:val="auto"/>
                <w:szCs w:val="21"/>
                <w:highlight w:val="none"/>
                <w:u w:val="none"/>
              </w:rPr>
              <w:t>小</w:t>
            </w:r>
          </w:p>
        </w:tc>
        <w:tc>
          <w:tcPr>
            <w:tcW w:w="1334" w:type="pct"/>
            <w:vAlign w:val="center"/>
          </w:tcPr>
          <w:p w14:paraId="725BD5AA">
            <w:pPr>
              <w:widowControl w:val="0"/>
              <w:snapToGrid w:val="0"/>
              <w:ind w:firstLine="420"/>
              <w:jc w:val="center"/>
              <w:rPr>
                <w:color w:val="auto"/>
                <w:szCs w:val="21"/>
                <w:highlight w:val="none"/>
              </w:rPr>
            </w:pPr>
            <w:r>
              <w:rPr>
                <w:color w:val="auto"/>
                <w:szCs w:val="21"/>
                <w:highlight w:val="none"/>
              </w:rPr>
              <w:t>危险性中等</w:t>
            </w:r>
          </w:p>
        </w:tc>
        <w:tc>
          <w:tcPr>
            <w:tcW w:w="1340" w:type="pct"/>
            <w:vAlign w:val="center"/>
          </w:tcPr>
          <w:p w14:paraId="4820E1C7">
            <w:pPr>
              <w:widowControl w:val="0"/>
              <w:snapToGrid w:val="0"/>
              <w:ind w:firstLine="420"/>
              <w:jc w:val="center"/>
              <w:rPr>
                <w:color w:val="auto"/>
                <w:szCs w:val="21"/>
                <w:highlight w:val="none"/>
              </w:rPr>
            </w:pPr>
            <w:r>
              <w:rPr>
                <w:color w:val="auto"/>
                <w:szCs w:val="21"/>
                <w:highlight w:val="none"/>
              </w:rPr>
              <w:t>危险性小</w:t>
            </w:r>
          </w:p>
        </w:tc>
        <w:tc>
          <w:tcPr>
            <w:tcW w:w="1338" w:type="pct"/>
            <w:vAlign w:val="center"/>
          </w:tcPr>
          <w:p w14:paraId="3082756C">
            <w:pPr>
              <w:keepNext w:val="0"/>
              <w:keepLines w:val="0"/>
              <w:pageBreakBefore w:val="0"/>
              <w:widowControl w:val="0"/>
              <w:kinsoku/>
              <w:wordWrap/>
              <w:overflowPunct/>
              <w:topLinePunct w:val="0"/>
              <w:autoSpaceDE/>
              <w:autoSpaceDN/>
              <w:bidi w:val="0"/>
              <w:adjustRightInd/>
              <w:snapToGrid w:val="0"/>
              <w:ind w:firstLine="0"/>
              <w:jc w:val="center"/>
              <w:textAlignment w:val="auto"/>
              <w:rPr>
                <w:b w:val="0"/>
                <w:bCs w:val="0"/>
                <w:color w:val="auto"/>
                <w:szCs w:val="21"/>
                <w:highlight w:val="none"/>
                <w:u w:val="none"/>
              </w:rPr>
            </w:pPr>
            <w:r>
              <w:rPr>
                <w:b/>
                <w:bCs/>
                <w:color w:val="auto"/>
                <w:szCs w:val="21"/>
                <w:highlight w:val="none"/>
                <w:u w:val="none"/>
              </w:rPr>
              <w:t>危险性小</w:t>
            </w:r>
          </w:p>
        </w:tc>
      </w:tr>
    </w:tbl>
    <w:p w14:paraId="735108A3">
      <w:pPr>
        <w:pStyle w:val="90"/>
        <w:spacing w:before="156" w:beforeLines="50"/>
        <w:rPr>
          <w:rFonts w:ascii="Times New Roman" w:hAnsi="Times New Roman" w:cs="Times New Roman"/>
          <w:color w:val="auto"/>
          <w:highlight w:val="none"/>
        </w:rPr>
      </w:pPr>
      <w:r>
        <w:rPr>
          <w:rFonts w:ascii="Times New Roman" w:hAnsi="Times New Roman" w:cs="Times New Roman"/>
          <w:color w:val="auto"/>
          <w:highlight w:val="none"/>
        </w:rPr>
        <w:t>表3-</w:t>
      </w:r>
      <w:r>
        <w:rPr>
          <w:rFonts w:hint="eastAsia" w:ascii="Times New Roman" w:hAnsi="Times New Roman" w:cs="Times New Roman"/>
          <w:color w:val="auto"/>
          <w:highlight w:val="none"/>
        </w:rPr>
        <w:t xml:space="preserve">7 </w:t>
      </w:r>
      <w:r>
        <w:rPr>
          <w:rFonts w:ascii="Times New Roman" w:hAnsi="Times New Roman" w:cs="Times New Roman"/>
          <w:color w:val="auto"/>
          <w:highlight w:val="none"/>
        </w:rPr>
        <w:t xml:space="preserve"> 地质灾害危险程度分级表</w:t>
      </w:r>
    </w:p>
    <w:tbl>
      <w:tblPr>
        <w:tblStyle w:val="3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3"/>
        <w:gridCol w:w="1701"/>
        <w:gridCol w:w="1844"/>
        <w:gridCol w:w="1559"/>
        <w:gridCol w:w="2033"/>
      </w:tblGrid>
      <w:tr w14:paraId="7A1CC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812" w:type="pct"/>
            <w:vMerge w:val="restart"/>
            <w:noWrap w:val="0"/>
            <w:vAlign w:val="center"/>
          </w:tcPr>
          <w:p w14:paraId="4F9D4732">
            <w:pPr>
              <w:tabs>
                <w:tab w:val="left" w:pos="5560"/>
              </w:tabs>
              <w:spacing w:line="240" w:lineRule="auto"/>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危害程度</w:t>
            </w:r>
          </w:p>
        </w:tc>
        <w:tc>
          <w:tcPr>
            <w:tcW w:w="2080" w:type="pct"/>
            <w:gridSpan w:val="2"/>
            <w:noWrap w:val="0"/>
            <w:vAlign w:val="center"/>
          </w:tcPr>
          <w:p w14:paraId="2701ABFC">
            <w:pPr>
              <w:tabs>
                <w:tab w:val="left" w:pos="5560"/>
              </w:tabs>
              <w:spacing w:line="240" w:lineRule="auto"/>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灾情</w:t>
            </w:r>
          </w:p>
        </w:tc>
        <w:tc>
          <w:tcPr>
            <w:tcW w:w="2108" w:type="pct"/>
            <w:gridSpan w:val="2"/>
            <w:noWrap w:val="0"/>
            <w:vAlign w:val="center"/>
          </w:tcPr>
          <w:p w14:paraId="4F5F22AD">
            <w:pPr>
              <w:tabs>
                <w:tab w:val="left" w:pos="5560"/>
              </w:tabs>
              <w:spacing w:line="240" w:lineRule="auto"/>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险情</w:t>
            </w:r>
          </w:p>
        </w:tc>
      </w:tr>
      <w:tr w14:paraId="2F8F0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812" w:type="pct"/>
            <w:vMerge w:val="continue"/>
            <w:noWrap w:val="0"/>
            <w:vAlign w:val="center"/>
          </w:tcPr>
          <w:p w14:paraId="2C15D20B">
            <w:pPr>
              <w:tabs>
                <w:tab w:val="left" w:pos="5560"/>
              </w:tabs>
              <w:spacing w:line="240" w:lineRule="auto"/>
              <w:ind w:firstLine="0" w:firstLineChars="0"/>
              <w:jc w:val="center"/>
              <w:rPr>
                <w:rFonts w:hint="default" w:ascii="Times New Roman" w:hAnsi="Times New Roman" w:eastAsia="宋体" w:cs="Times New Roman"/>
                <w:color w:val="auto"/>
                <w:szCs w:val="21"/>
                <w:highlight w:val="none"/>
              </w:rPr>
            </w:pPr>
          </w:p>
        </w:tc>
        <w:tc>
          <w:tcPr>
            <w:tcW w:w="998" w:type="pct"/>
            <w:noWrap w:val="0"/>
            <w:vAlign w:val="center"/>
          </w:tcPr>
          <w:p w14:paraId="73780F5F">
            <w:pPr>
              <w:keepNext w:val="0"/>
              <w:keepLines w:val="0"/>
              <w:pageBreakBefore w:val="0"/>
              <w:widowControl w:val="0"/>
              <w:tabs>
                <w:tab w:val="left" w:pos="556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死亡人数/人</w:t>
            </w:r>
          </w:p>
        </w:tc>
        <w:tc>
          <w:tcPr>
            <w:tcW w:w="1082" w:type="pct"/>
            <w:noWrap w:val="0"/>
            <w:vAlign w:val="center"/>
          </w:tcPr>
          <w:p w14:paraId="7B2686B1">
            <w:pPr>
              <w:keepNext w:val="0"/>
              <w:keepLines w:val="0"/>
              <w:pageBreakBefore w:val="0"/>
              <w:widowControl w:val="0"/>
              <w:tabs>
                <w:tab w:val="left" w:pos="556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直接经济损失</w:t>
            </w:r>
          </w:p>
          <w:p w14:paraId="24D69DC2">
            <w:pPr>
              <w:keepNext w:val="0"/>
              <w:keepLines w:val="0"/>
              <w:pageBreakBefore w:val="0"/>
              <w:widowControl w:val="0"/>
              <w:tabs>
                <w:tab w:val="left" w:pos="556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/万元</w:t>
            </w:r>
          </w:p>
        </w:tc>
        <w:tc>
          <w:tcPr>
            <w:tcW w:w="915" w:type="pct"/>
            <w:noWrap w:val="0"/>
            <w:vAlign w:val="center"/>
          </w:tcPr>
          <w:p w14:paraId="75C9F699">
            <w:pPr>
              <w:keepNext w:val="0"/>
              <w:keepLines w:val="0"/>
              <w:pageBreakBefore w:val="0"/>
              <w:widowControl w:val="0"/>
              <w:tabs>
                <w:tab w:val="left" w:pos="556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受威胁人数</w:t>
            </w:r>
          </w:p>
          <w:p w14:paraId="0C14FF98">
            <w:pPr>
              <w:keepNext w:val="0"/>
              <w:keepLines w:val="0"/>
              <w:pageBreakBefore w:val="0"/>
              <w:widowControl w:val="0"/>
              <w:tabs>
                <w:tab w:val="left" w:pos="556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/人</w:t>
            </w:r>
          </w:p>
        </w:tc>
        <w:tc>
          <w:tcPr>
            <w:tcW w:w="1193" w:type="pct"/>
            <w:noWrap w:val="0"/>
            <w:vAlign w:val="center"/>
          </w:tcPr>
          <w:p w14:paraId="61033F96">
            <w:pPr>
              <w:keepNext w:val="0"/>
              <w:keepLines w:val="0"/>
              <w:pageBreakBefore w:val="0"/>
              <w:widowControl w:val="0"/>
              <w:tabs>
                <w:tab w:val="left" w:pos="556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可能直接经济</w:t>
            </w:r>
          </w:p>
          <w:p w14:paraId="56F723E8">
            <w:pPr>
              <w:keepNext w:val="0"/>
              <w:keepLines w:val="0"/>
              <w:pageBreakBefore w:val="0"/>
              <w:widowControl w:val="0"/>
              <w:tabs>
                <w:tab w:val="left" w:pos="556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损失/万元</w:t>
            </w:r>
          </w:p>
        </w:tc>
      </w:tr>
      <w:tr w14:paraId="13E37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812" w:type="pct"/>
            <w:noWrap w:val="0"/>
            <w:vAlign w:val="center"/>
          </w:tcPr>
          <w:p w14:paraId="7E16DD63">
            <w:pPr>
              <w:tabs>
                <w:tab w:val="left" w:pos="5560"/>
              </w:tabs>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大</w:t>
            </w:r>
          </w:p>
        </w:tc>
        <w:tc>
          <w:tcPr>
            <w:tcW w:w="1853" w:type="dxa"/>
            <w:noWrap w:val="0"/>
            <w:vAlign w:val="center"/>
          </w:tcPr>
          <w:p w14:paraId="4BEFD778">
            <w:pPr>
              <w:keepNext w:val="0"/>
              <w:keepLines w:val="0"/>
              <w:pageBreakBefore w:val="0"/>
              <w:widowControl w:val="0"/>
              <w:tabs>
                <w:tab w:val="left" w:pos="556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10</w:t>
            </w:r>
          </w:p>
        </w:tc>
        <w:tc>
          <w:tcPr>
            <w:tcW w:w="2009" w:type="dxa"/>
            <w:noWrap w:val="0"/>
            <w:vAlign w:val="center"/>
          </w:tcPr>
          <w:p w14:paraId="65E946B6">
            <w:pPr>
              <w:keepNext w:val="0"/>
              <w:keepLines w:val="0"/>
              <w:pageBreakBefore w:val="0"/>
              <w:widowControl w:val="0"/>
              <w:tabs>
                <w:tab w:val="left" w:pos="556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500</w:t>
            </w:r>
          </w:p>
        </w:tc>
        <w:tc>
          <w:tcPr>
            <w:tcW w:w="1699" w:type="dxa"/>
            <w:noWrap w:val="0"/>
            <w:vAlign w:val="center"/>
          </w:tcPr>
          <w:p w14:paraId="28971D9B">
            <w:pPr>
              <w:keepNext w:val="0"/>
              <w:keepLines w:val="0"/>
              <w:pageBreakBefore w:val="0"/>
              <w:widowControl w:val="0"/>
              <w:tabs>
                <w:tab w:val="left" w:pos="556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100</w:t>
            </w:r>
          </w:p>
        </w:tc>
        <w:tc>
          <w:tcPr>
            <w:tcW w:w="2217" w:type="dxa"/>
            <w:noWrap w:val="0"/>
            <w:vAlign w:val="center"/>
          </w:tcPr>
          <w:p w14:paraId="7AFC31B8">
            <w:pPr>
              <w:keepNext w:val="0"/>
              <w:keepLines w:val="0"/>
              <w:pageBreakBefore w:val="0"/>
              <w:widowControl w:val="0"/>
              <w:tabs>
                <w:tab w:val="left" w:pos="556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500</w:t>
            </w:r>
          </w:p>
        </w:tc>
      </w:tr>
      <w:tr w14:paraId="0E228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812" w:type="pct"/>
            <w:noWrap w:val="0"/>
            <w:vAlign w:val="center"/>
          </w:tcPr>
          <w:p w14:paraId="144E8560">
            <w:pPr>
              <w:tabs>
                <w:tab w:val="left" w:pos="5560"/>
              </w:tabs>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中等</w:t>
            </w:r>
          </w:p>
        </w:tc>
        <w:tc>
          <w:tcPr>
            <w:tcW w:w="998" w:type="pct"/>
            <w:noWrap w:val="0"/>
            <w:vAlign w:val="center"/>
          </w:tcPr>
          <w:p w14:paraId="75C28692">
            <w:pPr>
              <w:keepNext w:val="0"/>
              <w:keepLines w:val="0"/>
              <w:pageBreakBefore w:val="0"/>
              <w:widowControl w:val="0"/>
              <w:tabs>
                <w:tab w:val="left" w:pos="556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3~10</w:t>
            </w:r>
          </w:p>
        </w:tc>
        <w:tc>
          <w:tcPr>
            <w:tcW w:w="1082" w:type="pct"/>
            <w:noWrap w:val="0"/>
            <w:vAlign w:val="center"/>
          </w:tcPr>
          <w:p w14:paraId="22B86A1D">
            <w:pPr>
              <w:keepNext w:val="0"/>
              <w:keepLines w:val="0"/>
              <w:pageBreakBefore w:val="0"/>
              <w:widowControl w:val="0"/>
              <w:tabs>
                <w:tab w:val="left" w:pos="556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100~500</w:t>
            </w:r>
          </w:p>
        </w:tc>
        <w:tc>
          <w:tcPr>
            <w:tcW w:w="915" w:type="pct"/>
            <w:noWrap w:val="0"/>
            <w:vAlign w:val="center"/>
          </w:tcPr>
          <w:p w14:paraId="52B6BDF3">
            <w:pPr>
              <w:keepNext w:val="0"/>
              <w:keepLines w:val="0"/>
              <w:pageBreakBefore w:val="0"/>
              <w:widowControl w:val="0"/>
              <w:tabs>
                <w:tab w:val="left" w:pos="556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10~100</w:t>
            </w:r>
          </w:p>
        </w:tc>
        <w:tc>
          <w:tcPr>
            <w:tcW w:w="1193" w:type="pct"/>
            <w:noWrap w:val="0"/>
            <w:vAlign w:val="center"/>
          </w:tcPr>
          <w:p w14:paraId="3F2D8354">
            <w:pPr>
              <w:keepNext w:val="0"/>
              <w:keepLines w:val="0"/>
              <w:pageBreakBefore w:val="0"/>
              <w:widowControl w:val="0"/>
              <w:tabs>
                <w:tab w:val="left" w:pos="556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100~500</w:t>
            </w:r>
          </w:p>
        </w:tc>
      </w:tr>
      <w:tr w14:paraId="02424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812" w:type="pct"/>
            <w:noWrap w:val="0"/>
            <w:vAlign w:val="center"/>
          </w:tcPr>
          <w:p w14:paraId="516EDDB0">
            <w:pPr>
              <w:tabs>
                <w:tab w:val="left" w:pos="5560"/>
              </w:tabs>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小</w:t>
            </w:r>
          </w:p>
        </w:tc>
        <w:tc>
          <w:tcPr>
            <w:tcW w:w="1853" w:type="dxa"/>
            <w:noWrap w:val="0"/>
            <w:vAlign w:val="center"/>
          </w:tcPr>
          <w:p w14:paraId="1368C4F0">
            <w:pPr>
              <w:keepNext w:val="0"/>
              <w:keepLines w:val="0"/>
              <w:pageBreakBefore w:val="0"/>
              <w:widowControl w:val="0"/>
              <w:tabs>
                <w:tab w:val="left" w:pos="556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3</w:t>
            </w:r>
          </w:p>
        </w:tc>
        <w:tc>
          <w:tcPr>
            <w:tcW w:w="2009" w:type="dxa"/>
            <w:noWrap w:val="0"/>
            <w:vAlign w:val="center"/>
          </w:tcPr>
          <w:p w14:paraId="52C523BA">
            <w:pPr>
              <w:keepNext w:val="0"/>
              <w:keepLines w:val="0"/>
              <w:pageBreakBefore w:val="0"/>
              <w:widowControl w:val="0"/>
              <w:tabs>
                <w:tab w:val="left" w:pos="556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100</w:t>
            </w:r>
          </w:p>
        </w:tc>
        <w:tc>
          <w:tcPr>
            <w:tcW w:w="1699" w:type="dxa"/>
            <w:noWrap w:val="0"/>
            <w:vAlign w:val="center"/>
          </w:tcPr>
          <w:p w14:paraId="259F0122">
            <w:pPr>
              <w:keepNext w:val="0"/>
              <w:keepLines w:val="0"/>
              <w:pageBreakBefore w:val="0"/>
              <w:widowControl w:val="0"/>
              <w:tabs>
                <w:tab w:val="left" w:pos="556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10</w:t>
            </w:r>
          </w:p>
        </w:tc>
        <w:tc>
          <w:tcPr>
            <w:tcW w:w="2217" w:type="dxa"/>
            <w:noWrap w:val="0"/>
            <w:vAlign w:val="center"/>
          </w:tcPr>
          <w:p w14:paraId="2C95CBC7">
            <w:pPr>
              <w:keepNext w:val="0"/>
              <w:keepLines w:val="0"/>
              <w:pageBreakBefore w:val="0"/>
              <w:widowControl w:val="0"/>
              <w:tabs>
                <w:tab w:val="left" w:pos="556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100</w:t>
            </w:r>
          </w:p>
        </w:tc>
      </w:tr>
      <w:tr w14:paraId="44063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5000" w:type="pct"/>
            <w:gridSpan w:val="5"/>
            <w:noWrap w:val="0"/>
            <w:vAlign w:val="center"/>
          </w:tcPr>
          <w:p w14:paraId="31C591D5">
            <w:pPr>
              <w:keepNext w:val="0"/>
              <w:keepLines w:val="0"/>
              <w:pageBreakBefore w:val="0"/>
              <w:widowControl w:val="0"/>
              <w:tabs>
                <w:tab w:val="left" w:pos="5560"/>
              </w:tabs>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危害程度采用“灾情”或“险情”指标评价时，满足一项即应定级。</w:t>
            </w:r>
          </w:p>
          <w:p w14:paraId="1C30B604">
            <w:pPr>
              <w:keepNext w:val="0"/>
              <w:keepLines w:val="0"/>
              <w:pageBreakBefore w:val="0"/>
              <w:widowControl w:val="0"/>
              <w:tabs>
                <w:tab w:val="left" w:pos="5560"/>
              </w:tabs>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注1：灾情指已发生的地质灾害，采用“</w:t>
            </w:r>
            <w:r>
              <w:rPr>
                <w:rFonts w:hint="default" w:ascii="Times New Roman" w:hAnsi="Times New Roman" w:eastAsia="宋体" w:cs="Times New Roman"/>
                <w:color w:val="auto"/>
                <w:sz w:val="21"/>
                <w:szCs w:val="21"/>
                <w:highlight w:val="none"/>
                <w:lang w:eastAsia="zh-CN"/>
              </w:rPr>
              <w:t>死亡人</w:t>
            </w:r>
            <w:r>
              <w:rPr>
                <w:rFonts w:hint="default" w:ascii="Times New Roman" w:hAnsi="Times New Roman" w:eastAsia="宋体" w:cs="Times New Roman"/>
                <w:color w:val="auto"/>
                <w:sz w:val="21"/>
                <w:szCs w:val="21"/>
                <w:highlight w:val="none"/>
              </w:rPr>
              <w:t>数</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直接经济损失”指标评价</w:t>
            </w:r>
            <w:r>
              <w:rPr>
                <w:rFonts w:hint="default" w:ascii="Times New Roman" w:hAnsi="Times New Roman" w:eastAsia="宋体" w:cs="Times New Roman"/>
                <w:color w:val="auto"/>
                <w:sz w:val="21"/>
                <w:szCs w:val="21"/>
                <w:highlight w:val="none"/>
                <w:lang w:eastAsia="zh-CN"/>
              </w:rPr>
              <w:t>。</w:t>
            </w:r>
          </w:p>
          <w:p w14:paraId="300F9669">
            <w:pPr>
              <w:keepNext w:val="0"/>
              <w:keepLines w:val="0"/>
              <w:pageBreakBefore w:val="0"/>
              <w:widowControl w:val="0"/>
              <w:tabs>
                <w:tab w:val="left" w:pos="5560"/>
              </w:tabs>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 w:val="21"/>
                <w:szCs w:val="21"/>
                <w:highlight w:val="none"/>
              </w:rPr>
              <w:t>注2：险情指可能发生的地质灾害，采用“受威胁人数</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可能直接经济损失”指标评价</w:t>
            </w:r>
            <w:r>
              <w:rPr>
                <w:rFonts w:hint="default" w:ascii="Times New Roman" w:hAnsi="Times New Roman" w:eastAsia="宋体" w:cs="Times New Roman"/>
                <w:b w:val="0"/>
                <w:color w:val="auto"/>
                <w:sz w:val="21"/>
                <w:szCs w:val="21"/>
                <w:highlight w:val="none"/>
                <w:lang w:eastAsia="zh-CN"/>
              </w:rPr>
              <w:t>。</w:t>
            </w:r>
          </w:p>
        </w:tc>
      </w:tr>
    </w:tbl>
    <w:p w14:paraId="4E96DD3E">
      <w:pPr>
        <w:spacing w:line="360" w:lineRule="auto"/>
        <w:ind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eastAsia="zh-CN"/>
        </w:rPr>
        <w:t>（</w:t>
      </w:r>
      <w:r>
        <w:rPr>
          <w:rFonts w:hint="eastAsia" w:cs="Times New Roman"/>
          <w:color w:val="auto"/>
          <w:sz w:val="24"/>
          <w:highlight w:val="none"/>
          <w:lang w:val="en-US" w:eastAsia="zh-CN"/>
        </w:rPr>
        <w:t>2</w:t>
      </w:r>
      <w:r>
        <w:rPr>
          <w:rFonts w:hint="default" w:ascii="Times New Roman" w:hAnsi="Times New Roman" w:cs="Times New Roman"/>
          <w:color w:val="auto"/>
          <w:sz w:val="24"/>
          <w:highlight w:val="none"/>
          <w:lang w:eastAsia="zh-CN"/>
        </w:rPr>
        <w:t>）</w:t>
      </w:r>
      <w:r>
        <w:rPr>
          <w:rFonts w:hint="eastAsia" w:cs="Times New Roman"/>
          <w:color w:val="auto"/>
          <w:sz w:val="24"/>
          <w:highlight w:val="none"/>
          <w:lang w:val="en-US" w:eastAsia="zh-CN"/>
        </w:rPr>
        <w:t>表土堆场</w:t>
      </w:r>
      <w:r>
        <w:rPr>
          <w:rFonts w:hint="default" w:ascii="Times New Roman" w:hAnsi="Times New Roman" w:cs="Times New Roman"/>
          <w:color w:val="auto"/>
          <w:sz w:val="24"/>
          <w:highlight w:val="none"/>
          <w:lang w:val="en-US" w:eastAsia="zh-CN"/>
        </w:rPr>
        <w:t>引发地质灾害危险性预测分析</w:t>
      </w:r>
    </w:p>
    <w:p w14:paraId="450E585D">
      <w:pPr>
        <w:spacing w:line="360" w:lineRule="auto"/>
        <w:ind w:firstLine="480" w:firstLineChars="200"/>
        <w:jc w:val="both"/>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矿山表土堆占地面积</w:t>
      </w:r>
      <w:r>
        <w:rPr>
          <w:rFonts w:hint="eastAsia" w:cs="Times New Roman"/>
          <w:color w:val="auto"/>
          <w:sz w:val="24"/>
          <w:highlight w:val="none"/>
          <w:lang w:val="en-US" w:eastAsia="zh-CN"/>
        </w:rPr>
        <w:t>0.3093</w:t>
      </w:r>
      <w:r>
        <w:rPr>
          <w:rFonts w:hint="default" w:ascii="Times New Roman" w:hAnsi="Times New Roman" w:cs="Times New Roman"/>
          <w:color w:val="auto"/>
          <w:sz w:val="24"/>
          <w:highlight w:val="none"/>
          <w:lang w:val="en-US" w:eastAsia="zh-CN"/>
        </w:rPr>
        <w:t>hm</w:t>
      </w:r>
      <w:r>
        <w:rPr>
          <w:rFonts w:hint="default" w:ascii="Times New Roman" w:hAnsi="Times New Roman" w:cs="Times New Roman"/>
          <w:color w:val="auto"/>
          <w:sz w:val="24"/>
          <w:highlight w:val="none"/>
          <w:vertAlign w:val="superscript"/>
          <w:lang w:val="en-US" w:eastAsia="zh-CN"/>
        </w:rPr>
        <w:t>2</w:t>
      </w:r>
      <w:r>
        <w:rPr>
          <w:rFonts w:hint="default" w:ascii="Times New Roman" w:hAnsi="Times New Roman" w:cs="Times New Roman"/>
          <w:color w:val="auto"/>
          <w:sz w:val="24"/>
          <w:highlight w:val="none"/>
          <w:lang w:val="en-US" w:eastAsia="zh-CN"/>
        </w:rPr>
        <w:t>，表土堆积最大高度约4.</w:t>
      </w:r>
      <w:r>
        <w:rPr>
          <w:rFonts w:hint="eastAsia" w:cs="Times New Roman"/>
          <w:color w:val="auto"/>
          <w:sz w:val="24"/>
          <w:highlight w:val="none"/>
          <w:lang w:val="en-US" w:eastAsia="zh-CN"/>
        </w:rPr>
        <w:t>2</w:t>
      </w:r>
      <w:r>
        <w:rPr>
          <w:rFonts w:hint="default" w:ascii="Times New Roman" w:hAnsi="Times New Roman" w:cs="Times New Roman"/>
          <w:color w:val="auto"/>
          <w:sz w:val="24"/>
          <w:highlight w:val="none"/>
          <w:lang w:val="en-US" w:eastAsia="zh-CN"/>
        </w:rPr>
        <w:t>m，自然安息角</w:t>
      </w:r>
      <w:r>
        <w:rPr>
          <w:rFonts w:hint="eastAsia" w:cs="Times New Roman"/>
          <w:color w:val="auto"/>
          <w:sz w:val="24"/>
          <w:highlight w:val="none"/>
          <w:lang w:val="en-US" w:eastAsia="zh-CN"/>
        </w:rPr>
        <w:t>小于</w:t>
      </w:r>
      <w:r>
        <w:rPr>
          <w:rFonts w:hint="default" w:ascii="Times New Roman" w:hAnsi="Times New Roman" w:cs="Times New Roman"/>
          <w:color w:val="auto"/>
          <w:sz w:val="24"/>
          <w:highlight w:val="none"/>
          <w:lang w:val="en-US" w:eastAsia="zh-CN"/>
        </w:rPr>
        <w:t>45°，现状堆存较稳定</w:t>
      </w:r>
      <w:r>
        <w:rPr>
          <w:rFonts w:hint="eastAsia" w:cs="Times New Roman"/>
          <w:color w:val="auto"/>
          <w:sz w:val="24"/>
          <w:highlight w:val="none"/>
          <w:lang w:val="en-US" w:eastAsia="zh-CN"/>
        </w:rPr>
        <w:t>，四周已进行养护，</w:t>
      </w:r>
      <w:r>
        <w:rPr>
          <w:rFonts w:hint="default" w:ascii="Times New Roman" w:hAnsi="Times New Roman" w:cs="Times New Roman"/>
          <w:color w:val="auto"/>
          <w:sz w:val="24"/>
          <w:highlight w:val="none"/>
          <w:lang w:val="en-US" w:eastAsia="zh-CN"/>
        </w:rPr>
        <w:t>该处表土堆堆积高度相对较低，相对稳定，不会产生泥石流地质灾害。故预测条件下，表土堆区域引发或加剧泥石流地质灾害的可能性小，危险性小。</w:t>
      </w:r>
    </w:p>
    <w:p w14:paraId="71CEAE3D">
      <w:pPr>
        <w:spacing w:line="360" w:lineRule="auto"/>
        <w:ind w:firstLine="480" w:firstLineChars="200"/>
        <w:jc w:val="both"/>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lang w:eastAsia="zh-CN"/>
        </w:rPr>
        <w:t>（</w:t>
      </w:r>
      <w:r>
        <w:rPr>
          <w:rFonts w:hint="eastAsia" w:cs="Times New Roman"/>
          <w:color w:val="auto"/>
          <w:sz w:val="24"/>
          <w:highlight w:val="none"/>
          <w:lang w:val="en-US" w:eastAsia="zh-CN"/>
        </w:rPr>
        <w:t>3</w:t>
      </w:r>
      <w:r>
        <w:rPr>
          <w:rFonts w:hint="default" w:ascii="Times New Roman" w:hAnsi="Times New Roman" w:cs="Times New Roman"/>
          <w:color w:val="auto"/>
          <w:sz w:val="24"/>
          <w:highlight w:val="none"/>
          <w:lang w:eastAsia="zh-CN"/>
        </w:rPr>
        <w:t>）</w:t>
      </w:r>
      <w:r>
        <w:rPr>
          <w:rFonts w:hint="eastAsia" w:cs="Times New Roman"/>
          <w:color w:val="auto"/>
          <w:sz w:val="24"/>
          <w:highlight w:val="none"/>
          <w:lang w:val="en-US" w:eastAsia="zh-CN"/>
        </w:rPr>
        <w:t>临时堆料场</w:t>
      </w:r>
      <w:r>
        <w:rPr>
          <w:rFonts w:hint="default" w:ascii="Times New Roman" w:hAnsi="Times New Roman" w:cs="Times New Roman"/>
          <w:color w:val="auto"/>
          <w:sz w:val="24"/>
          <w:highlight w:val="none"/>
          <w:lang w:val="en-US" w:eastAsia="zh-CN"/>
        </w:rPr>
        <w:t>引发地质灾害危险性预测分析</w:t>
      </w:r>
    </w:p>
    <w:p w14:paraId="72E9245E">
      <w:pPr>
        <w:spacing w:line="360" w:lineRule="auto"/>
        <w:ind w:firstLine="480" w:firstLineChars="200"/>
        <w:jc w:val="both"/>
        <w:rPr>
          <w:rFonts w:hint="default"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临时堆料场</w:t>
      </w:r>
      <w:r>
        <w:rPr>
          <w:rFonts w:hint="default" w:ascii="Times New Roman" w:hAnsi="Times New Roman" w:cs="Times New Roman"/>
          <w:color w:val="auto"/>
          <w:sz w:val="24"/>
          <w:highlight w:val="none"/>
          <w:lang w:val="en-US" w:eastAsia="zh-CN"/>
        </w:rPr>
        <w:t>占地面积</w:t>
      </w:r>
      <w:r>
        <w:rPr>
          <w:rFonts w:hint="eastAsia" w:ascii="Times New Roman" w:hAnsi="Times New Roman" w:cs="Times New Roman"/>
          <w:color w:val="auto"/>
          <w:sz w:val="24"/>
          <w:highlight w:val="none"/>
          <w:lang w:val="en-US" w:eastAsia="zh-CN"/>
        </w:rPr>
        <w:t>约</w:t>
      </w:r>
      <w:r>
        <w:rPr>
          <w:rFonts w:hint="eastAsia" w:cs="Times New Roman"/>
          <w:color w:val="auto"/>
          <w:sz w:val="24"/>
          <w:highlight w:val="none"/>
          <w:lang w:val="en-US" w:eastAsia="zh-CN"/>
        </w:rPr>
        <w:t>0.1200</w:t>
      </w:r>
      <w:r>
        <w:rPr>
          <w:rFonts w:hint="default" w:ascii="Times New Roman" w:hAnsi="Times New Roman" w:cs="Times New Roman"/>
          <w:color w:val="auto"/>
          <w:sz w:val="24"/>
          <w:highlight w:val="none"/>
          <w:lang w:val="en-US" w:eastAsia="zh-CN"/>
        </w:rPr>
        <w:t>hm</w:t>
      </w:r>
      <w:r>
        <w:rPr>
          <w:rFonts w:hint="default" w:ascii="Times New Roman" w:hAnsi="Times New Roman" w:cs="Times New Roman"/>
          <w:color w:val="auto"/>
          <w:sz w:val="24"/>
          <w:highlight w:val="none"/>
          <w:vertAlign w:val="superscript"/>
          <w:lang w:val="en-US" w:eastAsia="zh-CN"/>
        </w:rPr>
        <w:t>2</w:t>
      </w:r>
      <w:r>
        <w:rPr>
          <w:rFonts w:hint="default" w:ascii="Times New Roman" w:hAnsi="Times New Roman"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位于办公室北侧，</w:t>
      </w:r>
      <w:r>
        <w:rPr>
          <w:rFonts w:hint="default" w:ascii="Times New Roman" w:hAnsi="Times New Roman" w:cs="Times New Roman"/>
          <w:color w:val="auto"/>
          <w:sz w:val="24"/>
          <w:highlight w:val="none"/>
          <w:lang w:val="en-US" w:eastAsia="zh-CN"/>
        </w:rPr>
        <w:t>堆积最大高度约</w:t>
      </w:r>
      <w:r>
        <w:rPr>
          <w:rFonts w:hint="eastAsia" w:ascii="Times New Roman" w:hAnsi="Times New Roman" w:cs="Times New Roman"/>
          <w:color w:val="auto"/>
          <w:sz w:val="24"/>
          <w:highlight w:val="none"/>
          <w:lang w:val="en-US" w:eastAsia="zh-CN"/>
        </w:rPr>
        <w:t>1</w:t>
      </w:r>
      <w:r>
        <w:rPr>
          <w:rFonts w:hint="default" w:ascii="Times New Roman" w:hAnsi="Times New Roman" w:cs="Times New Roman"/>
          <w:color w:val="auto"/>
          <w:sz w:val="24"/>
          <w:highlight w:val="none"/>
          <w:lang w:val="en-US" w:eastAsia="zh-CN"/>
        </w:rPr>
        <w:t>m，自然安息角</w:t>
      </w:r>
      <w:r>
        <w:rPr>
          <w:rFonts w:hint="eastAsia" w:cs="Times New Roman"/>
          <w:color w:val="auto"/>
          <w:sz w:val="24"/>
          <w:highlight w:val="none"/>
          <w:lang w:val="en-US" w:eastAsia="zh-CN"/>
        </w:rPr>
        <w:t>小于</w:t>
      </w:r>
      <w:r>
        <w:rPr>
          <w:rFonts w:hint="default" w:ascii="Times New Roman" w:hAnsi="Times New Roman" w:cs="Times New Roman"/>
          <w:color w:val="auto"/>
          <w:sz w:val="24"/>
          <w:highlight w:val="none"/>
          <w:lang w:val="en-US" w:eastAsia="zh-CN"/>
        </w:rPr>
        <w:t>45°，现状堆存较稳定</w:t>
      </w:r>
      <w:r>
        <w:rPr>
          <w:rFonts w:hint="eastAsia"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堆积高度相对较低，不会产生泥石流地质灾害。故预测条件下，引发或加剧泥石流地质灾害的可能性小，危险性小。</w:t>
      </w:r>
    </w:p>
    <w:p w14:paraId="0ADFC268">
      <w:pPr>
        <w:rPr>
          <w:rFonts w:hint="eastAsia"/>
          <w:color w:val="auto"/>
          <w:highlight w:val="none"/>
          <w:lang w:eastAsia="zh-CN"/>
        </w:rPr>
      </w:pPr>
    </w:p>
    <w:p w14:paraId="0C382BED">
      <w:pPr>
        <w:keepNext/>
        <w:keepLines/>
        <w:widowControl w:val="0"/>
        <w:spacing w:before="260" w:after="260" w:line="416" w:lineRule="auto"/>
        <w:outlineLvl w:val="2"/>
        <w:rPr>
          <w:rFonts w:hint="default" w:ascii="Times New Roman" w:hAnsi="Times New Roman" w:eastAsia="黑体" w:cs="Times New Roman"/>
          <w:bCs/>
          <w:color w:val="auto"/>
          <w:sz w:val="28"/>
          <w:szCs w:val="28"/>
          <w:highlight w:val="none"/>
        </w:rPr>
      </w:pPr>
      <w:r>
        <w:rPr>
          <w:rFonts w:hint="default" w:ascii="Times New Roman" w:hAnsi="Times New Roman" w:eastAsia="黑体" w:cs="Times New Roman"/>
          <w:bCs/>
          <w:color w:val="auto"/>
          <w:sz w:val="28"/>
          <w:szCs w:val="28"/>
          <w:highlight w:val="none"/>
        </w:rPr>
        <w:t>（三）矿区含水层破坏现状分析与预测</w:t>
      </w:r>
      <w:bookmarkEnd w:id="132"/>
    </w:p>
    <w:p w14:paraId="11AF7F42">
      <w:pPr>
        <w:spacing w:line="360" w:lineRule="auto"/>
        <w:ind w:firstLine="482" w:firstLineChars="200"/>
        <w:rPr>
          <w:rFonts w:hint="default" w:ascii="Times New Roman" w:hAnsi="Times New Roman" w:cs="Times New Roman"/>
          <w:b/>
          <w:bCs/>
          <w:color w:val="auto"/>
          <w:sz w:val="24"/>
          <w:highlight w:val="none"/>
        </w:rPr>
      </w:pPr>
      <w:bookmarkStart w:id="133" w:name="_Toc485629693"/>
      <w:r>
        <w:rPr>
          <w:rFonts w:hint="default" w:ascii="Times New Roman" w:hAnsi="Times New Roman" w:cs="Times New Roman"/>
          <w:b/>
          <w:bCs/>
          <w:color w:val="auto"/>
          <w:sz w:val="24"/>
          <w:highlight w:val="none"/>
        </w:rPr>
        <w:t>1、矿区含水层破坏现状分析</w:t>
      </w:r>
    </w:p>
    <w:p w14:paraId="6C13CD90">
      <w:pPr>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该矿山为山坡露天开采，</w:t>
      </w:r>
      <w:r>
        <w:rPr>
          <w:rFonts w:hint="eastAsia" w:ascii="Times New Roman" w:hAnsi="Times New Roman" w:eastAsia="宋体" w:cs="Times New Roman"/>
          <w:color w:val="auto"/>
          <w:sz w:val="24"/>
          <w:highlight w:val="none"/>
          <w:lang w:val="en-US" w:eastAsia="zh-CN"/>
        </w:rPr>
        <w:t>现状</w:t>
      </w:r>
      <w:r>
        <w:rPr>
          <w:rFonts w:hint="default" w:ascii="Times New Roman" w:hAnsi="Times New Roman" w:eastAsia="宋体" w:cs="Times New Roman"/>
          <w:color w:val="auto"/>
          <w:sz w:val="24"/>
          <w:highlight w:val="none"/>
          <w:lang w:eastAsia="zh-CN"/>
        </w:rPr>
        <w:t>采场底盘标高</w:t>
      </w:r>
      <w:r>
        <w:rPr>
          <w:rFonts w:hint="eastAsia" w:ascii="Times New Roman" w:hAnsi="Times New Roman" w:eastAsia="宋体" w:cs="Times New Roman"/>
          <w:color w:val="auto"/>
          <w:sz w:val="24"/>
          <w:highlight w:val="none"/>
          <w:lang w:val="en-US" w:eastAsia="zh-CN"/>
        </w:rPr>
        <w:t>462</w:t>
      </w:r>
      <w:r>
        <w:rPr>
          <w:rFonts w:hint="default" w:ascii="Times New Roman" w:hAnsi="Times New Roman" w:eastAsia="宋体" w:cs="Times New Roman"/>
          <w:color w:val="auto"/>
          <w:sz w:val="24"/>
          <w:highlight w:val="none"/>
          <w:lang w:eastAsia="zh-CN"/>
        </w:rPr>
        <w:t>m，高于当地侵蚀基准面（335m），采场充水因素有两种形式：一为大气降水，其次是大理岩顶部风化带溶隙裂隙水渗入。</w:t>
      </w:r>
    </w:p>
    <w:p w14:paraId="0D32D745">
      <w:pPr>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现场调查时，露天采坑内未积水，目前矿山开采不需要机械排水</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eastAsia="zh-CN"/>
        </w:rPr>
        <w:t>据矿山介绍，目前无论是雨季或旱季没有采场积水现象，大气降水自然排泄良好。</w:t>
      </w:r>
    </w:p>
    <w:p w14:paraId="1AD2CD8C">
      <w:pPr>
        <w:spacing w:line="360" w:lineRule="auto"/>
        <w:ind w:firstLine="480" w:firstLineChars="200"/>
        <w:rPr>
          <w:rFonts w:hint="eastAsia"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依据现场调查未发现地面塌陷、地裂缝、岩溶塌陷等易破坏含水层结构的地质灾害，矿区内的地下水系统并未受到任何破坏，地下水水质亦无任何污染。因此，矿区内的地下水环境没有受到采矿工程的影响，矿山开采对含水层影响现状评估结果为较轻。</w:t>
      </w:r>
    </w:p>
    <w:p w14:paraId="266B74F2">
      <w:pPr>
        <w:spacing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2、矿区含水层破坏预测分析</w:t>
      </w:r>
    </w:p>
    <w:p w14:paraId="17CBAB84">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预测未来矿山开采会形成更深的凹陷采坑，采坑在雨季可能形成积水，积水来源主要为大气降水，矿山在生产期间采用机械排水，矿山未来最低开采标高</w:t>
      </w:r>
      <w:r>
        <w:rPr>
          <w:rFonts w:hint="eastAsia" w:cs="Times New Roman"/>
          <w:color w:val="auto"/>
          <w:sz w:val="24"/>
          <w:highlight w:val="none"/>
          <w:lang w:val="en-US" w:eastAsia="zh-CN"/>
        </w:rPr>
        <w:t>457</w:t>
      </w:r>
      <w:r>
        <w:rPr>
          <w:rFonts w:hint="default" w:ascii="Times New Roman" w:hAnsi="Times New Roman" w:eastAsia="宋体" w:cs="Times New Roman"/>
          <w:color w:val="auto"/>
          <w:sz w:val="24"/>
          <w:highlight w:val="none"/>
          <w:lang w:eastAsia="zh-CN"/>
        </w:rPr>
        <w:t>m，高于当地侵蚀基准面（335m）</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eastAsia="zh-CN"/>
        </w:rPr>
        <w:t>未揭露地下水含水层，矿山开采引发矿区及周围主要含水层水位的大幅下降或疏干的可能性小，矿山周边无工农业用水的水源地，附近没有居民居住，由于排水量很小，矿山排水不会影响矿区及周围生产生活用水，故预测矿山开采对地下水资源的影响和破坏较轻</w:t>
      </w:r>
      <w:r>
        <w:rPr>
          <w:rFonts w:hint="default" w:ascii="Times New Roman" w:hAnsi="Times New Roman" w:eastAsia="宋体" w:cs="Times New Roman"/>
          <w:color w:val="auto"/>
          <w:sz w:val="24"/>
          <w:highlight w:val="none"/>
        </w:rPr>
        <w:t>。</w:t>
      </w:r>
    </w:p>
    <w:p w14:paraId="60C08F81">
      <w:pPr>
        <w:keepNext/>
        <w:keepLines/>
        <w:widowControl w:val="0"/>
        <w:spacing w:before="260" w:after="260" w:line="416" w:lineRule="auto"/>
        <w:outlineLvl w:val="2"/>
        <w:rPr>
          <w:rFonts w:hint="default" w:ascii="Times New Roman" w:hAnsi="Times New Roman" w:eastAsia="黑体" w:cs="Times New Roman"/>
          <w:bCs/>
          <w:color w:val="auto"/>
          <w:sz w:val="28"/>
          <w:szCs w:val="28"/>
          <w:highlight w:val="none"/>
        </w:rPr>
      </w:pPr>
      <w:r>
        <w:rPr>
          <w:rFonts w:hint="default" w:ascii="Times New Roman" w:hAnsi="Times New Roman" w:eastAsia="黑体" w:cs="Times New Roman"/>
          <w:bCs/>
          <w:color w:val="auto"/>
          <w:sz w:val="28"/>
          <w:szCs w:val="28"/>
          <w:highlight w:val="none"/>
        </w:rPr>
        <w:t>（四）矿区地形地貌景观（地质遗迹、人文景观）破坏现状分析与预测</w:t>
      </w:r>
      <w:bookmarkEnd w:id="133"/>
    </w:p>
    <w:p w14:paraId="4E03039C">
      <w:pPr>
        <w:spacing w:line="360" w:lineRule="auto"/>
        <w:ind w:firstLine="482" w:firstLineChars="200"/>
        <w:rPr>
          <w:rFonts w:hint="default" w:ascii="Times New Roman" w:hAnsi="Times New Roman" w:cs="Times New Roman"/>
          <w:b/>
          <w:bCs/>
          <w:color w:val="auto"/>
          <w:sz w:val="24"/>
          <w:highlight w:val="none"/>
        </w:rPr>
      </w:pPr>
      <w:bookmarkStart w:id="134" w:name="_Toc485629694"/>
      <w:r>
        <w:rPr>
          <w:rFonts w:hint="default" w:ascii="Times New Roman" w:hAnsi="Times New Roman" w:cs="Times New Roman"/>
          <w:b/>
          <w:bCs/>
          <w:color w:val="auto"/>
          <w:sz w:val="24"/>
          <w:highlight w:val="none"/>
        </w:rPr>
        <w:t>1、矿区地形地貌景观破坏现状分析</w:t>
      </w:r>
    </w:p>
    <w:p w14:paraId="202A0366">
      <w:pPr>
        <w:pStyle w:val="137"/>
        <w:spacing w:line="360" w:lineRule="auto"/>
        <w:ind w:firstLine="468"/>
        <w:rPr>
          <w:color w:val="auto"/>
          <w:spacing w:val="-3"/>
          <w:sz w:val="24"/>
          <w:highlight w:val="none"/>
        </w:rPr>
      </w:pPr>
      <w:r>
        <w:rPr>
          <w:color w:val="auto"/>
          <w:spacing w:val="-3"/>
          <w:sz w:val="24"/>
          <w:highlight w:val="none"/>
        </w:rPr>
        <w:t>本矿区远离城区，四周无自然保护区，区内无重要建筑物、旅游景点及名胜古迹，不在交通线可视范围内。</w:t>
      </w:r>
      <w:r>
        <w:rPr>
          <w:color w:val="auto"/>
          <w:sz w:val="24"/>
          <w:highlight w:val="none"/>
        </w:rPr>
        <w:t>矿山开采对地形地貌景观的影响和破坏主要集中在露天采场、</w:t>
      </w:r>
      <w:r>
        <w:rPr>
          <w:rFonts w:hint="eastAsia"/>
          <w:color w:val="auto"/>
          <w:sz w:val="24"/>
          <w:highlight w:val="none"/>
        </w:rPr>
        <w:t>废石堆场、表土堆场、工业场地</w:t>
      </w:r>
      <w:r>
        <w:rPr>
          <w:color w:val="auto"/>
          <w:sz w:val="24"/>
          <w:highlight w:val="none"/>
        </w:rPr>
        <w:t>等。</w:t>
      </w:r>
    </w:p>
    <w:p w14:paraId="06D11123">
      <w:pPr>
        <w:pStyle w:val="137"/>
        <w:spacing w:line="360" w:lineRule="auto"/>
        <w:ind w:firstLine="468"/>
        <w:rPr>
          <w:color w:val="auto"/>
          <w:spacing w:val="-3"/>
          <w:sz w:val="24"/>
          <w:highlight w:val="none"/>
        </w:rPr>
      </w:pPr>
      <w:r>
        <w:rPr>
          <w:color w:val="auto"/>
          <w:spacing w:val="-3"/>
          <w:sz w:val="24"/>
          <w:highlight w:val="none"/>
        </w:rPr>
        <w:t>（</w:t>
      </w:r>
      <w:r>
        <w:rPr>
          <w:rFonts w:hint="eastAsia"/>
          <w:color w:val="auto"/>
          <w:spacing w:val="-3"/>
          <w:sz w:val="24"/>
          <w:highlight w:val="none"/>
        </w:rPr>
        <w:t>1</w:t>
      </w:r>
      <w:r>
        <w:rPr>
          <w:color w:val="auto"/>
          <w:spacing w:val="-3"/>
          <w:sz w:val="24"/>
          <w:highlight w:val="none"/>
        </w:rPr>
        <w:t>）</w:t>
      </w:r>
      <w:r>
        <w:rPr>
          <w:rFonts w:hint="eastAsia"/>
          <w:color w:val="auto"/>
          <w:spacing w:val="-3"/>
          <w:sz w:val="24"/>
          <w:highlight w:val="none"/>
        </w:rPr>
        <w:t>露天采场</w:t>
      </w:r>
      <w:r>
        <w:rPr>
          <w:color w:val="auto"/>
          <w:spacing w:val="-3"/>
          <w:sz w:val="24"/>
          <w:highlight w:val="none"/>
        </w:rPr>
        <w:t>现状评估</w:t>
      </w:r>
    </w:p>
    <w:p w14:paraId="1D8B1E38">
      <w:pPr>
        <w:pStyle w:val="137"/>
        <w:spacing w:line="360" w:lineRule="auto"/>
        <w:ind w:firstLine="468"/>
        <w:rPr>
          <w:color w:val="auto"/>
          <w:spacing w:val="-3"/>
          <w:sz w:val="24"/>
          <w:highlight w:val="none"/>
        </w:rPr>
      </w:pPr>
      <w:r>
        <w:rPr>
          <w:rFonts w:hint="eastAsia"/>
          <w:color w:val="auto"/>
          <w:spacing w:val="-3"/>
          <w:sz w:val="24"/>
          <w:highlight w:val="none"/>
        </w:rPr>
        <w:t>根据调查，露天采场内现有以往开采形成的露天采坑，露天采坑及采坑活动扰动地表</w:t>
      </w:r>
      <w:r>
        <w:rPr>
          <w:color w:val="auto"/>
          <w:spacing w:val="-3"/>
          <w:sz w:val="24"/>
          <w:highlight w:val="none"/>
        </w:rPr>
        <w:t>面积</w:t>
      </w:r>
      <w:r>
        <w:rPr>
          <w:rFonts w:hint="eastAsia"/>
          <w:color w:val="auto"/>
          <w:spacing w:val="-3"/>
          <w:sz w:val="24"/>
          <w:highlight w:val="none"/>
          <w:lang w:val="en-US" w:eastAsia="zh-CN"/>
        </w:rPr>
        <w:t>2.2017</w:t>
      </w:r>
      <w:r>
        <w:rPr>
          <w:color w:val="auto"/>
          <w:spacing w:val="-3"/>
          <w:sz w:val="24"/>
          <w:highlight w:val="none"/>
        </w:rPr>
        <w:t>hm</w:t>
      </w:r>
      <w:r>
        <w:rPr>
          <w:color w:val="auto"/>
          <w:spacing w:val="-3"/>
          <w:sz w:val="24"/>
          <w:highlight w:val="none"/>
          <w:vertAlign w:val="superscript"/>
        </w:rPr>
        <w:t>2</w:t>
      </w:r>
      <w:r>
        <w:rPr>
          <w:color w:val="auto"/>
          <w:spacing w:val="-3"/>
          <w:sz w:val="24"/>
          <w:highlight w:val="none"/>
        </w:rPr>
        <w:t>，</w:t>
      </w:r>
      <w:r>
        <w:rPr>
          <w:rFonts w:hint="eastAsia"/>
          <w:color w:val="auto"/>
          <w:spacing w:val="-3"/>
          <w:sz w:val="24"/>
          <w:highlight w:val="none"/>
        </w:rPr>
        <w:t>最大采深</w:t>
      </w:r>
      <w:r>
        <w:rPr>
          <w:rFonts w:hint="eastAsia"/>
          <w:color w:val="auto"/>
          <w:spacing w:val="-3"/>
          <w:sz w:val="24"/>
          <w:highlight w:val="none"/>
          <w:lang w:val="en-US" w:eastAsia="zh-CN"/>
        </w:rPr>
        <w:t>约40</w:t>
      </w:r>
      <w:r>
        <w:rPr>
          <w:rFonts w:hint="eastAsia"/>
          <w:color w:val="auto"/>
          <w:spacing w:val="-3"/>
          <w:sz w:val="24"/>
          <w:highlight w:val="none"/>
        </w:rPr>
        <w:t>m，</w:t>
      </w:r>
      <w:r>
        <w:rPr>
          <w:color w:val="auto"/>
          <w:spacing w:val="-3"/>
          <w:sz w:val="24"/>
          <w:highlight w:val="none"/>
        </w:rPr>
        <w:t>露天采场开挖严重破坏了原生地貌，因此现状条件下，露天采场对地形地貌景观影响严重。</w:t>
      </w:r>
    </w:p>
    <w:p w14:paraId="2B886CF7">
      <w:pPr>
        <w:pStyle w:val="137"/>
        <w:spacing w:line="360" w:lineRule="auto"/>
        <w:ind w:firstLine="468"/>
        <w:rPr>
          <w:color w:val="auto"/>
          <w:spacing w:val="-3"/>
          <w:sz w:val="24"/>
          <w:highlight w:val="none"/>
        </w:rPr>
      </w:pPr>
      <w:r>
        <w:rPr>
          <w:color w:val="auto"/>
          <w:spacing w:val="-3"/>
          <w:sz w:val="24"/>
          <w:highlight w:val="none"/>
        </w:rPr>
        <w:t>（</w:t>
      </w:r>
      <w:r>
        <w:rPr>
          <w:rFonts w:hint="eastAsia"/>
          <w:color w:val="auto"/>
          <w:spacing w:val="-3"/>
          <w:sz w:val="24"/>
          <w:highlight w:val="none"/>
          <w:lang w:val="en-US" w:eastAsia="zh-CN"/>
        </w:rPr>
        <w:t>2</w:t>
      </w:r>
      <w:r>
        <w:rPr>
          <w:color w:val="auto"/>
          <w:spacing w:val="-3"/>
          <w:sz w:val="24"/>
          <w:highlight w:val="none"/>
        </w:rPr>
        <w:t>）</w:t>
      </w:r>
      <w:r>
        <w:rPr>
          <w:rFonts w:hint="eastAsia"/>
          <w:color w:val="auto"/>
          <w:spacing w:val="-3"/>
          <w:sz w:val="24"/>
          <w:highlight w:val="none"/>
        </w:rPr>
        <w:t>工业</w:t>
      </w:r>
      <w:r>
        <w:rPr>
          <w:rFonts w:hint="eastAsia"/>
          <w:color w:val="auto"/>
          <w:spacing w:val="-3"/>
          <w:sz w:val="24"/>
          <w:highlight w:val="none"/>
          <w:lang w:val="en-US" w:eastAsia="zh-CN"/>
        </w:rPr>
        <w:t>广场</w:t>
      </w:r>
      <w:r>
        <w:rPr>
          <w:color w:val="auto"/>
          <w:spacing w:val="-3"/>
          <w:sz w:val="24"/>
          <w:highlight w:val="none"/>
        </w:rPr>
        <w:t>现状评估</w:t>
      </w:r>
    </w:p>
    <w:p w14:paraId="3DA788FB">
      <w:pPr>
        <w:pStyle w:val="137"/>
        <w:spacing w:line="360" w:lineRule="auto"/>
        <w:ind w:firstLine="480"/>
        <w:rPr>
          <w:color w:val="auto"/>
          <w:spacing w:val="-3"/>
          <w:sz w:val="24"/>
          <w:highlight w:val="none"/>
        </w:rPr>
      </w:pPr>
      <w:r>
        <w:rPr>
          <w:rFonts w:hint="eastAsia"/>
          <w:color w:val="auto"/>
          <w:spacing w:val="-3"/>
          <w:sz w:val="24"/>
          <w:highlight w:val="none"/>
        </w:rPr>
        <w:t>工业</w:t>
      </w:r>
      <w:r>
        <w:rPr>
          <w:rFonts w:hint="eastAsia"/>
          <w:color w:val="auto"/>
          <w:spacing w:val="-3"/>
          <w:sz w:val="24"/>
          <w:highlight w:val="none"/>
          <w:lang w:val="en-US" w:eastAsia="zh-CN"/>
        </w:rPr>
        <w:t>广场</w:t>
      </w:r>
      <w:r>
        <w:rPr>
          <w:rFonts w:hint="eastAsia"/>
          <w:color w:val="auto"/>
          <w:sz w:val="24"/>
          <w:highlight w:val="none"/>
        </w:rPr>
        <w:t>位于露天采场</w:t>
      </w:r>
      <w:r>
        <w:rPr>
          <w:rFonts w:hint="eastAsia"/>
          <w:color w:val="auto"/>
          <w:sz w:val="24"/>
          <w:highlight w:val="none"/>
          <w:lang w:val="en-US" w:eastAsia="zh-CN"/>
        </w:rPr>
        <w:t>北</w:t>
      </w:r>
      <w:r>
        <w:rPr>
          <w:rFonts w:hint="eastAsia"/>
          <w:color w:val="auto"/>
          <w:sz w:val="24"/>
          <w:highlight w:val="none"/>
        </w:rPr>
        <w:t>部，占地面积</w:t>
      </w:r>
      <w:r>
        <w:rPr>
          <w:rFonts w:hint="eastAsia"/>
          <w:color w:val="auto"/>
          <w:sz w:val="24"/>
          <w:highlight w:val="none"/>
          <w:lang w:val="en-US" w:eastAsia="zh-CN"/>
        </w:rPr>
        <w:t>0.2605</w:t>
      </w:r>
      <w:r>
        <w:rPr>
          <w:rFonts w:hint="eastAsia"/>
          <w:color w:val="auto"/>
          <w:sz w:val="24"/>
          <w:highlight w:val="none"/>
        </w:rPr>
        <w:t>hm</w:t>
      </w:r>
      <w:r>
        <w:rPr>
          <w:rFonts w:hint="eastAsia"/>
          <w:color w:val="auto"/>
          <w:sz w:val="24"/>
          <w:highlight w:val="none"/>
          <w:vertAlign w:val="superscript"/>
        </w:rPr>
        <w:t>2</w:t>
      </w:r>
      <w:r>
        <w:rPr>
          <w:rFonts w:hint="eastAsia"/>
          <w:color w:val="auto"/>
          <w:sz w:val="24"/>
          <w:highlight w:val="none"/>
        </w:rPr>
        <w:t>。</w:t>
      </w:r>
      <w:r>
        <w:rPr>
          <w:rFonts w:hint="eastAsia"/>
          <w:color w:val="auto"/>
          <w:sz w:val="24"/>
          <w:highlight w:val="none"/>
          <w:lang w:val="en-US" w:eastAsia="zh-CN"/>
        </w:rPr>
        <w:t>主要用于堆放设备和料石等，内设仓库、粉碎机等</w:t>
      </w:r>
      <w:r>
        <w:rPr>
          <w:rFonts w:hint="eastAsia"/>
          <w:color w:val="auto"/>
          <w:sz w:val="24"/>
          <w:highlight w:val="none"/>
        </w:rPr>
        <w:t>。工业场地</w:t>
      </w:r>
      <w:r>
        <w:rPr>
          <w:color w:val="auto"/>
          <w:spacing w:val="-3"/>
          <w:sz w:val="24"/>
          <w:highlight w:val="none"/>
        </w:rPr>
        <w:t>建设破坏了原生地形地貌，因此现状条件下，</w:t>
      </w:r>
      <w:r>
        <w:rPr>
          <w:rFonts w:hint="eastAsia"/>
          <w:color w:val="auto"/>
          <w:spacing w:val="-3"/>
          <w:sz w:val="24"/>
          <w:highlight w:val="none"/>
        </w:rPr>
        <w:t>工业场地</w:t>
      </w:r>
      <w:r>
        <w:rPr>
          <w:color w:val="auto"/>
          <w:spacing w:val="-3"/>
          <w:sz w:val="24"/>
          <w:highlight w:val="none"/>
        </w:rPr>
        <w:t>对地形地貌景观影响严重。</w:t>
      </w:r>
    </w:p>
    <w:p w14:paraId="349FDF90">
      <w:pPr>
        <w:pStyle w:val="137"/>
        <w:spacing w:line="360" w:lineRule="auto"/>
        <w:ind w:firstLine="468"/>
        <w:rPr>
          <w:color w:val="auto"/>
          <w:spacing w:val="-3"/>
          <w:sz w:val="24"/>
          <w:highlight w:val="none"/>
        </w:rPr>
      </w:pPr>
      <w:r>
        <w:rPr>
          <w:color w:val="auto"/>
          <w:spacing w:val="-3"/>
          <w:sz w:val="24"/>
          <w:highlight w:val="none"/>
        </w:rPr>
        <w:t>（</w:t>
      </w:r>
      <w:r>
        <w:rPr>
          <w:rFonts w:hint="eastAsia"/>
          <w:color w:val="auto"/>
          <w:spacing w:val="-3"/>
          <w:sz w:val="24"/>
          <w:highlight w:val="none"/>
          <w:lang w:val="en-US" w:eastAsia="zh-CN"/>
        </w:rPr>
        <w:t>3</w:t>
      </w:r>
      <w:r>
        <w:rPr>
          <w:color w:val="auto"/>
          <w:spacing w:val="-3"/>
          <w:sz w:val="24"/>
          <w:highlight w:val="none"/>
        </w:rPr>
        <w:t>）</w:t>
      </w:r>
      <w:r>
        <w:rPr>
          <w:rFonts w:hint="eastAsia"/>
          <w:color w:val="auto"/>
          <w:spacing w:val="-3"/>
          <w:sz w:val="24"/>
          <w:highlight w:val="none"/>
          <w:lang w:val="en-US" w:eastAsia="zh-CN"/>
        </w:rPr>
        <w:t>生产生活区</w:t>
      </w:r>
      <w:r>
        <w:rPr>
          <w:color w:val="auto"/>
          <w:spacing w:val="-3"/>
          <w:sz w:val="24"/>
          <w:highlight w:val="none"/>
        </w:rPr>
        <w:t>现状评估</w:t>
      </w:r>
    </w:p>
    <w:p w14:paraId="09304100">
      <w:pPr>
        <w:pStyle w:val="137"/>
        <w:spacing w:line="360" w:lineRule="auto"/>
        <w:ind w:firstLine="480"/>
        <w:rPr>
          <w:color w:val="auto"/>
          <w:spacing w:val="-3"/>
          <w:sz w:val="24"/>
          <w:highlight w:val="none"/>
        </w:rPr>
      </w:pPr>
      <w:r>
        <w:rPr>
          <w:rFonts w:hint="eastAsia"/>
          <w:color w:val="auto"/>
          <w:spacing w:val="-3"/>
          <w:sz w:val="24"/>
          <w:highlight w:val="none"/>
          <w:lang w:val="en-US" w:eastAsia="zh-CN"/>
        </w:rPr>
        <w:t>生产生活区</w:t>
      </w:r>
      <w:r>
        <w:rPr>
          <w:rFonts w:hint="eastAsia"/>
          <w:color w:val="auto"/>
          <w:sz w:val="24"/>
          <w:highlight w:val="none"/>
        </w:rPr>
        <w:t>位于</w:t>
      </w:r>
      <w:r>
        <w:rPr>
          <w:rFonts w:hint="eastAsia"/>
          <w:color w:val="auto"/>
          <w:spacing w:val="-3"/>
          <w:sz w:val="24"/>
          <w:highlight w:val="none"/>
        </w:rPr>
        <w:t>工业场地</w:t>
      </w:r>
      <w:r>
        <w:rPr>
          <w:rFonts w:hint="eastAsia"/>
          <w:color w:val="auto"/>
          <w:sz w:val="24"/>
          <w:highlight w:val="none"/>
          <w:lang w:val="en-US" w:eastAsia="zh-CN"/>
        </w:rPr>
        <w:t>北</w:t>
      </w:r>
      <w:r>
        <w:rPr>
          <w:rFonts w:hint="eastAsia"/>
          <w:color w:val="auto"/>
          <w:sz w:val="24"/>
          <w:highlight w:val="none"/>
        </w:rPr>
        <w:t>部，占地面积</w:t>
      </w:r>
      <w:r>
        <w:rPr>
          <w:rFonts w:hint="eastAsia"/>
          <w:color w:val="auto"/>
          <w:sz w:val="24"/>
          <w:highlight w:val="none"/>
          <w:lang w:val="en-US" w:eastAsia="zh-CN"/>
        </w:rPr>
        <w:t>0.6845</w:t>
      </w:r>
      <w:r>
        <w:rPr>
          <w:rFonts w:hint="eastAsia"/>
          <w:color w:val="auto"/>
          <w:sz w:val="24"/>
          <w:highlight w:val="none"/>
        </w:rPr>
        <w:t>hm</w:t>
      </w:r>
      <w:r>
        <w:rPr>
          <w:rFonts w:hint="eastAsia"/>
          <w:color w:val="auto"/>
          <w:sz w:val="24"/>
          <w:highlight w:val="none"/>
          <w:vertAlign w:val="superscript"/>
        </w:rPr>
        <w:t>2</w:t>
      </w:r>
      <w:r>
        <w:rPr>
          <w:rFonts w:hint="eastAsia"/>
          <w:color w:val="auto"/>
          <w:sz w:val="24"/>
          <w:highlight w:val="none"/>
        </w:rPr>
        <w:t>。</w:t>
      </w:r>
      <w:r>
        <w:rPr>
          <w:rFonts w:hint="eastAsia"/>
          <w:color w:val="auto"/>
          <w:sz w:val="24"/>
          <w:highlight w:val="none"/>
          <w:lang w:val="en-US" w:eastAsia="zh-CN"/>
        </w:rPr>
        <w:t>主要用于矿山生产生活，主要有一个二层建筑，彩钢结构</w:t>
      </w:r>
      <w:r>
        <w:rPr>
          <w:rFonts w:hint="eastAsia"/>
          <w:color w:val="auto"/>
          <w:sz w:val="24"/>
          <w:highlight w:val="none"/>
        </w:rPr>
        <w:t>。工业场地</w:t>
      </w:r>
      <w:r>
        <w:rPr>
          <w:color w:val="auto"/>
          <w:spacing w:val="-3"/>
          <w:sz w:val="24"/>
          <w:highlight w:val="none"/>
        </w:rPr>
        <w:t>建设破坏了原生地形地貌，因此现状条件下，</w:t>
      </w:r>
      <w:r>
        <w:rPr>
          <w:rFonts w:hint="eastAsia"/>
          <w:color w:val="auto"/>
          <w:spacing w:val="-3"/>
          <w:sz w:val="24"/>
          <w:highlight w:val="none"/>
          <w:lang w:val="en-US" w:eastAsia="zh-CN"/>
        </w:rPr>
        <w:t>生产生活区</w:t>
      </w:r>
      <w:r>
        <w:rPr>
          <w:color w:val="auto"/>
          <w:spacing w:val="-3"/>
          <w:sz w:val="24"/>
          <w:highlight w:val="none"/>
        </w:rPr>
        <w:t>对地形地貌景观影响严重。</w:t>
      </w:r>
    </w:p>
    <w:p w14:paraId="048E77A9">
      <w:pPr>
        <w:pStyle w:val="137"/>
        <w:spacing w:line="360" w:lineRule="auto"/>
        <w:ind w:firstLine="468"/>
        <w:rPr>
          <w:color w:val="auto"/>
          <w:spacing w:val="-3"/>
          <w:sz w:val="24"/>
          <w:highlight w:val="none"/>
        </w:rPr>
      </w:pPr>
      <w:r>
        <w:rPr>
          <w:color w:val="auto"/>
          <w:spacing w:val="-3"/>
          <w:sz w:val="24"/>
          <w:highlight w:val="none"/>
        </w:rPr>
        <w:t>（</w:t>
      </w:r>
      <w:r>
        <w:rPr>
          <w:rFonts w:hint="eastAsia"/>
          <w:color w:val="auto"/>
          <w:spacing w:val="-3"/>
          <w:sz w:val="24"/>
          <w:highlight w:val="none"/>
          <w:lang w:val="en-US" w:eastAsia="zh-CN"/>
        </w:rPr>
        <w:t>4</w:t>
      </w:r>
      <w:r>
        <w:rPr>
          <w:color w:val="auto"/>
          <w:spacing w:val="-3"/>
          <w:sz w:val="24"/>
          <w:highlight w:val="none"/>
        </w:rPr>
        <w:t>）</w:t>
      </w:r>
      <w:r>
        <w:rPr>
          <w:rFonts w:hint="eastAsia"/>
          <w:color w:val="auto"/>
          <w:spacing w:val="-3"/>
          <w:sz w:val="24"/>
          <w:highlight w:val="none"/>
        </w:rPr>
        <w:t>原有办公室及临时堆料场</w:t>
      </w:r>
    </w:p>
    <w:p w14:paraId="2E054237">
      <w:pPr>
        <w:pStyle w:val="137"/>
        <w:spacing w:line="360" w:lineRule="auto"/>
        <w:ind w:firstLine="480"/>
        <w:rPr>
          <w:color w:val="auto"/>
          <w:spacing w:val="-3"/>
          <w:sz w:val="24"/>
          <w:highlight w:val="none"/>
        </w:rPr>
      </w:pPr>
      <w:r>
        <w:rPr>
          <w:rFonts w:hint="eastAsia"/>
          <w:color w:val="auto"/>
          <w:sz w:val="24"/>
          <w:highlight w:val="none"/>
        </w:rPr>
        <w:t>原有办公室及临时堆料场</w:t>
      </w:r>
      <w:r>
        <w:rPr>
          <w:rFonts w:hint="eastAsia"/>
          <w:color w:val="auto"/>
          <w:sz w:val="24"/>
          <w:highlight w:val="none"/>
          <w:lang w:val="en-US" w:eastAsia="zh-CN"/>
        </w:rPr>
        <w:t>位于距离矿区东北方向450m</w:t>
      </w:r>
      <w:r>
        <w:rPr>
          <w:rFonts w:hint="eastAsia"/>
          <w:color w:val="auto"/>
          <w:sz w:val="24"/>
          <w:highlight w:val="none"/>
        </w:rPr>
        <w:t>。</w:t>
      </w:r>
      <w:r>
        <w:rPr>
          <w:rFonts w:hint="eastAsia"/>
          <w:color w:val="auto"/>
          <w:sz w:val="24"/>
          <w:highlight w:val="none"/>
          <w:lang w:val="en-US" w:eastAsia="zh-CN"/>
        </w:rPr>
        <w:t>有一座彩钢结构的原有办公室，目前已不使用。原有办公室北侧为</w:t>
      </w:r>
      <w:r>
        <w:rPr>
          <w:rFonts w:hint="eastAsia"/>
          <w:color w:val="auto"/>
          <w:sz w:val="24"/>
          <w:highlight w:val="none"/>
        </w:rPr>
        <w:t>临时堆料场</w:t>
      </w:r>
      <w:r>
        <w:rPr>
          <w:rFonts w:hint="eastAsia"/>
          <w:color w:val="auto"/>
          <w:sz w:val="24"/>
          <w:highlight w:val="none"/>
          <w:lang w:eastAsia="zh-CN"/>
        </w:rPr>
        <w:t>，</w:t>
      </w:r>
      <w:r>
        <w:rPr>
          <w:rFonts w:hint="eastAsia"/>
          <w:color w:val="auto"/>
          <w:sz w:val="24"/>
          <w:highlight w:val="none"/>
          <w:lang w:val="en-US" w:eastAsia="zh-CN"/>
        </w:rPr>
        <w:t>用于堆放矿山石料</w:t>
      </w:r>
      <w:r>
        <w:rPr>
          <w:rFonts w:hint="eastAsia"/>
          <w:color w:val="auto"/>
          <w:sz w:val="24"/>
          <w:highlight w:val="none"/>
        </w:rPr>
        <w:t>，</w:t>
      </w:r>
      <w:r>
        <w:rPr>
          <w:color w:val="auto"/>
          <w:spacing w:val="-3"/>
          <w:sz w:val="24"/>
          <w:highlight w:val="none"/>
        </w:rPr>
        <w:t>破坏了原生地貌，因此现状条件下，</w:t>
      </w:r>
      <w:r>
        <w:rPr>
          <w:rFonts w:hint="eastAsia"/>
          <w:color w:val="auto"/>
          <w:spacing w:val="-3"/>
          <w:sz w:val="24"/>
          <w:highlight w:val="none"/>
        </w:rPr>
        <w:t>原有办公室及临时堆料场</w:t>
      </w:r>
      <w:r>
        <w:rPr>
          <w:color w:val="auto"/>
          <w:spacing w:val="-3"/>
          <w:sz w:val="24"/>
          <w:highlight w:val="none"/>
        </w:rPr>
        <w:t>对地形地貌景观影响</w:t>
      </w:r>
      <w:r>
        <w:rPr>
          <w:rFonts w:hint="eastAsia"/>
          <w:color w:val="auto"/>
          <w:spacing w:val="-3"/>
          <w:sz w:val="24"/>
          <w:highlight w:val="none"/>
        </w:rPr>
        <w:t>较</w:t>
      </w:r>
      <w:r>
        <w:rPr>
          <w:color w:val="auto"/>
          <w:spacing w:val="-3"/>
          <w:sz w:val="24"/>
          <w:highlight w:val="none"/>
        </w:rPr>
        <w:t>严重。</w:t>
      </w:r>
    </w:p>
    <w:p w14:paraId="576418B7">
      <w:pPr>
        <w:pStyle w:val="137"/>
        <w:spacing w:line="360" w:lineRule="auto"/>
        <w:ind w:firstLine="468"/>
        <w:rPr>
          <w:rFonts w:hint="default" w:eastAsia="宋体"/>
          <w:color w:val="auto"/>
          <w:spacing w:val="-3"/>
          <w:sz w:val="24"/>
          <w:highlight w:val="none"/>
          <w:lang w:val="en-US" w:eastAsia="zh-CN"/>
        </w:rPr>
      </w:pPr>
      <w:r>
        <w:rPr>
          <w:rFonts w:hint="eastAsia"/>
          <w:color w:val="auto"/>
          <w:spacing w:val="-3"/>
          <w:sz w:val="24"/>
          <w:highlight w:val="none"/>
          <w:lang w:eastAsia="zh-CN"/>
        </w:rPr>
        <w:t>（</w:t>
      </w:r>
      <w:r>
        <w:rPr>
          <w:rFonts w:hint="eastAsia"/>
          <w:color w:val="auto"/>
          <w:spacing w:val="-3"/>
          <w:sz w:val="24"/>
          <w:highlight w:val="none"/>
          <w:lang w:val="en-US" w:eastAsia="zh-CN"/>
        </w:rPr>
        <w:t>5</w:t>
      </w:r>
      <w:r>
        <w:rPr>
          <w:rFonts w:hint="eastAsia"/>
          <w:color w:val="auto"/>
          <w:spacing w:val="-3"/>
          <w:sz w:val="24"/>
          <w:highlight w:val="none"/>
          <w:lang w:eastAsia="zh-CN"/>
        </w:rPr>
        <w:t>）</w:t>
      </w:r>
      <w:r>
        <w:rPr>
          <w:rFonts w:hint="eastAsia"/>
          <w:color w:val="auto"/>
          <w:spacing w:val="-3"/>
          <w:sz w:val="24"/>
          <w:highlight w:val="none"/>
          <w:lang w:val="en-US" w:eastAsia="zh-CN"/>
        </w:rPr>
        <w:t>矿山道口</w:t>
      </w:r>
    </w:p>
    <w:p w14:paraId="506D0972">
      <w:pPr>
        <w:pStyle w:val="137"/>
        <w:spacing w:line="360" w:lineRule="auto"/>
        <w:ind w:firstLine="480"/>
        <w:rPr>
          <w:color w:val="auto"/>
          <w:spacing w:val="-3"/>
          <w:sz w:val="24"/>
          <w:highlight w:val="none"/>
        </w:rPr>
      </w:pPr>
      <w:r>
        <w:rPr>
          <w:rFonts w:hint="eastAsia"/>
          <w:color w:val="auto"/>
          <w:spacing w:val="-3"/>
          <w:sz w:val="24"/>
          <w:highlight w:val="none"/>
        </w:rPr>
        <w:t>通往露天采坑道路为矿山开采时建设道路，该部分道路长度</w:t>
      </w:r>
      <w:r>
        <w:rPr>
          <w:rFonts w:hint="eastAsia"/>
          <w:color w:val="auto"/>
          <w:spacing w:val="-3"/>
          <w:sz w:val="24"/>
          <w:highlight w:val="none"/>
          <w:lang w:val="en-US" w:eastAsia="zh-CN"/>
        </w:rPr>
        <w:t>约400</w:t>
      </w:r>
      <w:r>
        <w:rPr>
          <w:rFonts w:hint="eastAsia"/>
          <w:color w:val="auto"/>
          <w:spacing w:val="-3"/>
          <w:sz w:val="24"/>
          <w:highlight w:val="none"/>
        </w:rPr>
        <w:t>m，道路宽度</w:t>
      </w:r>
      <w:r>
        <w:rPr>
          <w:rFonts w:hint="eastAsia"/>
          <w:color w:val="auto"/>
          <w:spacing w:val="-3"/>
          <w:sz w:val="24"/>
          <w:highlight w:val="none"/>
          <w:lang w:val="en-US" w:eastAsia="zh-CN"/>
        </w:rPr>
        <w:t>4</w:t>
      </w:r>
      <w:r>
        <w:rPr>
          <w:rFonts w:hint="eastAsia"/>
          <w:color w:val="auto"/>
          <w:spacing w:val="-3"/>
          <w:sz w:val="24"/>
          <w:highlight w:val="none"/>
        </w:rPr>
        <w:t>m，该部分道路闭矿后进行恢复治理，道路结构为</w:t>
      </w:r>
      <w:r>
        <w:rPr>
          <w:rFonts w:hint="eastAsia"/>
          <w:color w:val="auto"/>
          <w:spacing w:val="-3"/>
          <w:sz w:val="24"/>
          <w:highlight w:val="none"/>
          <w:lang w:val="en-US" w:eastAsia="zh-CN"/>
        </w:rPr>
        <w:t>碎</w:t>
      </w:r>
      <w:r>
        <w:rPr>
          <w:rFonts w:hint="eastAsia"/>
          <w:color w:val="auto"/>
          <w:spacing w:val="-3"/>
          <w:sz w:val="24"/>
          <w:highlight w:val="none"/>
        </w:rPr>
        <w:t>石道路</w:t>
      </w:r>
      <w:r>
        <w:rPr>
          <w:rFonts w:hint="eastAsia"/>
          <w:color w:val="auto"/>
          <w:spacing w:val="-3"/>
          <w:sz w:val="24"/>
          <w:highlight w:val="none"/>
          <w:lang w:eastAsia="zh-CN"/>
        </w:rPr>
        <w:t>，</w:t>
      </w:r>
      <w:r>
        <w:rPr>
          <w:color w:val="auto"/>
          <w:spacing w:val="-3"/>
          <w:sz w:val="24"/>
          <w:highlight w:val="none"/>
        </w:rPr>
        <w:t>对地形地貌景观影响</w:t>
      </w:r>
      <w:r>
        <w:rPr>
          <w:rFonts w:hint="eastAsia"/>
          <w:color w:val="auto"/>
          <w:spacing w:val="-3"/>
          <w:sz w:val="24"/>
          <w:highlight w:val="none"/>
        </w:rPr>
        <w:t>较</w:t>
      </w:r>
      <w:r>
        <w:rPr>
          <w:color w:val="auto"/>
          <w:spacing w:val="-3"/>
          <w:sz w:val="24"/>
          <w:highlight w:val="none"/>
        </w:rPr>
        <w:t>严重。</w:t>
      </w:r>
    </w:p>
    <w:p w14:paraId="70C60CEB">
      <w:pPr>
        <w:pStyle w:val="137"/>
        <w:spacing w:line="360" w:lineRule="auto"/>
        <w:ind w:firstLine="468"/>
        <w:rPr>
          <w:color w:val="auto"/>
          <w:spacing w:val="-3"/>
          <w:sz w:val="24"/>
          <w:highlight w:val="none"/>
        </w:rPr>
      </w:pPr>
      <w:r>
        <w:rPr>
          <w:color w:val="auto"/>
          <w:spacing w:val="-3"/>
          <w:sz w:val="24"/>
          <w:highlight w:val="none"/>
        </w:rPr>
        <w:t>（</w:t>
      </w:r>
      <w:r>
        <w:rPr>
          <w:rFonts w:hint="eastAsia"/>
          <w:color w:val="auto"/>
          <w:spacing w:val="-3"/>
          <w:sz w:val="24"/>
          <w:highlight w:val="none"/>
          <w:lang w:val="en-US" w:eastAsia="zh-CN"/>
        </w:rPr>
        <w:t>6</w:t>
      </w:r>
      <w:r>
        <w:rPr>
          <w:color w:val="auto"/>
          <w:spacing w:val="-3"/>
          <w:sz w:val="24"/>
          <w:highlight w:val="none"/>
        </w:rPr>
        <w:t>）</w:t>
      </w:r>
      <w:r>
        <w:rPr>
          <w:rFonts w:hint="eastAsia"/>
          <w:color w:val="auto"/>
          <w:spacing w:val="-3"/>
          <w:sz w:val="24"/>
          <w:highlight w:val="none"/>
        </w:rPr>
        <w:t>表土堆场</w:t>
      </w:r>
    </w:p>
    <w:p w14:paraId="78EA8CE7">
      <w:pPr>
        <w:pStyle w:val="137"/>
        <w:spacing w:line="360" w:lineRule="auto"/>
        <w:ind w:firstLine="480"/>
        <w:rPr>
          <w:color w:val="auto"/>
          <w:spacing w:val="-3"/>
          <w:sz w:val="24"/>
          <w:highlight w:val="none"/>
        </w:rPr>
      </w:pPr>
      <w:r>
        <w:rPr>
          <w:rFonts w:hint="eastAsia"/>
          <w:color w:val="auto"/>
          <w:sz w:val="24"/>
          <w:highlight w:val="none"/>
        </w:rPr>
        <w:t>表土堆场</w:t>
      </w:r>
      <w:r>
        <w:rPr>
          <w:rFonts w:hint="eastAsia"/>
          <w:color w:val="auto"/>
          <w:sz w:val="24"/>
          <w:highlight w:val="none"/>
          <w:lang w:val="en-US" w:eastAsia="zh-CN"/>
        </w:rPr>
        <w:t>用于堆放矿山开采前剥离的表土</w:t>
      </w:r>
      <w:r>
        <w:rPr>
          <w:rFonts w:hint="eastAsia"/>
          <w:color w:val="auto"/>
          <w:sz w:val="24"/>
          <w:highlight w:val="none"/>
        </w:rPr>
        <w:t>，</w:t>
      </w:r>
      <w:r>
        <w:rPr>
          <w:color w:val="auto"/>
          <w:spacing w:val="-3"/>
          <w:sz w:val="24"/>
          <w:highlight w:val="none"/>
        </w:rPr>
        <w:t>严重破坏了原生地貌，因此现状条件下，</w:t>
      </w:r>
      <w:r>
        <w:rPr>
          <w:rFonts w:hint="eastAsia"/>
          <w:color w:val="auto"/>
          <w:spacing w:val="-3"/>
          <w:sz w:val="24"/>
          <w:highlight w:val="none"/>
        </w:rPr>
        <w:t>表土堆场</w:t>
      </w:r>
      <w:r>
        <w:rPr>
          <w:color w:val="auto"/>
          <w:spacing w:val="-3"/>
          <w:sz w:val="24"/>
          <w:highlight w:val="none"/>
        </w:rPr>
        <w:t>对地形地貌景观影响严重。</w:t>
      </w:r>
    </w:p>
    <w:p w14:paraId="64742891">
      <w:pPr>
        <w:spacing w:line="360" w:lineRule="auto"/>
        <w:ind w:firstLine="482" w:firstLineChars="200"/>
        <w:rPr>
          <w:rFonts w:hint="default" w:ascii="Times New Roman" w:hAnsi="Times New Roman" w:cs="Times New Roman"/>
          <w:b/>
          <w:bCs/>
          <w:color w:val="auto"/>
          <w:sz w:val="24"/>
          <w:highlight w:val="none"/>
          <w:lang w:val="en-US" w:eastAsia="zh-CN"/>
        </w:rPr>
      </w:pPr>
      <w:r>
        <w:rPr>
          <w:rFonts w:hint="default" w:ascii="Times New Roman" w:hAnsi="Times New Roman" w:cs="Times New Roman"/>
          <w:b/>
          <w:bCs/>
          <w:color w:val="auto"/>
          <w:sz w:val="24"/>
          <w:highlight w:val="none"/>
          <w:lang w:val="en-US" w:eastAsia="zh-CN"/>
        </w:rPr>
        <w:t>2、矿区地形地貌景观破坏预测</w:t>
      </w:r>
    </w:p>
    <w:p w14:paraId="09B652E6">
      <w:pPr>
        <w:keepNext w:val="0"/>
        <w:keepLines w:val="0"/>
        <w:pageBreakBefore w:val="0"/>
        <w:widowControl/>
        <w:kinsoku/>
        <w:wordWrap/>
        <w:overflowPunct/>
        <w:topLinePunct w:val="0"/>
        <w:bidi w:val="0"/>
        <w:adjustRightInd/>
        <w:snapToGrid/>
        <w:spacing w:line="360" w:lineRule="auto"/>
        <w:ind w:left="0" w:firstLine="480" w:firstLineChars="200"/>
        <w:jc w:val="both"/>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现有矿山设施满足矿山未来开采，不再扩建工业</w:t>
      </w:r>
      <w:r>
        <w:rPr>
          <w:rFonts w:hint="eastAsia" w:cs="Times New Roman"/>
          <w:color w:val="auto"/>
          <w:sz w:val="24"/>
          <w:szCs w:val="24"/>
          <w:highlight w:val="none"/>
          <w:lang w:val="en-US" w:eastAsia="zh-CN"/>
        </w:rPr>
        <w:t>广场</w:t>
      </w:r>
      <w:r>
        <w:rPr>
          <w:rFonts w:hint="default"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其</w:t>
      </w:r>
      <w:r>
        <w:rPr>
          <w:rFonts w:hint="default" w:ascii="Times New Roman" w:hAnsi="Times New Roman" w:cs="Times New Roman"/>
          <w:color w:val="auto"/>
          <w:sz w:val="24"/>
          <w:szCs w:val="24"/>
          <w:highlight w:val="none"/>
          <w:lang w:val="en-US" w:eastAsia="zh-CN"/>
        </w:rPr>
        <w:t>生产生活区</w:t>
      </w:r>
      <w:r>
        <w:rPr>
          <w:rFonts w:hint="eastAsia" w:cs="Times New Roman"/>
          <w:color w:val="auto"/>
          <w:sz w:val="24"/>
          <w:szCs w:val="24"/>
          <w:highlight w:val="none"/>
          <w:lang w:val="en-US" w:eastAsia="zh-CN"/>
        </w:rPr>
        <w:t>和原有办公室及临时堆料场等满足现有矿山开采条件，</w:t>
      </w:r>
      <w:r>
        <w:rPr>
          <w:rFonts w:hint="default" w:ascii="Times New Roman" w:hAnsi="Times New Roman" w:cs="Times New Roman"/>
          <w:color w:val="auto"/>
          <w:sz w:val="24"/>
          <w:szCs w:val="24"/>
          <w:highlight w:val="none"/>
          <w:lang w:val="en-US" w:eastAsia="zh-CN"/>
        </w:rPr>
        <w:t>因此现有矿山设施对地形地貌景观破坏同现状。</w:t>
      </w:r>
    </w:p>
    <w:p w14:paraId="3E758E76">
      <w:pPr>
        <w:keepNext w:val="0"/>
        <w:keepLines w:val="0"/>
        <w:pageBreakBefore w:val="0"/>
        <w:widowControl/>
        <w:kinsoku/>
        <w:wordWrap/>
        <w:overflowPunct/>
        <w:topLinePunct w:val="0"/>
        <w:bidi w:val="0"/>
        <w:adjustRightInd/>
        <w:snapToGrid/>
        <w:spacing w:line="360" w:lineRule="auto"/>
        <w:ind w:left="0" w:firstLine="480" w:firstLineChars="200"/>
        <w:jc w:val="both"/>
        <w:textAlignment w:val="auto"/>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根据开发利用方案，露天采场最终开采面积为2.54hm2，矿区范围边界即为矿体的可采边界。境界顶部尺寸190×88～193，最大采深70m。露天采场继续开采，其开挖严重破坏了原生地貌，因此预测评估露天采场对地形地貌景观影响严重</w:t>
      </w:r>
      <w:r>
        <w:rPr>
          <w:rFonts w:hint="default" w:ascii="Times New Roman" w:hAnsi="Times New Roman" w:cs="Times New Roman"/>
          <w:color w:val="auto"/>
          <w:sz w:val="24"/>
          <w:szCs w:val="24"/>
          <w:highlight w:val="none"/>
          <w:lang w:val="en-US" w:eastAsia="zh-CN"/>
        </w:rPr>
        <w:t>。</w:t>
      </w:r>
    </w:p>
    <w:p w14:paraId="78CF5130">
      <w:pPr>
        <w:keepNext w:val="0"/>
        <w:keepLines w:val="0"/>
        <w:pageBreakBefore w:val="0"/>
        <w:widowControl/>
        <w:kinsoku/>
        <w:wordWrap/>
        <w:overflowPunct/>
        <w:topLinePunct w:val="0"/>
        <w:autoSpaceDE/>
        <w:autoSpaceDN/>
        <w:bidi w:val="0"/>
        <w:adjustRightInd/>
        <w:snapToGrid/>
        <w:spacing w:line="480" w:lineRule="exact"/>
        <w:ind w:firstLine="448"/>
        <w:jc w:val="center"/>
        <w:textAlignment w:val="auto"/>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表3-</w:t>
      </w:r>
      <w:r>
        <w:rPr>
          <w:rFonts w:hint="eastAsia" w:eastAsia="黑体" w:cs="Times New Roman"/>
          <w:color w:val="auto"/>
          <w:szCs w:val="21"/>
          <w:highlight w:val="none"/>
          <w:lang w:val="en-US" w:eastAsia="zh-CN"/>
        </w:rPr>
        <w:t xml:space="preserve">8  </w:t>
      </w:r>
      <w:r>
        <w:rPr>
          <w:rFonts w:hint="default" w:ascii="Times New Roman" w:hAnsi="Times New Roman" w:eastAsia="黑体" w:cs="Times New Roman"/>
          <w:color w:val="auto"/>
          <w:szCs w:val="21"/>
          <w:highlight w:val="none"/>
        </w:rPr>
        <w:t>矿山地质环境影响程度分级表</w:t>
      </w:r>
    </w:p>
    <w:tbl>
      <w:tblPr>
        <w:tblStyle w:val="34"/>
        <w:tblW w:w="8997" w:type="dxa"/>
        <w:tblInd w:w="-2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5"/>
        <w:gridCol w:w="2278"/>
        <w:gridCol w:w="2515"/>
        <w:gridCol w:w="1838"/>
        <w:gridCol w:w="1451"/>
      </w:tblGrid>
      <w:tr w14:paraId="5B455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2" w:hRule="atLeast"/>
          <w:tblHeader/>
        </w:trPr>
        <w:tc>
          <w:tcPr>
            <w:tcW w:w="915" w:type="dxa"/>
            <w:vAlign w:val="center"/>
          </w:tcPr>
          <w:p w14:paraId="7CD93EA7">
            <w:pP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影响程</w:t>
            </w:r>
          </w:p>
          <w:p w14:paraId="31826706">
            <w:pP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度分级</w:t>
            </w:r>
          </w:p>
        </w:tc>
        <w:tc>
          <w:tcPr>
            <w:tcW w:w="2278" w:type="dxa"/>
            <w:vAlign w:val="center"/>
          </w:tcPr>
          <w:p w14:paraId="6DF5164B">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地质灾害</w:t>
            </w:r>
          </w:p>
        </w:tc>
        <w:tc>
          <w:tcPr>
            <w:tcW w:w="2515" w:type="dxa"/>
            <w:vAlign w:val="center"/>
          </w:tcPr>
          <w:p w14:paraId="67F42788">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含水层</w:t>
            </w:r>
          </w:p>
        </w:tc>
        <w:tc>
          <w:tcPr>
            <w:tcW w:w="1838" w:type="dxa"/>
            <w:vAlign w:val="center"/>
          </w:tcPr>
          <w:p w14:paraId="77E23D2D">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地形地貌景观</w:t>
            </w:r>
          </w:p>
        </w:tc>
        <w:tc>
          <w:tcPr>
            <w:tcW w:w="1451" w:type="dxa"/>
            <w:vAlign w:val="center"/>
          </w:tcPr>
          <w:p w14:paraId="5FA49413">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土地资源</w:t>
            </w:r>
          </w:p>
        </w:tc>
      </w:tr>
      <w:tr w14:paraId="0DD45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9" w:hRule="atLeast"/>
        </w:trPr>
        <w:tc>
          <w:tcPr>
            <w:tcW w:w="915" w:type="dxa"/>
            <w:vAlign w:val="center"/>
          </w:tcPr>
          <w:p w14:paraId="49E7BF4F">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严重</w:t>
            </w:r>
          </w:p>
        </w:tc>
        <w:tc>
          <w:tcPr>
            <w:tcW w:w="2278" w:type="dxa"/>
          </w:tcPr>
          <w:p w14:paraId="774825B2">
            <w:pPr>
              <w:ind w:firstLine="210" w:firstLineChars="1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地质灾害规模大，发生的可能性大</w:t>
            </w:r>
          </w:p>
          <w:p w14:paraId="31FEA741">
            <w:pPr>
              <w:ind w:firstLine="210" w:firstLineChars="1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影响到城市、乡镇、重要行政村、重要交通干线、重要工程设施及各类保护区安全</w:t>
            </w:r>
          </w:p>
          <w:p w14:paraId="657A1DEC">
            <w:pPr>
              <w:ind w:firstLine="210" w:firstLineChars="1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造成或可能造成直接经济损失大于500万元</w:t>
            </w:r>
          </w:p>
          <w:p w14:paraId="14050500">
            <w:pPr>
              <w:ind w:firstLine="210" w:firstLineChars="1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受威胁人数大于100人</w:t>
            </w:r>
          </w:p>
        </w:tc>
        <w:tc>
          <w:tcPr>
            <w:tcW w:w="2515" w:type="dxa"/>
          </w:tcPr>
          <w:p w14:paraId="4EFB9E20">
            <w:pPr>
              <w:ind w:firstLine="210" w:firstLineChars="1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矿床充水主要含水层结构破坏，产生导水通道</w:t>
            </w:r>
          </w:p>
          <w:p w14:paraId="0D1FE569">
            <w:pPr>
              <w:ind w:firstLine="210" w:firstLineChars="1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矿井正常涌水量大于10000 </w:t>
            </w:r>
            <w:r>
              <w:rPr>
                <w:rFonts w:hint="default" w:ascii="Times New Roman" w:hAnsi="Times New Roman" w:cs="Times New Roman"/>
                <w:color w:val="auto"/>
                <w:szCs w:val="21"/>
                <w:highlight w:val="none"/>
                <w:lang w:eastAsia="zh-CN"/>
              </w:rPr>
              <w:t>m</w:t>
            </w:r>
            <w:r>
              <w:rPr>
                <w:rFonts w:hint="default" w:ascii="Times New Roman" w:hAnsi="Times New Roman" w:cs="Times New Roman"/>
                <w:color w:val="auto"/>
                <w:szCs w:val="21"/>
                <w:highlight w:val="none"/>
                <w:vertAlign w:val="superscript"/>
                <w:lang w:eastAsia="zh-CN"/>
              </w:rPr>
              <w:t>3</w:t>
            </w:r>
            <w:r>
              <w:rPr>
                <w:rFonts w:hint="default" w:ascii="Times New Roman" w:hAnsi="Times New Roman" w:cs="Times New Roman"/>
                <w:color w:val="auto"/>
                <w:szCs w:val="21"/>
                <w:highlight w:val="none"/>
              </w:rPr>
              <w:t>/d</w:t>
            </w:r>
          </w:p>
          <w:p w14:paraId="54155498">
            <w:pPr>
              <w:ind w:firstLine="210" w:firstLineChars="1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区域地下水水位下降</w:t>
            </w:r>
          </w:p>
          <w:p w14:paraId="18C0DFC7">
            <w:pPr>
              <w:ind w:firstLine="210" w:firstLineChars="1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矿区周围主要含水层（带）水位大幅下降，或呈疏干状态，地表水体漏失严重</w:t>
            </w:r>
          </w:p>
          <w:p w14:paraId="0F289A07">
            <w:pPr>
              <w:ind w:firstLine="210" w:firstLineChars="1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不同含水层（组）串通水质恶化</w:t>
            </w:r>
          </w:p>
          <w:p w14:paraId="0731AF2A">
            <w:pPr>
              <w:ind w:firstLine="210" w:firstLineChars="1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影响集中水源地供水，矿区及周围生产、生活供水困难</w:t>
            </w:r>
          </w:p>
        </w:tc>
        <w:tc>
          <w:tcPr>
            <w:tcW w:w="1838" w:type="dxa"/>
          </w:tcPr>
          <w:p w14:paraId="242EAFA9">
            <w:pPr>
              <w:ind w:firstLine="210" w:firstLineChars="1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shd w:val="clear" w:fill="A4A4A4" w:themeFill="background1" w:themeFillShade="A5"/>
              </w:rPr>
              <w:t>对原生的地形地貌景观影响和破坏程度大</w:t>
            </w:r>
          </w:p>
          <w:p w14:paraId="5B2F0B01">
            <w:pPr>
              <w:ind w:firstLine="210" w:firstLineChars="1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对各类自然保护区、人文景观、风景旅游区、城市周围、主要交通干线两侧可视范围内地形地貌景观影响严重</w:t>
            </w:r>
          </w:p>
        </w:tc>
        <w:tc>
          <w:tcPr>
            <w:tcW w:w="1451" w:type="dxa"/>
          </w:tcPr>
          <w:p w14:paraId="1B41669A">
            <w:pPr>
              <w:ind w:firstLine="210" w:firstLineChars="1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占用破坏基本农田</w:t>
            </w:r>
          </w:p>
          <w:p w14:paraId="7076FC0C">
            <w:pPr>
              <w:ind w:firstLine="210" w:firstLineChars="100"/>
              <w:rPr>
                <w:rFonts w:hint="default" w:ascii="Times New Roman" w:hAnsi="Times New Roman" w:eastAsia="宋体" w:cs="Times New Roman"/>
                <w:color w:val="auto"/>
                <w:szCs w:val="21"/>
                <w:highlight w:val="none"/>
                <w:vertAlign w:val="superscript"/>
                <w:lang w:eastAsia="zh-CN"/>
              </w:rPr>
            </w:pPr>
            <w:r>
              <w:rPr>
                <w:rFonts w:hint="default" w:ascii="Times New Roman" w:hAnsi="Times New Roman" w:cs="Times New Roman"/>
                <w:color w:val="auto"/>
                <w:szCs w:val="21"/>
                <w:highlight w:val="none"/>
              </w:rPr>
              <w:t>占用破坏耕地大于2h</w:t>
            </w:r>
            <w:r>
              <w:rPr>
                <w:rFonts w:hint="default" w:ascii="Times New Roman" w:hAnsi="Times New Roman" w:cs="Times New Roman"/>
                <w:color w:val="auto"/>
                <w:szCs w:val="21"/>
                <w:highlight w:val="none"/>
                <w:lang w:eastAsia="zh-CN"/>
              </w:rPr>
              <w:t>m</w:t>
            </w:r>
            <w:r>
              <w:rPr>
                <w:rFonts w:hint="default" w:ascii="Times New Roman" w:hAnsi="Times New Roman" w:cs="Times New Roman"/>
                <w:color w:val="auto"/>
                <w:szCs w:val="21"/>
                <w:highlight w:val="none"/>
                <w:vertAlign w:val="superscript"/>
                <w:lang w:eastAsia="zh-CN"/>
              </w:rPr>
              <w:t>2</w:t>
            </w:r>
          </w:p>
          <w:p w14:paraId="5FF31633">
            <w:pPr>
              <w:ind w:firstLine="210" w:firstLineChars="100"/>
              <w:rPr>
                <w:rFonts w:hint="default" w:ascii="Times New Roman" w:hAnsi="Times New Roman" w:eastAsia="宋体" w:cs="Times New Roman"/>
                <w:color w:val="auto"/>
                <w:szCs w:val="21"/>
                <w:highlight w:val="none"/>
                <w:vertAlign w:val="superscript"/>
                <w:lang w:eastAsia="zh-CN"/>
              </w:rPr>
            </w:pPr>
            <w:r>
              <w:rPr>
                <w:rFonts w:hint="default" w:ascii="Times New Roman" w:hAnsi="Times New Roman" w:cs="Times New Roman"/>
                <w:color w:val="auto"/>
                <w:szCs w:val="21"/>
                <w:highlight w:val="none"/>
              </w:rPr>
              <w:t>占用破坏林地或草地大于4h</w:t>
            </w:r>
            <w:r>
              <w:rPr>
                <w:rFonts w:hint="default" w:ascii="Times New Roman" w:hAnsi="Times New Roman" w:cs="Times New Roman"/>
                <w:color w:val="auto"/>
                <w:szCs w:val="21"/>
                <w:highlight w:val="none"/>
                <w:lang w:eastAsia="zh-CN"/>
              </w:rPr>
              <w:t>m</w:t>
            </w:r>
            <w:r>
              <w:rPr>
                <w:rFonts w:hint="default" w:ascii="Times New Roman" w:hAnsi="Times New Roman" w:cs="Times New Roman"/>
                <w:color w:val="auto"/>
                <w:szCs w:val="21"/>
                <w:highlight w:val="none"/>
                <w:vertAlign w:val="superscript"/>
                <w:lang w:eastAsia="zh-CN"/>
              </w:rPr>
              <w:t>2</w:t>
            </w:r>
          </w:p>
          <w:p w14:paraId="361AEFBC">
            <w:pPr>
              <w:ind w:firstLine="210" w:firstLineChars="100"/>
              <w:rPr>
                <w:rFonts w:hint="default" w:ascii="Times New Roman" w:hAnsi="Times New Roman" w:eastAsia="宋体" w:cs="Times New Roman"/>
                <w:color w:val="auto"/>
                <w:szCs w:val="21"/>
                <w:highlight w:val="none"/>
                <w:vertAlign w:val="superscript"/>
                <w:lang w:eastAsia="zh-CN"/>
              </w:rPr>
            </w:pPr>
            <w:r>
              <w:rPr>
                <w:rFonts w:hint="default" w:ascii="Times New Roman" w:hAnsi="Times New Roman" w:cs="Times New Roman"/>
                <w:color w:val="auto"/>
                <w:szCs w:val="21"/>
                <w:highlight w:val="none"/>
              </w:rPr>
              <w:t>占用破坏荒地或未开发利用土地大于20h</w:t>
            </w:r>
            <w:r>
              <w:rPr>
                <w:rFonts w:hint="default" w:ascii="Times New Roman" w:hAnsi="Times New Roman" w:cs="Times New Roman"/>
                <w:color w:val="auto"/>
                <w:szCs w:val="21"/>
                <w:highlight w:val="none"/>
                <w:lang w:eastAsia="zh-CN"/>
              </w:rPr>
              <w:t>m</w:t>
            </w:r>
            <w:r>
              <w:rPr>
                <w:rFonts w:hint="default" w:ascii="Times New Roman" w:hAnsi="Times New Roman" w:cs="Times New Roman"/>
                <w:color w:val="auto"/>
                <w:szCs w:val="21"/>
                <w:highlight w:val="none"/>
                <w:vertAlign w:val="superscript"/>
                <w:lang w:eastAsia="zh-CN"/>
              </w:rPr>
              <w:t>2</w:t>
            </w:r>
          </w:p>
        </w:tc>
      </w:tr>
      <w:tr w14:paraId="22C03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22" w:hRule="atLeast"/>
        </w:trPr>
        <w:tc>
          <w:tcPr>
            <w:tcW w:w="915" w:type="dxa"/>
            <w:vAlign w:val="center"/>
          </w:tcPr>
          <w:p w14:paraId="255FDAE0">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较严重</w:t>
            </w:r>
          </w:p>
        </w:tc>
        <w:tc>
          <w:tcPr>
            <w:tcW w:w="2278" w:type="dxa"/>
          </w:tcPr>
          <w:p w14:paraId="77452E07">
            <w:pPr>
              <w:ind w:firstLine="210" w:firstLineChars="1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地质灾害规模中等，发生的可能性较大</w:t>
            </w:r>
          </w:p>
          <w:p w14:paraId="36312283">
            <w:pPr>
              <w:ind w:firstLine="210" w:firstLineChars="1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影响到农村宅基地、居民聚居区、一般交通线和较重要工程设施安全</w:t>
            </w:r>
          </w:p>
          <w:p w14:paraId="415AB35E">
            <w:pPr>
              <w:ind w:firstLine="210" w:firstLineChars="1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造成或可能造成直接经济损失</w:t>
            </w:r>
            <w:r>
              <w:rPr>
                <w:rFonts w:hint="default" w:ascii="Times New Roman" w:hAnsi="Times New Roman" w:cs="Times New Roman"/>
                <w:color w:val="auto"/>
                <w:szCs w:val="21"/>
                <w:highlight w:val="none"/>
                <w:lang w:eastAsia="zh-CN"/>
              </w:rPr>
              <w:t>100万～500万</w:t>
            </w:r>
            <w:r>
              <w:rPr>
                <w:rFonts w:hint="default" w:ascii="Times New Roman" w:hAnsi="Times New Roman" w:cs="Times New Roman"/>
                <w:color w:val="auto"/>
                <w:szCs w:val="21"/>
                <w:highlight w:val="none"/>
              </w:rPr>
              <w:t>元</w:t>
            </w:r>
          </w:p>
          <w:p w14:paraId="464C0E2C">
            <w:pPr>
              <w:ind w:firstLine="210" w:firstLineChars="1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受威胁人数10～100人</w:t>
            </w:r>
          </w:p>
        </w:tc>
        <w:tc>
          <w:tcPr>
            <w:tcW w:w="2515" w:type="dxa"/>
          </w:tcPr>
          <w:p w14:paraId="29818724">
            <w:pPr>
              <w:ind w:firstLine="210" w:firstLineChars="1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矿井正常涌水量3000～10000 </w:t>
            </w:r>
            <w:r>
              <w:rPr>
                <w:rFonts w:hint="default" w:ascii="Times New Roman" w:hAnsi="Times New Roman" w:cs="Times New Roman"/>
                <w:color w:val="auto"/>
                <w:szCs w:val="21"/>
                <w:highlight w:val="none"/>
                <w:lang w:eastAsia="zh-CN"/>
              </w:rPr>
              <w:t>m</w:t>
            </w:r>
            <w:r>
              <w:rPr>
                <w:rFonts w:hint="default" w:ascii="Times New Roman" w:hAnsi="Times New Roman" w:cs="Times New Roman"/>
                <w:color w:val="auto"/>
                <w:szCs w:val="21"/>
                <w:highlight w:val="none"/>
                <w:vertAlign w:val="superscript"/>
                <w:lang w:eastAsia="zh-CN"/>
              </w:rPr>
              <w:t>3</w:t>
            </w:r>
            <w:r>
              <w:rPr>
                <w:rFonts w:hint="default" w:ascii="Times New Roman" w:hAnsi="Times New Roman" w:cs="Times New Roman"/>
                <w:color w:val="auto"/>
                <w:szCs w:val="21"/>
                <w:highlight w:val="none"/>
              </w:rPr>
              <w:t>/d</w:t>
            </w:r>
          </w:p>
          <w:p w14:paraId="7A19C47F">
            <w:pPr>
              <w:ind w:firstLine="210" w:firstLineChars="1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矿区及周围主要含水层（带）水位下降幅度较大，地下水呈半疏干状态</w:t>
            </w:r>
          </w:p>
          <w:p w14:paraId="3E5DFA04">
            <w:pPr>
              <w:ind w:firstLine="210" w:firstLineChars="1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矿区及周围地表水体漏失较严重</w:t>
            </w:r>
          </w:p>
          <w:p w14:paraId="07A6431B">
            <w:pPr>
              <w:ind w:firstLine="210" w:firstLineChars="1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影响矿区及周围部分生产生活供水</w:t>
            </w:r>
          </w:p>
        </w:tc>
        <w:tc>
          <w:tcPr>
            <w:tcW w:w="1838" w:type="dxa"/>
          </w:tcPr>
          <w:p w14:paraId="54520BEB">
            <w:pPr>
              <w:ind w:firstLine="210" w:firstLineChars="1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对原生的地形地貌景观影响和破坏程度较大</w:t>
            </w:r>
          </w:p>
          <w:p w14:paraId="24E370FB">
            <w:pPr>
              <w:ind w:firstLine="210" w:firstLineChars="1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对各类自然保护区、人文景观、风景旅游区、城市周围、主要交通干线两侧可视范围内地形地貌景观影响较重</w:t>
            </w:r>
          </w:p>
        </w:tc>
        <w:tc>
          <w:tcPr>
            <w:tcW w:w="1451" w:type="dxa"/>
          </w:tcPr>
          <w:p w14:paraId="3D705B99">
            <w:pPr>
              <w:ind w:firstLine="210" w:firstLineChars="100"/>
              <w:rPr>
                <w:rFonts w:hint="default" w:ascii="Times New Roman" w:hAnsi="Times New Roman" w:eastAsia="宋体" w:cs="Times New Roman"/>
                <w:color w:val="auto"/>
                <w:szCs w:val="21"/>
                <w:highlight w:val="none"/>
                <w:vertAlign w:val="superscript"/>
                <w:lang w:eastAsia="zh-CN"/>
              </w:rPr>
            </w:pPr>
            <w:r>
              <w:rPr>
                <w:rFonts w:hint="default" w:ascii="Times New Roman" w:hAnsi="Times New Roman" w:cs="Times New Roman"/>
                <w:color w:val="auto"/>
                <w:szCs w:val="21"/>
                <w:highlight w:val="none"/>
              </w:rPr>
              <w:t>占用破坏耕地小于等于2h</w:t>
            </w:r>
            <w:r>
              <w:rPr>
                <w:rFonts w:hint="default" w:ascii="Times New Roman" w:hAnsi="Times New Roman" w:cs="Times New Roman"/>
                <w:color w:val="auto"/>
                <w:szCs w:val="21"/>
                <w:highlight w:val="none"/>
                <w:lang w:eastAsia="zh-CN"/>
              </w:rPr>
              <w:t>m</w:t>
            </w:r>
            <w:r>
              <w:rPr>
                <w:rFonts w:hint="default" w:ascii="Times New Roman" w:hAnsi="Times New Roman" w:cs="Times New Roman"/>
                <w:color w:val="auto"/>
                <w:szCs w:val="21"/>
                <w:highlight w:val="none"/>
                <w:vertAlign w:val="superscript"/>
                <w:lang w:eastAsia="zh-CN"/>
              </w:rPr>
              <w:t>2</w:t>
            </w:r>
          </w:p>
          <w:p w14:paraId="6AA664B6">
            <w:pPr>
              <w:ind w:firstLine="210" w:firstLineChars="100"/>
              <w:rPr>
                <w:rFonts w:hint="default" w:ascii="Times New Roman" w:hAnsi="Times New Roman" w:eastAsia="宋体" w:cs="Times New Roman"/>
                <w:color w:val="auto"/>
                <w:szCs w:val="21"/>
                <w:highlight w:val="none"/>
                <w:vertAlign w:val="superscript"/>
                <w:lang w:eastAsia="zh-CN"/>
              </w:rPr>
            </w:pPr>
            <w:r>
              <w:rPr>
                <w:rFonts w:hint="default" w:ascii="Times New Roman" w:hAnsi="Times New Roman" w:cs="Times New Roman"/>
                <w:color w:val="auto"/>
                <w:szCs w:val="21"/>
                <w:highlight w:val="none"/>
              </w:rPr>
              <w:t>占用破坏林地或草地2</w:t>
            </w:r>
            <w:r>
              <w:rPr>
                <w:rFonts w:hint="default" w:ascii="Times New Roman" w:hAnsi="Times New Roman" w:cs="Times New Roman"/>
                <w:color w:val="auto"/>
                <w:szCs w:val="21"/>
                <w:highlight w:val="none"/>
                <w:lang w:val="en-US" w:eastAsia="zh-CN"/>
              </w:rPr>
              <w:t>-</w:t>
            </w:r>
            <w:r>
              <w:rPr>
                <w:rFonts w:hint="default" w:ascii="Times New Roman" w:hAnsi="Times New Roman" w:cs="Times New Roman"/>
                <w:color w:val="auto"/>
                <w:szCs w:val="21"/>
                <w:highlight w:val="none"/>
              </w:rPr>
              <w:t>4h</w:t>
            </w:r>
            <w:r>
              <w:rPr>
                <w:rFonts w:hint="default" w:ascii="Times New Roman" w:hAnsi="Times New Roman" w:cs="Times New Roman"/>
                <w:color w:val="auto"/>
                <w:szCs w:val="21"/>
                <w:highlight w:val="none"/>
                <w:lang w:eastAsia="zh-CN"/>
              </w:rPr>
              <w:t>m</w:t>
            </w:r>
            <w:r>
              <w:rPr>
                <w:rFonts w:hint="default" w:ascii="Times New Roman" w:hAnsi="Times New Roman" w:cs="Times New Roman"/>
                <w:color w:val="auto"/>
                <w:szCs w:val="21"/>
                <w:highlight w:val="none"/>
                <w:vertAlign w:val="superscript"/>
                <w:lang w:eastAsia="zh-CN"/>
              </w:rPr>
              <w:t>2</w:t>
            </w:r>
          </w:p>
          <w:p w14:paraId="7E24CF00">
            <w:pPr>
              <w:ind w:firstLine="210" w:firstLineChars="100"/>
              <w:rPr>
                <w:rFonts w:hint="default" w:ascii="Times New Roman" w:hAnsi="Times New Roman" w:eastAsia="宋体" w:cs="Times New Roman"/>
                <w:color w:val="auto"/>
                <w:szCs w:val="21"/>
                <w:highlight w:val="none"/>
                <w:vertAlign w:val="superscript"/>
                <w:lang w:eastAsia="zh-CN"/>
              </w:rPr>
            </w:pPr>
            <w:r>
              <w:rPr>
                <w:rFonts w:hint="default" w:ascii="Times New Roman" w:hAnsi="Times New Roman" w:cs="Times New Roman"/>
                <w:color w:val="auto"/>
                <w:szCs w:val="21"/>
                <w:highlight w:val="none"/>
              </w:rPr>
              <w:t>占用破坏荒山或未开发利用土地10-20h</w:t>
            </w:r>
            <w:r>
              <w:rPr>
                <w:rFonts w:hint="default" w:ascii="Times New Roman" w:hAnsi="Times New Roman" w:cs="Times New Roman"/>
                <w:color w:val="auto"/>
                <w:szCs w:val="21"/>
                <w:highlight w:val="none"/>
                <w:lang w:eastAsia="zh-CN"/>
              </w:rPr>
              <w:t>m</w:t>
            </w:r>
            <w:r>
              <w:rPr>
                <w:rFonts w:hint="default" w:ascii="Times New Roman" w:hAnsi="Times New Roman" w:cs="Times New Roman"/>
                <w:color w:val="auto"/>
                <w:szCs w:val="21"/>
                <w:highlight w:val="none"/>
                <w:vertAlign w:val="superscript"/>
                <w:lang w:eastAsia="zh-CN"/>
              </w:rPr>
              <w:t>2</w:t>
            </w:r>
          </w:p>
        </w:tc>
      </w:tr>
      <w:tr w14:paraId="0891D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1" w:hRule="atLeast"/>
        </w:trPr>
        <w:tc>
          <w:tcPr>
            <w:tcW w:w="915" w:type="dxa"/>
            <w:vAlign w:val="center"/>
          </w:tcPr>
          <w:p w14:paraId="70230869">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较轻</w:t>
            </w:r>
          </w:p>
        </w:tc>
        <w:tc>
          <w:tcPr>
            <w:tcW w:w="2278" w:type="dxa"/>
          </w:tcPr>
          <w:p w14:paraId="5C1A1BDD">
            <w:pPr>
              <w:ind w:firstLine="210" w:firstLineChars="1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shd w:val="clear" w:fill="A4A4A4" w:themeFill="background1" w:themeFillShade="A5"/>
              </w:rPr>
              <w:t>地质灾害规模小，发生的可能性小</w:t>
            </w:r>
          </w:p>
          <w:p w14:paraId="2755D2F8">
            <w:pPr>
              <w:ind w:firstLine="210" w:firstLineChars="1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shd w:val="clear" w:fill="A4A4A4" w:themeFill="background1" w:themeFillShade="A5"/>
              </w:rPr>
              <w:t>影响到分散性居民</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shd w:val="clear" w:fill="A4A4A4" w:themeFill="background1" w:themeFillShade="A5"/>
              </w:rPr>
              <w:t>一般性小规模建筑及设施</w:t>
            </w:r>
          </w:p>
          <w:p w14:paraId="3DBEB814">
            <w:pPr>
              <w:ind w:firstLine="210" w:firstLineChars="1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shd w:val="clear" w:fill="A4A4A4" w:themeFill="background1" w:themeFillShade="A5"/>
              </w:rPr>
              <w:t>造成或可能造成直接经济损失小于100万元</w:t>
            </w:r>
          </w:p>
          <w:p w14:paraId="5FEBA8B4">
            <w:pPr>
              <w:ind w:firstLine="210" w:firstLineChars="1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shd w:val="clear" w:fill="A4A4A4" w:themeFill="background1" w:themeFillShade="A5"/>
              </w:rPr>
              <w:t>受威胁人数小于10人</w:t>
            </w:r>
          </w:p>
        </w:tc>
        <w:tc>
          <w:tcPr>
            <w:tcW w:w="2515" w:type="dxa"/>
          </w:tcPr>
          <w:p w14:paraId="1F1A17FD">
            <w:pPr>
              <w:shd w:val="clear" w:fill="A4A4A4" w:themeFill="background1" w:themeFillShade="A5"/>
              <w:ind w:firstLine="210" w:firstLineChars="1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矿井正常涌水量小于3000 </w:t>
            </w:r>
            <w:r>
              <w:rPr>
                <w:rFonts w:hint="default" w:ascii="Times New Roman" w:hAnsi="Times New Roman" w:cs="Times New Roman"/>
                <w:color w:val="auto"/>
                <w:szCs w:val="21"/>
                <w:highlight w:val="none"/>
                <w:lang w:eastAsia="zh-CN"/>
              </w:rPr>
              <w:t>m</w:t>
            </w:r>
            <w:r>
              <w:rPr>
                <w:rFonts w:hint="default" w:ascii="Times New Roman" w:hAnsi="Times New Roman" w:cs="Times New Roman"/>
                <w:color w:val="auto"/>
                <w:szCs w:val="21"/>
                <w:highlight w:val="none"/>
                <w:vertAlign w:val="superscript"/>
                <w:lang w:eastAsia="zh-CN"/>
              </w:rPr>
              <w:t>3</w:t>
            </w:r>
            <w:r>
              <w:rPr>
                <w:rFonts w:hint="default" w:ascii="Times New Roman" w:hAnsi="Times New Roman" w:cs="Times New Roman"/>
                <w:color w:val="auto"/>
                <w:szCs w:val="21"/>
                <w:highlight w:val="none"/>
              </w:rPr>
              <w:t>/d</w:t>
            </w:r>
          </w:p>
          <w:p w14:paraId="5F2B9182">
            <w:pPr>
              <w:shd w:val="clear" w:fill="A4A4A4" w:themeFill="background1" w:themeFillShade="A5"/>
              <w:ind w:firstLine="210" w:firstLineChars="1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矿区及周围主要含水层水位下降幅度小</w:t>
            </w:r>
          </w:p>
          <w:p w14:paraId="1A596599">
            <w:pPr>
              <w:ind w:firstLine="210" w:firstLineChars="1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shd w:val="clear" w:fill="A4A4A4" w:themeFill="background1" w:themeFillShade="A5"/>
              </w:rPr>
              <w:t>矿区及周围地表水体未漏失</w:t>
            </w:r>
          </w:p>
          <w:p w14:paraId="22899FC4">
            <w:pPr>
              <w:ind w:firstLine="210" w:firstLineChars="1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shd w:val="clear" w:fill="A4A4A4" w:themeFill="background1" w:themeFillShade="A5"/>
              </w:rPr>
              <w:t>未影响到矿区及周围生产生活供水</w:t>
            </w:r>
          </w:p>
        </w:tc>
        <w:tc>
          <w:tcPr>
            <w:tcW w:w="1838" w:type="dxa"/>
          </w:tcPr>
          <w:p w14:paraId="51F1652C">
            <w:pPr>
              <w:ind w:firstLine="210" w:firstLineChars="1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对原生的地形地貌景观影响和破坏程度小</w:t>
            </w:r>
          </w:p>
          <w:p w14:paraId="3A60A7F0">
            <w:pPr>
              <w:ind w:firstLine="210" w:firstLineChars="1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shd w:val="clear" w:fill="A4A4A4" w:themeFill="background1" w:themeFillShade="A5"/>
              </w:rPr>
              <w:t>对各类自然保护区、人文景观、风景旅游区、城市周围、主要交通干线两侧可视范围内地形地貌景观影响较轻</w:t>
            </w:r>
          </w:p>
        </w:tc>
        <w:tc>
          <w:tcPr>
            <w:tcW w:w="1451" w:type="dxa"/>
          </w:tcPr>
          <w:p w14:paraId="74A9F6BF">
            <w:pPr>
              <w:ind w:firstLine="210" w:firstLineChars="100"/>
              <w:rPr>
                <w:rFonts w:hint="default" w:ascii="Times New Roman" w:hAnsi="Times New Roman" w:eastAsia="宋体" w:cs="Times New Roman"/>
                <w:color w:val="auto"/>
                <w:szCs w:val="21"/>
                <w:highlight w:val="none"/>
                <w:vertAlign w:val="superscript"/>
                <w:lang w:eastAsia="zh-CN"/>
              </w:rPr>
            </w:pPr>
            <w:r>
              <w:rPr>
                <w:rFonts w:hint="default" w:ascii="Times New Roman" w:hAnsi="Times New Roman" w:cs="Times New Roman"/>
                <w:color w:val="auto"/>
                <w:szCs w:val="21"/>
                <w:highlight w:val="none"/>
                <w:shd w:val="clear" w:fill="A4A4A4" w:themeFill="background1" w:themeFillShade="A5"/>
              </w:rPr>
              <w:t>占用破坏林地或草地小于等于2h</w:t>
            </w:r>
            <w:r>
              <w:rPr>
                <w:rFonts w:hint="default" w:ascii="Times New Roman" w:hAnsi="Times New Roman" w:cs="Times New Roman"/>
                <w:color w:val="auto"/>
                <w:szCs w:val="21"/>
                <w:highlight w:val="none"/>
                <w:shd w:val="clear" w:fill="A4A4A4" w:themeFill="background1" w:themeFillShade="A5"/>
                <w:lang w:eastAsia="zh-CN"/>
              </w:rPr>
              <w:t>m</w:t>
            </w:r>
            <w:r>
              <w:rPr>
                <w:rFonts w:hint="default" w:ascii="Times New Roman" w:hAnsi="Times New Roman" w:cs="Times New Roman"/>
                <w:color w:val="auto"/>
                <w:szCs w:val="21"/>
                <w:highlight w:val="none"/>
                <w:shd w:val="clear" w:fill="A4A4A4" w:themeFill="background1" w:themeFillShade="A5"/>
                <w:vertAlign w:val="superscript"/>
                <w:lang w:eastAsia="zh-CN"/>
              </w:rPr>
              <w:t>2</w:t>
            </w:r>
          </w:p>
          <w:p w14:paraId="77391F1E">
            <w:pPr>
              <w:ind w:firstLine="210" w:firstLineChars="100"/>
              <w:rPr>
                <w:rFonts w:hint="default" w:ascii="Times New Roman" w:hAnsi="Times New Roman" w:eastAsia="宋体" w:cs="Times New Roman"/>
                <w:color w:val="auto"/>
                <w:szCs w:val="21"/>
                <w:highlight w:val="none"/>
                <w:vertAlign w:val="superscript"/>
                <w:lang w:eastAsia="zh-CN"/>
              </w:rPr>
            </w:pPr>
            <w:r>
              <w:rPr>
                <w:rFonts w:hint="default" w:ascii="Times New Roman" w:hAnsi="Times New Roman" w:cs="Times New Roman"/>
                <w:color w:val="auto"/>
                <w:szCs w:val="21"/>
                <w:highlight w:val="none"/>
              </w:rPr>
              <w:t>占用破坏荒山或未开发利用土地小于等于10h</w:t>
            </w:r>
            <w:r>
              <w:rPr>
                <w:rFonts w:hint="default" w:ascii="Times New Roman" w:hAnsi="Times New Roman" w:cs="Times New Roman"/>
                <w:color w:val="auto"/>
                <w:szCs w:val="21"/>
                <w:highlight w:val="none"/>
                <w:lang w:eastAsia="zh-CN"/>
              </w:rPr>
              <w:t>m</w:t>
            </w:r>
            <w:r>
              <w:rPr>
                <w:rFonts w:hint="default" w:ascii="Times New Roman" w:hAnsi="Times New Roman" w:cs="Times New Roman"/>
                <w:color w:val="auto"/>
                <w:szCs w:val="21"/>
                <w:highlight w:val="none"/>
                <w:vertAlign w:val="superscript"/>
                <w:lang w:eastAsia="zh-CN"/>
              </w:rPr>
              <w:t>2</w:t>
            </w:r>
          </w:p>
        </w:tc>
      </w:tr>
      <w:tr w14:paraId="6AB41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1" w:hRule="atLeast"/>
        </w:trPr>
        <w:tc>
          <w:tcPr>
            <w:tcW w:w="8997" w:type="dxa"/>
            <w:gridSpan w:val="5"/>
            <w:tcBorders>
              <w:left w:val="single" w:color="FFFFFF" w:sz="4" w:space="0"/>
              <w:bottom w:val="single" w:color="FFFFFF" w:sz="4" w:space="0"/>
              <w:right w:val="single" w:color="FFFFFF" w:sz="4" w:space="0"/>
            </w:tcBorders>
            <w:vAlign w:val="center"/>
          </w:tcPr>
          <w:p w14:paraId="411CFD52">
            <w:pPr>
              <w:rPr>
                <w:rFonts w:hint="default" w:ascii="Times New Roman" w:hAnsi="Times New Roman" w:cs="Times New Roman"/>
                <w:color w:val="auto"/>
                <w:szCs w:val="21"/>
                <w:highlight w:val="none"/>
              </w:rPr>
            </w:pPr>
            <w:r>
              <w:rPr>
                <w:rFonts w:hint="default" w:ascii="Times New Roman" w:hAnsi="Times New Roman" w:cs="Times New Roman"/>
                <w:bCs/>
                <w:color w:val="auto"/>
                <w:szCs w:val="21"/>
                <w:highlight w:val="none"/>
              </w:rPr>
              <w:t>注：分级</w:t>
            </w:r>
            <w:r>
              <w:rPr>
                <w:rFonts w:hint="default" w:ascii="Times New Roman" w:hAnsi="Times New Roman" w:cs="Times New Roman"/>
                <w:color w:val="auto"/>
                <w:szCs w:val="21"/>
                <w:highlight w:val="none"/>
              </w:rPr>
              <w:t>确定</w:t>
            </w:r>
            <w:r>
              <w:rPr>
                <w:rFonts w:hint="default" w:ascii="Times New Roman" w:hAnsi="Times New Roman" w:cs="Times New Roman"/>
                <w:bCs/>
                <w:color w:val="auto"/>
                <w:szCs w:val="21"/>
                <w:highlight w:val="none"/>
              </w:rPr>
              <w:t>采取</w:t>
            </w:r>
            <w:r>
              <w:rPr>
                <w:rFonts w:hint="default" w:ascii="Times New Roman" w:hAnsi="Times New Roman" w:cs="Times New Roman"/>
                <w:color w:val="auto"/>
                <w:szCs w:val="21"/>
                <w:highlight w:val="none"/>
              </w:rPr>
              <w:t>上一级别优先原则</w:t>
            </w:r>
            <w:r>
              <w:rPr>
                <w:rFonts w:hint="default" w:ascii="Times New Roman" w:hAnsi="Times New Roman" w:cs="Times New Roman"/>
                <w:bCs/>
                <w:color w:val="auto"/>
                <w:szCs w:val="21"/>
                <w:highlight w:val="none"/>
              </w:rPr>
              <w:t>，只要有一项要素符合某一级别，就定为该级别。</w:t>
            </w:r>
          </w:p>
        </w:tc>
      </w:tr>
    </w:tbl>
    <w:p w14:paraId="30F110D5">
      <w:pPr>
        <w:keepNext/>
        <w:keepLines/>
        <w:widowControl w:val="0"/>
        <w:spacing w:before="260" w:after="260" w:line="416" w:lineRule="auto"/>
        <w:outlineLvl w:val="2"/>
        <w:rPr>
          <w:rFonts w:hint="default" w:ascii="Times New Roman" w:hAnsi="Times New Roman" w:eastAsia="黑体" w:cs="Times New Roman"/>
          <w:bCs/>
          <w:color w:val="auto"/>
          <w:sz w:val="28"/>
          <w:szCs w:val="28"/>
          <w:highlight w:val="none"/>
        </w:rPr>
      </w:pPr>
      <w:r>
        <w:rPr>
          <w:rFonts w:hint="default" w:ascii="Times New Roman" w:hAnsi="Times New Roman" w:eastAsia="黑体" w:cs="Times New Roman"/>
          <w:bCs/>
          <w:color w:val="auto"/>
          <w:sz w:val="28"/>
          <w:szCs w:val="28"/>
          <w:highlight w:val="none"/>
        </w:rPr>
        <w:t>（五）矿区水土环境污染现状分析与预测</w:t>
      </w:r>
      <w:bookmarkEnd w:id="134"/>
    </w:p>
    <w:p w14:paraId="7C8EA55E">
      <w:pPr>
        <w:spacing w:line="360" w:lineRule="auto"/>
        <w:ind w:firstLine="482" w:firstLineChars="200"/>
        <w:rPr>
          <w:rFonts w:hint="default" w:ascii="Times New Roman" w:hAnsi="Times New Roman" w:cs="Times New Roman"/>
          <w:b/>
          <w:bCs/>
          <w:color w:val="auto"/>
          <w:sz w:val="24"/>
          <w:highlight w:val="none"/>
          <w:lang w:val="en-US" w:eastAsia="zh-CN"/>
        </w:rPr>
      </w:pPr>
      <w:r>
        <w:rPr>
          <w:rFonts w:hint="default" w:ascii="Times New Roman" w:hAnsi="Times New Roman" w:cs="Times New Roman"/>
          <w:b/>
          <w:bCs/>
          <w:color w:val="auto"/>
          <w:sz w:val="24"/>
          <w:highlight w:val="none"/>
          <w:lang w:val="en-US" w:eastAsia="zh-CN"/>
        </w:rPr>
        <w:t>1、矿区水土环境污染预测分析</w:t>
      </w:r>
    </w:p>
    <w:p w14:paraId="1B338534">
      <w:pPr>
        <w:spacing w:line="360" w:lineRule="auto"/>
        <w:ind w:firstLine="480" w:firstLineChars="200"/>
        <w:jc w:val="both"/>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lang w:val="en-US" w:eastAsia="zh-CN"/>
        </w:rPr>
        <w:t>水土污染主要指粉尘、污水、固体废弃物等对水土环境的污染。现状矿山开采中，矿山生产不产生工业污水，矿山产生的少量的生活污水，排至矿山旱厕集中处理，及时清理至附近农田作为农家肥料，对地下水及地表水污染较轻；矿山凿岩、爆破等产生的粉尘排放量较小，基本控制在采场范围内，且矿山开采过程中采取洒水等控制粉尘飞扬，基本达到了除尘的目的，对水土环境污染较小；矿山开采产生的固体废弃物主要为矿山生产过程中剥离的山皮石及不能利用的废石和生活垃圾，废石合理堆放于</w:t>
      </w:r>
      <w:r>
        <w:rPr>
          <w:rFonts w:hint="eastAsia" w:cs="Times New Roman"/>
          <w:bCs/>
          <w:color w:val="auto"/>
          <w:sz w:val="24"/>
          <w:highlight w:val="none"/>
          <w:lang w:val="en-US" w:eastAsia="zh-CN"/>
        </w:rPr>
        <w:t>临时堆料场和工业广场</w:t>
      </w:r>
      <w:r>
        <w:rPr>
          <w:rFonts w:hint="default" w:ascii="Times New Roman" w:hAnsi="Times New Roman" w:cs="Times New Roman"/>
          <w:bCs/>
          <w:color w:val="auto"/>
          <w:sz w:val="24"/>
          <w:highlight w:val="none"/>
          <w:lang w:val="en-US" w:eastAsia="zh-CN"/>
        </w:rPr>
        <w:t>，且废石中不含污染成分，对水土环境污染较轻，生活垃圾定期外运，对水土环境污染较轻。但</w:t>
      </w:r>
      <w:r>
        <w:rPr>
          <w:rFonts w:hint="eastAsia" w:cs="Times New Roman"/>
          <w:bCs/>
          <w:color w:val="auto"/>
          <w:sz w:val="24"/>
          <w:highlight w:val="none"/>
          <w:lang w:val="en-US" w:eastAsia="zh-CN"/>
        </w:rPr>
        <w:t>料场</w:t>
      </w:r>
      <w:r>
        <w:rPr>
          <w:rFonts w:hint="default" w:ascii="Times New Roman" w:hAnsi="Times New Roman" w:cs="Times New Roman"/>
          <w:bCs/>
          <w:color w:val="auto"/>
          <w:sz w:val="24"/>
          <w:highlight w:val="none"/>
          <w:lang w:val="en-US" w:eastAsia="zh-CN"/>
        </w:rPr>
        <w:t>、</w:t>
      </w:r>
      <w:r>
        <w:rPr>
          <w:rFonts w:hint="eastAsia" w:cs="Times New Roman"/>
          <w:bCs/>
          <w:color w:val="auto"/>
          <w:sz w:val="24"/>
          <w:highlight w:val="none"/>
          <w:lang w:val="en-US" w:eastAsia="zh-CN"/>
        </w:rPr>
        <w:t>表土堆场、</w:t>
      </w:r>
      <w:r>
        <w:rPr>
          <w:rFonts w:hint="default" w:ascii="Times New Roman" w:hAnsi="Times New Roman" w:cs="Times New Roman"/>
          <w:bCs/>
          <w:color w:val="auto"/>
          <w:sz w:val="24"/>
          <w:highlight w:val="none"/>
          <w:lang w:val="en-US" w:eastAsia="zh-CN"/>
        </w:rPr>
        <w:t>机械设备等对土地产生压占，一定程度上改变了土壤的理化性质，但经过翻耕、覆土、植树等活动可恢复土壤性质，故总体来说对水土环境的影响较轻</w:t>
      </w:r>
      <w:r>
        <w:rPr>
          <w:rFonts w:hint="default" w:ascii="Times New Roman" w:hAnsi="Times New Roman" w:cs="Times New Roman"/>
          <w:bCs/>
          <w:color w:val="auto"/>
          <w:sz w:val="24"/>
          <w:highlight w:val="none"/>
        </w:rPr>
        <w:t>。</w:t>
      </w:r>
    </w:p>
    <w:p w14:paraId="279FA8D8">
      <w:pPr>
        <w:spacing w:line="360" w:lineRule="auto"/>
        <w:ind w:firstLine="482" w:firstLineChars="200"/>
        <w:rPr>
          <w:rFonts w:hint="default" w:ascii="Times New Roman" w:hAnsi="Times New Roman" w:cs="Times New Roman"/>
          <w:b/>
          <w:bCs/>
          <w:color w:val="auto"/>
          <w:sz w:val="24"/>
          <w:highlight w:val="none"/>
          <w:lang w:val="en-US" w:eastAsia="zh-CN"/>
        </w:rPr>
      </w:pPr>
      <w:r>
        <w:rPr>
          <w:rFonts w:hint="default" w:ascii="Times New Roman" w:hAnsi="Times New Roman" w:cs="Times New Roman"/>
          <w:b/>
          <w:bCs/>
          <w:color w:val="auto"/>
          <w:sz w:val="24"/>
          <w:highlight w:val="none"/>
          <w:lang w:val="en-US" w:eastAsia="zh-CN"/>
        </w:rPr>
        <w:t>2、矿区水土环境污染预测分析</w:t>
      </w:r>
    </w:p>
    <w:p w14:paraId="06B0B893">
      <w:pPr>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矿山持续开采将对水土环境产生污染，该矿山在未来开采过程中产生的水土环境污染包括粉尘、污水、固体废弃物等。矿山开采严格按照开发利用方案设计，采取降尘、合理堆放、排污等方式处理将对水土环境的污染较轻。故预测分析矿山开采对矿区水土环境污染较轻。项目</w:t>
      </w:r>
      <w:r>
        <w:rPr>
          <w:rFonts w:hint="eastAsia" w:cs="Times New Roman"/>
          <w:bCs/>
          <w:color w:val="auto"/>
          <w:kern w:val="0"/>
          <w:sz w:val="24"/>
          <w:highlight w:val="none"/>
          <w:lang w:val="en-US" w:eastAsia="zh-CN"/>
        </w:rPr>
        <w:t>料场、</w:t>
      </w:r>
      <w:r>
        <w:rPr>
          <w:rFonts w:hint="default" w:ascii="Times New Roman" w:hAnsi="Times New Roman" w:cs="Times New Roman"/>
          <w:bCs/>
          <w:color w:val="auto"/>
          <w:kern w:val="0"/>
          <w:sz w:val="24"/>
          <w:highlight w:val="none"/>
        </w:rPr>
        <w:t>机械设备、道路等继续对土地产生压占，一定程度上改变了土壤的理化性质，但经过翻耕、覆土、植树等活动可恢复土壤性质，故总体来说对水土环境的影响较轻。因此预测矿山开采对水土环境污染较轻。</w:t>
      </w:r>
    </w:p>
    <w:p w14:paraId="5F59F1D3">
      <w:pPr>
        <w:keepNext/>
        <w:keepLines/>
        <w:widowControl w:val="0"/>
        <w:spacing w:before="260" w:after="260" w:line="415" w:lineRule="auto"/>
        <w:outlineLvl w:val="1"/>
        <w:rPr>
          <w:rFonts w:hint="default" w:ascii="Times New Roman" w:hAnsi="Times New Roman" w:eastAsia="黑体" w:cs="Times New Roman"/>
          <w:bCs/>
          <w:color w:val="auto"/>
          <w:sz w:val="30"/>
          <w:szCs w:val="30"/>
          <w:highlight w:val="none"/>
        </w:rPr>
      </w:pPr>
      <w:bookmarkStart w:id="135" w:name="_Toc485629695"/>
      <w:bookmarkStart w:id="136" w:name="_Toc26443"/>
      <w:bookmarkStart w:id="137" w:name="_Toc488075679"/>
      <w:r>
        <w:rPr>
          <w:rFonts w:hint="default" w:ascii="Times New Roman" w:hAnsi="Times New Roman" w:eastAsia="黑体" w:cs="Times New Roman"/>
          <w:bCs/>
          <w:color w:val="auto"/>
          <w:sz w:val="30"/>
          <w:szCs w:val="30"/>
          <w:highlight w:val="none"/>
        </w:rPr>
        <w:t>三、矿山土地损毁预测与评估</w:t>
      </w:r>
      <w:bookmarkEnd w:id="135"/>
      <w:bookmarkEnd w:id="136"/>
      <w:bookmarkEnd w:id="137"/>
    </w:p>
    <w:p w14:paraId="0EB0F96C">
      <w:pPr>
        <w:pStyle w:val="5"/>
        <w:rPr>
          <w:rFonts w:hint="default" w:ascii="Times New Roman" w:hAnsi="Times New Roman" w:eastAsia="黑体" w:cs="Times New Roman"/>
          <w:b w:val="0"/>
          <w:bCs w:val="0"/>
          <w:color w:val="auto"/>
          <w:szCs w:val="28"/>
          <w:highlight w:val="none"/>
        </w:rPr>
      </w:pPr>
      <w:r>
        <w:rPr>
          <w:rFonts w:hint="default" w:ascii="Times New Roman" w:hAnsi="Times New Roman" w:eastAsia="黑体" w:cs="Times New Roman"/>
          <w:b w:val="0"/>
          <w:bCs w:val="0"/>
          <w:color w:val="auto"/>
          <w:szCs w:val="28"/>
          <w:highlight w:val="none"/>
        </w:rPr>
        <w:t>（一）土地损毁环节与时序</w:t>
      </w:r>
      <w:bookmarkEnd w:id="131"/>
      <w:bookmarkStart w:id="138" w:name="_Toc485629697"/>
    </w:p>
    <w:p w14:paraId="7DF9F0DE">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本矿山为生产矿山，矿山开采在带来经济效益的同时，给当地的地质环境、土壤环境、生态环境带来了</w:t>
      </w:r>
      <w:r>
        <w:rPr>
          <w:rFonts w:hint="default" w:ascii="Times New Roman" w:hAnsi="Times New Roman" w:cs="Times New Roman"/>
          <w:color w:val="auto"/>
          <w:kern w:val="0"/>
          <w:sz w:val="24"/>
          <w:highlight w:val="none"/>
          <w:lang w:eastAsia="zh-CN"/>
        </w:rPr>
        <w:t>损害</w:t>
      </w:r>
      <w:r>
        <w:rPr>
          <w:rFonts w:hint="default" w:ascii="Times New Roman" w:hAnsi="Times New Roman" w:cs="Times New Roman"/>
          <w:color w:val="auto"/>
          <w:kern w:val="0"/>
          <w:sz w:val="24"/>
          <w:highlight w:val="none"/>
        </w:rPr>
        <w:t>。土地损毁发生的环节与矿山建设息息相关。矿山开采造成的土地损毁主要体现在矿山基建期和矿山开采期。土地损毁随着矿山开采而逐渐加重。</w:t>
      </w:r>
    </w:p>
    <w:p w14:paraId="1C025B61">
      <w:pPr>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以往露天开采的土地损毁，主要体现在露天采场对土地的挖损、矿山道路</w:t>
      </w:r>
      <w:r>
        <w:rPr>
          <w:rFonts w:hint="eastAsia" w:cs="Times New Roman"/>
          <w:color w:val="auto"/>
          <w:kern w:val="0"/>
          <w:sz w:val="24"/>
          <w:highlight w:val="none"/>
          <w:lang w:val="en-US" w:eastAsia="zh-CN"/>
        </w:rPr>
        <w:t>、</w:t>
      </w:r>
      <w:r>
        <w:rPr>
          <w:rFonts w:hint="default" w:ascii="Times New Roman" w:hAnsi="Times New Roman" w:cs="Times New Roman"/>
          <w:color w:val="auto"/>
          <w:kern w:val="0"/>
          <w:sz w:val="24"/>
          <w:highlight w:val="none"/>
          <w:lang w:val="en-US" w:eastAsia="zh-CN"/>
        </w:rPr>
        <w:t>工业广场</w:t>
      </w:r>
      <w:r>
        <w:rPr>
          <w:rFonts w:hint="eastAsia" w:cs="Times New Roman"/>
          <w:color w:val="auto"/>
          <w:kern w:val="0"/>
          <w:sz w:val="24"/>
          <w:highlight w:val="none"/>
          <w:lang w:val="en-US" w:eastAsia="zh-CN"/>
        </w:rPr>
        <w:t>、表土堆场</w:t>
      </w:r>
      <w:r>
        <w:rPr>
          <w:rFonts w:hint="default" w:ascii="Times New Roman" w:hAnsi="Times New Roman" w:cs="Times New Roman"/>
          <w:color w:val="auto"/>
          <w:kern w:val="0"/>
          <w:sz w:val="24"/>
          <w:highlight w:val="none"/>
          <w:lang w:val="en-US" w:eastAsia="zh-CN"/>
        </w:rPr>
        <w:t>等对土地的压占。</w:t>
      </w:r>
    </w:p>
    <w:p w14:paraId="18C7FE54">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土地破坏时序、形式及方式见表3-</w:t>
      </w:r>
      <w:r>
        <w:rPr>
          <w:rFonts w:hint="eastAsia" w:cs="Times New Roman"/>
          <w:color w:val="auto"/>
          <w:sz w:val="24"/>
          <w:highlight w:val="none"/>
          <w:lang w:val="en-US" w:eastAsia="zh-CN"/>
        </w:rPr>
        <w:t>9</w:t>
      </w:r>
      <w:r>
        <w:rPr>
          <w:rFonts w:hint="default" w:ascii="Times New Roman" w:hAnsi="Times New Roman" w:cs="Times New Roman"/>
          <w:color w:val="auto"/>
          <w:sz w:val="24"/>
          <w:highlight w:val="none"/>
        </w:rPr>
        <w:t>。</w:t>
      </w:r>
    </w:p>
    <w:p w14:paraId="7797D1CF">
      <w:pPr>
        <w:wordWrap w:val="0"/>
        <w:jc w:val="center"/>
        <w:rPr>
          <w:rFonts w:hint="default" w:ascii="Times New Roman" w:hAnsi="Times New Roman" w:eastAsia="黑体" w:cs="Times New Roman"/>
          <w:bCs/>
          <w:color w:val="auto"/>
          <w:szCs w:val="21"/>
          <w:highlight w:val="none"/>
        </w:rPr>
      </w:pPr>
      <w:r>
        <w:rPr>
          <w:rFonts w:hint="default" w:ascii="Times New Roman" w:hAnsi="Times New Roman" w:eastAsia="黑体" w:cs="Times New Roman"/>
          <w:bCs/>
          <w:color w:val="auto"/>
          <w:szCs w:val="21"/>
          <w:highlight w:val="none"/>
        </w:rPr>
        <w:t>表3-</w:t>
      </w:r>
      <w:r>
        <w:rPr>
          <w:rFonts w:hint="eastAsia" w:eastAsia="黑体" w:cs="Times New Roman"/>
          <w:bCs/>
          <w:color w:val="auto"/>
          <w:szCs w:val="21"/>
          <w:highlight w:val="none"/>
          <w:lang w:val="en-US" w:eastAsia="zh-CN"/>
        </w:rPr>
        <w:t>9</w:t>
      </w:r>
      <w:r>
        <w:rPr>
          <w:rFonts w:hint="default" w:ascii="Times New Roman" w:hAnsi="Times New Roman" w:eastAsia="黑体" w:cs="Times New Roman"/>
          <w:bCs/>
          <w:color w:val="auto"/>
          <w:szCs w:val="21"/>
          <w:highlight w:val="none"/>
          <w:lang w:val="en-US" w:eastAsia="zh-CN"/>
        </w:rPr>
        <w:t xml:space="preserve"> </w:t>
      </w:r>
      <w:r>
        <w:rPr>
          <w:rFonts w:hint="default" w:ascii="Times New Roman" w:hAnsi="Times New Roman" w:eastAsia="黑体" w:cs="Times New Roman"/>
          <w:bCs/>
          <w:color w:val="auto"/>
          <w:szCs w:val="21"/>
          <w:highlight w:val="none"/>
        </w:rPr>
        <w:t xml:space="preserve"> 土地损毁形式表</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94"/>
        <w:gridCol w:w="3544"/>
        <w:gridCol w:w="1184"/>
      </w:tblGrid>
      <w:tr w14:paraId="02B21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exact"/>
        </w:trPr>
        <w:tc>
          <w:tcPr>
            <w:tcW w:w="3794" w:type="dxa"/>
            <w:noWrap w:val="0"/>
            <w:vAlign w:val="center"/>
          </w:tcPr>
          <w:p w14:paraId="70796329">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破坏单元</w:t>
            </w:r>
          </w:p>
        </w:tc>
        <w:tc>
          <w:tcPr>
            <w:tcW w:w="3544" w:type="dxa"/>
            <w:noWrap w:val="0"/>
            <w:vAlign w:val="center"/>
          </w:tcPr>
          <w:p w14:paraId="1AAF4ED7">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破坏形式</w:t>
            </w:r>
          </w:p>
        </w:tc>
        <w:tc>
          <w:tcPr>
            <w:tcW w:w="1184" w:type="dxa"/>
            <w:noWrap w:val="0"/>
            <w:vAlign w:val="center"/>
          </w:tcPr>
          <w:p w14:paraId="2EEFF35F">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破坏方式</w:t>
            </w:r>
          </w:p>
        </w:tc>
      </w:tr>
      <w:tr w14:paraId="64623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4" w:hRule="exact"/>
        </w:trPr>
        <w:tc>
          <w:tcPr>
            <w:tcW w:w="3794" w:type="dxa"/>
            <w:noWrap w:val="0"/>
            <w:vAlign w:val="center"/>
          </w:tcPr>
          <w:p w14:paraId="1FAAE5D0">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露天采场</w:t>
            </w:r>
          </w:p>
        </w:tc>
        <w:tc>
          <w:tcPr>
            <w:tcW w:w="3544" w:type="dxa"/>
            <w:noWrap w:val="0"/>
            <w:vAlign w:val="center"/>
          </w:tcPr>
          <w:p w14:paraId="4454FE0A">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露天开采挖损</w:t>
            </w:r>
          </w:p>
        </w:tc>
        <w:tc>
          <w:tcPr>
            <w:tcW w:w="1184" w:type="dxa"/>
            <w:noWrap w:val="0"/>
            <w:vAlign w:val="center"/>
          </w:tcPr>
          <w:p w14:paraId="7C40B7A9">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挖损</w:t>
            </w:r>
          </w:p>
        </w:tc>
      </w:tr>
      <w:tr w14:paraId="418DF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exact"/>
        </w:trPr>
        <w:tc>
          <w:tcPr>
            <w:tcW w:w="3794" w:type="dxa"/>
            <w:noWrap w:val="0"/>
            <w:vAlign w:val="center"/>
          </w:tcPr>
          <w:p w14:paraId="79885CC3">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rPr>
              <w:t>工业广场、</w:t>
            </w:r>
            <w:r>
              <w:rPr>
                <w:rFonts w:hint="eastAsia" w:cs="Times New Roman"/>
                <w:color w:val="auto"/>
                <w:kern w:val="0"/>
                <w:sz w:val="21"/>
                <w:szCs w:val="21"/>
                <w:highlight w:val="none"/>
                <w:lang w:val="en-US" w:eastAsia="zh-CN"/>
              </w:rPr>
              <w:t xml:space="preserve"> 生产生活区</w:t>
            </w:r>
            <w:r>
              <w:rPr>
                <w:rFonts w:hint="default" w:ascii="Times New Roman" w:hAnsi="Times New Roman" w:cs="Times New Roman"/>
                <w:color w:val="auto"/>
                <w:kern w:val="0"/>
                <w:sz w:val="21"/>
                <w:szCs w:val="21"/>
                <w:highlight w:val="none"/>
              </w:rPr>
              <w:t>、矿区道路</w:t>
            </w:r>
            <w:r>
              <w:rPr>
                <w:rFonts w:hint="default" w:ascii="Times New Roman" w:hAnsi="Times New Roman" w:cs="Times New Roman"/>
                <w:color w:val="auto"/>
                <w:kern w:val="0"/>
                <w:sz w:val="21"/>
                <w:szCs w:val="21"/>
                <w:highlight w:val="none"/>
                <w:lang w:val="en-US" w:eastAsia="zh-CN"/>
              </w:rPr>
              <w:t>等</w:t>
            </w:r>
          </w:p>
        </w:tc>
        <w:tc>
          <w:tcPr>
            <w:tcW w:w="3544" w:type="dxa"/>
            <w:noWrap w:val="0"/>
            <w:vAlign w:val="center"/>
          </w:tcPr>
          <w:p w14:paraId="7269C7D7">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建筑物砌筑及生产生活活动</w:t>
            </w:r>
          </w:p>
        </w:tc>
        <w:tc>
          <w:tcPr>
            <w:tcW w:w="1184" w:type="dxa"/>
            <w:noWrap w:val="0"/>
            <w:vAlign w:val="center"/>
          </w:tcPr>
          <w:p w14:paraId="3466A9CA">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压占</w:t>
            </w:r>
          </w:p>
        </w:tc>
      </w:tr>
    </w:tbl>
    <w:p w14:paraId="28491C7D">
      <w:pPr>
        <w:spacing w:line="360" w:lineRule="auto"/>
        <w:ind w:firstLine="480" w:firstLineChars="200"/>
        <w:rPr>
          <w:bCs/>
          <w:color w:val="auto"/>
          <w:kern w:val="0"/>
          <w:sz w:val="24"/>
          <w:highlight w:val="none"/>
        </w:rPr>
      </w:pPr>
      <w:r>
        <w:rPr>
          <w:bCs/>
          <w:color w:val="auto"/>
          <w:kern w:val="0"/>
          <w:sz w:val="24"/>
          <w:highlight w:val="none"/>
        </w:rPr>
        <w:t>a）土地损毁类型划分依据</w:t>
      </w:r>
    </w:p>
    <w:p w14:paraId="17D6A5AE">
      <w:pPr>
        <w:spacing w:line="360" w:lineRule="auto"/>
        <w:ind w:firstLine="480" w:firstLineChars="200"/>
        <w:rPr>
          <w:bCs/>
          <w:color w:val="auto"/>
          <w:kern w:val="0"/>
          <w:sz w:val="24"/>
          <w:highlight w:val="none"/>
        </w:rPr>
      </w:pPr>
      <w:r>
        <w:rPr>
          <w:bCs/>
          <w:color w:val="auto"/>
          <w:kern w:val="0"/>
          <w:sz w:val="24"/>
          <w:highlight w:val="none"/>
        </w:rPr>
        <w:t>依据《土地复垦质量控制标准》（TD/T1036-2013）附录A：土地损毁类型表（见表3-</w:t>
      </w:r>
      <w:r>
        <w:rPr>
          <w:rFonts w:hint="eastAsia"/>
          <w:bCs/>
          <w:color w:val="auto"/>
          <w:kern w:val="0"/>
          <w:sz w:val="24"/>
          <w:highlight w:val="none"/>
          <w:lang w:val="en-US" w:eastAsia="zh-CN"/>
        </w:rPr>
        <w:t>10</w:t>
      </w:r>
      <w:r>
        <w:rPr>
          <w:bCs/>
          <w:color w:val="auto"/>
          <w:kern w:val="0"/>
          <w:sz w:val="24"/>
          <w:highlight w:val="none"/>
        </w:rPr>
        <w:t>）进行土地损毁类型划分。</w:t>
      </w:r>
    </w:p>
    <w:p w14:paraId="209ECC85">
      <w:pPr>
        <w:spacing w:line="480" w:lineRule="exact"/>
        <w:ind w:firstLine="448"/>
        <w:jc w:val="center"/>
        <w:rPr>
          <w:rFonts w:eastAsia="黑体"/>
          <w:color w:val="auto"/>
          <w:szCs w:val="21"/>
          <w:highlight w:val="none"/>
        </w:rPr>
      </w:pPr>
      <w:r>
        <w:rPr>
          <w:rFonts w:eastAsia="黑体"/>
          <w:color w:val="auto"/>
          <w:szCs w:val="21"/>
          <w:highlight w:val="none"/>
        </w:rPr>
        <w:t>表3</w:t>
      </w:r>
      <w:r>
        <w:rPr>
          <w:rFonts w:hint="eastAsia" w:eastAsia="黑体"/>
          <w:color w:val="auto"/>
          <w:szCs w:val="21"/>
          <w:highlight w:val="none"/>
          <w:lang w:val="en-US" w:eastAsia="zh-CN"/>
        </w:rPr>
        <w:t>-10</w:t>
      </w:r>
      <w:r>
        <w:rPr>
          <w:rFonts w:eastAsia="黑体"/>
          <w:color w:val="auto"/>
          <w:szCs w:val="21"/>
          <w:highlight w:val="none"/>
        </w:rPr>
        <w:t xml:space="preserve">  土地损毁类型表</w:t>
      </w:r>
    </w:p>
    <w:tbl>
      <w:tblPr>
        <w:tblStyle w:val="34"/>
        <w:tblW w:w="852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3"/>
        <w:gridCol w:w="1612"/>
        <w:gridCol w:w="896"/>
        <w:gridCol w:w="1467"/>
        <w:gridCol w:w="1038"/>
        <w:gridCol w:w="2692"/>
      </w:tblGrid>
      <w:tr w14:paraId="1E79F5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435" w:type="dxa"/>
            <w:gridSpan w:val="2"/>
            <w:tcBorders>
              <w:top w:val="single" w:color="auto" w:sz="4" w:space="0"/>
              <w:left w:val="single" w:color="auto" w:sz="4" w:space="0"/>
              <w:tl2br w:val="nil"/>
              <w:tr2bl w:val="nil"/>
            </w:tcBorders>
            <w:vAlign w:val="center"/>
          </w:tcPr>
          <w:p w14:paraId="0718C8A9">
            <w:pPr>
              <w:pStyle w:val="167"/>
              <w:rPr>
                <w:rFonts w:eastAsia="宋体"/>
                <w:color w:val="auto"/>
                <w:highlight w:val="none"/>
              </w:rPr>
            </w:pPr>
            <w:r>
              <w:rPr>
                <w:rFonts w:eastAsia="宋体"/>
                <w:color w:val="auto"/>
                <w:highlight w:val="none"/>
              </w:rPr>
              <w:t>一级分类</w:t>
            </w:r>
          </w:p>
        </w:tc>
        <w:tc>
          <w:tcPr>
            <w:tcW w:w="2363" w:type="dxa"/>
            <w:gridSpan w:val="2"/>
            <w:tcBorders>
              <w:top w:val="single" w:color="auto" w:sz="4" w:space="0"/>
              <w:tl2br w:val="nil"/>
              <w:tr2bl w:val="nil"/>
            </w:tcBorders>
            <w:vAlign w:val="center"/>
          </w:tcPr>
          <w:p w14:paraId="5CD6B3AA">
            <w:pPr>
              <w:pStyle w:val="167"/>
              <w:rPr>
                <w:rFonts w:eastAsia="宋体"/>
                <w:color w:val="auto"/>
                <w:highlight w:val="none"/>
              </w:rPr>
            </w:pPr>
            <w:r>
              <w:rPr>
                <w:rFonts w:eastAsia="宋体"/>
                <w:color w:val="auto"/>
                <w:highlight w:val="none"/>
              </w:rPr>
              <w:t>二级分类</w:t>
            </w:r>
          </w:p>
        </w:tc>
        <w:tc>
          <w:tcPr>
            <w:tcW w:w="3730" w:type="dxa"/>
            <w:gridSpan w:val="2"/>
            <w:tcBorders>
              <w:top w:val="single" w:color="auto" w:sz="4" w:space="0"/>
              <w:right w:val="single" w:color="auto" w:sz="4" w:space="0"/>
              <w:tl2br w:val="nil"/>
              <w:tr2bl w:val="nil"/>
            </w:tcBorders>
            <w:vAlign w:val="center"/>
          </w:tcPr>
          <w:p w14:paraId="33B76A68">
            <w:pPr>
              <w:pStyle w:val="167"/>
              <w:rPr>
                <w:rFonts w:eastAsia="宋体"/>
                <w:color w:val="auto"/>
                <w:highlight w:val="none"/>
              </w:rPr>
            </w:pPr>
            <w:r>
              <w:rPr>
                <w:rFonts w:eastAsia="宋体"/>
                <w:color w:val="auto"/>
                <w:highlight w:val="none"/>
              </w:rPr>
              <w:t>三级分类</w:t>
            </w:r>
          </w:p>
        </w:tc>
      </w:tr>
      <w:tr w14:paraId="438E3D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23" w:type="dxa"/>
            <w:tcBorders>
              <w:left w:val="single" w:color="auto" w:sz="4" w:space="0"/>
              <w:tl2br w:val="nil"/>
              <w:tr2bl w:val="nil"/>
            </w:tcBorders>
            <w:vAlign w:val="center"/>
          </w:tcPr>
          <w:p w14:paraId="47DDEAEF">
            <w:pPr>
              <w:pStyle w:val="167"/>
              <w:rPr>
                <w:rFonts w:eastAsia="宋体"/>
                <w:color w:val="auto"/>
                <w:highlight w:val="none"/>
              </w:rPr>
            </w:pPr>
            <w:r>
              <w:rPr>
                <w:rFonts w:eastAsia="宋体"/>
                <w:color w:val="auto"/>
                <w:highlight w:val="none"/>
              </w:rPr>
              <w:t>代码</w:t>
            </w:r>
          </w:p>
        </w:tc>
        <w:tc>
          <w:tcPr>
            <w:tcW w:w="1612" w:type="dxa"/>
            <w:tcBorders>
              <w:tl2br w:val="nil"/>
              <w:tr2bl w:val="nil"/>
            </w:tcBorders>
            <w:vAlign w:val="center"/>
          </w:tcPr>
          <w:p w14:paraId="278AA360">
            <w:pPr>
              <w:pStyle w:val="167"/>
              <w:rPr>
                <w:rFonts w:eastAsia="宋体"/>
                <w:color w:val="auto"/>
                <w:highlight w:val="none"/>
              </w:rPr>
            </w:pPr>
            <w:r>
              <w:rPr>
                <w:rFonts w:eastAsia="宋体"/>
                <w:color w:val="auto"/>
                <w:highlight w:val="none"/>
              </w:rPr>
              <w:t>名称</w:t>
            </w:r>
          </w:p>
        </w:tc>
        <w:tc>
          <w:tcPr>
            <w:tcW w:w="896" w:type="dxa"/>
            <w:tcBorders>
              <w:tl2br w:val="nil"/>
              <w:tr2bl w:val="nil"/>
            </w:tcBorders>
            <w:vAlign w:val="center"/>
          </w:tcPr>
          <w:p w14:paraId="0CAA5778">
            <w:pPr>
              <w:pStyle w:val="167"/>
              <w:rPr>
                <w:rFonts w:eastAsia="宋体"/>
                <w:color w:val="auto"/>
                <w:highlight w:val="none"/>
              </w:rPr>
            </w:pPr>
            <w:r>
              <w:rPr>
                <w:rFonts w:eastAsia="宋体"/>
                <w:color w:val="auto"/>
                <w:highlight w:val="none"/>
              </w:rPr>
              <w:t>代码</w:t>
            </w:r>
          </w:p>
        </w:tc>
        <w:tc>
          <w:tcPr>
            <w:tcW w:w="1467" w:type="dxa"/>
            <w:tcBorders>
              <w:tl2br w:val="nil"/>
              <w:tr2bl w:val="nil"/>
            </w:tcBorders>
            <w:vAlign w:val="center"/>
          </w:tcPr>
          <w:p w14:paraId="7DEA55E8">
            <w:pPr>
              <w:pStyle w:val="167"/>
              <w:rPr>
                <w:rFonts w:eastAsia="宋体"/>
                <w:color w:val="auto"/>
                <w:highlight w:val="none"/>
              </w:rPr>
            </w:pPr>
            <w:r>
              <w:rPr>
                <w:rFonts w:eastAsia="宋体"/>
                <w:color w:val="auto"/>
                <w:highlight w:val="none"/>
              </w:rPr>
              <w:t>名称</w:t>
            </w:r>
          </w:p>
        </w:tc>
        <w:tc>
          <w:tcPr>
            <w:tcW w:w="1038" w:type="dxa"/>
            <w:tcBorders>
              <w:tl2br w:val="nil"/>
              <w:tr2bl w:val="nil"/>
            </w:tcBorders>
            <w:vAlign w:val="center"/>
          </w:tcPr>
          <w:p w14:paraId="21EE91C8">
            <w:pPr>
              <w:pStyle w:val="167"/>
              <w:rPr>
                <w:rFonts w:eastAsia="宋体"/>
                <w:color w:val="auto"/>
                <w:highlight w:val="none"/>
              </w:rPr>
            </w:pPr>
            <w:r>
              <w:rPr>
                <w:rFonts w:eastAsia="宋体"/>
                <w:color w:val="auto"/>
                <w:highlight w:val="none"/>
              </w:rPr>
              <w:t>代码</w:t>
            </w:r>
          </w:p>
        </w:tc>
        <w:tc>
          <w:tcPr>
            <w:tcW w:w="2692" w:type="dxa"/>
            <w:tcBorders>
              <w:right w:val="single" w:color="auto" w:sz="4" w:space="0"/>
              <w:tl2br w:val="nil"/>
              <w:tr2bl w:val="nil"/>
            </w:tcBorders>
            <w:vAlign w:val="center"/>
          </w:tcPr>
          <w:p w14:paraId="585B59BB">
            <w:pPr>
              <w:pStyle w:val="167"/>
              <w:rPr>
                <w:rFonts w:eastAsia="宋体"/>
                <w:color w:val="auto"/>
                <w:highlight w:val="none"/>
              </w:rPr>
            </w:pPr>
            <w:r>
              <w:rPr>
                <w:rFonts w:eastAsia="宋体"/>
                <w:color w:val="auto"/>
                <w:highlight w:val="none"/>
              </w:rPr>
              <w:t>名称</w:t>
            </w:r>
          </w:p>
        </w:tc>
      </w:tr>
      <w:tr w14:paraId="706BB1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3" w:type="dxa"/>
            <w:vMerge w:val="restart"/>
            <w:tcBorders>
              <w:left w:val="single" w:color="auto" w:sz="4" w:space="0"/>
              <w:tl2br w:val="nil"/>
              <w:tr2bl w:val="nil"/>
            </w:tcBorders>
            <w:vAlign w:val="center"/>
          </w:tcPr>
          <w:p w14:paraId="42ECF1B2">
            <w:pPr>
              <w:pStyle w:val="167"/>
              <w:rPr>
                <w:rFonts w:eastAsia="宋体"/>
                <w:color w:val="auto"/>
                <w:highlight w:val="none"/>
              </w:rPr>
            </w:pPr>
            <w:r>
              <w:rPr>
                <w:rFonts w:eastAsia="宋体"/>
                <w:color w:val="auto"/>
                <w:highlight w:val="none"/>
              </w:rPr>
              <w:t>1</w:t>
            </w:r>
          </w:p>
        </w:tc>
        <w:tc>
          <w:tcPr>
            <w:tcW w:w="1612" w:type="dxa"/>
            <w:vMerge w:val="restart"/>
            <w:tcBorders>
              <w:tl2br w:val="nil"/>
              <w:tr2bl w:val="nil"/>
            </w:tcBorders>
            <w:vAlign w:val="center"/>
          </w:tcPr>
          <w:p w14:paraId="17010AE4">
            <w:pPr>
              <w:pStyle w:val="167"/>
              <w:rPr>
                <w:rFonts w:eastAsia="宋体"/>
                <w:color w:val="auto"/>
                <w:highlight w:val="none"/>
              </w:rPr>
            </w:pPr>
            <w:r>
              <w:rPr>
                <w:rFonts w:eastAsia="宋体"/>
                <w:color w:val="auto"/>
                <w:highlight w:val="none"/>
              </w:rPr>
              <w:t>生产建设活动损毁</w:t>
            </w:r>
          </w:p>
        </w:tc>
        <w:tc>
          <w:tcPr>
            <w:tcW w:w="896" w:type="dxa"/>
            <w:tcBorders>
              <w:tl2br w:val="nil"/>
              <w:tr2bl w:val="nil"/>
            </w:tcBorders>
            <w:vAlign w:val="center"/>
          </w:tcPr>
          <w:p w14:paraId="1E0B7C69">
            <w:pPr>
              <w:pStyle w:val="167"/>
              <w:rPr>
                <w:rFonts w:eastAsia="宋体"/>
                <w:color w:val="auto"/>
                <w:highlight w:val="none"/>
              </w:rPr>
            </w:pPr>
            <w:r>
              <w:rPr>
                <w:rFonts w:eastAsia="宋体"/>
                <w:color w:val="auto"/>
                <w:highlight w:val="none"/>
              </w:rPr>
              <w:t>11</w:t>
            </w:r>
          </w:p>
        </w:tc>
        <w:tc>
          <w:tcPr>
            <w:tcW w:w="1467" w:type="dxa"/>
            <w:tcBorders>
              <w:tl2br w:val="nil"/>
              <w:tr2bl w:val="nil"/>
            </w:tcBorders>
            <w:vAlign w:val="center"/>
          </w:tcPr>
          <w:p w14:paraId="39B088BC">
            <w:pPr>
              <w:pStyle w:val="167"/>
              <w:rPr>
                <w:rFonts w:eastAsia="宋体"/>
                <w:color w:val="auto"/>
                <w:highlight w:val="none"/>
              </w:rPr>
            </w:pPr>
            <w:r>
              <w:rPr>
                <w:rFonts w:eastAsia="宋体"/>
                <w:color w:val="auto"/>
                <w:highlight w:val="none"/>
              </w:rPr>
              <w:t>挖损土地</w:t>
            </w:r>
          </w:p>
        </w:tc>
        <w:tc>
          <w:tcPr>
            <w:tcW w:w="1038" w:type="dxa"/>
            <w:tcBorders>
              <w:tl2br w:val="nil"/>
              <w:tr2bl w:val="nil"/>
            </w:tcBorders>
            <w:vAlign w:val="center"/>
          </w:tcPr>
          <w:p w14:paraId="447A5DCD">
            <w:pPr>
              <w:pStyle w:val="167"/>
              <w:rPr>
                <w:rFonts w:eastAsia="宋体"/>
                <w:color w:val="auto"/>
                <w:highlight w:val="none"/>
              </w:rPr>
            </w:pPr>
            <w:r>
              <w:rPr>
                <w:rFonts w:eastAsia="宋体"/>
                <w:color w:val="auto"/>
                <w:highlight w:val="none"/>
              </w:rPr>
              <w:t>111</w:t>
            </w:r>
          </w:p>
        </w:tc>
        <w:tc>
          <w:tcPr>
            <w:tcW w:w="2692" w:type="dxa"/>
            <w:tcBorders>
              <w:right w:val="single" w:color="auto" w:sz="4" w:space="0"/>
              <w:tl2br w:val="nil"/>
              <w:tr2bl w:val="nil"/>
            </w:tcBorders>
            <w:vAlign w:val="center"/>
          </w:tcPr>
          <w:p w14:paraId="256D6295">
            <w:pPr>
              <w:pStyle w:val="167"/>
              <w:rPr>
                <w:rFonts w:eastAsia="宋体"/>
                <w:color w:val="auto"/>
                <w:highlight w:val="none"/>
              </w:rPr>
            </w:pPr>
            <w:r>
              <w:rPr>
                <w:rFonts w:eastAsia="宋体"/>
                <w:color w:val="auto"/>
                <w:highlight w:val="none"/>
              </w:rPr>
              <w:t>露天采场（坑）</w:t>
            </w:r>
          </w:p>
        </w:tc>
      </w:tr>
      <w:tr w14:paraId="7E5001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3" w:type="dxa"/>
            <w:vMerge w:val="continue"/>
            <w:tcBorders>
              <w:left w:val="single" w:color="auto" w:sz="4" w:space="0"/>
              <w:bottom w:val="single" w:color="auto" w:sz="4" w:space="0"/>
              <w:tl2br w:val="nil"/>
              <w:tr2bl w:val="nil"/>
            </w:tcBorders>
            <w:vAlign w:val="center"/>
          </w:tcPr>
          <w:p w14:paraId="6E796E14">
            <w:pPr>
              <w:pStyle w:val="167"/>
              <w:rPr>
                <w:rFonts w:eastAsia="宋体"/>
                <w:color w:val="auto"/>
                <w:highlight w:val="none"/>
              </w:rPr>
            </w:pPr>
          </w:p>
        </w:tc>
        <w:tc>
          <w:tcPr>
            <w:tcW w:w="1612" w:type="dxa"/>
            <w:vMerge w:val="continue"/>
            <w:tcBorders>
              <w:bottom w:val="single" w:color="auto" w:sz="4" w:space="0"/>
              <w:tl2br w:val="nil"/>
              <w:tr2bl w:val="nil"/>
            </w:tcBorders>
            <w:vAlign w:val="center"/>
          </w:tcPr>
          <w:p w14:paraId="4380E7FB">
            <w:pPr>
              <w:pStyle w:val="167"/>
              <w:rPr>
                <w:rFonts w:eastAsia="宋体"/>
                <w:color w:val="auto"/>
                <w:highlight w:val="none"/>
              </w:rPr>
            </w:pPr>
          </w:p>
        </w:tc>
        <w:tc>
          <w:tcPr>
            <w:tcW w:w="896" w:type="dxa"/>
            <w:tcBorders>
              <w:bottom w:val="single" w:color="auto" w:sz="4" w:space="0"/>
              <w:tl2br w:val="nil"/>
              <w:tr2bl w:val="nil"/>
            </w:tcBorders>
            <w:vAlign w:val="center"/>
          </w:tcPr>
          <w:p w14:paraId="4350659F">
            <w:pPr>
              <w:pStyle w:val="167"/>
              <w:rPr>
                <w:rFonts w:eastAsia="宋体"/>
                <w:color w:val="auto"/>
                <w:highlight w:val="none"/>
              </w:rPr>
            </w:pPr>
            <w:r>
              <w:rPr>
                <w:rFonts w:eastAsia="宋体"/>
                <w:color w:val="auto"/>
                <w:highlight w:val="none"/>
              </w:rPr>
              <w:t>13</w:t>
            </w:r>
          </w:p>
        </w:tc>
        <w:tc>
          <w:tcPr>
            <w:tcW w:w="1467" w:type="dxa"/>
            <w:tcBorders>
              <w:bottom w:val="single" w:color="auto" w:sz="4" w:space="0"/>
              <w:tl2br w:val="nil"/>
              <w:tr2bl w:val="nil"/>
            </w:tcBorders>
            <w:vAlign w:val="center"/>
          </w:tcPr>
          <w:p w14:paraId="7E574BA4">
            <w:pPr>
              <w:pStyle w:val="167"/>
              <w:rPr>
                <w:rFonts w:eastAsia="宋体"/>
                <w:color w:val="auto"/>
                <w:highlight w:val="none"/>
              </w:rPr>
            </w:pPr>
            <w:r>
              <w:rPr>
                <w:rFonts w:eastAsia="宋体"/>
                <w:color w:val="auto"/>
                <w:highlight w:val="none"/>
              </w:rPr>
              <w:t>压占土地</w:t>
            </w:r>
          </w:p>
        </w:tc>
        <w:tc>
          <w:tcPr>
            <w:tcW w:w="1038" w:type="dxa"/>
            <w:tcBorders>
              <w:bottom w:val="single" w:color="auto" w:sz="4" w:space="0"/>
              <w:tl2br w:val="nil"/>
              <w:tr2bl w:val="nil"/>
            </w:tcBorders>
            <w:vAlign w:val="center"/>
          </w:tcPr>
          <w:p w14:paraId="75FDCC55">
            <w:pPr>
              <w:pStyle w:val="167"/>
              <w:rPr>
                <w:rFonts w:eastAsia="宋体"/>
                <w:color w:val="auto"/>
                <w:highlight w:val="none"/>
              </w:rPr>
            </w:pPr>
          </w:p>
        </w:tc>
        <w:tc>
          <w:tcPr>
            <w:tcW w:w="2692" w:type="dxa"/>
            <w:tcBorders>
              <w:bottom w:val="single" w:color="auto" w:sz="4" w:space="0"/>
              <w:right w:val="single" w:color="auto" w:sz="4" w:space="0"/>
              <w:tl2br w:val="nil"/>
              <w:tr2bl w:val="nil"/>
            </w:tcBorders>
            <w:vAlign w:val="center"/>
          </w:tcPr>
          <w:p w14:paraId="2494DF87">
            <w:pPr>
              <w:pStyle w:val="167"/>
              <w:rPr>
                <w:rFonts w:eastAsia="宋体"/>
                <w:color w:val="auto"/>
                <w:highlight w:val="none"/>
              </w:rPr>
            </w:pPr>
          </w:p>
        </w:tc>
      </w:tr>
    </w:tbl>
    <w:p w14:paraId="5E4CF1D4">
      <w:pPr>
        <w:spacing w:line="360" w:lineRule="auto"/>
        <w:ind w:firstLine="480" w:firstLineChars="200"/>
        <w:rPr>
          <w:bCs/>
          <w:color w:val="auto"/>
          <w:kern w:val="0"/>
          <w:sz w:val="24"/>
          <w:highlight w:val="none"/>
        </w:rPr>
      </w:pPr>
      <w:r>
        <w:rPr>
          <w:bCs/>
          <w:color w:val="auto"/>
          <w:kern w:val="0"/>
          <w:sz w:val="24"/>
          <w:highlight w:val="none"/>
        </w:rPr>
        <w:t>b）土地损毁程度分级</w:t>
      </w:r>
    </w:p>
    <w:p w14:paraId="48E63C57">
      <w:pPr>
        <w:spacing w:line="360" w:lineRule="auto"/>
        <w:ind w:firstLine="480" w:firstLineChars="200"/>
        <w:rPr>
          <w:bCs/>
          <w:color w:val="auto"/>
          <w:kern w:val="0"/>
          <w:sz w:val="24"/>
          <w:highlight w:val="none"/>
        </w:rPr>
      </w:pPr>
      <w:r>
        <w:rPr>
          <w:bCs/>
          <w:color w:val="auto"/>
          <w:kern w:val="0"/>
          <w:sz w:val="24"/>
          <w:highlight w:val="none"/>
        </w:rPr>
        <w:t>将评价结果划分为轻度、</w:t>
      </w:r>
      <w:r>
        <w:rPr>
          <w:rFonts w:hint="eastAsia"/>
          <w:bCs/>
          <w:color w:val="auto"/>
          <w:kern w:val="0"/>
          <w:sz w:val="24"/>
          <w:highlight w:val="none"/>
          <w:lang w:val="en-US" w:eastAsia="zh-CN"/>
        </w:rPr>
        <w:t>中</w:t>
      </w:r>
      <w:r>
        <w:rPr>
          <w:rFonts w:hint="eastAsia"/>
          <w:bCs/>
          <w:color w:val="auto"/>
          <w:kern w:val="0"/>
          <w:sz w:val="24"/>
          <w:highlight w:val="none"/>
          <w:lang w:eastAsia="zh-CN"/>
        </w:rPr>
        <w:t>度</w:t>
      </w:r>
      <w:r>
        <w:rPr>
          <w:bCs/>
          <w:color w:val="auto"/>
          <w:kern w:val="0"/>
          <w:sz w:val="24"/>
          <w:highlight w:val="none"/>
        </w:rPr>
        <w:t>、重度3个等级：</w:t>
      </w:r>
    </w:p>
    <w:p w14:paraId="43A5A5C7">
      <w:pPr>
        <w:spacing w:line="360" w:lineRule="auto"/>
        <w:ind w:firstLine="480" w:firstLineChars="200"/>
        <w:rPr>
          <w:bCs/>
          <w:color w:val="auto"/>
          <w:kern w:val="0"/>
          <w:sz w:val="24"/>
          <w:highlight w:val="none"/>
        </w:rPr>
      </w:pPr>
      <w:r>
        <w:rPr>
          <w:bCs/>
          <w:color w:val="auto"/>
          <w:kern w:val="0"/>
          <w:sz w:val="24"/>
          <w:highlight w:val="none"/>
        </w:rPr>
        <w:t>1）轻度破坏。土地破坏轻微，基本不影响土地功能。</w:t>
      </w:r>
    </w:p>
    <w:p w14:paraId="44D5AAC5">
      <w:pPr>
        <w:spacing w:line="360" w:lineRule="auto"/>
        <w:ind w:firstLine="480" w:firstLineChars="200"/>
        <w:rPr>
          <w:bCs/>
          <w:color w:val="auto"/>
          <w:kern w:val="0"/>
          <w:sz w:val="24"/>
          <w:highlight w:val="none"/>
        </w:rPr>
      </w:pPr>
      <w:r>
        <w:rPr>
          <w:bCs/>
          <w:color w:val="auto"/>
          <w:kern w:val="0"/>
          <w:sz w:val="24"/>
          <w:highlight w:val="none"/>
        </w:rPr>
        <w:t>2）</w:t>
      </w:r>
      <w:r>
        <w:rPr>
          <w:rFonts w:hint="eastAsia"/>
          <w:bCs/>
          <w:color w:val="auto"/>
          <w:kern w:val="0"/>
          <w:sz w:val="24"/>
          <w:highlight w:val="none"/>
          <w:lang w:val="en-US" w:eastAsia="zh-CN"/>
        </w:rPr>
        <w:t>中</w:t>
      </w:r>
      <w:r>
        <w:rPr>
          <w:rFonts w:hint="eastAsia"/>
          <w:bCs/>
          <w:color w:val="auto"/>
          <w:kern w:val="0"/>
          <w:sz w:val="24"/>
          <w:highlight w:val="none"/>
          <w:lang w:eastAsia="zh-CN"/>
        </w:rPr>
        <w:t>度</w:t>
      </w:r>
      <w:r>
        <w:rPr>
          <w:bCs/>
          <w:color w:val="auto"/>
          <w:kern w:val="0"/>
          <w:sz w:val="24"/>
          <w:highlight w:val="none"/>
        </w:rPr>
        <w:t>破坏。土地破坏比较严重，影响土地功能。</w:t>
      </w:r>
    </w:p>
    <w:p w14:paraId="54051B7C">
      <w:pPr>
        <w:spacing w:line="360" w:lineRule="auto"/>
        <w:ind w:firstLine="480" w:firstLineChars="200"/>
        <w:rPr>
          <w:bCs/>
          <w:color w:val="auto"/>
          <w:kern w:val="0"/>
          <w:sz w:val="24"/>
          <w:highlight w:val="none"/>
        </w:rPr>
      </w:pPr>
      <w:r>
        <w:rPr>
          <w:bCs/>
          <w:color w:val="auto"/>
          <w:kern w:val="0"/>
          <w:sz w:val="24"/>
          <w:highlight w:val="none"/>
        </w:rPr>
        <w:t>3）重度破坏。土地严重破坏，丧失原有功能。</w:t>
      </w:r>
    </w:p>
    <w:p w14:paraId="56A24235">
      <w:pPr>
        <w:pStyle w:val="5"/>
        <w:rPr>
          <w:rFonts w:hint="default" w:ascii="Times New Roman" w:hAnsi="Times New Roman" w:eastAsia="黑体" w:cs="Times New Roman"/>
          <w:b w:val="0"/>
          <w:bCs w:val="0"/>
          <w:color w:val="auto"/>
          <w:szCs w:val="28"/>
          <w:highlight w:val="none"/>
        </w:rPr>
      </w:pPr>
      <w:r>
        <w:rPr>
          <w:rFonts w:hint="default" w:ascii="Times New Roman" w:hAnsi="Times New Roman" w:eastAsia="黑体" w:cs="Times New Roman"/>
          <w:b w:val="0"/>
          <w:bCs w:val="0"/>
          <w:color w:val="auto"/>
          <w:szCs w:val="28"/>
          <w:highlight w:val="none"/>
        </w:rPr>
        <w:t>（二）已损毁各类土地现状</w:t>
      </w:r>
      <w:bookmarkEnd w:id="138"/>
    </w:p>
    <w:p w14:paraId="006FEDF1">
      <w:pPr>
        <w:autoSpaceDE w:val="0"/>
        <w:autoSpaceDN w:val="0"/>
        <w:spacing w:line="360" w:lineRule="auto"/>
        <w:ind w:firstLine="480" w:firstLineChars="200"/>
        <w:jc w:val="both"/>
        <w:rPr>
          <w:rFonts w:hint="default" w:ascii="Times New Roman" w:hAnsi="Times New Roman" w:cs="Times New Roman"/>
          <w:color w:val="auto"/>
          <w:sz w:val="24"/>
          <w:highlight w:val="none"/>
        </w:rPr>
      </w:pPr>
      <w:bookmarkStart w:id="139" w:name="_Toc485629698"/>
      <w:r>
        <w:rPr>
          <w:rFonts w:hint="eastAsia" w:cs="Times New Roman"/>
          <w:color w:val="auto"/>
          <w:sz w:val="24"/>
          <w:highlight w:val="none"/>
          <w:lang w:eastAsia="zh-CN"/>
        </w:rPr>
        <w:t>北大湖采石场</w:t>
      </w:r>
      <w:r>
        <w:rPr>
          <w:rFonts w:hint="default" w:ascii="Times New Roman" w:hAnsi="Times New Roman" w:cs="Times New Roman"/>
          <w:color w:val="auto"/>
          <w:sz w:val="24"/>
          <w:highlight w:val="none"/>
        </w:rPr>
        <w:t>现状损毁土地面积</w:t>
      </w:r>
      <w:r>
        <w:rPr>
          <w:rFonts w:hint="eastAsia" w:cs="Times New Roman"/>
          <w:color w:val="auto"/>
          <w:sz w:val="24"/>
          <w:highlight w:val="none"/>
          <w:lang w:val="en-US" w:eastAsia="zh-CN"/>
        </w:rPr>
        <w:t>3.7362</w:t>
      </w:r>
      <w:r>
        <w:rPr>
          <w:rFonts w:hint="default" w:ascii="Times New Roman" w:hAnsi="Times New Roman" w:cs="Times New Roman"/>
          <w:color w:val="auto"/>
          <w:sz w:val="24"/>
          <w:highlight w:val="none"/>
        </w:rPr>
        <w:t>h</w:t>
      </w:r>
      <w:r>
        <w:rPr>
          <w:rFonts w:hint="default" w:ascii="Times New Roman" w:hAnsi="Times New Roman" w:cs="Times New Roman"/>
          <w:color w:val="auto"/>
          <w:sz w:val="24"/>
          <w:highlight w:val="none"/>
          <w:lang w:eastAsia="zh-CN"/>
        </w:rPr>
        <w:t>m</w:t>
      </w:r>
      <w:r>
        <w:rPr>
          <w:rFonts w:hint="default" w:ascii="Times New Roman" w:hAnsi="Times New Roman" w:cs="Times New Roman"/>
          <w:color w:val="auto"/>
          <w:sz w:val="24"/>
          <w:highlight w:val="none"/>
          <w:vertAlign w:val="superscript"/>
          <w:lang w:eastAsia="zh-CN"/>
        </w:rPr>
        <w:t>2</w:t>
      </w: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矿区内2.2017hm</w:t>
      </w:r>
      <w:r>
        <w:rPr>
          <w:rFonts w:hint="eastAsia" w:cs="Times New Roman"/>
          <w:color w:val="auto"/>
          <w:sz w:val="24"/>
          <w:highlight w:val="none"/>
          <w:vertAlign w:val="superscript"/>
          <w:lang w:val="en-US" w:eastAsia="zh-CN"/>
        </w:rPr>
        <w:t>2</w:t>
      </w:r>
      <w:r>
        <w:rPr>
          <w:rFonts w:hint="eastAsia" w:cs="Times New Roman"/>
          <w:color w:val="auto"/>
          <w:sz w:val="24"/>
          <w:highlight w:val="none"/>
          <w:lang w:val="en-US" w:eastAsia="zh-CN"/>
        </w:rPr>
        <w:t>，矿区外1.5345hm</w:t>
      </w:r>
      <w:r>
        <w:rPr>
          <w:rFonts w:hint="eastAsia" w:cs="Times New Roman"/>
          <w:color w:val="auto"/>
          <w:sz w:val="24"/>
          <w:highlight w:val="none"/>
          <w:vertAlign w:val="superscript"/>
          <w:lang w:val="en-US" w:eastAsia="zh-CN"/>
        </w:rPr>
        <w:t>2</w:t>
      </w:r>
      <w:r>
        <w:rPr>
          <w:rFonts w:hint="eastAsia" w:cs="Times New Roman"/>
          <w:color w:val="auto"/>
          <w:sz w:val="24"/>
          <w:highlight w:val="none"/>
          <w:lang w:val="en-US" w:eastAsia="zh-CN"/>
        </w:rPr>
        <w:t>。</w:t>
      </w:r>
      <w:r>
        <w:rPr>
          <w:rFonts w:hint="default" w:ascii="Times New Roman" w:hAnsi="Times New Roman" w:cs="Times New Roman"/>
          <w:color w:val="auto"/>
          <w:sz w:val="24"/>
          <w:highlight w:val="none"/>
        </w:rPr>
        <w:t>损毁方式为挖损、压占，其中挖损损毁</w:t>
      </w:r>
      <w:r>
        <w:rPr>
          <w:rFonts w:hint="default" w:ascii="Times New Roman" w:hAnsi="Times New Roman" w:cs="Times New Roman"/>
          <w:color w:val="auto"/>
          <w:sz w:val="24"/>
          <w:highlight w:val="none"/>
          <w:lang w:val="en-US" w:eastAsia="zh-CN"/>
        </w:rPr>
        <w:t>2.2017</w:t>
      </w:r>
      <w:r>
        <w:rPr>
          <w:rFonts w:hint="default" w:ascii="Times New Roman" w:hAnsi="Times New Roman" w:cs="Times New Roman"/>
          <w:color w:val="auto"/>
          <w:sz w:val="24"/>
          <w:highlight w:val="none"/>
        </w:rPr>
        <w:t>h</w:t>
      </w:r>
      <w:r>
        <w:rPr>
          <w:rFonts w:hint="default" w:ascii="Times New Roman" w:hAnsi="Times New Roman" w:cs="Times New Roman"/>
          <w:color w:val="auto"/>
          <w:sz w:val="24"/>
          <w:highlight w:val="none"/>
          <w:lang w:eastAsia="zh-CN"/>
        </w:rPr>
        <w:t>m</w:t>
      </w:r>
      <w:r>
        <w:rPr>
          <w:rFonts w:hint="default" w:ascii="Times New Roman" w:hAnsi="Times New Roman" w:cs="Times New Roman"/>
          <w:color w:val="auto"/>
          <w:sz w:val="24"/>
          <w:highlight w:val="none"/>
          <w:vertAlign w:val="superscript"/>
          <w:lang w:eastAsia="zh-CN"/>
        </w:rPr>
        <w:t>2</w:t>
      </w:r>
      <w:r>
        <w:rPr>
          <w:rFonts w:hint="default" w:ascii="Times New Roman" w:hAnsi="Times New Roman" w:cs="Times New Roman"/>
          <w:color w:val="auto"/>
          <w:sz w:val="24"/>
          <w:highlight w:val="none"/>
        </w:rPr>
        <w:t>，压占损毁</w:t>
      </w:r>
      <w:r>
        <w:rPr>
          <w:rFonts w:hint="eastAsia" w:cs="Times New Roman"/>
          <w:color w:val="auto"/>
          <w:sz w:val="24"/>
          <w:highlight w:val="none"/>
          <w:lang w:val="en-US" w:eastAsia="zh-CN"/>
        </w:rPr>
        <w:t>1.5345</w:t>
      </w:r>
      <w:r>
        <w:rPr>
          <w:rFonts w:hint="default" w:ascii="Times New Roman" w:hAnsi="Times New Roman" w:cs="Times New Roman"/>
          <w:color w:val="auto"/>
          <w:sz w:val="24"/>
          <w:highlight w:val="none"/>
        </w:rPr>
        <w:t>h</w:t>
      </w:r>
      <w:r>
        <w:rPr>
          <w:rFonts w:hint="default" w:ascii="Times New Roman" w:hAnsi="Times New Roman" w:cs="Times New Roman"/>
          <w:color w:val="auto"/>
          <w:sz w:val="24"/>
          <w:highlight w:val="none"/>
          <w:lang w:eastAsia="zh-CN"/>
        </w:rPr>
        <w:t>m</w:t>
      </w:r>
      <w:r>
        <w:rPr>
          <w:rFonts w:hint="default" w:ascii="Times New Roman" w:hAnsi="Times New Roman" w:cs="Times New Roman"/>
          <w:color w:val="auto"/>
          <w:sz w:val="24"/>
          <w:highlight w:val="none"/>
          <w:vertAlign w:val="superscript"/>
          <w:lang w:eastAsia="zh-CN"/>
        </w:rPr>
        <w:t>2</w:t>
      </w:r>
      <w:r>
        <w:rPr>
          <w:rFonts w:hint="default" w:ascii="Times New Roman" w:hAnsi="Times New Roman" w:cs="Times New Roman"/>
          <w:color w:val="auto"/>
          <w:sz w:val="24"/>
          <w:highlight w:val="none"/>
        </w:rPr>
        <w:t>；损毁土地类型</w:t>
      </w:r>
      <w:r>
        <w:rPr>
          <w:rFonts w:hint="eastAsia" w:cs="Times New Roman"/>
          <w:color w:val="auto"/>
          <w:sz w:val="24"/>
          <w:highlight w:val="none"/>
          <w:lang w:val="en-US" w:eastAsia="zh-CN"/>
        </w:rPr>
        <w:t>全部</w:t>
      </w:r>
      <w:r>
        <w:rPr>
          <w:rFonts w:hint="default" w:ascii="Times New Roman" w:hAnsi="Times New Roman" w:cs="Times New Roman"/>
          <w:color w:val="auto"/>
          <w:sz w:val="24"/>
          <w:highlight w:val="none"/>
        </w:rPr>
        <w:t>为</w:t>
      </w:r>
      <w:r>
        <w:rPr>
          <w:rFonts w:hint="eastAsia" w:cs="Times New Roman"/>
          <w:color w:val="auto"/>
          <w:sz w:val="24"/>
          <w:highlight w:val="none"/>
          <w:lang w:val="en-US" w:eastAsia="zh-CN"/>
        </w:rPr>
        <w:t>采矿用地</w:t>
      </w:r>
      <w:r>
        <w:rPr>
          <w:rFonts w:hint="default" w:ascii="Times New Roman" w:hAnsi="Times New Roman" w:cs="Times New Roman"/>
          <w:color w:val="auto"/>
          <w:sz w:val="24"/>
          <w:highlight w:val="none"/>
        </w:rPr>
        <w:t>，矿山生产对土地的损毁状况如下：</w:t>
      </w:r>
    </w:p>
    <w:p w14:paraId="25CF0758">
      <w:pPr>
        <w:spacing w:line="360" w:lineRule="auto"/>
        <w:ind w:firstLine="482" w:firstLineChars="200"/>
        <w:rPr>
          <w:rFonts w:hint="default" w:ascii="Times New Roman" w:hAnsi="Times New Roman" w:cs="Times New Roman"/>
          <w:b/>
          <w:bCs/>
          <w:color w:val="auto"/>
          <w:sz w:val="24"/>
          <w:highlight w:val="none"/>
          <w:lang w:val="en-US" w:eastAsia="zh-CN"/>
        </w:rPr>
      </w:pPr>
      <w:r>
        <w:rPr>
          <w:rFonts w:hint="default" w:ascii="Times New Roman" w:hAnsi="Times New Roman" w:cs="Times New Roman"/>
          <w:b/>
          <w:bCs/>
          <w:color w:val="auto"/>
          <w:sz w:val="24"/>
          <w:highlight w:val="none"/>
          <w:lang w:val="en-US" w:eastAsia="zh-CN"/>
        </w:rPr>
        <w:t>1、挖损损毁</w:t>
      </w:r>
    </w:p>
    <w:p w14:paraId="71CE72E8">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总损毁面积</w:t>
      </w:r>
      <w:r>
        <w:rPr>
          <w:rFonts w:hint="default" w:ascii="Times New Roman" w:hAnsi="Times New Roman" w:cs="Times New Roman"/>
          <w:color w:val="auto"/>
          <w:sz w:val="24"/>
          <w:highlight w:val="none"/>
          <w:lang w:val="en-US" w:eastAsia="zh-CN"/>
        </w:rPr>
        <w:t>2.2017</w:t>
      </w:r>
      <w:r>
        <w:rPr>
          <w:rFonts w:hint="default" w:ascii="Times New Roman" w:hAnsi="Times New Roman" w:cs="Times New Roman"/>
          <w:color w:val="auto"/>
          <w:sz w:val="24"/>
          <w:highlight w:val="none"/>
        </w:rPr>
        <w:t>h</w:t>
      </w:r>
      <w:r>
        <w:rPr>
          <w:rFonts w:hint="default" w:ascii="Times New Roman" w:hAnsi="Times New Roman" w:cs="Times New Roman"/>
          <w:color w:val="auto"/>
          <w:sz w:val="24"/>
          <w:highlight w:val="none"/>
          <w:lang w:eastAsia="zh-CN"/>
        </w:rPr>
        <w:t>m</w:t>
      </w:r>
      <w:r>
        <w:rPr>
          <w:rFonts w:hint="default" w:ascii="Times New Roman" w:hAnsi="Times New Roman" w:cs="Times New Roman"/>
          <w:color w:val="auto"/>
          <w:sz w:val="24"/>
          <w:highlight w:val="none"/>
          <w:vertAlign w:val="superscript"/>
          <w:lang w:eastAsia="zh-CN"/>
        </w:rPr>
        <w:t>2</w:t>
      </w: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露天开采</w:t>
      </w:r>
      <w:r>
        <w:rPr>
          <w:rFonts w:hint="default" w:ascii="Times New Roman" w:hAnsi="Times New Roman" w:cs="Times New Roman"/>
          <w:color w:val="auto"/>
          <w:sz w:val="24"/>
          <w:highlight w:val="none"/>
        </w:rPr>
        <w:t>破坏了原生的土层和植被，改变了原来的地貌景观，</w:t>
      </w:r>
      <w:r>
        <w:rPr>
          <w:rFonts w:hint="eastAsia" w:cs="Times New Roman"/>
          <w:color w:val="auto"/>
          <w:sz w:val="24"/>
          <w:highlight w:val="none"/>
          <w:lang w:val="en-US" w:eastAsia="zh-CN"/>
        </w:rPr>
        <w:t>损毁</w:t>
      </w:r>
      <w:r>
        <w:rPr>
          <w:rFonts w:hint="default" w:ascii="Times New Roman" w:hAnsi="Times New Roman" w:cs="Times New Roman"/>
          <w:color w:val="auto"/>
          <w:sz w:val="24"/>
          <w:highlight w:val="none"/>
        </w:rPr>
        <w:t>土地类型为采矿用地，</w:t>
      </w:r>
      <w:r>
        <w:rPr>
          <w:rFonts w:hint="default" w:ascii="Times New Roman" w:hAnsi="Times New Roman" w:cs="Times New Roman"/>
          <w:color w:val="auto"/>
          <w:sz w:val="24"/>
          <w:highlight w:val="none"/>
          <w:lang w:val="en-US" w:eastAsia="zh-CN"/>
        </w:rPr>
        <w:t>重度</w:t>
      </w:r>
      <w:r>
        <w:rPr>
          <w:rFonts w:hint="default" w:ascii="Times New Roman" w:hAnsi="Times New Roman" w:cs="Times New Roman"/>
          <w:color w:val="auto"/>
          <w:sz w:val="24"/>
          <w:highlight w:val="none"/>
        </w:rPr>
        <w:t>损毁。</w:t>
      </w:r>
    </w:p>
    <w:p w14:paraId="035D7DCC">
      <w:pPr>
        <w:spacing w:line="360" w:lineRule="auto"/>
        <w:ind w:firstLine="482" w:firstLineChars="200"/>
        <w:rPr>
          <w:rFonts w:hint="default" w:ascii="Times New Roman" w:hAnsi="Times New Roman" w:cs="Times New Roman"/>
          <w:b/>
          <w:bCs/>
          <w:color w:val="auto"/>
          <w:sz w:val="24"/>
          <w:highlight w:val="none"/>
          <w:lang w:val="en-US" w:eastAsia="zh-CN"/>
        </w:rPr>
      </w:pPr>
      <w:r>
        <w:rPr>
          <w:rFonts w:hint="default" w:ascii="Times New Roman" w:hAnsi="Times New Roman" w:cs="Times New Roman"/>
          <w:b/>
          <w:bCs/>
          <w:color w:val="auto"/>
          <w:sz w:val="24"/>
          <w:highlight w:val="none"/>
          <w:lang w:val="en-US" w:eastAsia="zh-CN"/>
        </w:rPr>
        <w:t>2、压占损毁</w:t>
      </w:r>
    </w:p>
    <w:p w14:paraId="775D9AEE">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除</w:t>
      </w:r>
      <w:r>
        <w:rPr>
          <w:rFonts w:hint="eastAsia" w:cs="Times New Roman"/>
          <w:color w:val="auto"/>
          <w:sz w:val="24"/>
          <w:highlight w:val="none"/>
          <w:lang w:val="en-US" w:eastAsia="zh-CN"/>
        </w:rPr>
        <w:t>露天采场</w:t>
      </w:r>
      <w:r>
        <w:rPr>
          <w:rFonts w:hint="default" w:ascii="Times New Roman" w:hAnsi="Times New Roman" w:cs="Times New Roman"/>
          <w:color w:val="auto"/>
          <w:sz w:val="24"/>
          <w:highlight w:val="none"/>
          <w:lang w:val="en-US" w:eastAsia="zh-CN"/>
        </w:rPr>
        <w:t>对土地的挖损外，其他单元对土地的损毁定为压占，主要包括</w:t>
      </w:r>
      <w:r>
        <w:rPr>
          <w:rFonts w:hint="default" w:ascii="Times New Roman" w:hAnsi="Times New Roman" w:cs="Times New Roman"/>
          <w:color w:val="auto"/>
          <w:sz w:val="24"/>
          <w:highlight w:val="none"/>
        </w:rPr>
        <w:t>工业广场</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生产生活区</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原有办公室及临时堆料场</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矿山道路</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表土堆场。</w:t>
      </w:r>
      <w:r>
        <w:rPr>
          <w:rFonts w:hint="eastAsia" w:cs="Times New Roman"/>
          <w:color w:val="auto"/>
          <w:sz w:val="24"/>
          <w:highlight w:val="none"/>
          <w:lang w:val="en-US" w:eastAsia="zh-CN"/>
        </w:rPr>
        <w:t>这些</w:t>
      </w:r>
      <w:r>
        <w:rPr>
          <w:rFonts w:hint="default" w:ascii="Times New Roman" w:hAnsi="Times New Roman" w:cs="Times New Roman"/>
          <w:color w:val="auto"/>
          <w:sz w:val="24"/>
          <w:highlight w:val="none"/>
        </w:rPr>
        <w:t>破坏了原生的土层和植被，改变了原来的地貌景观，占用土地类型为采矿用地，</w:t>
      </w:r>
      <w:r>
        <w:rPr>
          <w:rFonts w:hint="default" w:ascii="Times New Roman" w:hAnsi="Times New Roman" w:cs="Times New Roman"/>
          <w:color w:val="auto"/>
          <w:sz w:val="24"/>
          <w:highlight w:val="none"/>
          <w:lang w:val="en-US" w:eastAsia="zh-CN"/>
        </w:rPr>
        <w:t>为</w:t>
      </w:r>
      <w:r>
        <w:rPr>
          <w:rFonts w:hint="default" w:ascii="Times New Roman" w:hAnsi="Times New Roman" w:cs="Times New Roman"/>
          <w:color w:val="auto"/>
          <w:sz w:val="24"/>
          <w:highlight w:val="none"/>
        </w:rPr>
        <w:t>重度损毁</w:t>
      </w:r>
      <w:r>
        <w:rPr>
          <w:rFonts w:hint="default" w:ascii="Times New Roman" w:hAnsi="Times New Roman" w:cs="Times New Roman"/>
          <w:color w:val="auto"/>
          <w:sz w:val="24"/>
          <w:highlight w:val="none"/>
          <w:lang w:val="en-US" w:eastAsia="zh-CN"/>
        </w:rPr>
        <w:t>。</w:t>
      </w:r>
    </w:p>
    <w:p w14:paraId="3397074E">
      <w:pPr>
        <w:pStyle w:val="63"/>
        <w:spacing w:line="360" w:lineRule="auto"/>
        <w:ind w:firstLine="480"/>
        <w:rPr>
          <w:rFonts w:hint="default" w:ascii="Times New Roman" w:hAnsi="Times New Roman" w:cs="Times New Roman"/>
          <w:color w:val="auto"/>
          <w:sz w:val="24"/>
          <w:highlight w:val="none"/>
        </w:rPr>
      </w:pPr>
      <w:r>
        <w:rPr>
          <w:rFonts w:hint="eastAsia" w:ascii="Times New Roman" w:hAnsi="Times New Roman" w:cs="Times New Roman"/>
          <w:color w:val="auto"/>
          <w:sz w:val="24"/>
          <w:highlight w:val="none"/>
          <w:lang w:eastAsia="zh-CN"/>
        </w:rPr>
        <w:t>北大湖采石场</w:t>
      </w:r>
      <w:r>
        <w:rPr>
          <w:rFonts w:hint="default" w:ascii="Times New Roman" w:hAnsi="Times New Roman" w:cs="Times New Roman"/>
          <w:color w:val="auto"/>
          <w:sz w:val="24"/>
          <w:highlight w:val="none"/>
        </w:rPr>
        <w:t>各单元土地已损毁见表3-</w:t>
      </w:r>
      <w:r>
        <w:rPr>
          <w:rFonts w:hint="eastAsia" w:ascii="Times New Roman" w:hAnsi="Times New Roman" w:cs="Times New Roman"/>
          <w:color w:val="auto"/>
          <w:sz w:val="24"/>
          <w:highlight w:val="none"/>
          <w:lang w:val="en-US" w:eastAsia="zh-CN"/>
        </w:rPr>
        <w:t>11</w:t>
      </w:r>
      <w:r>
        <w:rPr>
          <w:rFonts w:hint="default" w:ascii="Times New Roman" w:hAnsi="Times New Roman" w:cs="Times New Roman"/>
          <w:color w:val="auto"/>
          <w:sz w:val="24"/>
          <w:highlight w:val="none"/>
        </w:rPr>
        <w:t>。</w:t>
      </w:r>
    </w:p>
    <w:p w14:paraId="37512C33">
      <w:pPr>
        <w:pStyle w:val="63"/>
        <w:spacing w:line="360" w:lineRule="auto"/>
        <w:ind w:firstLine="480"/>
        <w:jc w:val="center"/>
        <w:rPr>
          <w:rFonts w:hint="default" w:ascii="Times New Roman" w:hAnsi="Times New Roman" w:eastAsia="黑体" w:cs="Times New Roman"/>
          <w:b w:val="0"/>
          <w:bCs/>
          <w:color w:val="auto"/>
          <w:sz w:val="21"/>
          <w:szCs w:val="21"/>
          <w:highlight w:val="none"/>
          <w:lang w:eastAsia="zh-CN"/>
        </w:rPr>
      </w:pPr>
      <w:r>
        <w:rPr>
          <w:rFonts w:hint="default" w:ascii="Times New Roman" w:hAnsi="Times New Roman" w:eastAsia="黑体" w:cs="Times New Roman"/>
          <w:b w:val="0"/>
          <w:bCs/>
          <w:color w:val="auto"/>
          <w:sz w:val="21"/>
          <w:szCs w:val="21"/>
          <w:highlight w:val="none"/>
        </w:rPr>
        <w:t>表3-</w:t>
      </w:r>
      <w:r>
        <w:rPr>
          <w:rFonts w:hint="eastAsia" w:ascii="Times New Roman" w:hAnsi="Times New Roman" w:eastAsia="黑体" w:cs="Times New Roman"/>
          <w:b w:val="0"/>
          <w:bCs/>
          <w:color w:val="auto"/>
          <w:sz w:val="21"/>
          <w:szCs w:val="21"/>
          <w:highlight w:val="none"/>
          <w:lang w:val="en-US" w:eastAsia="zh-CN"/>
        </w:rPr>
        <w:t>11</w:t>
      </w:r>
      <w:r>
        <w:rPr>
          <w:rFonts w:hint="default" w:ascii="Times New Roman" w:hAnsi="Times New Roman" w:eastAsia="黑体" w:cs="Times New Roman"/>
          <w:b w:val="0"/>
          <w:bCs/>
          <w:color w:val="auto"/>
          <w:sz w:val="21"/>
          <w:szCs w:val="21"/>
          <w:highlight w:val="none"/>
        </w:rPr>
        <w:t xml:space="preserve">  </w:t>
      </w:r>
      <w:r>
        <w:rPr>
          <w:rFonts w:hint="eastAsia" w:ascii="Times New Roman" w:hAnsi="Times New Roman" w:eastAsia="黑体" w:cs="Times New Roman"/>
          <w:b w:val="0"/>
          <w:bCs/>
          <w:color w:val="auto"/>
          <w:sz w:val="21"/>
          <w:szCs w:val="21"/>
          <w:highlight w:val="none"/>
          <w:lang w:eastAsia="zh-CN"/>
        </w:rPr>
        <w:t>北大湖采石场</w:t>
      </w:r>
      <w:r>
        <w:rPr>
          <w:rFonts w:hint="default" w:ascii="Times New Roman" w:hAnsi="Times New Roman" w:eastAsia="黑体" w:cs="Times New Roman"/>
          <w:b w:val="0"/>
          <w:bCs/>
          <w:color w:val="auto"/>
          <w:sz w:val="21"/>
          <w:szCs w:val="21"/>
          <w:highlight w:val="none"/>
        </w:rPr>
        <w:t>各单元土地已损毁</w:t>
      </w:r>
      <w:r>
        <w:rPr>
          <w:rFonts w:hint="default" w:ascii="Times New Roman" w:hAnsi="Times New Roman" w:eastAsia="黑体" w:cs="Times New Roman"/>
          <w:b w:val="0"/>
          <w:bCs/>
          <w:color w:val="auto"/>
          <w:sz w:val="21"/>
          <w:szCs w:val="21"/>
          <w:highlight w:val="none"/>
          <w:lang w:val="en-US" w:eastAsia="zh-CN"/>
        </w:rPr>
        <w:t>土地面积统计</w:t>
      </w:r>
      <w:r>
        <w:rPr>
          <w:rFonts w:hint="default" w:ascii="Times New Roman" w:hAnsi="Times New Roman" w:eastAsia="黑体" w:cs="Times New Roman"/>
          <w:b w:val="0"/>
          <w:bCs/>
          <w:color w:val="auto"/>
          <w:sz w:val="21"/>
          <w:szCs w:val="21"/>
          <w:highlight w:val="none"/>
        </w:rPr>
        <w:t xml:space="preserve">表 </w:t>
      </w:r>
      <w:r>
        <w:rPr>
          <w:rFonts w:hint="default" w:ascii="Times New Roman" w:hAnsi="Times New Roman" w:eastAsia="黑体" w:cs="Times New Roman"/>
          <w:b w:val="0"/>
          <w:bCs/>
          <w:color w:val="auto"/>
          <w:sz w:val="21"/>
          <w:szCs w:val="21"/>
          <w:highlight w:val="none"/>
          <w:lang w:val="en-US" w:eastAsia="zh-CN"/>
        </w:rPr>
        <w:t xml:space="preserve"> </w:t>
      </w:r>
      <w:r>
        <w:rPr>
          <w:rFonts w:hint="default" w:ascii="Times New Roman" w:hAnsi="Times New Roman" w:eastAsia="黑体" w:cs="Times New Roman"/>
          <w:b w:val="0"/>
          <w:bCs/>
          <w:color w:val="auto"/>
          <w:sz w:val="21"/>
          <w:szCs w:val="21"/>
          <w:highlight w:val="none"/>
        </w:rPr>
        <w:t>单位：h</w:t>
      </w:r>
      <w:r>
        <w:rPr>
          <w:rFonts w:hint="default" w:ascii="Times New Roman" w:hAnsi="Times New Roman" w:eastAsia="黑体" w:cs="Times New Roman"/>
          <w:b w:val="0"/>
          <w:bCs/>
          <w:color w:val="auto"/>
          <w:sz w:val="21"/>
          <w:szCs w:val="21"/>
          <w:highlight w:val="none"/>
          <w:lang w:eastAsia="zh-CN"/>
        </w:rPr>
        <w:t>m</w:t>
      </w:r>
      <w:r>
        <w:rPr>
          <w:rFonts w:hint="default" w:ascii="Times New Roman" w:hAnsi="Times New Roman" w:eastAsia="黑体" w:cs="Times New Roman"/>
          <w:b w:val="0"/>
          <w:bCs/>
          <w:color w:val="auto"/>
          <w:sz w:val="21"/>
          <w:szCs w:val="21"/>
          <w:highlight w:val="none"/>
          <w:vertAlign w:val="superscript"/>
          <w:lang w:eastAsia="zh-CN"/>
        </w:rPr>
        <w:t>2</w:t>
      </w:r>
    </w:p>
    <w:tbl>
      <w:tblPr>
        <w:tblStyle w:val="34"/>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035"/>
        <w:gridCol w:w="1547"/>
        <w:gridCol w:w="1917"/>
        <w:gridCol w:w="2103"/>
        <w:gridCol w:w="917"/>
      </w:tblGrid>
      <w:tr w14:paraId="7F171F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102"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83022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损毁单元</w:t>
            </w:r>
          </w:p>
        </w:tc>
        <w:tc>
          <w:tcPr>
            <w:tcW w:w="1125" w:type="pct"/>
            <w:vMerge w:val="restart"/>
            <w:tcBorders>
              <w:top w:val="single" w:color="000000" w:sz="4" w:space="0"/>
              <w:left w:val="single" w:color="000000" w:sz="4" w:space="0"/>
              <w:right w:val="single" w:color="000000" w:sz="4" w:space="0"/>
            </w:tcBorders>
            <w:shd w:val="clear" w:color="auto" w:fill="auto"/>
            <w:vAlign w:val="center"/>
          </w:tcPr>
          <w:p w14:paraId="25BF05A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损毁</w:t>
            </w:r>
            <w:r>
              <w:rPr>
                <w:rFonts w:hint="default" w:ascii="Times New Roman" w:hAnsi="Times New Roman" w:eastAsia="宋体" w:cs="Times New Roman"/>
                <w:i w:val="0"/>
                <w:iCs w:val="0"/>
                <w:color w:val="auto"/>
                <w:kern w:val="0"/>
                <w:sz w:val="21"/>
                <w:szCs w:val="21"/>
                <w:u w:val="none"/>
                <w:lang w:val="en-US" w:eastAsia="zh-CN" w:bidi="ar"/>
              </w:rPr>
              <w:t>类型</w:t>
            </w:r>
          </w:p>
        </w:tc>
        <w:tc>
          <w:tcPr>
            <w:tcW w:w="1234" w:type="pct"/>
            <w:tcBorders>
              <w:top w:val="single" w:color="000000" w:sz="4" w:space="0"/>
              <w:left w:val="single" w:color="auto" w:sz="4" w:space="0"/>
              <w:bottom w:val="single" w:color="000000" w:sz="4" w:space="0"/>
              <w:right w:val="single" w:color="000000" w:sz="4" w:space="0"/>
            </w:tcBorders>
            <w:shd w:val="clear" w:color="auto" w:fill="auto"/>
            <w:vAlign w:val="center"/>
          </w:tcPr>
          <w:p w14:paraId="5CB1F0F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土地利用类型</w:t>
            </w:r>
          </w:p>
        </w:tc>
        <w:tc>
          <w:tcPr>
            <w:tcW w:w="538" w:type="pct"/>
            <w:vMerge w:val="restart"/>
            <w:tcBorders>
              <w:top w:val="single" w:color="000000" w:sz="4" w:space="0"/>
              <w:left w:val="single" w:color="000000" w:sz="4" w:space="0"/>
              <w:right w:val="single" w:color="000000" w:sz="4" w:space="0"/>
            </w:tcBorders>
            <w:shd w:val="clear" w:color="auto" w:fill="auto"/>
            <w:vAlign w:val="center"/>
          </w:tcPr>
          <w:p w14:paraId="2FCCA90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损毁</w:t>
            </w:r>
          </w:p>
          <w:p w14:paraId="6682403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程度</w:t>
            </w:r>
          </w:p>
        </w:tc>
      </w:tr>
      <w:tr w14:paraId="3121AB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02"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598F59">
            <w:pPr>
              <w:jc w:val="center"/>
              <w:rPr>
                <w:rFonts w:hint="default" w:ascii="Times New Roman" w:hAnsi="Times New Roman" w:eastAsia="宋体" w:cs="Times New Roman"/>
                <w:i w:val="0"/>
                <w:iCs w:val="0"/>
                <w:color w:val="auto"/>
                <w:sz w:val="21"/>
                <w:szCs w:val="21"/>
                <w:u w:val="none"/>
              </w:rPr>
            </w:pPr>
          </w:p>
        </w:tc>
        <w:tc>
          <w:tcPr>
            <w:tcW w:w="1125" w:type="pct"/>
            <w:vMerge w:val="continue"/>
            <w:tcBorders>
              <w:left w:val="single" w:color="000000" w:sz="4" w:space="0"/>
              <w:bottom w:val="single" w:color="000000" w:sz="4" w:space="0"/>
              <w:right w:val="single" w:color="000000" w:sz="4" w:space="0"/>
            </w:tcBorders>
            <w:shd w:val="clear" w:color="auto" w:fill="auto"/>
            <w:vAlign w:val="center"/>
          </w:tcPr>
          <w:p w14:paraId="2AE93D8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p>
        </w:tc>
        <w:tc>
          <w:tcPr>
            <w:tcW w:w="1234" w:type="pct"/>
            <w:tcBorders>
              <w:top w:val="single" w:color="000000" w:sz="4" w:space="0"/>
              <w:left w:val="single" w:color="auto" w:sz="4" w:space="0"/>
              <w:bottom w:val="single" w:color="000000" w:sz="4" w:space="0"/>
              <w:right w:val="single" w:color="000000" w:sz="4" w:space="0"/>
            </w:tcBorders>
            <w:shd w:val="clear" w:color="auto" w:fill="auto"/>
            <w:noWrap/>
            <w:vAlign w:val="center"/>
          </w:tcPr>
          <w:p w14:paraId="739CF10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0602采矿用地</w:t>
            </w:r>
          </w:p>
        </w:tc>
        <w:tc>
          <w:tcPr>
            <w:tcW w:w="538" w:type="pct"/>
            <w:vMerge w:val="continue"/>
            <w:tcBorders>
              <w:left w:val="single" w:color="000000" w:sz="4" w:space="0"/>
              <w:bottom w:val="single" w:color="000000" w:sz="4" w:space="0"/>
              <w:right w:val="single" w:color="000000" w:sz="4" w:space="0"/>
            </w:tcBorders>
            <w:shd w:val="clear" w:color="auto" w:fill="auto"/>
            <w:vAlign w:val="center"/>
          </w:tcPr>
          <w:p w14:paraId="0B6A580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p>
        </w:tc>
      </w:tr>
      <w:tr w14:paraId="29182E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119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6909E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露天采场</w:t>
            </w:r>
          </w:p>
        </w:tc>
        <w:tc>
          <w:tcPr>
            <w:tcW w:w="9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C080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坑底</w:t>
            </w:r>
          </w:p>
        </w:tc>
        <w:tc>
          <w:tcPr>
            <w:tcW w:w="1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75C90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挖损</w:t>
            </w:r>
          </w:p>
        </w:tc>
        <w:tc>
          <w:tcPr>
            <w:tcW w:w="1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028E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1.2093</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88F3E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重度</w:t>
            </w:r>
          </w:p>
        </w:tc>
      </w:tr>
      <w:tr w14:paraId="799B1F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119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861053">
            <w:pPr>
              <w:jc w:val="center"/>
              <w:rPr>
                <w:rFonts w:hint="default" w:ascii="Times New Roman" w:hAnsi="Times New Roman" w:eastAsia="宋体" w:cs="Times New Roman"/>
                <w:i w:val="0"/>
                <w:iCs w:val="0"/>
                <w:color w:val="auto"/>
                <w:sz w:val="21"/>
                <w:szCs w:val="21"/>
                <w:u w:val="none"/>
              </w:rPr>
            </w:pPr>
          </w:p>
        </w:tc>
        <w:tc>
          <w:tcPr>
            <w:tcW w:w="9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5E43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平台</w:t>
            </w:r>
          </w:p>
        </w:tc>
        <w:tc>
          <w:tcPr>
            <w:tcW w:w="1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6C49F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挖损</w:t>
            </w:r>
          </w:p>
        </w:tc>
        <w:tc>
          <w:tcPr>
            <w:tcW w:w="1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8D8A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0.2576</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FCB48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重度</w:t>
            </w:r>
          </w:p>
        </w:tc>
      </w:tr>
      <w:tr w14:paraId="2D2D02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119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7C7BDA">
            <w:pPr>
              <w:jc w:val="center"/>
              <w:rPr>
                <w:rFonts w:hint="default" w:ascii="Times New Roman" w:hAnsi="Times New Roman" w:eastAsia="宋体" w:cs="Times New Roman"/>
                <w:i w:val="0"/>
                <w:iCs w:val="0"/>
                <w:color w:val="auto"/>
                <w:sz w:val="21"/>
                <w:szCs w:val="21"/>
                <w:u w:val="none"/>
              </w:rPr>
            </w:pPr>
          </w:p>
        </w:tc>
        <w:tc>
          <w:tcPr>
            <w:tcW w:w="9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A3DF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边坡</w:t>
            </w:r>
          </w:p>
        </w:tc>
        <w:tc>
          <w:tcPr>
            <w:tcW w:w="1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9584A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挖损</w:t>
            </w:r>
          </w:p>
        </w:tc>
        <w:tc>
          <w:tcPr>
            <w:tcW w:w="1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2846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0.7348</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6E734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重度</w:t>
            </w:r>
          </w:p>
        </w:tc>
      </w:tr>
      <w:tr w14:paraId="6CF9D1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10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AF907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工业广场</w:t>
            </w:r>
          </w:p>
        </w:tc>
        <w:tc>
          <w:tcPr>
            <w:tcW w:w="1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BF960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压占</w:t>
            </w:r>
          </w:p>
        </w:tc>
        <w:tc>
          <w:tcPr>
            <w:tcW w:w="1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FFE4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0.6845</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6D44A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重度</w:t>
            </w:r>
          </w:p>
        </w:tc>
      </w:tr>
      <w:tr w14:paraId="543B58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10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1EA1D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生产生活区</w:t>
            </w:r>
          </w:p>
        </w:tc>
        <w:tc>
          <w:tcPr>
            <w:tcW w:w="1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63CBA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压占</w:t>
            </w:r>
          </w:p>
        </w:tc>
        <w:tc>
          <w:tcPr>
            <w:tcW w:w="1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CDA4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0.2605</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04762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重度</w:t>
            </w:r>
          </w:p>
        </w:tc>
      </w:tr>
      <w:tr w14:paraId="67BABF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02" w:type="pct"/>
            <w:gridSpan w:val="2"/>
            <w:tcBorders>
              <w:top w:val="single" w:color="000000" w:sz="4" w:space="0"/>
              <w:left w:val="single" w:color="000000" w:sz="4" w:space="0"/>
              <w:bottom w:val="single" w:color="000000" w:sz="4" w:space="0"/>
              <w:right w:val="nil"/>
            </w:tcBorders>
            <w:shd w:val="clear" w:color="auto" w:fill="auto"/>
            <w:vAlign w:val="center"/>
          </w:tcPr>
          <w:p w14:paraId="2D43177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原有办公室及临时堆料场</w:t>
            </w:r>
          </w:p>
        </w:tc>
        <w:tc>
          <w:tcPr>
            <w:tcW w:w="1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A861A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压占</w:t>
            </w:r>
          </w:p>
        </w:tc>
        <w:tc>
          <w:tcPr>
            <w:tcW w:w="1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5CCA9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0.1178</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DCB7A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重度</w:t>
            </w:r>
          </w:p>
        </w:tc>
      </w:tr>
      <w:tr w14:paraId="08C116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10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F382B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矿山道路</w:t>
            </w:r>
          </w:p>
        </w:tc>
        <w:tc>
          <w:tcPr>
            <w:tcW w:w="1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C7B13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压占</w:t>
            </w:r>
          </w:p>
        </w:tc>
        <w:tc>
          <w:tcPr>
            <w:tcW w:w="1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733C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0.1624</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D2310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重度</w:t>
            </w:r>
          </w:p>
        </w:tc>
      </w:tr>
      <w:tr w14:paraId="7AB5F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102" w:type="pct"/>
            <w:gridSpan w:val="2"/>
            <w:tcBorders>
              <w:top w:val="single" w:color="000000" w:sz="4" w:space="0"/>
              <w:left w:val="single" w:color="000000" w:sz="4" w:space="0"/>
              <w:bottom w:val="single" w:color="000000" w:sz="4" w:space="0"/>
              <w:right w:val="nil"/>
            </w:tcBorders>
            <w:shd w:val="clear" w:color="auto" w:fill="auto"/>
            <w:vAlign w:val="center"/>
          </w:tcPr>
          <w:p w14:paraId="7F9D42A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表土堆场</w:t>
            </w:r>
          </w:p>
        </w:tc>
        <w:tc>
          <w:tcPr>
            <w:tcW w:w="1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170EB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压占</w:t>
            </w:r>
          </w:p>
        </w:tc>
        <w:tc>
          <w:tcPr>
            <w:tcW w:w="1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826D8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0.3093</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5AD34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重度</w:t>
            </w:r>
          </w:p>
        </w:tc>
      </w:tr>
      <w:tr w14:paraId="750EC9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322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DEF384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合     计</w:t>
            </w:r>
          </w:p>
        </w:tc>
        <w:tc>
          <w:tcPr>
            <w:tcW w:w="1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9F947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3.7362</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13A73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p>
        </w:tc>
      </w:tr>
    </w:tbl>
    <w:p w14:paraId="34DA3444">
      <w:pPr>
        <w:pStyle w:val="5"/>
        <w:rPr>
          <w:rFonts w:hint="default" w:ascii="Times New Roman" w:hAnsi="Times New Roman" w:eastAsia="黑体" w:cs="Times New Roman"/>
          <w:b w:val="0"/>
          <w:bCs w:val="0"/>
          <w:color w:val="auto"/>
          <w:szCs w:val="28"/>
          <w:highlight w:val="none"/>
        </w:rPr>
      </w:pPr>
      <w:r>
        <w:rPr>
          <w:rFonts w:hint="default" w:ascii="Times New Roman" w:hAnsi="Times New Roman" w:eastAsia="黑体" w:cs="Times New Roman"/>
          <w:b w:val="0"/>
          <w:bCs w:val="0"/>
          <w:color w:val="auto"/>
          <w:szCs w:val="28"/>
          <w:highlight w:val="none"/>
        </w:rPr>
        <w:t>（三）拟损毁土地预测与评估</w:t>
      </w:r>
      <w:bookmarkEnd w:id="139"/>
    </w:p>
    <w:p w14:paraId="01E90E23">
      <w:pPr>
        <w:pStyle w:val="137"/>
        <w:spacing w:line="360" w:lineRule="auto"/>
        <w:ind w:firstLine="480"/>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预测评估是在现状评估的基础上，根据矿产资源开发利用方案和采矿地质环境条件特征，分析预测采矿活动可能引发或加剧的损毁土地的情况。</w:t>
      </w:r>
    </w:p>
    <w:p w14:paraId="0871AF37">
      <w:pPr>
        <w:pStyle w:val="137"/>
        <w:spacing w:line="360" w:lineRule="auto"/>
        <w:ind w:firstLine="480"/>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根据《土地复垦质量控制标准》（TD/T1036-2013）的要求，结合本矿山的具体生产工艺、方式等条件，通过对生产过程、土地损毁环节、损毁时段及区段的预测和分析，可以预测因采掘挖损、工程压占和水土流失及污染等情况损毁土地的范围、地类、面积和程度等。</w:t>
      </w:r>
    </w:p>
    <w:p w14:paraId="6D2DE494">
      <w:pPr>
        <w:pStyle w:val="137"/>
        <w:spacing w:line="360" w:lineRule="auto"/>
        <w:ind w:firstLine="480"/>
        <w:rPr>
          <w:rFonts w:hint="eastAsia" w:ascii="Times New Roman" w:hAnsi="Times New Roman" w:eastAsia="宋体"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eastAsia="zh-CN"/>
        </w:rPr>
        <w:t>根据前述，该矿山为原有矿山，</w:t>
      </w:r>
      <w:r>
        <w:rPr>
          <w:rFonts w:hint="eastAsia" w:cs="Times New Roman"/>
          <w:b w:val="0"/>
          <w:bCs w:val="0"/>
          <w:color w:val="auto"/>
          <w:sz w:val="24"/>
          <w:szCs w:val="24"/>
          <w:highlight w:val="none"/>
          <w:lang w:val="en-US" w:eastAsia="zh-CN"/>
        </w:rPr>
        <w:t>矿山继续开采将会使露天采场范围持续扩大，同时向下开采，矿山开采深度会继续增加，对土地的损毁面积将增大，露天采场拟损毁面积0.3383hm</w:t>
      </w:r>
      <w:r>
        <w:rPr>
          <w:rFonts w:hint="eastAsia" w:cs="Times New Roman"/>
          <w:b w:val="0"/>
          <w:bCs w:val="0"/>
          <w:color w:val="auto"/>
          <w:sz w:val="24"/>
          <w:szCs w:val="24"/>
          <w:highlight w:val="none"/>
          <w:vertAlign w:val="superscript"/>
          <w:lang w:val="en-US" w:eastAsia="zh-CN"/>
        </w:rPr>
        <w:t>2</w:t>
      </w:r>
      <w:r>
        <w:rPr>
          <w:rFonts w:hint="eastAsia" w:cs="Times New Roman"/>
          <w:b w:val="0"/>
          <w:bCs w:val="0"/>
          <w:color w:val="auto"/>
          <w:sz w:val="24"/>
          <w:szCs w:val="24"/>
          <w:highlight w:val="none"/>
          <w:lang w:val="en-US" w:eastAsia="zh-CN"/>
        </w:rPr>
        <w:t>，主要损毁矿区东南部和西部。</w:t>
      </w:r>
      <w:r>
        <w:rPr>
          <w:rFonts w:hint="eastAsia" w:cs="Times New Roman"/>
          <w:color w:val="auto"/>
          <w:sz w:val="24"/>
          <w:highlight w:val="none"/>
          <w:lang w:val="en-US" w:eastAsia="zh-CN"/>
        </w:rPr>
        <w:t>露天开采</w:t>
      </w:r>
      <w:r>
        <w:rPr>
          <w:rFonts w:hint="default" w:ascii="Times New Roman" w:hAnsi="Times New Roman" w:cs="Times New Roman"/>
          <w:color w:val="auto"/>
          <w:sz w:val="24"/>
          <w:highlight w:val="none"/>
        </w:rPr>
        <w:t>破坏了原生的土层和植被，改变了原来的地貌景观，</w:t>
      </w:r>
      <w:r>
        <w:rPr>
          <w:rFonts w:hint="eastAsia" w:cs="Times New Roman"/>
          <w:color w:val="auto"/>
          <w:sz w:val="24"/>
          <w:highlight w:val="none"/>
          <w:lang w:val="en-US" w:eastAsia="zh-CN"/>
        </w:rPr>
        <w:t>损毁</w:t>
      </w:r>
      <w:r>
        <w:rPr>
          <w:rFonts w:hint="default" w:ascii="Times New Roman" w:hAnsi="Times New Roman" w:cs="Times New Roman"/>
          <w:color w:val="auto"/>
          <w:sz w:val="24"/>
          <w:highlight w:val="none"/>
        </w:rPr>
        <w:t>土地类型为采矿用地</w:t>
      </w:r>
      <w:r>
        <w:rPr>
          <w:rFonts w:hint="eastAsia" w:cs="Times New Roman"/>
          <w:color w:val="auto"/>
          <w:sz w:val="24"/>
          <w:highlight w:val="none"/>
          <w:lang w:val="en-US" w:eastAsia="zh-CN"/>
        </w:rPr>
        <w:t>和乔木林地</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重度</w:t>
      </w:r>
      <w:r>
        <w:rPr>
          <w:rFonts w:hint="default" w:ascii="Times New Roman" w:hAnsi="Times New Roman" w:cs="Times New Roman"/>
          <w:color w:val="auto"/>
          <w:sz w:val="24"/>
          <w:highlight w:val="none"/>
        </w:rPr>
        <w:t>损毁</w:t>
      </w:r>
      <w:r>
        <w:rPr>
          <w:rFonts w:hint="eastAsia" w:cs="Times New Roman"/>
          <w:color w:val="auto"/>
          <w:sz w:val="24"/>
          <w:highlight w:val="none"/>
          <w:lang w:eastAsia="zh-CN"/>
        </w:rPr>
        <w:t>。</w:t>
      </w:r>
    </w:p>
    <w:p w14:paraId="77ECD878">
      <w:pPr>
        <w:pStyle w:val="137"/>
        <w:spacing w:line="360" w:lineRule="auto"/>
        <w:ind w:firstLine="480"/>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lang w:eastAsia="zh-CN"/>
        </w:rPr>
        <w:t>目前矿山</w:t>
      </w:r>
      <w:r>
        <w:rPr>
          <w:rFonts w:hint="eastAsia" w:cs="Times New Roman"/>
          <w:b w:val="0"/>
          <w:bCs w:val="0"/>
          <w:color w:val="auto"/>
          <w:sz w:val="24"/>
          <w:szCs w:val="24"/>
          <w:highlight w:val="none"/>
          <w:lang w:val="en-US" w:eastAsia="zh-CN"/>
        </w:rPr>
        <w:t>配套的</w:t>
      </w:r>
      <w:r>
        <w:rPr>
          <w:rFonts w:hint="default" w:ascii="Times New Roman" w:hAnsi="Times New Roman" w:cs="Times New Roman"/>
          <w:b w:val="0"/>
          <w:bCs w:val="0"/>
          <w:color w:val="auto"/>
          <w:sz w:val="24"/>
          <w:szCs w:val="24"/>
          <w:highlight w:val="none"/>
          <w:lang w:eastAsia="zh-CN"/>
        </w:rPr>
        <w:t>各项生产生活设施已经建设完善，可以满足未来生产需求，预测未来矿山生产</w:t>
      </w:r>
      <w:r>
        <w:rPr>
          <w:rFonts w:hint="eastAsia" w:cs="Times New Roman"/>
          <w:b w:val="0"/>
          <w:bCs w:val="0"/>
          <w:color w:val="auto"/>
          <w:sz w:val="24"/>
          <w:szCs w:val="24"/>
          <w:highlight w:val="none"/>
          <w:lang w:val="en-US" w:eastAsia="zh-CN"/>
        </w:rPr>
        <w:t>除露天采场外</w:t>
      </w:r>
      <w:r>
        <w:rPr>
          <w:rFonts w:hint="default" w:ascii="Times New Roman" w:hAnsi="Times New Roman" w:cs="Times New Roman"/>
          <w:b w:val="0"/>
          <w:bCs w:val="0"/>
          <w:color w:val="auto"/>
          <w:sz w:val="24"/>
          <w:szCs w:val="24"/>
          <w:highlight w:val="none"/>
          <w:lang w:eastAsia="zh-CN"/>
        </w:rPr>
        <w:t>不会新增土地资源破坏。</w:t>
      </w:r>
    </w:p>
    <w:p w14:paraId="0A409933">
      <w:pPr>
        <w:pStyle w:val="137"/>
        <w:spacing w:line="360" w:lineRule="auto"/>
        <w:ind w:firstLine="480"/>
        <w:rPr>
          <w:rFonts w:hint="default" w:ascii="Times New Roman" w:hAnsi="Times New Roman" w:cs="Times New Roman"/>
          <w:b w:val="0"/>
          <w:bCs w:val="0"/>
          <w:color w:val="auto"/>
          <w:sz w:val="24"/>
          <w:highlight w:val="none"/>
        </w:rPr>
      </w:pPr>
      <w:r>
        <w:rPr>
          <w:rFonts w:hint="eastAsia" w:cs="Times New Roman"/>
          <w:color w:val="auto"/>
          <w:sz w:val="24"/>
          <w:highlight w:val="none"/>
          <w:lang w:eastAsia="zh-CN"/>
        </w:rPr>
        <w:t>北大湖采石场</w:t>
      </w:r>
      <w:r>
        <w:rPr>
          <w:rFonts w:hint="eastAsia" w:cs="Times New Roman"/>
          <w:color w:val="auto"/>
          <w:sz w:val="24"/>
          <w:highlight w:val="none"/>
          <w:lang w:val="en-US" w:eastAsia="zh-CN"/>
        </w:rPr>
        <w:t>拟损毁</w:t>
      </w:r>
      <w:r>
        <w:rPr>
          <w:rFonts w:hint="default" w:ascii="Times New Roman" w:hAnsi="Times New Roman" w:cs="Times New Roman"/>
          <w:color w:val="auto"/>
          <w:sz w:val="24"/>
          <w:highlight w:val="none"/>
        </w:rPr>
        <w:t>土地见表3-</w:t>
      </w:r>
      <w:r>
        <w:rPr>
          <w:rFonts w:hint="eastAsia" w:cs="Times New Roman"/>
          <w:color w:val="auto"/>
          <w:sz w:val="24"/>
          <w:highlight w:val="none"/>
          <w:lang w:val="en-US" w:eastAsia="zh-CN"/>
        </w:rPr>
        <w:t>12</w:t>
      </w:r>
      <w:r>
        <w:rPr>
          <w:rFonts w:hint="default" w:ascii="Times New Roman" w:hAnsi="Times New Roman" w:cs="Times New Roman"/>
          <w:color w:val="auto"/>
          <w:sz w:val="24"/>
          <w:highlight w:val="none"/>
        </w:rPr>
        <w:t>。</w:t>
      </w:r>
    </w:p>
    <w:p w14:paraId="05AB8A3D">
      <w:pPr>
        <w:pStyle w:val="137"/>
        <w:spacing w:line="360" w:lineRule="auto"/>
        <w:ind w:left="0" w:leftChars="0" w:firstLine="0" w:firstLineChars="0"/>
        <w:jc w:val="center"/>
        <w:rPr>
          <w:rFonts w:hint="default" w:ascii="Times New Roman" w:hAnsi="Times New Roman" w:cs="Times New Roman"/>
          <w:b w:val="0"/>
          <w:bCs w:val="0"/>
          <w:color w:val="auto"/>
          <w:sz w:val="24"/>
          <w:highlight w:val="none"/>
        </w:rPr>
      </w:pPr>
      <w:r>
        <w:rPr>
          <w:rFonts w:hint="eastAsia" w:eastAsia="黑体" w:cs="Times New Roman"/>
          <w:b w:val="0"/>
          <w:bCs/>
          <w:color w:val="auto"/>
          <w:sz w:val="21"/>
          <w:szCs w:val="21"/>
          <w:highlight w:val="none"/>
          <w:lang w:val="en-US" w:eastAsia="zh-CN"/>
        </w:rPr>
        <w:t xml:space="preserve">表3-12  </w:t>
      </w:r>
      <w:r>
        <w:rPr>
          <w:rFonts w:hint="eastAsia" w:eastAsia="黑体" w:cs="Times New Roman"/>
          <w:b w:val="0"/>
          <w:bCs/>
          <w:color w:val="auto"/>
          <w:sz w:val="21"/>
          <w:szCs w:val="21"/>
          <w:highlight w:val="none"/>
          <w:lang w:eastAsia="zh-CN"/>
        </w:rPr>
        <w:t>北大湖采石场</w:t>
      </w:r>
      <w:r>
        <w:rPr>
          <w:rFonts w:hint="eastAsia" w:eastAsia="黑体" w:cs="Times New Roman"/>
          <w:b w:val="0"/>
          <w:bCs/>
          <w:color w:val="auto"/>
          <w:sz w:val="21"/>
          <w:szCs w:val="21"/>
          <w:highlight w:val="none"/>
          <w:lang w:val="en-US" w:eastAsia="zh-CN"/>
        </w:rPr>
        <w:t>拟</w:t>
      </w:r>
      <w:r>
        <w:rPr>
          <w:rFonts w:hint="default" w:ascii="Times New Roman" w:hAnsi="Times New Roman" w:eastAsia="黑体" w:cs="Times New Roman"/>
          <w:b w:val="0"/>
          <w:bCs/>
          <w:color w:val="auto"/>
          <w:sz w:val="21"/>
          <w:szCs w:val="21"/>
          <w:highlight w:val="none"/>
        </w:rPr>
        <w:t>损毁</w:t>
      </w:r>
      <w:r>
        <w:rPr>
          <w:rFonts w:hint="default" w:ascii="Times New Roman" w:hAnsi="Times New Roman" w:eastAsia="黑体" w:cs="Times New Roman"/>
          <w:b w:val="0"/>
          <w:bCs/>
          <w:color w:val="auto"/>
          <w:sz w:val="21"/>
          <w:szCs w:val="21"/>
          <w:highlight w:val="none"/>
          <w:lang w:val="en-US" w:eastAsia="zh-CN"/>
        </w:rPr>
        <w:t>土地面积统计</w:t>
      </w:r>
      <w:r>
        <w:rPr>
          <w:rFonts w:hint="default" w:ascii="Times New Roman" w:hAnsi="Times New Roman" w:eastAsia="黑体" w:cs="Times New Roman"/>
          <w:b w:val="0"/>
          <w:bCs/>
          <w:color w:val="auto"/>
          <w:sz w:val="21"/>
          <w:szCs w:val="21"/>
          <w:highlight w:val="none"/>
        </w:rPr>
        <w:t xml:space="preserve">表 </w:t>
      </w:r>
      <w:r>
        <w:rPr>
          <w:rFonts w:hint="default" w:ascii="Times New Roman" w:hAnsi="Times New Roman" w:eastAsia="黑体" w:cs="Times New Roman"/>
          <w:b w:val="0"/>
          <w:bCs/>
          <w:color w:val="auto"/>
          <w:sz w:val="21"/>
          <w:szCs w:val="21"/>
          <w:highlight w:val="none"/>
          <w:lang w:val="en-US" w:eastAsia="zh-CN"/>
        </w:rPr>
        <w:t xml:space="preserve"> </w:t>
      </w:r>
      <w:r>
        <w:rPr>
          <w:rFonts w:hint="default" w:ascii="Times New Roman" w:hAnsi="Times New Roman" w:eastAsia="黑体" w:cs="Times New Roman"/>
          <w:b w:val="0"/>
          <w:bCs/>
          <w:color w:val="auto"/>
          <w:sz w:val="21"/>
          <w:szCs w:val="21"/>
          <w:highlight w:val="none"/>
        </w:rPr>
        <w:t>单位：h</w:t>
      </w:r>
      <w:r>
        <w:rPr>
          <w:rFonts w:hint="default" w:ascii="Times New Roman" w:hAnsi="Times New Roman" w:eastAsia="黑体" w:cs="Times New Roman"/>
          <w:b w:val="0"/>
          <w:bCs/>
          <w:color w:val="auto"/>
          <w:sz w:val="21"/>
          <w:szCs w:val="21"/>
          <w:highlight w:val="none"/>
          <w:lang w:eastAsia="zh-CN"/>
        </w:rPr>
        <w:t>m</w:t>
      </w:r>
      <w:r>
        <w:rPr>
          <w:rFonts w:hint="default" w:ascii="Times New Roman" w:hAnsi="Times New Roman" w:eastAsia="黑体" w:cs="Times New Roman"/>
          <w:b w:val="0"/>
          <w:bCs/>
          <w:color w:val="auto"/>
          <w:sz w:val="21"/>
          <w:szCs w:val="21"/>
          <w:highlight w:val="none"/>
          <w:vertAlign w:val="superscript"/>
          <w:lang w:eastAsia="zh-CN"/>
        </w:rPr>
        <w:t>2</w:t>
      </w:r>
    </w:p>
    <w:tbl>
      <w:tblPr>
        <w:tblStyle w:val="34"/>
        <w:tblW w:w="83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99"/>
        <w:gridCol w:w="1099"/>
        <w:gridCol w:w="1070"/>
        <w:gridCol w:w="1513"/>
        <w:gridCol w:w="1529"/>
        <w:gridCol w:w="1055"/>
        <w:gridCol w:w="675"/>
      </w:tblGrid>
      <w:tr w14:paraId="1E14DA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49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BC0A9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损毁单元</w:t>
            </w:r>
          </w:p>
        </w:tc>
        <w:tc>
          <w:tcPr>
            <w:tcW w:w="1070" w:type="dxa"/>
            <w:vMerge w:val="restart"/>
            <w:tcBorders>
              <w:top w:val="single" w:color="000000" w:sz="4" w:space="0"/>
              <w:left w:val="single" w:color="000000" w:sz="4" w:space="0"/>
              <w:right w:val="single" w:color="000000" w:sz="4" w:space="0"/>
            </w:tcBorders>
            <w:shd w:val="clear" w:color="auto" w:fill="auto"/>
            <w:vAlign w:val="center"/>
          </w:tcPr>
          <w:p w14:paraId="7A93E13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损毁</w:t>
            </w:r>
          </w:p>
          <w:p w14:paraId="44A893D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类型</w:t>
            </w:r>
          </w:p>
        </w:tc>
        <w:tc>
          <w:tcPr>
            <w:tcW w:w="304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0E58F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土地利用类型</w:t>
            </w:r>
          </w:p>
        </w:tc>
        <w:tc>
          <w:tcPr>
            <w:tcW w:w="1055" w:type="dxa"/>
            <w:vMerge w:val="restart"/>
            <w:tcBorders>
              <w:top w:val="single" w:color="000000" w:sz="4" w:space="0"/>
              <w:left w:val="single" w:color="000000" w:sz="4" w:space="0"/>
              <w:right w:val="single" w:color="000000" w:sz="4" w:space="0"/>
            </w:tcBorders>
            <w:shd w:val="clear" w:color="auto" w:fill="auto"/>
            <w:vAlign w:val="center"/>
          </w:tcPr>
          <w:p w14:paraId="1CB85BD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拟损毁</w:t>
            </w:r>
          </w:p>
          <w:p w14:paraId="16D624F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面积</w:t>
            </w:r>
          </w:p>
        </w:tc>
        <w:tc>
          <w:tcPr>
            <w:tcW w:w="675" w:type="dxa"/>
            <w:vMerge w:val="restart"/>
            <w:tcBorders>
              <w:top w:val="single" w:color="000000" w:sz="4" w:space="0"/>
              <w:left w:val="single" w:color="000000" w:sz="4" w:space="0"/>
              <w:right w:val="single" w:color="000000" w:sz="4" w:space="0"/>
            </w:tcBorders>
            <w:shd w:val="clear" w:color="auto" w:fill="auto"/>
            <w:vAlign w:val="center"/>
          </w:tcPr>
          <w:p w14:paraId="7B6EFFA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损毁</w:t>
            </w:r>
          </w:p>
          <w:p w14:paraId="01BB72E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程度</w:t>
            </w:r>
          </w:p>
        </w:tc>
      </w:tr>
      <w:tr w14:paraId="37B9DC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49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C8BD28">
            <w:pPr>
              <w:jc w:val="center"/>
              <w:rPr>
                <w:rFonts w:hint="default" w:ascii="Times New Roman" w:hAnsi="Times New Roman" w:eastAsia="宋体" w:cs="Times New Roman"/>
                <w:i w:val="0"/>
                <w:iCs w:val="0"/>
                <w:color w:val="auto"/>
                <w:sz w:val="21"/>
                <w:szCs w:val="21"/>
                <w:u w:val="none"/>
              </w:rPr>
            </w:pPr>
          </w:p>
        </w:tc>
        <w:tc>
          <w:tcPr>
            <w:tcW w:w="1070" w:type="dxa"/>
            <w:vMerge w:val="continue"/>
            <w:tcBorders>
              <w:left w:val="single" w:color="000000" w:sz="4" w:space="0"/>
              <w:bottom w:val="single" w:color="000000" w:sz="4" w:space="0"/>
              <w:right w:val="single" w:color="000000" w:sz="4" w:space="0"/>
            </w:tcBorders>
            <w:shd w:val="clear" w:color="auto" w:fill="auto"/>
            <w:vAlign w:val="center"/>
          </w:tcPr>
          <w:p w14:paraId="3333E6D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p>
        </w:tc>
        <w:tc>
          <w:tcPr>
            <w:tcW w:w="1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B1BC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0301乔木林地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8038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0602采矿用地</w:t>
            </w:r>
          </w:p>
        </w:tc>
        <w:tc>
          <w:tcPr>
            <w:tcW w:w="1055" w:type="dxa"/>
            <w:vMerge w:val="continue"/>
            <w:tcBorders>
              <w:left w:val="single" w:color="000000" w:sz="4" w:space="0"/>
              <w:bottom w:val="single" w:color="000000" w:sz="4" w:space="0"/>
              <w:right w:val="single" w:color="000000" w:sz="4" w:space="0"/>
            </w:tcBorders>
            <w:shd w:val="clear" w:color="auto" w:fill="auto"/>
            <w:vAlign w:val="center"/>
          </w:tcPr>
          <w:p w14:paraId="66DC3CB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p>
        </w:tc>
        <w:tc>
          <w:tcPr>
            <w:tcW w:w="675" w:type="dxa"/>
            <w:vMerge w:val="continue"/>
            <w:tcBorders>
              <w:left w:val="single" w:color="000000" w:sz="4" w:space="0"/>
              <w:bottom w:val="single" w:color="000000" w:sz="4" w:space="0"/>
              <w:right w:val="single" w:color="000000" w:sz="4" w:space="0"/>
            </w:tcBorders>
            <w:shd w:val="clear" w:color="auto" w:fill="auto"/>
            <w:vAlign w:val="center"/>
          </w:tcPr>
          <w:p w14:paraId="3107882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p>
        </w:tc>
      </w:tr>
      <w:tr w14:paraId="7CAFD0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13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A22D6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露天采</w:t>
            </w:r>
            <w:r>
              <w:rPr>
                <w:rFonts w:hint="eastAsia" w:ascii="Times New Roman" w:hAnsi="Times New Roman" w:eastAsia="宋体" w:cs="Times New Roman"/>
                <w:i w:val="0"/>
                <w:iCs w:val="0"/>
                <w:color w:val="auto"/>
                <w:kern w:val="0"/>
                <w:sz w:val="21"/>
                <w:szCs w:val="21"/>
                <w:u w:val="none"/>
                <w:lang w:val="en-US" w:eastAsia="zh-CN" w:bidi="ar"/>
              </w:rPr>
              <w:t>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3540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坑底</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C35F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挖损</w:t>
            </w:r>
          </w:p>
        </w:tc>
        <w:tc>
          <w:tcPr>
            <w:tcW w:w="1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88BE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0.1043</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54B5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0.0709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9211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0.1752 </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75FD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重度</w:t>
            </w:r>
          </w:p>
        </w:tc>
      </w:tr>
      <w:tr w14:paraId="1C4CD4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13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F61505">
            <w:pPr>
              <w:jc w:val="center"/>
              <w:rPr>
                <w:rFonts w:hint="default" w:ascii="Times New Roman" w:hAnsi="Times New Roman" w:eastAsia="宋体" w:cs="Times New Roman"/>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0568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平台</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A85D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挖损</w:t>
            </w:r>
          </w:p>
        </w:tc>
        <w:tc>
          <w:tcPr>
            <w:tcW w:w="1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6723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0.0064</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8303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C1C7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0.0300 </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F8B4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重度</w:t>
            </w:r>
          </w:p>
        </w:tc>
      </w:tr>
      <w:tr w14:paraId="4C2641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13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F2CF43">
            <w:pPr>
              <w:jc w:val="center"/>
              <w:rPr>
                <w:rFonts w:hint="default" w:ascii="Times New Roman" w:hAnsi="Times New Roman" w:eastAsia="宋体" w:cs="Times New Roman"/>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1BD7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边坡</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AD17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挖损</w:t>
            </w:r>
          </w:p>
        </w:tc>
        <w:tc>
          <w:tcPr>
            <w:tcW w:w="1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B52D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0.0703</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682D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0.0628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74F6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0.1331 </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1443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重度</w:t>
            </w:r>
          </w:p>
        </w:tc>
      </w:tr>
      <w:tr w14:paraId="12FBDF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356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2032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合计</w:t>
            </w: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A122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0.181</w:t>
            </w:r>
            <w:r>
              <w:rPr>
                <w:rFonts w:hint="eastAsia" w:ascii="Times New Roman" w:hAnsi="Times New Roman" w:eastAsia="宋体" w:cs="Times New Roman"/>
                <w:i w:val="0"/>
                <w:iCs w:val="0"/>
                <w:color w:val="auto"/>
                <w:kern w:val="0"/>
                <w:sz w:val="21"/>
                <w:szCs w:val="21"/>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B916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0.1573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4ABE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0.3383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23C11">
            <w:pPr>
              <w:jc w:val="center"/>
              <w:rPr>
                <w:rFonts w:hint="default" w:ascii="Times New Roman" w:hAnsi="Times New Roman" w:eastAsia="宋体" w:cs="Times New Roman"/>
                <w:i w:val="0"/>
                <w:iCs w:val="0"/>
                <w:color w:val="auto"/>
                <w:sz w:val="21"/>
                <w:szCs w:val="21"/>
                <w:u w:val="none"/>
              </w:rPr>
            </w:pPr>
          </w:p>
        </w:tc>
      </w:tr>
    </w:tbl>
    <w:p w14:paraId="49B5A225">
      <w:pPr>
        <w:pStyle w:val="5"/>
        <w:rPr>
          <w:rFonts w:hint="default" w:ascii="Times New Roman" w:hAnsi="Times New Roman" w:eastAsia="黑体" w:cs="Times New Roman"/>
          <w:b w:val="0"/>
          <w:bCs w:val="0"/>
          <w:color w:val="auto"/>
          <w:szCs w:val="28"/>
          <w:highlight w:val="none"/>
        </w:rPr>
      </w:pPr>
      <w:r>
        <w:rPr>
          <w:rFonts w:hint="default" w:ascii="Times New Roman" w:hAnsi="Times New Roman" w:eastAsia="黑体" w:cs="Times New Roman"/>
          <w:b w:val="0"/>
          <w:bCs w:val="0"/>
          <w:color w:val="auto"/>
          <w:szCs w:val="28"/>
          <w:highlight w:val="none"/>
        </w:rPr>
        <w:t>（四）损毁土地汇总</w:t>
      </w:r>
    </w:p>
    <w:p w14:paraId="44ADDBCB">
      <w:pPr>
        <w:autoSpaceDE w:val="0"/>
        <w:autoSpaceDN w:val="0"/>
        <w:adjustRightInd w:val="0"/>
        <w:spacing w:line="360" w:lineRule="auto"/>
        <w:ind w:firstLine="480" w:firstLineChars="200"/>
        <w:jc w:val="both"/>
        <w:rPr>
          <w:rFonts w:hint="default" w:ascii="Times New Roman" w:hAnsi="Times New Roman" w:cs="Times New Roman"/>
          <w:color w:val="auto"/>
          <w:sz w:val="24"/>
          <w:highlight w:val="none"/>
        </w:rPr>
      </w:pPr>
      <w:r>
        <w:rPr>
          <w:rFonts w:hint="eastAsia" w:cs="Times New Roman"/>
          <w:color w:val="auto"/>
          <w:sz w:val="24"/>
          <w:highlight w:val="none"/>
          <w:lang w:eastAsia="zh-CN"/>
        </w:rPr>
        <w:t>北大湖采石场</w:t>
      </w:r>
      <w:r>
        <w:rPr>
          <w:rFonts w:hint="default" w:ascii="Times New Roman" w:hAnsi="Times New Roman" w:cs="Times New Roman"/>
          <w:color w:val="auto"/>
          <w:sz w:val="24"/>
          <w:highlight w:val="none"/>
        </w:rPr>
        <w:t>损毁土地</w:t>
      </w:r>
      <w:r>
        <w:rPr>
          <w:rFonts w:hint="default" w:ascii="Times New Roman" w:hAnsi="Times New Roman" w:cs="Times New Roman"/>
          <w:color w:val="auto"/>
          <w:sz w:val="24"/>
          <w:highlight w:val="none"/>
          <w:lang w:val="en-US" w:eastAsia="zh-CN"/>
        </w:rPr>
        <w:t>总</w:t>
      </w:r>
      <w:r>
        <w:rPr>
          <w:rFonts w:hint="default" w:ascii="Times New Roman" w:hAnsi="Times New Roman" w:cs="Times New Roman"/>
          <w:color w:val="auto"/>
          <w:sz w:val="24"/>
          <w:highlight w:val="none"/>
        </w:rPr>
        <w:t>面积</w:t>
      </w:r>
      <w:r>
        <w:rPr>
          <w:rFonts w:hint="eastAsia" w:cs="Times New Roman"/>
          <w:color w:val="auto"/>
          <w:sz w:val="24"/>
          <w:highlight w:val="none"/>
          <w:lang w:val="en-US" w:eastAsia="zh-CN"/>
        </w:rPr>
        <w:t>4.0745</w:t>
      </w:r>
      <w:r>
        <w:rPr>
          <w:rFonts w:hint="default" w:ascii="Times New Roman" w:hAnsi="Times New Roman" w:cs="Times New Roman"/>
          <w:color w:val="auto"/>
          <w:sz w:val="24"/>
          <w:highlight w:val="none"/>
        </w:rPr>
        <w:t>h</w:t>
      </w:r>
      <w:r>
        <w:rPr>
          <w:rFonts w:hint="default" w:ascii="Times New Roman" w:hAnsi="Times New Roman" w:cs="Times New Roman"/>
          <w:color w:val="auto"/>
          <w:sz w:val="24"/>
          <w:highlight w:val="none"/>
          <w:lang w:eastAsia="zh-CN"/>
        </w:rPr>
        <w:t>m</w:t>
      </w:r>
      <w:r>
        <w:rPr>
          <w:rFonts w:hint="default" w:ascii="Times New Roman" w:hAnsi="Times New Roman" w:cs="Times New Roman"/>
          <w:color w:val="auto"/>
          <w:sz w:val="24"/>
          <w:highlight w:val="none"/>
          <w:vertAlign w:val="superscript"/>
          <w:lang w:eastAsia="zh-CN"/>
        </w:rPr>
        <w:t>2</w:t>
      </w:r>
      <w:r>
        <w:rPr>
          <w:rFonts w:hint="default" w:ascii="Times New Roman" w:hAnsi="Times New Roman" w:cs="Times New Roman"/>
          <w:color w:val="auto"/>
          <w:sz w:val="24"/>
          <w:highlight w:val="none"/>
        </w:rPr>
        <w:t>，损毁方式为挖损、压占，其中挖损损毁</w:t>
      </w:r>
      <w:r>
        <w:rPr>
          <w:rFonts w:hint="eastAsia" w:cs="Times New Roman"/>
          <w:color w:val="auto"/>
          <w:sz w:val="24"/>
          <w:highlight w:val="none"/>
          <w:lang w:val="en-US" w:eastAsia="zh-CN"/>
        </w:rPr>
        <w:t>2.5400</w:t>
      </w:r>
      <w:r>
        <w:rPr>
          <w:rFonts w:hint="default" w:ascii="Times New Roman" w:hAnsi="Times New Roman" w:cs="Times New Roman"/>
          <w:color w:val="auto"/>
          <w:sz w:val="24"/>
          <w:highlight w:val="none"/>
        </w:rPr>
        <w:t>h</w:t>
      </w:r>
      <w:r>
        <w:rPr>
          <w:rFonts w:hint="default" w:ascii="Times New Roman" w:hAnsi="Times New Roman" w:cs="Times New Roman"/>
          <w:color w:val="auto"/>
          <w:sz w:val="24"/>
          <w:highlight w:val="none"/>
          <w:lang w:eastAsia="zh-CN"/>
        </w:rPr>
        <w:t>m</w:t>
      </w:r>
      <w:r>
        <w:rPr>
          <w:rFonts w:hint="default" w:ascii="Times New Roman" w:hAnsi="Times New Roman" w:cs="Times New Roman"/>
          <w:color w:val="auto"/>
          <w:sz w:val="24"/>
          <w:highlight w:val="none"/>
          <w:vertAlign w:val="superscript"/>
          <w:lang w:eastAsia="zh-CN"/>
        </w:rPr>
        <w:t>2</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压占损毁</w:t>
      </w:r>
      <w:r>
        <w:rPr>
          <w:rFonts w:hint="eastAsia" w:cs="Times New Roman"/>
          <w:color w:val="auto"/>
          <w:sz w:val="24"/>
          <w:highlight w:val="none"/>
          <w:lang w:val="en-US" w:eastAsia="zh-CN"/>
        </w:rPr>
        <w:t>1.5345</w:t>
      </w:r>
      <w:r>
        <w:rPr>
          <w:rFonts w:hint="default" w:ascii="Times New Roman" w:hAnsi="Times New Roman" w:cs="Times New Roman"/>
          <w:color w:val="auto"/>
          <w:sz w:val="24"/>
          <w:highlight w:val="none"/>
        </w:rPr>
        <w:t>h</w:t>
      </w:r>
      <w:r>
        <w:rPr>
          <w:rFonts w:hint="default" w:ascii="Times New Roman" w:hAnsi="Times New Roman" w:cs="Times New Roman"/>
          <w:color w:val="auto"/>
          <w:sz w:val="24"/>
          <w:highlight w:val="none"/>
          <w:lang w:eastAsia="zh-CN"/>
        </w:rPr>
        <w:t>m</w:t>
      </w:r>
      <w:r>
        <w:rPr>
          <w:rFonts w:hint="default" w:ascii="Times New Roman" w:hAnsi="Times New Roman" w:cs="Times New Roman"/>
          <w:color w:val="auto"/>
          <w:sz w:val="24"/>
          <w:highlight w:val="none"/>
          <w:vertAlign w:val="superscript"/>
          <w:lang w:eastAsia="zh-CN"/>
        </w:rPr>
        <w:t>2</w:t>
      </w:r>
      <w:r>
        <w:rPr>
          <w:rFonts w:hint="default" w:ascii="Times New Roman" w:hAnsi="Times New Roman" w:cs="Times New Roman"/>
          <w:color w:val="auto"/>
          <w:sz w:val="24"/>
          <w:highlight w:val="none"/>
        </w:rPr>
        <w:t>；损毁土地类型为乔木林地</w:t>
      </w:r>
      <w:r>
        <w:rPr>
          <w:rFonts w:hint="eastAsia" w:cs="Times New Roman"/>
          <w:color w:val="auto"/>
          <w:sz w:val="24"/>
          <w:highlight w:val="none"/>
          <w:lang w:val="en-US" w:eastAsia="zh-CN"/>
        </w:rPr>
        <w:t>0.1810</w:t>
      </w:r>
      <w:r>
        <w:rPr>
          <w:rFonts w:hint="default" w:ascii="Times New Roman" w:hAnsi="Times New Roman" w:cs="Times New Roman"/>
          <w:color w:val="auto"/>
          <w:sz w:val="24"/>
          <w:highlight w:val="none"/>
        </w:rPr>
        <w:t>h</w:t>
      </w:r>
      <w:r>
        <w:rPr>
          <w:rFonts w:hint="default" w:ascii="Times New Roman" w:hAnsi="Times New Roman" w:cs="Times New Roman"/>
          <w:color w:val="auto"/>
          <w:sz w:val="24"/>
          <w:highlight w:val="none"/>
          <w:lang w:eastAsia="zh-CN"/>
        </w:rPr>
        <w:t>m</w:t>
      </w:r>
      <w:r>
        <w:rPr>
          <w:rFonts w:hint="default" w:ascii="Times New Roman" w:hAnsi="Times New Roman" w:cs="Times New Roman"/>
          <w:color w:val="auto"/>
          <w:sz w:val="24"/>
          <w:highlight w:val="none"/>
          <w:vertAlign w:val="superscript"/>
          <w:lang w:eastAsia="zh-CN"/>
        </w:rPr>
        <w:t>2</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采矿用地</w:t>
      </w:r>
      <w:r>
        <w:rPr>
          <w:rFonts w:hint="eastAsia" w:cs="Times New Roman"/>
          <w:color w:val="auto"/>
          <w:sz w:val="24"/>
          <w:highlight w:val="none"/>
          <w:lang w:val="en-US" w:eastAsia="zh-CN"/>
        </w:rPr>
        <w:t>3.8935</w:t>
      </w:r>
      <w:r>
        <w:rPr>
          <w:rFonts w:hint="default" w:ascii="Times New Roman" w:hAnsi="Times New Roman" w:cs="Times New Roman"/>
          <w:color w:val="auto"/>
          <w:sz w:val="24"/>
          <w:highlight w:val="none"/>
        </w:rPr>
        <w:t>h</w:t>
      </w:r>
      <w:r>
        <w:rPr>
          <w:rFonts w:hint="default" w:ascii="Times New Roman" w:hAnsi="Times New Roman" w:cs="Times New Roman"/>
          <w:color w:val="auto"/>
          <w:sz w:val="24"/>
          <w:highlight w:val="none"/>
          <w:lang w:eastAsia="zh-CN"/>
        </w:rPr>
        <w:t>m</w:t>
      </w:r>
      <w:r>
        <w:rPr>
          <w:rFonts w:hint="default" w:ascii="Times New Roman" w:hAnsi="Times New Roman" w:cs="Times New Roman"/>
          <w:color w:val="auto"/>
          <w:sz w:val="24"/>
          <w:highlight w:val="none"/>
          <w:vertAlign w:val="superscript"/>
          <w:lang w:eastAsia="zh-CN"/>
        </w:rPr>
        <w:t>2</w:t>
      </w:r>
      <w:r>
        <w:rPr>
          <w:rFonts w:hint="default" w:ascii="Times New Roman" w:hAnsi="Times New Roman" w:cs="Times New Roman"/>
          <w:color w:val="auto"/>
          <w:sz w:val="24"/>
          <w:highlight w:val="none"/>
        </w:rPr>
        <w:t>，详见表3-</w:t>
      </w:r>
      <w:r>
        <w:rPr>
          <w:rFonts w:hint="eastAsia" w:cs="Times New Roman"/>
          <w:color w:val="auto"/>
          <w:sz w:val="24"/>
          <w:highlight w:val="none"/>
          <w:lang w:val="en-US" w:eastAsia="zh-CN"/>
        </w:rPr>
        <w:t>13</w:t>
      </w:r>
      <w:r>
        <w:rPr>
          <w:rFonts w:hint="default" w:ascii="Times New Roman" w:hAnsi="Times New Roman" w:cs="Times New Roman"/>
          <w:color w:val="auto"/>
          <w:sz w:val="24"/>
          <w:highlight w:val="none"/>
        </w:rPr>
        <w:t>。</w:t>
      </w:r>
    </w:p>
    <w:p w14:paraId="70777B8F">
      <w:pPr>
        <w:pStyle w:val="63"/>
        <w:spacing w:line="360" w:lineRule="auto"/>
        <w:ind w:firstLine="480"/>
        <w:jc w:val="center"/>
        <w:rPr>
          <w:rFonts w:hint="default" w:ascii="Times New Roman" w:hAnsi="Times New Roman" w:eastAsia="黑体" w:cs="Times New Roman"/>
          <w:b w:val="0"/>
          <w:bCs/>
          <w:color w:val="auto"/>
          <w:sz w:val="21"/>
          <w:szCs w:val="21"/>
          <w:highlight w:val="none"/>
          <w:lang w:eastAsia="zh-CN"/>
        </w:rPr>
      </w:pPr>
      <w:bookmarkStart w:id="140" w:name="_Toc485629699"/>
      <w:bookmarkStart w:id="141" w:name="_Toc508869980"/>
      <w:r>
        <w:rPr>
          <w:rFonts w:hint="default" w:ascii="Times New Roman" w:hAnsi="Times New Roman" w:eastAsia="黑体" w:cs="Times New Roman"/>
          <w:b w:val="0"/>
          <w:bCs/>
          <w:color w:val="auto"/>
          <w:sz w:val="21"/>
          <w:szCs w:val="21"/>
          <w:highlight w:val="none"/>
        </w:rPr>
        <w:t>表3-</w:t>
      </w:r>
      <w:r>
        <w:rPr>
          <w:rFonts w:hint="eastAsia" w:ascii="Times New Roman" w:hAnsi="Times New Roman" w:eastAsia="黑体" w:cs="Times New Roman"/>
          <w:b w:val="0"/>
          <w:bCs/>
          <w:color w:val="auto"/>
          <w:sz w:val="21"/>
          <w:szCs w:val="21"/>
          <w:highlight w:val="none"/>
          <w:lang w:val="en-US" w:eastAsia="zh-CN"/>
        </w:rPr>
        <w:t>13</w:t>
      </w:r>
      <w:r>
        <w:rPr>
          <w:rFonts w:hint="default" w:ascii="Times New Roman" w:hAnsi="Times New Roman" w:eastAsia="黑体" w:cs="Times New Roman"/>
          <w:b w:val="0"/>
          <w:bCs/>
          <w:color w:val="auto"/>
          <w:sz w:val="21"/>
          <w:szCs w:val="21"/>
          <w:highlight w:val="none"/>
        </w:rPr>
        <w:t xml:space="preserve">  </w:t>
      </w:r>
      <w:r>
        <w:rPr>
          <w:rFonts w:hint="eastAsia" w:ascii="Times New Roman" w:hAnsi="Times New Roman" w:eastAsia="黑体" w:cs="Times New Roman"/>
          <w:b w:val="0"/>
          <w:bCs/>
          <w:color w:val="auto"/>
          <w:sz w:val="21"/>
          <w:szCs w:val="21"/>
          <w:highlight w:val="none"/>
          <w:lang w:eastAsia="zh-CN"/>
        </w:rPr>
        <w:t>北大湖采石场</w:t>
      </w:r>
      <w:r>
        <w:rPr>
          <w:rFonts w:hint="default" w:ascii="Times New Roman" w:hAnsi="Times New Roman" w:eastAsia="黑体" w:cs="Times New Roman"/>
          <w:b w:val="0"/>
          <w:bCs/>
          <w:color w:val="auto"/>
          <w:sz w:val="21"/>
          <w:szCs w:val="21"/>
          <w:highlight w:val="none"/>
        </w:rPr>
        <w:t>各单元土地损毁</w:t>
      </w:r>
      <w:r>
        <w:rPr>
          <w:rFonts w:hint="default" w:ascii="Times New Roman" w:hAnsi="Times New Roman" w:eastAsia="黑体" w:cs="Times New Roman"/>
          <w:b w:val="0"/>
          <w:bCs/>
          <w:color w:val="auto"/>
          <w:sz w:val="21"/>
          <w:szCs w:val="21"/>
          <w:highlight w:val="none"/>
          <w:lang w:val="en-US" w:eastAsia="zh-CN"/>
        </w:rPr>
        <w:t>土地面积汇总</w:t>
      </w:r>
      <w:r>
        <w:rPr>
          <w:rFonts w:hint="default" w:ascii="Times New Roman" w:hAnsi="Times New Roman" w:eastAsia="黑体" w:cs="Times New Roman"/>
          <w:b w:val="0"/>
          <w:bCs/>
          <w:color w:val="auto"/>
          <w:sz w:val="21"/>
          <w:szCs w:val="21"/>
          <w:highlight w:val="none"/>
        </w:rPr>
        <w:t>表 单位：h</w:t>
      </w:r>
      <w:r>
        <w:rPr>
          <w:rFonts w:hint="default" w:ascii="Times New Roman" w:hAnsi="Times New Roman" w:eastAsia="黑体" w:cs="Times New Roman"/>
          <w:b w:val="0"/>
          <w:bCs/>
          <w:color w:val="auto"/>
          <w:sz w:val="21"/>
          <w:szCs w:val="21"/>
          <w:highlight w:val="none"/>
          <w:lang w:eastAsia="zh-CN"/>
        </w:rPr>
        <w:t>m</w:t>
      </w:r>
      <w:r>
        <w:rPr>
          <w:rFonts w:hint="default" w:ascii="Times New Roman" w:hAnsi="Times New Roman" w:eastAsia="黑体" w:cs="Times New Roman"/>
          <w:b w:val="0"/>
          <w:bCs/>
          <w:color w:val="auto"/>
          <w:sz w:val="21"/>
          <w:szCs w:val="21"/>
          <w:highlight w:val="none"/>
          <w:vertAlign w:val="superscript"/>
          <w:lang w:eastAsia="zh-CN"/>
        </w:rPr>
        <w:t>2</w:t>
      </w:r>
    </w:p>
    <w:tbl>
      <w:tblPr>
        <w:tblStyle w:val="34"/>
        <w:tblW w:w="8340"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396"/>
        <w:gridCol w:w="1305"/>
        <w:gridCol w:w="850"/>
        <w:gridCol w:w="1531"/>
        <w:gridCol w:w="1529"/>
        <w:gridCol w:w="1055"/>
        <w:gridCol w:w="674"/>
      </w:tblGrid>
      <w:tr w14:paraId="50FB6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5" w:hRule="atLeast"/>
        </w:trPr>
        <w:tc>
          <w:tcPr>
            <w:tcW w:w="2701" w:type="dxa"/>
            <w:gridSpan w:val="2"/>
            <w:vMerge w:val="restart"/>
            <w:shd w:val="clear" w:color="auto" w:fill="auto"/>
            <w:vAlign w:val="center"/>
          </w:tcPr>
          <w:p w14:paraId="40B92AA1">
            <w:pPr>
              <w:jc w:val="center"/>
              <w:rPr>
                <w:rFonts w:hint="default" w:ascii="Times New Roman" w:hAnsi="Times New Roman" w:eastAsia="宋体" w:cs="Times New Roman"/>
                <w:i w:val="0"/>
                <w:iCs w:val="0"/>
                <w:color w:val="auto"/>
                <w:sz w:val="21"/>
                <w:szCs w:val="21"/>
                <w:u w:val="none"/>
              </w:rPr>
            </w:pPr>
            <w:bookmarkStart w:id="142" w:name="_Toc10958"/>
            <w:r>
              <w:rPr>
                <w:rFonts w:hint="default" w:ascii="Times New Roman" w:hAnsi="Times New Roman" w:eastAsia="宋体" w:cs="Times New Roman"/>
                <w:i w:val="0"/>
                <w:iCs w:val="0"/>
                <w:color w:val="auto"/>
                <w:kern w:val="0"/>
                <w:sz w:val="21"/>
                <w:szCs w:val="21"/>
                <w:u w:val="none"/>
                <w:lang w:val="en-US" w:eastAsia="zh-CN" w:bidi="ar"/>
              </w:rPr>
              <w:t>损毁单元</w:t>
            </w:r>
          </w:p>
        </w:tc>
        <w:tc>
          <w:tcPr>
            <w:tcW w:w="850" w:type="dxa"/>
            <w:vMerge w:val="restart"/>
            <w:shd w:val="clear" w:color="auto" w:fill="auto"/>
            <w:vAlign w:val="center"/>
          </w:tcPr>
          <w:p w14:paraId="5D3E54C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损毁</w:t>
            </w:r>
          </w:p>
          <w:p w14:paraId="38B8113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类型</w:t>
            </w:r>
          </w:p>
        </w:tc>
        <w:tc>
          <w:tcPr>
            <w:tcW w:w="3060" w:type="dxa"/>
            <w:gridSpan w:val="2"/>
            <w:shd w:val="clear" w:color="auto" w:fill="auto"/>
            <w:vAlign w:val="center"/>
          </w:tcPr>
          <w:p w14:paraId="77BE3B0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土地利用类型</w:t>
            </w:r>
          </w:p>
        </w:tc>
        <w:tc>
          <w:tcPr>
            <w:tcW w:w="1055" w:type="dxa"/>
            <w:vMerge w:val="restart"/>
            <w:shd w:val="clear" w:color="auto" w:fill="auto"/>
            <w:vAlign w:val="center"/>
          </w:tcPr>
          <w:p w14:paraId="7299F08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损毁</w:t>
            </w:r>
          </w:p>
          <w:p w14:paraId="6D4BFD3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面积</w:t>
            </w:r>
          </w:p>
        </w:tc>
        <w:tc>
          <w:tcPr>
            <w:tcW w:w="674" w:type="dxa"/>
            <w:vMerge w:val="restart"/>
            <w:shd w:val="clear" w:color="auto" w:fill="auto"/>
            <w:vAlign w:val="center"/>
          </w:tcPr>
          <w:p w14:paraId="39E73F1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损毁</w:t>
            </w:r>
          </w:p>
          <w:p w14:paraId="398A042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程度</w:t>
            </w:r>
          </w:p>
        </w:tc>
      </w:tr>
      <w:tr w14:paraId="468B1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701" w:type="dxa"/>
            <w:gridSpan w:val="2"/>
            <w:vMerge w:val="continue"/>
            <w:shd w:val="clear" w:color="auto" w:fill="auto"/>
            <w:vAlign w:val="center"/>
          </w:tcPr>
          <w:p w14:paraId="7B99784D">
            <w:pPr>
              <w:jc w:val="center"/>
              <w:rPr>
                <w:rFonts w:hint="default" w:ascii="Times New Roman" w:hAnsi="Times New Roman" w:eastAsia="宋体" w:cs="Times New Roman"/>
                <w:i w:val="0"/>
                <w:iCs w:val="0"/>
                <w:color w:val="auto"/>
                <w:sz w:val="21"/>
                <w:szCs w:val="21"/>
                <w:u w:val="none"/>
              </w:rPr>
            </w:pPr>
          </w:p>
        </w:tc>
        <w:tc>
          <w:tcPr>
            <w:tcW w:w="850" w:type="dxa"/>
            <w:vMerge w:val="continue"/>
            <w:shd w:val="clear" w:color="auto" w:fill="auto"/>
            <w:vAlign w:val="center"/>
          </w:tcPr>
          <w:p w14:paraId="71C3D60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p>
        </w:tc>
        <w:tc>
          <w:tcPr>
            <w:tcW w:w="1531" w:type="dxa"/>
            <w:shd w:val="clear" w:color="auto" w:fill="auto"/>
            <w:vAlign w:val="center"/>
          </w:tcPr>
          <w:p w14:paraId="5131AEA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0301乔木林地</w:t>
            </w:r>
          </w:p>
        </w:tc>
        <w:tc>
          <w:tcPr>
            <w:tcW w:w="0" w:type="auto"/>
            <w:shd w:val="clear" w:color="auto" w:fill="auto"/>
            <w:noWrap/>
            <w:vAlign w:val="center"/>
          </w:tcPr>
          <w:p w14:paraId="05CD2A4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0602采矿用地</w:t>
            </w:r>
          </w:p>
        </w:tc>
        <w:tc>
          <w:tcPr>
            <w:tcW w:w="1055" w:type="dxa"/>
            <w:vMerge w:val="continue"/>
            <w:shd w:val="clear" w:color="auto" w:fill="auto"/>
            <w:vAlign w:val="center"/>
          </w:tcPr>
          <w:p w14:paraId="529DFD7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p>
        </w:tc>
        <w:tc>
          <w:tcPr>
            <w:tcW w:w="674" w:type="dxa"/>
            <w:vMerge w:val="continue"/>
            <w:shd w:val="clear" w:color="auto" w:fill="auto"/>
            <w:vAlign w:val="center"/>
          </w:tcPr>
          <w:p w14:paraId="3AC8007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p>
        </w:tc>
      </w:tr>
      <w:tr w14:paraId="457B0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5" w:hRule="atLeast"/>
        </w:trPr>
        <w:tc>
          <w:tcPr>
            <w:tcW w:w="1396" w:type="dxa"/>
            <w:vMerge w:val="restart"/>
            <w:shd w:val="clear" w:color="auto" w:fill="auto"/>
            <w:vAlign w:val="center"/>
          </w:tcPr>
          <w:p w14:paraId="2F7F6BB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露天采场</w:t>
            </w:r>
          </w:p>
        </w:tc>
        <w:tc>
          <w:tcPr>
            <w:tcW w:w="1305" w:type="dxa"/>
            <w:shd w:val="clear" w:color="auto" w:fill="auto"/>
            <w:noWrap/>
            <w:vAlign w:val="center"/>
          </w:tcPr>
          <w:p w14:paraId="2071B67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坑底</w:t>
            </w:r>
          </w:p>
        </w:tc>
        <w:tc>
          <w:tcPr>
            <w:tcW w:w="850" w:type="dxa"/>
            <w:shd w:val="clear" w:color="auto" w:fill="auto"/>
            <w:vAlign w:val="center"/>
          </w:tcPr>
          <w:p w14:paraId="5CFA772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挖损</w:t>
            </w:r>
          </w:p>
        </w:tc>
        <w:tc>
          <w:tcPr>
            <w:tcW w:w="1531" w:type="dxa"/>
            <w:shd w:val="clear" w:color="auto" w:fill="auto"/>
            <w:vAlign w:val="center"/>
          </w:tcPr>
          <w:p w14:paraId="604FD9A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0.1043 </w:t>
            </w:r>
          </w:p>
        </w:tc>
        <w:tc>
          <w:tcPr>
            <w:tcW w:w="1529" w:type="dxa"/>
            <w:shd w:val="clear" w:color="auto" w:fill="auto"/>
            <w:vAlign w:val="center"/>
          </w:tcPr>
          <w:p w14:paraId="23D3ADC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1.2802 </w:t>
            </w:r>
          </w:p>
        </w:tc>
        <w:tc>
          <w:tcPr>
            <w:tcW w:w="1055" w:type="dxa"/>
            <w:shd w:val="clear" w:color="auto" w:fill="auto"/>
            <w:vAlign w:val="center"/>
          </w:tcPr>
          <w:p w14:paraId="4D80118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1.3845 </w:t>
            </w:r>
          </w:p>
        </w:tc>
        <w:tc>
          <w:tcPr>
            <w:tcW w:w="674" w:type="dxa"/>
            <w:shd w:val="clear" w:color="auto" w:fill="auto"/>
            <w:vAlign w:val="center"/>
          </w:tcPr>
          <w:p w14:paraId="3591049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重度</w:t>
            </w:r>
          </w:p>
        </w:tc>
      </w:tr>
      <w:tr w14:paraId="3C3B1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5" w:hRule="atLeast"/>
        </w:trPr>
        <w:tc>
          <w:tcPr>
            <w:tcW w:w="1396" w:type="dxa"/>
            <w:vMerge w:val="continue"/>
            <w:shd w:val="clear" w:color="auto" w:fill="auto"/>
            <w:vAlign w:val="center"/>
          </w:tcPr>
          <w:p w14:paraId="54937B78">
            <w:pPr>
              <w:jc w:val="center"/>
              <w:rPr>
                <w:rFonts w:hint="default" w:ascii="Times New Roman" w:hAnsi="Times New Roman" w:eastAsia="宋体" w:cs="Times New Roman"/>
                <w:i w:val="0"/>
                <w:iCs w:val="0"/>
                <w:color w:val="auto"/>
                <w:sz w:val="21"/>
                <w:szCs w:val="21"/>
                <w:u w:val="none"/>
              </w:rPr>
            </w:pPr>
          </w:p>
        </w:tc>
        <w:tc>
          <w:tcPr>
            <w:tcW w:w="1305" w:type="dxa"/>
            <w:shd w:val="clear" w:color="auto" w:fill="auto"/>
            <w:noWrap/>
            <w:vAlign w:val="center"/>
          </w:tcPr>
          <w:p w14:paraId="026E896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平台</w:t>
            </w:r>
          </w:p>
        </w:tc>
        <w:tc>
          <w:tcPr>
            <w:tcW w:w="850" w:type="dxa"/>
            <w:shd w:val="clear" w:color="auto" w:fill="auto"/>
            <w:vAlign w:val="center"/>
          </w:tcPr>
          <w:p w14:paraId="5F2EED4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挖损</w:t>
            </w:r>
          </w:p>
        </w:tc>
        <w:tc>
          <w:tcPr>
            <w:tcW w:w="1531" w:type="dxa"/>
            <w:shd w:val="clear" w:color="auto" w:fill="auto"/>
            <w:vAlign w:val="center"/>
          </w:tcPr>
          <w:p w14:paraId="3F74AA6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0.0064 </w:t>
            </w:r>
          </w:p>
        </w:tc>
        <w:tc>
          <w:tcPr>
            <w:tcW w:w="1529" w:type="dxa"/>
            <w:shd w:val="clear" w:color="auto" w:fill="auto"/>
            <w:vAlign w:val="center"/>
          </w:tcPr>
          <w:p w14:paraId="6A737E2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0.2812 </w:t>
            </w:r>
          </w:p>
        </w:tc>
        <w:tc>
          <w:tcPr>
            <w:tcW w:w="1055" w:type="dxa"/>
            <w:shd w:val="clear" w:color="auto" w:fill="auto"/>
            <w:vAlign w:val="center"/>
          </w:tcPr>
          <w:p w14:paraId="1421448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0.2876 </w:t>
            </w:r>
          </w:p>
        </w:tc>
        <w:tc>
          <w:tcPr>
            <w:tcW w:w="674" w:type="dxa"/>
            <w:shd w:val="clear" w:color="auto" w:fill="auto"/>
            <w:vAlign w:val="center"/>
          </w:tcPr>
          <w:p w14:paraId="36BA621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重度</w:t>
            </w:r>
          </w:p>
        </w:tc>
      </w:tr>
      <w:tr w14:paraId="118C0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5" w:hRule="atLeast"/>
        </w:trPr>
        <w:tc>
          <w:tcPr>
            <w:tcW w:w="1396" w:type="dxa"/>
            <w:vMerge w:val="continue"/>
            <w:shd w:val="clear" w:color="auto" w:fill="auto"/>
            <w:vAlign w:val="center"/>
          </w:tcPr>
          <w:p w14:paraId="10EB9ED9">
            <w:pPr>
              <w:jc w:val="center"/>
              <w:rPr>
                <w:rFonts w:hint="default" w:ascii="Times New Roman" w:hAnsi="Times New Roman" w:eastAsia="宋体" w:cs="Times New Roman"/>
                <w:i w:val="0"/>
                <w:iCs w:val="0"/>
                <w:color w:val="auto"/>
                <w:sz w:val="21"/>
                <w:szCs w:val="21"/>
                <w:u w:val="none"/>
              </w:rPr>
            </w:pPr>
          </w:p>
        </w:tc>
        <w:tc>
          <w:tcPr>
            <w:tcW w:w="1305" w:type="dxa"/>
            <w:shd w:val="clear" w:color="auto" w:fill="auto"/>
            <w:noWrap/>
            <w:vAlign w:val="center"/>
          </w:tcPr>
          <w:p w14:paraId="1FE78B2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边坡</w:t>
            </w:r>
          </w:p>
        </w:tc>
        <w:tc>
          <w:tcPr>
            <w:tcW w:w="850" w:type="dxa"/>
            <w:shd w:val="clear" w:color="auto" w:fill="auto"/>
            <w:vAlign w:val="center"/>
          </w:tcPr>
          <w:p w14:paraId="79DAAEE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挖损</w:t>
            </w:r>
          </w:p>
        </w:tc>
        <w:tc>
          <w:tcPr>
            <w:tcW w:w="1531" w:type="dxa"/>
            <w:shd w:val="clear" w:color="auto" w:fill="auto"/>
            <w:vAlign w:val="center"/>
          </w:tcPr>
          <w:p w14:paraId="3B87DFB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0.0703 </w:t>
            </w:r>
          </w:p>
        </w:tc>
        <w:tc>
          <w:tcPr>
            <w:tcW w:w="1529" w:type="dxa"/>
            <w:shd w:val="clear" w:color="auto" w:fill="auto"/>
            <w:vAlign w:val="center"/>
          </w:tcPr>
          <w:p w14:paraId="463F9A7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0.7976 </w:t>
            </w:r>
          </w:p>
        </w:tc>
        <w:tc>
          <w:tcPr>
            <w:tcW w:w="1055" w:type="dxa"/>
            <w:shd w:val="clear" w:color="auto" w:fill="auto"/>
            <w:vAlign w:val="center"/>
          </w:tcPr>
          <w:p w14:paraId="0F7622F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0.8679 </w:t>
            </w:r>
          </w:p>
        </w:tc>
        <w:tc>
          <w:tcPr>
            <w:tcW w:w="674" w:type="dxa"/>
            <w:shd w:val="clear" w:color="auto" w:fill="auto"/>
            <w:vAlign w:val="center"/>
          </w:tcPr>
          <w:p w14:paraId="5DC6C0A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重度</w:t>
            </w:r>
          </w:p>
        </w:tc>
      </w:tr>
      <w:tr w14:paraId="0750F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5" w:hRule="atLeast"/>
        </w:trPr>
        <w:tc>
          <w:tcPr>
            <w:tcW w:w="2701" w:type="dxa"/>
            <w:gridSpan w:val="2"/>
            <w:shd w:val="clear" w:color="auto" w:fill="auto"/>
            <w:vAlign w:val="center"/>
          </w:tcPr>
          <w:p w14:paraId="75A48CA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工业广场</w:t>
            </w:r>
          </w:p>
        </w:tc>
        <w:tc>
          <w:tcPr>
            <w:tcW w:w="850" w:type="dxa"/>
            <w:shd w:val="clear" w:color="auto" w:fill="auto"/>
            <w:vAlign w:val="center"/>
          </w:tcPr>
          <w:p w14:paraId="6D0EE31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压占</w:t>
            </w:r>
          </w:p>
        </w:tc>
        <w:tc>
          <w:tcPr>
            <w:tcW w:w="1531" w:type="dxa"/>
            <w:shd w:val="clear" w:color="auto" w:fill="auto"/>
            <w:vAlign w:val="center"/>
          </w:tcPr>
          <w:p w14:paraId="2232AE7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0.0000 </w:t>
            </w:r>
          </w:p>
        </w:tc>
        <w:tc>
          <w:tcPr>
            <w:tcW w:w="1529" w:type="dxa"/>
            <w:shd w:val="clear" w:color="auto" w:fill="auto"/>
            <w:vAlign w:val="center"/>
          </w:tcPr>
          <w:p w14:paraId="18C3047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0.6845 </w:t>
            </w:r>
          </w:p>
        </w:tc>
        <w:tc>
          <w:tcPr>
            <w:tcW w:w="1055" w:type="dxa"/>
            <w:shd w:val="clear" w:color="auto" w:fill="auto"/>
            <w:vAlign w:val="center"/>
          </w:tcPr>
          <w:p w14:paraId="104E083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0.6845 </w:t>
            </w:r>
          </w:p>
        </w:tc>
        <w:tc>
          <w:tcPr>
            <w:tcW w:w="674" w:type="dxa"/>
            <w:shd w:val="clear" w:color="auto" w:fill="auto"/>
            <w:vAlign w:val="center"/>
          </w:tcPr>
          <w:p w14:paraId="4FBD7B9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重度</w:t>
            </w:r>
          </w:p>
        </w:tc>
      </w:tr>
      <w:tr w14:paraId="6EBE1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5" w:hRule="atLeast"/>
        </w:trPr>
        <w:tc>
          <w:tcPr>
            <w:tcW w:w="2701" w:type="dxa"/>
            <w:gridSpan w:val="2"/>
            <w:shd w:val="clear" w:color="auto" w:fill="auto"/>
            <w:vAlign w:val="center"/>
          </w:tcPr>
          <w:p w14:paraId="3FCBA12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办公生活区</w:t>
            </w:r>
          </w:p>
        </w:tc>
        <w:tc>
          <w:tcPr>
            <w:tcW w:w="850" w:type="dxa"/>
            <w:shd w:val="clear" w:color="auto" w:fill="auto"/>
            <w:vAlign w:val="center"/>
          </w:tcPr>
          <w:p w14:paraId="668D729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压占</w:t>
            </w:r>
          </w:p>
        </w:tc>
        <w:tc>
          <w:tcPr>
            <w:tcW w:w="1531" w:type="dxa"/>
            <w:shd w:val="clear" w:color="auto" w:fill="auto"/>
            <w:vAlign w:val="center"/>
          </w:tcPr>
          <w:p w14:paraId="5AD087B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0.0000 </w:t>
            </w:r>
          </w:p>
        </w:tc>
        <w:tc>
          <w:tcPr>
            <w:tcW w:w="1529" w:type="dxa"/>
            <w:shd w:val="clear" w:color="auto" w:fill="auto"/>
            <w:vAlign w:val="center"/>
          </w:tcPr>
          <w:p w14:paraId="556320C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0.2605 </w:t>
            </w:r>
          </w:p>
        </w:tc>
        <w:tc>
          <w:tcPr>
            <w:tcW w:w="1055" w:type="dxa"/>
            <w:shd w:val="clear" w:color="auto" w:fill="auto"/>
            <w:vAlign w:val="center"/>
          </w:tcPr>
          <w:p w14:paraId="12BA698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0.2605 </w:t>
            </w:r>
          </w:p>
        </w:tc>
        <w:tc>
          <w:tcPr>
            <w:tcW w:w="674" w:type="dxa"/>
            <w:shd w:val="clear" w:color="auto" w:fill="auto"/>
            <w:vAlign w:val="center"/>
          </w:tcPr>
          <w:p w14:paraId="6151690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重度</w:t>
            </w:r>
          </w:p>
        </w:tc>
      </w:tr>
      <w:tr w14:paraId="657B2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701" w:type="dxa"/>
            <w:gridSpan w:val="2"/>
            <w:shd w:val="clear" w:color="auto" w:fill="auto"/>
            <w:vAlign w:val="center"/>
          </w:tcPr>
          <w:p w14:paraId="1F97A9C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原有办公室及临时堆料场</w:t>
            </w:r>
          </w:p>
        </w:tc>
        <w:tc>
          <w:tcPr>
            <w:tcW w:w="850" w:type="dxa"/>
            <w:shd w:val="clear" w:color="auto" w:fill="auto"/>
            <w:vAlign w:val="center"/>
          </w:tcPr>
          <w:p w14:paraId="577281D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压占</w:t>
            </w:r>
          </w:p>
        </w:tc>
        <w:tc>
          <w:tcPr>
            <w:tcW w:w="1531" w:type="dxa"/>
            <w:shd w:val="clear" w:color="auto" w:fill="auto"/>
            <w:vAlign w:val="center"/>
          </w:tcPr>
          <w:p w14:paraId="02AEBD1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0.0000 </w:t>
            </w:r>
          </w:p>
        </w:tc>
        <w:tc>
          <w:tcPr>
            <w:tcW w:w="1529" w:type="dxa"/>
            <w:shd w:val="clear" w:color="auto" w:fill="auto"/>
            <w:vAlign w:val="center"/>
          </w:tcPr>
          <w:p w14:paraId="22A6EEB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0.1178 </w:t>
            </w:r>
          </w:p>
        </w:tc>
        <w:tc>
          <w:tcPr>
            <w:tcW w:w="1055" w:type="dxa"/>
            <w:shd w:val="clear" w:color="auto" w:fill="auto"/>
            <w:vAlign w:val="center"/>
          </w:tcPr>
          <w:p w14:paraId="312BF82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0.1178 </w:t>
            </w:r>
          </w:p>
        </w:tc>
        <w:tc>
          <w:tcPr>
            <w:tcW w:w="674" w:type="dxa"/>
            <w:shd w:val="clear" w:color="auto" w:fill="auto"/>
            <w:vAlign w:val="center"/>
          </w:tcPr>
          <w:p w14:paraId="4BB6A14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重度</w:t>
            </w:r>
          </w:p>
        </w:tc>
      </w:tr>
      <w:tr w14:paraId="59C4D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5" w:hRule="atLeast"/>
        </w:trPr>
        <w:tc>
          <w:tcPr>
            <w:tcW w:w="2701" w:type="dxa"/>
            <w:gridSpan w:val="2"/>
            <w:shd w:val="clear" w:color="auto" w:fill="auto"/>
            <w:vAlign w:val="center"/>
          </w:tcPr>
          <w:p w14:paraId="255AC20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矿山道路</w:t>
            </w:r>
          </w:p>
        </w:tc>
        <w:tc>
          <w:tcPr>
            <w:tcW w:w="850" w:type="dxa"/>
            <w:shd w:val="clear" w:color="auto" w:fill="auto"/>
            <w:vAlign w:val="center"/>
          </w:tcPr>
          <w:p w14:paraId="30AA1FF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压占</w:t>
            </w:r>
          </w:p>
        </w:tc>
        <w:tc>
          <w:tcPr>
            <w:tcW w:w="1531" w:type="dxa"/>
            <w:shd w:val="clear" w:color="auto" w:fill="auto"/>
            <w:vAlign w:val="center"/>
          </w:tcPr>
          <w:p w14:paraId="7420D93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0.0000 </w:t>
            </w:r>
          </w:p>
        </w:tc>
        <w:tc>
          <w:tcPr>
            <w:tcW w:w="1529" w:type="dxa"/>
            <w:shd w:val="clear" w:color="auto" w:fill="auto"/>
            <w:vAlign w:val="center"/>
          </w:tcPr>
          <w:p w14:paraId="3192E21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0.1624 </w:t>
            </w:r>
          </w:p>
        </w:tc>
        <w:tc>
          <w:tcPr>
            <w:tcW w:w="1055" w:type="dxa"/>
            <w:shd w:val="clear" w:color="auto" w:fill="auto"/>
            <w:vAlign w:val="center"/>
          </w:tcPr>
          <w:p w14:paraId="105F84B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0.1624 </w:t>
            </w:r>
          </w:p>
        </w:tc>
        <w:tc>
          <w:tcPr>
            <w:tcW w:w="674" w:type="dxa"/>
            <w:shd w:val="clear" w:color="auto" w:fill="auto"/>
            <w:vAlign w:val="center"/>
          </w:tcPr>
          <w:p w14:paraId="6079516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重度</w:t>
            </w:r>
          </w:p>
        </w:tc>
      </w:tr>
      <w:tr w14:paraId="6239A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701" w:type="dxa"/>
            <w:gridSpan w:val="2"/>
            <w:shd w:val="clear" w:color="auto" w:fill="auto"/>
            <w:vAlign w:val="center"/>
          </w:tcPr>
          <w:p w14:paraId="5066FA8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表土堆场</w:t>
            </w:r>
          </w:p>
        </w:tc>
        <w:tc>
          <w:tcPr>
            <w:tcW w:w="850" w:type="dxa"/>
            <w:shd w:val="clear" w:color="auto" w:fill="auto"/>
            <w:vAlign w:val="center"/>
          </w:tcPr>
          <w:p w14:paraId="24DB101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压占</w:t>
            </w:r>
          </w:p>
        </w:tc>
        <w:tc>
          <w:tcPr>
            <w:tcW w:w="1531" w:type="dxa"/>
            <w:shd w:val="clear" w:color="auto" w:fill="auto"/>
            <w:vAlign w:val="center"/>
          </w:tcPr>
          <w:p w14:paraId="17AC510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0.0000 </w:t>
            </w:r>
          </w:p>
        </w:tc>
        <w:tc>
          <w:tcPr>
            <w:tcW w:w="1529" w:type="dxa"/>
            <w:shd w:val="clear" w:color="auto" w:fill="auto"/>
            <w:vAlign w:val="center"/>
          </w:tcPr>
          <w:p w14:paraId="7F232E3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0.3093 </w:t>
            </w:r>
          </w:p>
        </w:tc>
        <w:tc>
          <w:tcPr>
            <w:tcW w:w="1055" w:type="dxa"/>
            <w:shd w:val="clear" w:color="auto" w:fill="auto"/>
            <w:vAlign w:val="center"/>
          </w:tcPr>
          <w:p w14:paraId="13EB32D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0.3093 </w:t>
            </w:r>
          </w:p>
        </w:tc>
        <w:tc>
          <w:tcPr>
            <w:tcW w:w="674" w:type="dxa"/>
            <w:shd w:val="clear" w:color="auto" w:fill="auto"/>
            <w:vAlign w:val="center"/>
          </w:tcPr>
          <w:p w14:paraId="4E68160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重度</w:t>
            </w:r>
          </w:p>
        </w:tc>
      </w:tr>
      <w:tr w14:paraId="55F88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5" w:hRule="atLeast"/>
        </w:trPr>
        <w:tc>
          <w:tcPr>
            <w:tcW w:w="3551" w:type="dxa"/>
            <w:gridSpan w:val="3"/>
            <w:shd w:val="clear" w:color="auto" w:fill="auto"/>
            <w:vAlign w:val="center"/>
          </w:tcPr>
          <w:p w14:paraId="0B1E078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合     计</w:t>
            </w:r>
          </w:p>
        </w:tc>
        <w:tc>
          <w:tcPr>
            <w:tcW w:w="1531" w:type="dxa"/>
            <w:shd w:val="clear" w:color="auto" w:fill="auto"/>
            <w:vAlign w:val="center"/>
          </w:tcPr>
          <w:p w14:paraId="46D4F13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0.1810 </w:t>
            </w:r>
          </w:p>
        </w:tc>
        <w:tc>
          <w:tcPr>
            <w:tcW w:w="1529" w:type="dxa"/>
            <w:shd w:val="clear" w:color="auto" w:fill="auto"/>
            <w:vAlign w:val="center"/>
          </w:tcPr>
          <w:p w14:paraId="04181A9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3.8935 </w:t>
            </w:r>
          </w:p>
        </w:tc>
        <w:tc>
          <w:tcPr>
            <w:tcW w:w="1055" w:type="dxa"/>
            <w:shd w:val="clear" w:color="auto" w:fill="auto"/>
            <w:vAlign w:val="center"/>
          </w:tcPr>
          <w:p w14:paraId="208FE7A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4.0745 </w:t>
            </w:r>
          </w:p>
        </w:tc>
        <w:tc>
          <w:tcPr>
            <w:tcW w:w="674" w:type="dxa"/>
            <w:shd w:val="clear" w:color="auto" w:fill="auto"/>
            <w:vAlign w:val="center"/>
          </w:tcPr>
          <w:p w14:paraId="08176217">
            <w:pPr>
              <w:jc w:val="center"/>
              <w:rPr>
                <w:rFonts w:hint="default" w:ascii="Times New Roman" w:hAnsi="Times New Roman" w:eastAsia="宋体" w:cs="Times New Roman"/>
                <w:i w:val="0"/>
                <w:iCs w:val="0"/>
                <w:color w:val="auto"/>
                <w:sz w:val="21"/>
                <w:szCs w:val="21"/>
                <w:u w:val="none"/>
              </w:rPr>
            </w:pPr>
          </w:p>
        </w:tc>
      </w:tr>
    </w:tbl>
    <w:p w14:paraId="5B54D730">
      <w:pPr>
        <w:keepNext/>
        <w:keepLines/>
        <w:widowControl w:val="0"/>
        <w:spacing w:before="260" w:after="260" w:line="415" w:lineRule="auto"/>
        <w:outlineLvl w:val="1"/>
        <w:rPr>
          <w:rFonts w:hint="default" w:ascii="Times New Roman" w:hAnsi="Times New Roman" w:cs="Times New Roman"/>
          <w:color w:val="auto"/>
          <w:sz w:val="24"/>
          <w:highlight w:val="none"/>
        </w:rPr>
      </w:pPr>
      <w:r>
        <w:rPr>
          <w:rFonts w:hint="default" w:ascii="Times New Roman" w:hAnsi="Times New Roman" w:eastAsia="黑体" w:cs="Times New Roman"/>
          <w:bCs/>
          <w:color w:val="auto"/>
          <w:sz w:val="30"/>
          <w:szCs w:val="30"/>
          <w:highlight w:val="none"/>
        </w:rPr>
        <w:t>四、矿山地质环境治理分区与土地复垦范围</w:t>
      </w:r>
      <w:bookmarkEnd w:id="140"/>
      <w:bookmarkEnd w:id="141"/>
      <w:bookmarkEnd w:id="142"/>
    </w:p>
    <w:p w14:paraId="17D3BCF7">
      <w:pPr>
        <w:pStyle w:val="5"/>
        <w:rPr>
          <w:rFonts w:hint="default" w:ascii="Times New Roman" w:hAnsi="Times New Roman" w:eastAsia="黑体" w:cs="Times New Roman"/>
          <w:b w:val="0"/>
          <w:bCs w:val="0"/>
          <w:color w:val="auto"/>
          <w:szCs w:val="28"/>
          <w:highlight w:val="none"/>
        </w:rPr>
      </w:pPr>
      <w:bookmarkStart w:id="143" w:name="_Toc485629700"/>
      <w:r>
        <w:rPr>
          <w:rFonts w:hint="default" w:ascii="Times New Roman" w:hAnsi="Times New Roman" w:eastAsia="黑体" w:cs="Times New Roman"/>
          <w:b w:val="0"/>
          <w:bCs w:val="0"/>
          <w:color w:val="auto"/>
          <w:szCs w:val="28"/>
          <w:highlight w:val="none"/>
        </w:rPr>
        <w:t>（一）矿山地质环境保护与恢复治理分区</w:t>
      </w:r>
      <w:bookmarkEnd w:id="143"/>
    </w:p>
    <w:p w14:paraId="2B845DC2">
      <w:pPr>
        <w:spacing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1、分区原则</w:t>
      </w:r>
    </w:p>
    <w:p w14:paraId="3AD2E900">
      <w:pPr>
        <w:spacing w:line="360" w:lineRule="auto"/>
        <w:ind w:firstLine="360" w:firstLineChars="150"/>
        <w:rPr>
          <w:rFonts w:hint="default" w:ascii="Times New Roman" w:hAnsi="Times New Roman" w:cs="Times New Roman"/>
          <w:b w:val="0"/>
          <w:bCs w:val="0"/>
          <w:color w:val="auto"/>
          <w:sz w:val="24"/>
          <w:highlight w:val="none"/>
        </w:rPr>
      </w:pPr>
      <w:r>
        <w:rPr>
          <w:rFonts w:hint="default" w:ascii="Times New Roman" w:hAnsi="Times New Roman" w:cs="Times New Roman"/>
          <w:b w:val="0"/>
          <w:bCs w:val="0"/>
          <w:color w:val="auto"/>
          <w:sz w:val="24"/>
          <w:highlight w:val="none"/>
        </w:rPr>
        <w:t>1） 根据地质环境单元进行分区的原则。</w:t>
      </w:r>
    </w:p>
    <w:p w14:paraId="17468F91">
      <w:pPr>
        <w:spacing w:line="360" w:lineRule="auto"/>
        <w:rPr>
          <w:rFonts w:hint="default" w:ascii="Times New Roman" w:hAnsi="Times New Roman" w:cs="Times New Roman"/>
          <w:b w:val="0"/>
          <w:bCs w:val="0"/>
          <w:color w:val="auto"/>
          <w:sz w:val="24"/>
          <w:highlight w:val="none"/>
        </w:rPr>
      </w:pPr>
      <w:r>
        <w:rPr>
          <w:rFonts w:hint="default" w:ascii="Times New Roman" w:hAnsi="Times New Roman" w:cs="Times New Roman"/>
          <w:b w:val="0"/>
          <w:bCs w:val="0"/>
          <w:color w:val="auto"/>
          <w:sz w:val="24"/>
          <w:highlight w:val="none"/>
        </w:rPr>
        <w:t xml:space="preserve">   2） 按采矿活动对矿山地质环境影响的程度进行分区的原则。</w:t>
      </w:r>
    </w:p>
    <w:p w14:paraId="31AE9875">
      <w:pPr>
        <w:spacing w:line="360" w:lineRule="auto"/>
        <w:rPr>
          <w:rFonts w:hint="default" w:ascii="Times New Roman" w:hAnsi="Times New Roman" w:cs="Times New Roman"/>
          <w:b w:val="0"/>
          <w:bCs w:val="0"/>
          <w:color w:val="auto"/>
          <w:sz w:val="24"/>
          <w:highlight w:val="none"/>
        </w:rPr>
      </w:pPr>
      <w:r>
        <w:rPr>
          <w:rFonts w:hint="default" w:ascii="Times New Roman" w:hAnsi="Times New Roman" w:cs="Times New Roman"/>
          <w:b w:val="0"/>
          <w:bCs w:val="0"/>
          <w:color w:val="auto"/>
          <w:sz w:val="24"/>
          <w:highlight w:val="none"/>
        </w:rPr>
        <w:t xml:space="preserve">   3） 当现状评估与预测评估结果不一致时采取就上的分区原则。</w:t>
      </w:r>
    </w:p>
    <w:p w14:paraId="3599DBE6">
      <w:pPr>
        <w:spacing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lang w:val="en-US" w:eastAsia="zh-CN"/>
        </w:rPr>
        <w:t>2</w:t>
      </w:r>
      <w:r>
        <w:rPr>
          <w:rFonts w:hint="default" w:ascii="Times New Roman" w:hAnsi="Times New Roman" w:cs="Times New Roman"/>
          <w:b/>
          <w:bCs/>
          <w:color w:val="auto"/>
          <w:sz w:val="24"/>
          <w:highlight w:val="none"/>
        </w:rPr>
        <w:t>、分区方法</w:t>
      </w:r>
    </w:p>
    <w:p w14:paraId="3DDDB297">
      <w:pPr>
        <w:spacing w:line="360" w:lineRule="auto"/>
        <w:ind w:firstLine="360" w:firstLineChars="15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根据《矿山地质环境保护与恢复治理编制规范》，分析矿山地质环境影响程度，根据矿山地质环境现状评估和预测评估结果，可分为重点防治区、次重点防治区和一般防治区。对于现状评估和预测评估结果不一致的采取就上原则分区的方法，详见表3-</w:t>
      </w:r>
      <w:r>
        <w:rPr>
          <w:rFonts w:hint="eastAsia" w:cs="Times New Roman"/>
          <w:color w:val="auto"/>
          <w:sz w:val="24"/>
          <w:highlight w:val="none"/>
          <w:lang w:val="en-US" w:eastAsia="zh-CN"/>
        </w:rPr>
        <w:t>14</w:t>
      </w:r>
      <w:r>
        <w:rPr>
          <w:rFonts w:hint="default" w:ascii="Times New Roman" w:hAnsi="Times New Roman" w:cs="Times New Roman"/>
          <w:color w:val="auto"/>
          <w:sz w:val="24"/>
          <w:highlight w:val="none"/>
        </w:rPr>
        <w:t>。</w:t>
      </w:r>
    </w:p>
    <w:p w14:paraId="50472FD8">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eastAsia="黑体" w:cs="Times New Roman"/>
          <w:b w:val="0"/>
          <w:bCs/>
          <w:color w:val="auto"/>
          <w:szCs w:val="21"/>
          <w:highlight w:val="none"/>
        </w:rPr>
      </w:pPr>
      <w:r>
        <w:rPr>
          <w:rFonts w:hint="default" w:ascii="Times New Roman" w:hAnsi="Times New Roman" w:eastAsia="黑体" w:cs="Times New Roman"/>
          <w:b w:val="0"/>
          <w:bCs/>
          <w:color w:val="auto"/>
          <w:szCs w:val="21"/>
          <w:highlight w:val="none"/>
        </w:rPr>
        <w:t>表3-1</w:t>
      </w:r>
      <w:r>
        <w:rPr>
          <w:rFonts w:hint="eastAsia" w:eastAsia="黑体" w:cs="Times New Roman"/>
          <w:b w:val="0"/>
          <w:bCs/>
          <w:color w:val="auto"/>
          <w:szCs w:val="21"/>
          <w:highlight w:val="none"/>
          <w:lang w:val="en-US" w:eastAsia="zh-CN"/>
        </w:rPr>
        <w:t>4</w:t>
      </w:r>
      <w:r>
        <w:rPr>
          <w:rFonts w:hint="default" w:ascii="Times New Roman" w:hAnsi="Times New Roman" w:eastAsia="黑体" w:cs="Times New Roman"/>
          <w:b w:val="0"/>
          <w:bCs/>
          <w:color w:val="auto"/>
          <w:szCs w:val="21"/>
          <w:highlight w:val="none"/>
        </w:rPr>
        <w:t xml:space="preserve">    矿山地质环境保护与恢复治理分区</w:t>
      </w:r>
    </w:p>
    <w:tbl>
      <w:tblPr>
        <w:tblStyle w:val="34"/>
        <w:tblW w:w="8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4"/>
        <w:gridCol w:w="1805"/>
        <w:gridCol w:w="2253"/>
        <w:gridCol w:w="2255"/>
      </w:tblGrid>
      <w:tr w14:paraId="1305A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254" w:type="dxa"/>
            <w:vMerge w:val="restart"/>
            <w:vAlign w:val="center"/>
          </w:tcPr>
          <w:p w14:paraId="717CB728">
            <w:pPr>
              <w:jc w:val="center"/>
              <w:rPr>
                <w:rFonts w:hint="default" w:ascii="Times New Roman" w:hAnsi="Times New Roman" w:cs="Times New Roman"/>
                <w:color w:val="auto"/>
                <w:szCs w:val="21"/>
                <w:highlight w:val="none"/>
              </w:rPr>
            </w:pPr>
            <w:bookmarkStart w:id="144" w:name="_Toc270766145"/>
            <w:bookmarkStart w:id="145" w:name="_Toc283135711"/>
            <w:bookmarkStart w:id="146" w:name="_Toc256151455"/>
            <w:bookmarkStart w:id="147" w:name="_Toc288849813"/>
            <w:bookmarkStart w:id="148" w:name="_Toc380584811"/>
            <w:bookmarkStart w:id="149" w:name="_Toc270767072"/>
            <w:bookmarkStart w:id="150" w:name="_Toc288775792"/>
            <w:r>
              <w:rPr>
                <w:rFonts w:hint="default" w:ascii="Times New Roman" w:hAnsi="Times New Roman" w:cs="Times New Roman"/>
                <w:color w:val="auto"/>
                <w:szCs w:val="21"/>
                <w:highlight w:val="none"/>
              </w:rPr>
              <w:t>现状评估</w:t>
            </w:r>
          </w:p>
        </w:tc>
        <w:tc>
          <w:tcPr>
            <w:tcW w:w="6313" w:type="dxa"/>
            <w:gridSpan w:val="3"/>
            <w:vAlign w:val="center"/>
          </w:tcPr>
          <w:p w14:paraId="30EE726C">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预测评估</w:t>
            </w:r>
          </w:p>
        </w:tc>
      </w:tr>
      <w:tr w14:paraId="18A3D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254" w:type="dxa"/>
            <w:vMerge w:val="continue"/>
            <w:vAlign w:val="center"/>
          </w:tcPr>
          <w:p w14:paraId="5D178BEE">
            <w:pPr>
              <w:jc w:val="center"/>
              <w:rPr>
                <w:rFonts w:hint="default" w:ascii="Times New Roman" w:hAnsi="Times New Roman" w:cs="Times New Roman"/>
                <w:color w:val="auto"/>
                <w:szCs w:val="21"/>
                <w:highlight w:val="none"/>
              </w:rPr>
            </w:pPr>
          </w:p>
        </w:tc>
        <w:tc>
          <w:tcPr>
            <w:tcW w:w="1805" w:type="dxa"/>
            <w:vAlign w:val="center"/>
          </w:tcPr>
          <w:p w14:paraId="3B75F23F">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严重</w:t>
            </w:r>
          </w:p>
        </w:tc>
        <w:tc>
          <w:tcPr>
            <w:tcW w:w="2253" w:type="dxa"/>
            <w:vAlign w:val="center"/>
          </w:tcPr>
          <w:p w14:paraId="42BD4C95">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较严重</w:t>
            </w:r>
          </w:p>
        </w:tc>
        <w:tc>
          <w:tcPr>
            <w:tcW w:w="2255" w:type="dxa"/>
            <w:vAlign w:val="center"/>
          </w:tcPr>
          <w:p w14:paraId="789A8189">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较轻</w:t>
            </w:r>
          </w:p>
        </w:tc>
      </w:tr>
      <w:tr w14:paraId="5BE5B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254" w:type="dxa"/>
            <w:vAlign w:val="center"/>
          </w:tcPr>
          <w:p w14:paraId="28DA89BB">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严重</w:t>
            </w:r>
          </w:p>
        </w:tc>
        <w:tc>
          <w:tcPr>
            <w:tcW w:w="1805" w:type="dxa"/>
            <w:vAlign w:val="center"/>
          </w:tcPr>
          <w:p w14:paraId="480F64E7">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重点区</w:t>
            </w:r>
          </w:p>
        </w:tc>
        <w:tc>
          <w:tcPr>
            <w:tcW w:w="2253" w:type="dxa"/>
            <w:vAlign w:val="center"/>
          </w:tcPr>
          <w:p w14:paraId="720A72DE">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重点区</w:t>
            </w:r>
          </w:p>
        </w:tc>
        <w:tc>
          <w:tcPr>
            <w:tcW w:w="2255" w:type="dxa"/>
            <w:vAlign w:val="center"/>
          </w:tcPr>
          <w:p w14:paraId="5148C956">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重点区</w:t>
            </w:r>
          </w:p>
        </w:tc>
      </w:tr>
      <w:tr w14:paraId="61E6A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254" w:type="dxa"/>
            <w:vAlign w:val="center"/>
          </w:tcPr>
          <w:p w14:paraId="2FA221FE">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较严重</w:t>
            </w:r>
          </w:p>
        </w:tc>
        <w:tc>
          <w:tcPr>
            <w:tcW w:w="1805" w:type="dxa"/>
            <w:vAlign w:val="center"/>
          </w:tcPr>
          <w:p w14:paraId="55246429">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重点区</w:t>
            </w:r>
          </w:p>
        </w:tc>
        <w:tc>
          <w:tcPr>
            <w:tcW w:w="2253" w:type="dxa"/>
            <w:vAlign w:val="center"/>
          </w:tcPr>
          <w:p w14:paraId="3E4F4F4A">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次重点区</w:t>
            </w:r>
          </w:p>
        </w:tc>
        <w:tc>
          <w:tcPr>
            <w:tcW w:w="2255" w:type="dxa"/>
            <w:vAlign w:val="center"/>
          </w:tcPr>
          <w:p w14:paraId="7A6E645D">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次重点区</w:t>
            </w:r>
          </w:p>
        </w:tc>
      </w:tr>
      <w:tr w14:paraId="6AD42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254" w:type="dxa"/>
            <w:vAlign w:val="center"/>
          </w:tcPr>
          <w:p w14:paraId="7C630C53">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较轻</w:t>
            </w:r>
          </w:p>
        </w:tc>
        <w:tc>
          <w:tcPr>
            <w:tcW w:w="1805" w:type="dxa"/>
            <w:vAlign w:val="center"/>
          </w:tcPr>
          <w:p w14:paraId="08423D7F">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重点区</w:t>
            </w:r>
          </w:p>
        </w:tc>
        <w:tc>
          <w:tcPr>
            <w:tcW w:w="2253" w:type="dxa"/>
            <w:vAlign w:val="center"/>
          </w:tcPr>
          <w:p w14:paraId="22A0A446">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次重点区</w:t>
            </w:r>
          </w:p>
        </w:tc>
        <w:tc>
          <w:tcPr>
            <w:tcW w:w="2255" w:type="dxa"/>
            <w:vAlign w:val="center"/>
          </w:tcPr>
          <w:p w14:paraId="00959270">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一般区</w:t>
            </w:r>
          </w:p>
        </w:tc>
      </w:tr>
      <w:tr w14:paraId="6FE60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8567" w:type="dxa"/>
            <w:gridSpan w:val="4"/>
            <w:vAlign w:val="center"/>
          </w:tcPr>
          <w:p w14:paraId="4A97F2A3">
            <w:pP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注：现状评估与预测评估结果不一致的采取就上原则进行分区</w:t>
            </w:r>
          </w:p>
        </w:tc>
      </w:tr>
    </w:tbl>
    <w:p w14:paraId="0EB729AC">
      <w:pPr>
        <w:spacing w:line="360" w:lineRule="auto"/>
        <w:ind w:firstLine="482" w:firstLineChars="200"/>
        <w:rPr>
          <w:rFonts w:hint="default" w:ascii="Times New Roman" w:hAnsi="Times New Roman" w:cs="Times New Roman"/>
          <w:b/>
          <w:bCs/>
          <w:color w:val="auto"/>
          <w:sz w:val="24"/>
          <w:highlight w:val="none"/>
        </w:rPr>
      </w:pPr>
      <w:bookmarkStart w:id="151" w:name="_Toc454439605"/>
      <w:r>
        <w:rPr>
          <w:rFonts w:hint="eastAsia" w:ascii="Times New Roman" w:hAnsi="Times New Roman" w:cs="Times New Roman"/>
          <w:b/>
          <w:bCs/>
          <w:color w:val="auto"/>
          <w:sz w:val="24"/>
          <w:highlight w:val="none"/>
          <w:lang w:val="en-US" w:eastAsia="zh-CN"/>
        </w:rPr>
        <w:t>3</w:t>
      </w:r>
      <w:r>
        <w:rPr>
          <w:rFonts w:hint="default" w:ascii="Times New Roman" w:hAnsi="Times New Roman" w:cs="Times New Roman"/>
          <w:b/>
          <w:bCs/>
          <w:color w:val="auto"/>
          <w:sz w:val="24"/>
          <w:highlight w:val="none"/>
        </w:rPr>
        <w:t>、现状评估与预测评估结果</w:t>
      </w:r>
    </w:p>
    <w:p w14:paraId="2D861991">
      <w:pPr>
        <w:spacing w:line="360" w:lineRule="auto"/>
        <w:ind w:firstLine="480" w:firstLineChars="200"/>
        <w:rPr>
          <w:rFonts w:hint="default" w:ascii="Times New Roman" w:hAnsi="Times New Roman" w:cs="Times New Roman"/>
          <w:b w:val="0"/>
          <w:bCs w:val="0"/>
          <w:color w:val="auto"/>
          <w:sz w:val="24"/>
          <w:highlight w:val="none"/>
        </w:rPr>
      </w:pPr>
      <w:r>
        <w:rPr>
          <w:rFonts w:hint="default" w:ascii="Times New Roman" w:hAnsi="Times New Roman" w:cs="Times New Roman"/>
          <w:b w:val="0"/>
          <w:bCs w:val="0"/>
          <w:color w:val="auto"/>
          <w:sz w:val="24"/>
          <w:highlight w:val="none"/>
          <w:lang w:eastAsia="zh-CN"/>
        </w:rPr>
        <w:t>（</w:t>
      </w:r>
      <w:r>
        <w:rPr>
          <w:rFonts w:hint="default" w:ascii="Times New Roman" w:hAnsi="Times New Roman" w:cs="Times New Roman"/>
          <w:b w:val="0"/>
          <w:bCs w:val="0"/>
          <w:color w:val="auto"/>
          <w:sz w:val="24"/>
          <w:highlight w:val="none"/>
        </w:rPr>
        <w:t>1）现状评估结果：现状地质灾害不发育；对含水层影响程度较轻；</w:t>
      </w:r>
      <w:r>
        <w:rPr>
          <w:rFonts w:hint="default" w:ascii="Times New Roman" w:hAnsi="Times New Roman" w:cs="Times New Roman"/>
          <w:b w:val="0"/>
          <w:bCs w:val="0"/>
          <w:color w:val="auto"/>
          <w:sz w:val="24"/>
          <w:highlight w:val="none"/>
          <w:lang w:val="en-US" w:eastAsia="zh-CN"/>
        </w:rPr>
        <w:t>现状</w:t>
      </w:r>
      <w:r>
        <w:rPr>
          <w:rFonts w:hint="eastAsia" w:cs="Times New Roman"/>
          <w:b w:val="0"/>
          <w:bCs w:val="0"/>
          <w:color w:val="auto"/>
          <w:sz w:val="24"/>
          <w:highlight w:val="none"/>
          <w:lang w:val="en-US" w:eastAsia="zh-CN"/>
        </w:rPr>
        <w:t>露天采场、工业广场、生产生活区、原有办公室及临时堆料场、矿山道路、表土堆场</w:t>
      </w:r>
      <w:r>
        <w:rPr>
          <w:rFonts w:hint="default" w:ascii="Times New Roman" w:hAnsi="Times New Roman" w:cs="Times New Roman"/>
          <w:b w:val="0"/>
          <w:bCs w:val="0"/>
          <w:color w:val="auto"/>
          <w:sz w:val="24"/>
          <w:highlight w:val="none"/>
        </w:rPr>
        <w:t>对地形地貌破坏和影响程度严重；对水土环境污染程度较轻。综上，评估区内现状</w:t>
      </w:r>
      <w:r>
        <w:rPr>
          <w:rFonts w:hint="eastAsia" w:cs="Times New Roman"/>
          <w:b w:val="0"/>
          <w:bCs w:val="0"/>
          <w:color w:val="auto"/>
          <w:sz w:val="24"/>
          <w:highlight w:val="none"/>
          <w:lang w:val="en-US" w:eastAsia="zh-CN"/>
        </w:rPr>
        <w:t>露天采场、工业广场、生产生活区、原有办公室及临时堆料场、矿山道路、表土堆场</w:t>
      </w:r>
      <w:r>
        <w:rPr>
          <w:rFonts w:hint="default" w:ascii="Times New Roman" w:hAnsi="Times New Roman" w:cs="Times New Roman"/>
          <w:b w:val="0"/>
          <w:bCs w:val="0"/>
          <w:color w:val="auto"/>
          <w:sz w:val="24"/>
          <w:highlight w:val="none"/>
        </w:rPr>
        <w:t>对矿山地质环境影响</w:t>
      </w:r>
      <w:r>
        <w:rPr>
          <w:rFonts w:hint="default" w:ascii="Times New Roman" w:hAnsi="Times New Roman" w:cs="Times New Roman"/>
          <w:b w:val="0"/>
          <w:bCs w:val="0"/>
          <w:color w:val="auto"/>
          <w:sz w:val="24"/>
          <w:highlight w:val="none"/>
          <w:lang w:val="en-US" w:eastAsia="zh-CN"/>
        </w:rPr>
        <w:t>严重</w:t>
      </w:r>
      <w:r>
        <w:rPr>
          <w:rFonts w:hint="default" w:ascii="Times New Roman" w:hAnsi="Times New Roman" w:cs="Times New Roman"/>
          <w:b w:val="0"/>
          <w:bCs w:val="0"/>
          <w:color w:val="auto"/>
          <w:sz w:val="24"/>
          <w:highlight w:val="none"/>
        </w:rPr>
        <w:t>，严重面积</w:t>
      </w:r>
      <w:r>
        <w:rPr>
          <w:rFonts w:hint="eastAsia" w:cs="Times New Roman"/>
          <w:b w:val="0"/>
          <w:bCs w:val="0"/>
          <w:color w:val="auto"/>
          <w:sz w:val="24"/>
          <w:highlight w:val="none"/>
          <w:lang w:val="en-US" w:eastAsia="zh-CN"/>
        </w:rPr>
        <w:t>3.7362</w:t>
      </w:r>
      <w:r>
        <w:rPr>
          <w:rFonts w:hint="default" w:ascii="Times New Roman" w:hAnsi="Times New Roman" w:cs="Times New Roman"/>
          <w:b w:val="0"/>
          <w:bCs w:val="0"/>
          <w:color w:val="auto"/>
          <w:sz w:val="24"/>
          <w:highlight w:val="none"/>
        </w:rPr>
        <w:t>h</w:t>
      </w:r>
      <w:r>
        <w:rPr>
          <w:rFonts w:hint="default" w:ascii="Times New Roman" w:hAnsi="Times New Roman" w:cs="Times New Roman"/>
          <w:b w:val="0"/>
          <w:bCs w:val="0"/>
          <w:color w:val="auto"/>
          <w:sz w:val="24"/>
          <w:highlight w:val="none"/>
          <w:lang w:eastAsia="zh-CN"/>
        </w:rPr>
        <w:t>m</w:t>
      </w:r>
      <w:r>
        <w:rPr>
          <w:rFonts w:hint="default" w:ascii="Times New Roman" w:hAnsi="Times New Roman" w:cs="Times New Roman"/>
          <w:b w:val="0"/>
          <w:bCs w:val="0"/>
          <w:color w:val="auto"/>
          <w:sz w:val="24"/>
          <w:highlight w:val="none"/>
          <w:vertAlign w:val="superscript"/>
          <w:lang w:eastAsia="zh-CN"/>
        </w:rPr>
        <w:t>2</w:t>
      </w:r>
      <w:r>
        <w:rPr>
          <w:rFonts w:hint="default" w:ascii="Times New Roman" w:hAnsi="Times New Roman" w:cs="Times New Roman"/>
          <w:b w:val="0"/>
          <w:bCs w:val="0"/>
          <w:color w:val="auto"/>
          <w:sz w:val="24"/>
          <w:highlight w:val="none"/>
        </w:rPr>
        <w:t>；评估区内其他区域对矿山地质环境影响较轻，面积</w:t>
      </w:r>
      <w:r>
        <w:rPr>
          <w:rFonts w:hint="eastAsia" w:cs="Times New Roman"/>
          <w:b w:val="0"/>
          <w:bCs w:val="0"/>
          <w:color w:val="auto"/>
          <w:sz w:val="24"/>
          <w:highlight w:val="none"/>
          <w:lang w:val="en-US" w:eastAsia="zh-CN"/>
        </w:rPr>
        <w:t>77.6731</w:t>
      </w:r>
      <w:r>
        <w:rPr>
          <w:rFonts w:hint="default" w:ascii="Times New Roman" w:hAnsi="Times New Roman" w:cs="Times New Roman"/>
          <w:b w:val="0"/>
          <w:bCs w:val="0"/>
          <w:color w:val="auto"/>
          <w:sz w:val="24"/>
          <w:highlight w:val="none"/>
        </w:rPr>
        <w:t>h</w:t>
      </w:r>
      <w:r>
        <w:rPr>
          <w:rFonts w:hint="default" w:ascii="Times New Roman" w:hAnsi="Times New Roman" w:cs="Times New Roman"/>
          <w:b w:val="0"/>
          <w:bCs w:val="0"/>
          <w:color w:val="auto"/>
          <w:sz w:val="24"/>
          <w:highlight w:val="none"/>
          <w:lang w:eastAsia="zh-CN"/>
        </w:rPr>
        <w:t>m</w:t>
      </w:r>
      <w:r>
        <w:rPr>
          <w:rFonts w:hint="default" w:ascii="Times New Roman" w:hAnsi="Times New Roman" w:cs="Times New Roman"/>
          <w:b w:val="0"/>
          <w:bCs w:val="0"/>
          <w:color w:val="auto"/>
          <w:sz w:val="24"/>
          <w:highlight w:val="none"/>
          <w:vertAlign w:val="superscript"/>
          <w:lang w:eastAsia="zh-CN"/>
        </w:rPr>
        <w:t>2</w:t>
      </w:r>
      <w:r>
        <w:rPr>
          <w:rFonts w:hint="default" w:ascii="Times New Roman" w:hAnsi="Times New Roman" w:cs="Times New Roman"/>
          <w:b w:val="0"/>
          <w:bCs w:val="0"/>
          <w:color w:val="auto"/>
          <w:sz w:val="24"/>
          <w:highlight w:val="none"/>
        </w:rPr>
        <w:t>。</w:t>
      </w:r>
      <w:r>
        <w:rPr>
          <w:rFonts w:hint="eastAsia" w:cs="Times New Roman"/>
          <w:b w:val="0"/>
          <w:bCs w:val="0"/>
          <w:color w:val="auto"/>
          <w:sz w:val="24"/>
          <w:highlight w:val="none"/>
          <w:lang w:val="en-US" w:eastAsia="zh-CN"/>
        </w:rPr>
        <w:t>详见表3-15。</w:t>
      </w:r>
    </w:p>
    <w:p w14:paraId="4A7579B2">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eastAsia="黑体" w:cs="Times New Roman"/>
          <w:b w:val="0"/>
          <w:bCs/>
          <w:color w:val="auto"/>
          <w:szCs w:val="21"/>
          <w:highlight w:val="none"/>
        </w:rPr>
      </w:pPr>
      <w:r>
        <w:rPr>
          <w:rFonts w:hint="eastAsia" w:ascii="Times New Roman" w:hAnsi="Times New Roman" w:eastAsia="黑体" w:cs="Times New Roman"/>
          <w:b w:val="0"/>
          <w:bCs/>
          <w:color w:val="auto"/>
          <w:szCs w:val="21"/>
          <w:highlight w:val="none"/>
          <w:lang w:val="en-US" w:eastAsia="zh-CN"/>
        </w:rPr>
        <w:t>表3-1</w:t>
      </w:r>
      <w:r>
        <w:rPr>
          <w:rFonts w:hint="eastAsia" w:eastAsia="黑体" w:cs="Times New Roman"/>
          <w:b w:val="0"/>
          <w:bCs/>
          <w:color w:val="auto"/>
          <w:szCs w:val="21"/>
          <w:highlight w:val="none"/>
          <w:lang w:val="en-US" w:eastAsia="zh-CN"/>
        </w:rPr>
        <w:t>5</w:t>
      </w:r>
      <w:r>
        <w:rPr>
          <w:rFonts w:hint="eastAsia" w:ascii="Times New Roman" w:hAnsi="Times New Roman" w:eastAsia="黑体" w:cs="Times New Roman"/>
          <w:b w:val="0"/>
          <w:bCs/>
          <w:color w:val="auto"/>
          <w:szCs w:val="21"/>
          <w:highlight w:val="none"/>
          <w:lang w:val="en-US" w:eastAsia="zh-CN"/>
        </w:rPr>
        <w:t xml:space="preserve">  </w:t>
      </w:r>
      <w:r>
        <w:rPr>
          <w:rFonts w:hint="default" w:ascii="Times New Roman" w:hAnsi="Times New Roman" w:eastAsia="黑体" w:cs="Times New Roman"/>
          <w:b w:val="0"/>
          <w:bCs/>
          <w:color w:val="auto"/>
          <w:szCs w:val="21"/>
          <w:highlight w:val="none"/>
        </w:rPr>
        <w:t>现状评估地质环境影响分区统计表</w:t>
      </w:r>
    </w:p>
    <w:tbl>
      <w:tblPr>
        <w:tblStyle w:val="34"/>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35"/>
        <w:gridCol w:w="782"/>
        <w:gridCol w:w="976"/>
        <w:gridCol w:w="1481"/>
        <w:gridCol w:w="956"/>
        <w:gridCol w:w="3689"/>
      </w:tblGrid>
      <w:tr w14:paraId="6A3D94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blHeader/>
        </w:trPr>
        <w:tc>
          <w:tcPr>
            <w:tcW w:w="283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FB51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分区</w:t>
            </w:r>
          </w:p>
        </w:tc>
        <w:tc>
          <w:tcPr>
            <w:tcW w:w="216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0C38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主要地质环境问题</w:t>
            </w:r>
          </w:p>
        </w:tc>
      </w:tr>
      <w:tr w14:paraId="4E7B2D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blHeader/>
        </w:trPr>
        <w:tc>
          <w:tcPr>
            <w:tcW w:w="37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CAD4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编号</w:t>
            </w:r>
          </w:p>
        </w:tc>
        <w:tc>
          <w:tcPr>
            <w:tcW w:w="45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EFC9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级别</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799CD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面积小计（</w:t>
            </w:r>
            <w:r>
              <w:rPr>
                <w:rFonts w:hint="default" w:ascii="Times New Roman" w:hAnsi="Times New Roman" w:eastAsia="宋体" w:cs="Times New Roman"/>
                <w:i w:val="0"/>
                <w:iCs w:val="0"/>
                <w:color w:val="auto"/>
                <w:kern w:val="0"/>
                <w:sz w:val="21"/>
                <w:szCs w:val="21"/>
                <w:highlight w:val="none"/>
                <w:u w:val="none"/>
                <w:lang w:val="en-US" w:eastAsia="zh-CN" w:bidi="ar"/>
              </w:rPr>
              <w:t>hm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2</w:t>
            </w:r>
            <w:r>
              <w:rPr>
                <w:rFonts w:hint="eastAsia" w:ascii="宋体" w:hAnsi="宋体" w:eastAsia="宋体" w:cs="宋体"/>
                <w:i w:val="0"/>
                <w:iCs w:val="0"/>
                <w:color w:val="auto"/>
                <w:kern w:val="0"/>
                <w:sz w:val="21"/>
                <w:szCs w:val="21"/>
                <w:highlight w:val="none"/>
                <w:u w:val="none"/>
                <w:lang w:val="en-US" w:eastAsia="zh-CN" w:bidi="ar"/>
              </w:rPr>
              <w:t>）</w:t>
            </w:r>
          </w:p>
        </w:tc>
        <w:tc>
          <w:tcPr>
            <w:tcW w:w="86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CDAF2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功能分区</w:t>
            </w: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E6F0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面积</w:t>
            </w:r>
          </w:p>
        </w:tc>
        <w:tc>
          <w:tcPr>
            <w:tcW w:w="2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A783B">
            <w:pPr>
              <w:jc w:val="center"/>
              <w:rPr>
                <w:rFonts w:hint="eastAsia" w:ascii="宋体" w:hAnsi="宋体" w:eastAsia="宋体" w:cs="宋体"/>
                <w:i w:val="0"/>
                <w:iCs w:val="0"/>
                <w:color w:val="auto"/>
                <w:sz w:val="21"/>
                <w:szCs w:val="21"/>
                <w:highlight w:val="none"/>
                <w:u w:val="none"/>
              </w:rPr>
            </w:pPr>
          </w:p>
        </w:tc>
      </w:tr>
      <w:tr w14:paraId="4D4A86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blHeader/>
        </w:trPr>
        <w:tc>
          <w:tcPr>
            <w:tcW w:w="37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25B92">
            <w:pPr>
              <w:jc w:val="center"/>
              <w:rPr>
                <w:rFonts w:hint="eastAsia" w:ascii="宋体" w:hAnsi="宋体" w:eastAsia="宋体" w:cs="宋体"/>
                <w:i w:val="0"/>
                <w:iCs w:val="0"/>
                <w:color w:val="auto"/>
                <w:sz w:val="21"/>
                <w:szCs w:val="21"/>
                <w:highlight w:val="none"/>
                <w:u w:val="none"/>
              </w:rPr>
            </w:pPr>
          </w:p>
        </w:tc>
        <w:tc>
          <w:tcPr>
            <w:tcW w:w="45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EB777">
            <w:pPr>
              <w:jc w:val="center"/>
              <w:rPr>
                <w:rFonts w:hint="eastAsia" w:ascii="宋体" w:hAnsi="宋体" w:eastAsia="宋体" w:cs="宋体"/>
                <w:i w:val="0"/>
                <w:iCs w:val="0"/>
                <w:color w:val="auto"/>
                <w:sz w:val="21"/>
                <w:szCs w:val="21"/>
                <w:highlight w:val="none"/>
                <w:u w:val="none"/>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309D9E">
            <w:pPr>
              <w:jc w:val="center"/>
              <w:rPr>
                <w:rFonts w:hint="eastAsia" w:ascii="宋体" w:hAnsi="宋体" w:eastAsia="宋体" w:cs="宋体"/>
                <w:i w:val="0"/>
                <w:iCs w:val="0"/>
                <w:color w:val="auto"/>
                <w:sz w:val="21"/>
                <w:szCs w:val="21"/>
                <w:highlight w:val="none"/>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314988">
            <w:pPr>
              <w:jc w:val="center"/>
              <w:rPr>
                <w:rFonts w:hint="eastAsia" w:ascii="宋体" w:hAnsi="宋体" w:eastAsia="宋体" w:cs="宋体"/>
                <w:i w:val="0"/>
                <w:iCs w:val="0"/>
                <w:color w:val="auto"/>
                <w:sz w:val="21"/>
                <w:szCs w:val="21"/>
                <w:highlight w:val="none"/>
                <w:u w:val="none"/>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DA14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hm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2</w:t>
            </w:r>
            <w:r>
              <w:rPr>
                <w:rFonts w:hint="eastAsia" w:ascii="宋体" w:hAnsi="宋体" w:eastAsia="宋体" w:cs="宋体"/>
                <w:i w:val="0"/>
                <w:iCs w:val="0"/>
                <w:color w:val="auto"/>
                <w:kern w:val="0"/>
                <w:sz w:val="21"/>
                <w:szCs w:val="21"/>
                <w:highlight w:val="none"/>
                <w:u w:val="none"/>
                <w:lang w:val="en-US" w:eastAsia="zh-CN" w:bidi="ar"/>
              </w:rPr>
              <w:t>）</w:t>
            </w:r>
          </w:p>
        </w:tc>
        <w:tc>
          <w:tcPr>
            <w:tcW w:w="2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EE24F">
            <w:pPr>
              <w:jc w:val="center"/>
              <w:rPr>
                <w:rFonts w:hint="eastAsia" w:ascii="宋体" w:hAnsi="宋体" w:eastAsia="宋体" w:cs="宋体"/>
                <w:i w:val="0"/>
                <w:iCs w:val="0"/>
                <w:color w:val="auto"/>
                <w:sz w:val="21"/>
                <w:szCs w:val="21"/>
                <w:highlight w:val="none"/>
                <w:u w:val="none"/>
              </w:rPr>
            </w:pPr>
          </w:p>
        </w:tc>
      </w:tr>
      <w:tr w14:paraId="7C63A2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B0BD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I</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1</w:t>
            </w:r>
          </w:p>
        </w:tc>
        <w:tc>
          <w:tcPr>
            <w:tcW w:w="4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3EBC6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影响严重区</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1A8D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bidi="ar"/>
              </w:rPr>
              <w:t>3.7362</w:t>
            </w:r>
          </w:p>
        </w:tc>
        <w:tc>
          <w:tcPr>
            <w:tcW w:w="8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8FA89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露天采场</w:t>
            </w: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1E55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2.2017</w:t>
            </w:r>
          </w:p>
        </w:tc>
        <w:tc>
          <w:tcPr>
            <w:tcW w:w="21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8185F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现状地质灾害不发育；对含水层影响程度较轻；破坏地形地貌景观严重；对水土环境污染程度较轻</w:t>
            </w:r>
          </w:p>
        </w:tc>
      </w:tr>
      <w:tr w14:paraId="259473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9A5D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I</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p>
        </w:tc>
        <w:tc>
          <w:tcPr>
            <w:tcW w:w="4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EDD063">
            <w:pPr>
              <w:jc w:val="center"/>
              <w:rPr>
                <w:rFonts w:hint="eastAsia" w:ascii="宋体" w:hAnsi="宋体" w:eastAsia="宋体" w:cs="宋体"/>
                <w:i w:val="0"/>
                <w:iCs w:val="0"/>
                <w:color w:val="auto"/>
                <w:sz w:val="21"/>
                <w:szCs w:val="21"/>
                <w:highlight w:val="none"/>
                <w:u w:val="none"/>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84C1B">
            <w:pPr>
              <w:jc w:val="center"/>
              <w:rPr>
                <w:rFonts w:hint="default" w:ascii="Times New Roman" w:hAnsi="Times New Roman" w:eastAsia="宋体" w:cs="Times New Roman"/>
                <w:i w:val="0"/>
                <w:iCs w:val="0"/>
                <w:color w:val="auto"/>
                <w:sz w:val="21"/>
                <w:szCs w:val="21"/>
                <w:highlight w:val="none"/>
                <w:u w:val="none"/>
              </w:rPr>
            </w:pPr>
          </w:p>
        </w:tc>
        <w:tc>
          <w:tcPr>
            <w:tcW w:w="8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16BB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工业广场</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9AC8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0.6845 </w:t>
            </w:r>
          </w:p>
        </w:tc>
        <w:tc>
          <w:tcPr>
            <w:tcW w:w="21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393CA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现状地质灾害不发育；对含水层影响程度较轻；破坏地形地貌景观严重；对水土环境污染程度较轻</w:t>
            </w:r>
          </w:p>
        </w:tc>
      </w:tr>
      <w:tr w14:paraId="08E3D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7918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I</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3</w:t>
            </w:r>
          </w:p>
        </w:tc>
        <w:tc>
          <w:tcPr>
            <w:tcW w:w="4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6E8FBD">
            <w:pPr>
              <w:jc w:val="center"/>
              <w:rPr>
                <w:rFonts w:hint="eastAsia" w:ascii="宋体" w:hAnsi="宋体" w:eastAsia="宋体" w:cs="宋体"/>
                <w:i w:val="0"/>
                <w:iCs w:val="0"/>
                <w:color w:val="auto"/>
                <w:sz w:val="21"/>
                <w:szCs w:val="21"/>
                <w:highlight w:val="none"/>
                <w:u w:val="none"/>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9B000">
            <w:pPr>
              <w:jc w:val="center"/>
              <w:rPr>
                <w:rFonts w:hint="default" w:ascii="Times New Roman" w:hAnsi="Times New Roman" w:eastAsia="宋体" w:cs="Times New Roman"/>
                <w:i w:val="0"/>
                <w:iCs w:val="0"/>
                <w:color w:val="auto"/>
                <w:sz w:val="21"/>
                <w:szCs w:val="21"/>
                <w:highlight w:val="none"/>
                <w:u w:val="none"/>
              </w:rPr>
            </w:pPr>
          </w:p>
        </w:tc>
        <w:tc>
          <w:tcPr>
            <w:tcW w:w="8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F546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生产生活区</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B7E1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0.2605 </w:t>
            </w:r>
          </w:p>
        </w:tc>
        <w:tc>
          <w:tcPr>
            <w:tcW w:w="21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FE917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现状地质灾害不发育；对含水层影响程度较轻；破坏地形地貌景观严重；对水土环境污染程度较轻</w:t>
            </w:r>
          </w:p>
        </w:tc>
      </w:tr>
      <w:tr w14:paraId="5423DA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2CE2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I</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4</w:t>
            </w:r>
          </w:p>
        </w:tc>
        <w:tc>
          <w:tcPr>
            <w:tcW w:w="4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6CD30F">
            <w:pPr>
              <w:jc w:val="center"/>
              <w:rPr>
                <w:rFonts w:hint="eastAsia" w:ascii="宋体" w:hAnsi="宋体" w:eastAsia="宋体" w:cs="宋体"/>
                <w:i w:val="0"/>
                <w:iCs w:val="0"/>
                <w:color w:val="auto"/>
                <w:sz w:val="21"/>
                <w:szCs w:val="21"/>
                <w:highlight w:val="none"/>
                <w:u w:val="none"/>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C571C">
            <w:pPr>
              <w:jc w:val="center"/>
              <w:rPr>
                <w:rFonts w:hint="default" w:ascii="Times New Roman" w:hAnsi="Times New Roman" w:eastAsia="宋体" w:cs="Times New Roman"/>
                <w:i w:val="0"/>
                <w:iCs w:val="0"/>
                <w:color w:val="auto"/>
                <w:sz w:val="21"/>
                <w:szCs w:val="21"/>
                <w:highlight w:val="none"/>
                <w:u w:val="none"/>
              </w:rPr>
            </w:pPr>
          </w:p>
        </w:tc>
        <w:tc>
          <w:tcPr>
            <w:tcW w:w="8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B8A6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原有办公室及临时堆料场</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4952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0.1178 </w:t>
            </w:r>
          </w:p>
        </w:tc>
        <w:tc>
          <w:tcPr>
            <w:tcW w:w="21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068D6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现状地质灾害不发育；对含水层影响程度较轻；破坏地形地貌景观严重；对水土环境污染程度较轻</w:t>
            </w:r>
          </w:p>
        </w:tc>
      </w:tr>
      <w:tr w14:paraId="3B5BCD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2CA8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I</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5</w:t>
            </w:r>
          </w:p>
        </w:tc>
        <w:tc>
          <w:tcPr>
            <w:tcW w:w="4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4C8795">
            <w:pPr>
              <w:jc w:val="center"/>
              <w:rPr>
                <w:rFonts w:hint="eastAsia" w:ascii="宋体" w:hAnsi="宋体" w:eastAsia="宋体" w:cs="宋体"/>
                <w:i w:val="0"/>
                <w:iCs w:val="0"/>
                <w:color w:val="auto"/>
                <w:sz w:val="21"/>
                <w:szCs w:val="21"/>
                <w:highlight w:val="none"/>
                <w:u w:val="none"/>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0AE00">
            <w:pPr>
              <w:jc w:val="center"/>
              <w:rPr>
                <w:rFonts w:hint="default" w:ascii="Times New Roman" w:hAnsi="Times New Roman" w:eastAsia="宋体" w:cs="Times New Roman"/>
                <w:i w:val="0"/>
                <w:iCs w:val="0"/>
                <w:color w:val="auto"/>
                <w:sz w:val="21"/>
                <w:szCs w:val="21"/>
                <w:highlight w:val="none"/>
                <w:u w:val="none"/>
              </w:rPr>
            </w:pPr>
          </w:p>
        </w:tc>
        <w:tc>
          <w:tcPr>
            <w:tcW w:w="8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AC0D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矿山道路</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2B54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0.1624 </w:t>
            </w:r>
          </w:p>
        </w:tc>
        <w:tc>
          <w:tcPr>
            <w:tcW w:w="21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8D6E8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现状地质灾害不发育；对含水层影响程度较轻；破坏地形地貌景观严重；对水土环境污染程度较轻</w:t>
            </w:r>
          </w:p>
        </w:tc>
      </w:tr>
      <w:tr w14:paraId="20E178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26FD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I</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6</w:t>
            </w:r>
          </w:p>
        </w:tc>
        <w:tc>
          <w:tcPr>
            <w:tcW w:w="4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35E00A">
            <w:pPr>
              <w:jc w:val="center"/>
              <w:rPr>
                <w:rFonts w:hint="eastAsia" w:ascii="宋体" w:hAnsi="宋体" w:eastAsia="宋体" w:cs="宋体"/>
                <w:i w:val="0"/>
                <w:iCs w:val="0"/>
                <w:color w:val="auto"/>
                <w:sz w:val="21"/>
                <w:szCs w:val="21"/>
                <w:highlight w:val="none"/>
                <w:u w:val="none"/>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85CAF">
            <w:pPr>
              <w:jc w:val="center"/>
              <w:rPr>
                <w:rFonts w:hint="default" w:ascii="Times New Roman" w:hAnsi="Times New Roman" w:eastAsia="宋体" w:cs="Times New Roman"/>
                <w:i w:val="0"/>
                <w:iCs w:val="0"/>
                <w:color w:val="auto"/>
                <w:sz w:val="21"/>
                <w:szCs w:val="21"/>
                <w:highlight w:val="none"/>
                <w:u w:val="none"/>
              </w:rPr>
            </w:pPr>
          </w:p>
        </w:tc>
        <w:tc>
          <w:tcPr>
            <w:tcW w:w="8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7A1D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表土堆场</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34CF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0.3093 </w:t>
            </w:r>
          </w:p>
        </w:tc>
        <w:tc>
          <w:tcPr>
            <w:tcW w:w="21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FA1EC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现状地质灾害不发育；对含水层影响程度较轻；破坏地形地貌景观严重；对水土环境污染程度较轻</w:t>
            </w:r>
          </w:p>
        </w:tc>
      </w:tr>
      <w:tr w14:paraId="0653CE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20C1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Ⅱ</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CAB9B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影响较轻区</w:t>
            </w:r>
          </w:p>
        </w:tc>
        <w:tc>
          <w:tcPr>
            <w:tcW w:w="5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8CE84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77.6731</w:t>
            </w:r>
          </w:p>
        </w:tc>
        <w:tc>
          <w:tcPr>
            <w:tcW w:w="8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F2AC1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其他区域</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5DB73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77.6731</w:t>
            </w:r>
          </w:p>
        </w:tc>
        <w:tc>
          <w:tcPr>
            <w:tcW w:w="21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C7C30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地质环境影响较轻</w:t>
            </w:r>
          </w:p>
        </w:tc>
      </w:tr>
      <w:tr w14:paraId="1E2C0F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31"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15FC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合计</w:t>
            </w:r>
          </w:p>
        </w:tc>
        <w:tc>
          <w:tcPr>
            <w:tcW w:w="5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4980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81.4093</w:t>
            </w:r>
          </w:p>
        </w:tc>
        <w:tc>
          <w:tcPr>
            <w:tcW w:w="8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E230C">
            <w:pPr>
              <w:jc w:val="center"/>
              <w:rPr>
                <w:rFonts w:hint="default" w:ascii="Times New Roman" w:hAnsi="Times New Roman" w:eastAsia="宋体" w:cs="Times New Roman"/>
                <w:i w:val="0"/>
                <w:iCs w:val="0"/>
                <w:color w:val="auto"/>
                <w:sz w:val="21"/>
                <w:szCs w:val="21"/>
                <w:highlight w:val="none"/>
                <w:u w:val="none"/>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F01D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81.4093</w:t>
            </w:r>
          </w:p>
        </w:tc>
        <w:tc>
          <w:tcPr>
            <w:tcW w:w="2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5882B">
            <w:pPr>
              <w:jc w:val="center"/>
              <w:rPr>
                <w:rFonts w:hint="default" w:ascii="Times New Roman" w:hAnsi="Times New Roman" w:eastAsia="宋体" w:cs="Times New Roman"/>
                <w:i w:val="0"/>
                <w:iCs w:val="0"/>
                <w:color w:val="auto"/>
                <w:sz w:val="21"/>
                <w:szCs w:val="21"/>
                <w:highlight w:val="none"/>
                <w:u w:val="none"/>
              </w:rPr>
            </w:pPr>
          </w:p>
        </w:tc>
      </w:tr>
    </w:tbl>
    <w:p w14:paraId="3567F18C">
      <w:pPr>
        <w:numPr>
          <w:ilvl w:val="0"/>
          <w:numId w:val="1"/>
        </w:numPr>
        <w:spacing w:line="360" w:lineRule="auto"/>
        <w:ind w:firstLine="480" w:firstLineChars="200"/>
        <w:jc w:val="both"/>
        <w:rPr>
          <w:rFonts w:hint="default" w:ascii="Times New Roman" w:hAnsi="Times New Roman" w:cs="Times New Roman"/>
          <w:b w:val="0"/>
          <w:bCs w:val="0"/>
          <w:color w:val="auto"/>
          <w:sz w:val="24"/>
          <w:highlight w:val="none"/>
        </w:rPr>
      </w:pPr>
      <w:r>
        <w:rPr>
          <w:rFonts w:hint="default" w:ascii="Times New Roman" w:hAnsi="Times New Roman" w:cs="Times New Roman"/>
          <w:b w:val="0"/>
          <w:bCs w:val="0"/>
          <w:color w:val="auto"/>
          <w:sz w:val="24"/>
          <w:highlight w:val="none"/>
        </w:rPr>
        <w:t>预测评估结果：预测开采可能会产生</w:t>
      </w:r>
      <w:r>
        <w:rPr>
          <w:rFonts w:hint="eastAsia" w:cs="Times New Roman"/>
          <w:b w:val="0"/>
          <w:bCs w:val="0"/>
          <w:color w:val="auto"/>
          <w:sz w:val="24"/>
          <w:highlight w:val="none"/>
          <w:lang w:val="en-US" w:eastAsia="zh-CN"/>
        </w:rPr>
        <w:t>崩塌、泥石流</w:t>
      </w:r>
      <w:r>
        <w:rPr>
          <w:rFonts w:hint="default" w:ascii="Times New Roman" w:hAnsi="Times New Roman" w:cs="Times New Roman"/>
          <w:b w:val="0"/>
          <w:bCs w:val="0"/>
          <w:color w:val="auto"/>
          <w:sz w:val="24"/>
          <w:highlight w:val="none"/>
          <w:lang w:val="en-US" w:eastAsia="zh-CN"/>
        </w:rPr>
        <w:t>等</w:t>
      </w:r>
      <w:r>
        <w:rPr>
          <w:rFonts w:hint="default" w:ascii="Times New Roman" w:hAnsi="Times New Roman" w:cs="Times New Roman"/>
          <w:b w:val="0"/>
          <w:bCs w:val="0"/>
          <w:color w:val="auto"/>
          <w:sz w:val="24"/>
          <w:highlight w:val="none"/>
        </w:rPr>
        <w:t>地质灾害，危害程度小，危险性小；对含水层影响程度较轻；预测</w:t>
      </w:r>
      <w:r>
        <w:rPr>
          <w:rFonts w:hint="eastAsia" w:cs="Times New Roman"/>
          <w:b w:val="0"/>
          <w:bCs w:val="0"/>
          <w:color w:val="auto"/>
          <w:sz w:val="24"/>
          <w:highlight w:val="none"/>
          <w:lang w:val="en-US" w:eastAsia="zh-CN"/>
        </w:rPr>
        <w:t>露天采场、工业广场、生产生活区、原有办公室及临时堆料场、矿山道路、表土堆场</w:t>
      </w:r>
      <w:r>
        <w:rPr>
          <w:rFonts w:hint="default" w:ascii="Times New Roman" w:hAnsi="Times New Roman" w:cs="Times New Roman"/>
          <w:b w:val="0"/>
          <w:bCs w:val="0"/>
          <w:color w:val="auto"/>
          <w:sz w:val="24"/>
          <w:highlight w:val="none"/>
        </w:rPr>
        <w:t>对地形地貌破坏和影响程度严重；对水土环境污染程度较轻。综上，预测</w:t>
      </w:r>
      <w:r>
        <w:rPr>
          <w:rFonts w:hint="eastAsia" w:cs="Times New Roman"/>
          <w:b w:val="0"/>
          <w:bCs w:val="0"/>
          <w:color w:val="auto"/>
          <w:sz w:val="24"/>
          <w:highlight w:val="none"/>
          <w:lang w:val="en-US" w:eastAsia="zh-CN"/>
        </w:rPr>
        <w:t>露天采场、工业广场、生产生活区、原有办公室及临时堆料场、矿山道路、表土堆场</w:t>
      </w:r>
      <w:r>
        <w:rPr>
          <w:rFonts w:hint="default" w:ascii="Times New Roman" w:hAnsi="Times New Roman" w:cs="Times New Roman"/>
          <w:b w:val="0"/>
          <w:bCs w:val="0"/>
          <w:color w:val="auto"/>
          <w:sz w:val="24"/>
          <w:highlight w:val="none"/>
        </w:rPr>
        <w:t>对矿山地质环境影响</w:t>
      </w:r>
      <w:r>
        <w:rPr>
          <w:rFonts w:hint="default" w:ascii="Times New Roman" w:hAnsi="Times New Roman" w:cs="Times New Roman"/>
          <w:b w:val="0"/>
          <w:bCs w:val="0"/>
          <w:color w:val="auto"/>
          <w:sz w:val="24"/>
          <w:highlight w:val="none"/>
          <w:lang w:val="en-US" w:eastAsia="zh-CN"/>
        </w:rPr>
        <w:t>严重</w:t>
      </w:r>
      <w:r>
        <w:rPr>
          <w:rFonts w:hint="default" w:ascii="Times New Roman" w:hAnsi="Times New Roman" w:cs="Times New Roman"/>
          <w:b w:val="0"/>
          <w:bCs w:val="0"/>
          <w:color w:val="auto"/>
          <w:sz w:val="24"/>
          <w:highlight w:val="none"/>
        </w:rPr>
        <w:t>，严重面积</w:t>
      </w:r>
      <w:r>
        <w:rPr>
          <w:rFonts w:hint="eastAsia" w:cs="Times New Roman"/>
          <w:b w:val="0"/>
          <w:bCs w:val="0"/>
          <w:color w:val="auto"/>
          <w:sz w:val="24"/>
          <w:highlight w:val="none"/>
          <w:lang w:val="en-US" w:eastAsia="zh-CN"/>
        </w:rPr>
        <w:t>4.0745</w:t>
      </w:r>
      <w:r>
        <w:rPr>
          <w:rFonts w:hint="default" w:ascii="Times New Roman" w:hAnsi="Times New Roman" w:cs="Times New Roman"/>
          <w:b w:val="0"/>
          <w:bCs w:val="0"/>
          <w:color w:val="auto"/>
          <w:sz w:val="24"/>
          <w:highlight w:val="none"/>
        </w:rPr>
        <w:t>h</w:t>
      </w:r>
      <w:r>
        <w:rPr>
          <w:rFonts w:hint="default" w:ascii="Times New Roman" w:hAnsi="Times New Roman" w:cs="Times New Roman"/>
          <w:b w:val="0"/>
          <w:bCs w:val="0"/>
          <w:color w:val="auto"/>
          <w:sz w:val="24"/>
          <w:highlight w:val="none"/>
          <w:lang w:eastAsia="zh-CN"/>
        </w:rPr>
        <w:t>m</w:t>
      </w:r>
      <w:r>
        <w:rPr>
          <w:rFonts w:hint="default" w:ascii="Times New Roman" w:hAnsi="Times New Roman" w:cs="Times New Roman"/>
          <w:b w:val="0"/>
          <w:bCs w:val="0"/>
          <w:color w:val="auto"/>
          <w:sz w:val="24"/>
          <w:highlight w:val="none"/>
          <w:vertAlign w:val="superscript"/>
          <w:lang w:eastAsia="zh-CN"/>
        </w:rPr>
        <w:t>2</w:t>
      </w:r>
      <w:r>
        <w:rPr>
          <w:rFonts w:hint="default" w:ascii="Times New Roman" w:hAnsi="Times New Roman" w:cs="Times New Roman"/>
          <w:b w:val="0"/>
          <w:bCs w:val="0"/>
          <w:color w:val="auto"/>
          <w:sz w:val="24"/>
          <w:highlight w:val="none"/>
        </w:rPr>
        <w:t>；评估区内其他区域对矿山地质环境影响较轻，面积</w:t>
      </w:r>
      <w:r>
        <w:rPr>
          <w:rFonts w:hint="eastAsia" w:cs="Times New Roman"/>
          <w:b w:val="0"/>
          <w:bCs w:val="0"/>
          <w:color w:val="auto"/>
          <w:sz w:val="24"/>
          <w:highlight w:val="none"/>
          <w:lang w:val="en-US" w:eastAsia="zh-CN"/>
        </w:rPr>
        <w:t>77.3348</w:t>
      </w:r>
      <w:r>
        <w:rPr>
          <w:rFonts w:hint="default" w:ascii="Times New Roman" w:hAnsi="Times New Roman" w:cs="Times New Roman"/>
          <w:b w:val="0"/>
          <w:bCs w:val="0"/>
          <w:color w:val="auto"/>
          <w:sz w:val="24"/>
          <w:highlight w:val="none"/>
        </w:rPr>
        <w:t>h</w:t>
      </w:r>
      <w:r>
        <w:rPr>
          <w:rFonts w:hint="default" w:ascii="Times New Roman" w:hAnsi="Times New Roman" w:cs="Times New Roman"/>
          <w:b w:val="0"/>
          <w:bCs w:val="0"/>
          <w:color w:val="auto"/>
          <w:sz w:val="24"/>
          <w:highlight w:val="none"/>
          <w:lang w:eastAsia="zh-CN"/>
        </w:rPr>
        <w:t>m</w:t>
      </w:r>
      <w:r>
        <w:rPr>
          <w:rFonts w:hint="default" w:ascii="Times New Roman" w:hAnsi="Times New Roman" w:cs="Times New Roman"/>
          <w:b w:val="0"/>
          <w:bCs w:val="0"/>
          <w:color w:val="auto"/>
          <w:sz w:val="24"/>
          <w:highlight w:val="none"/>
          <w:vertAlign w:val="superscript"/>
          <w:lang w:eastAsia="zh-CN"/>
        </w:rPr>
        <w:t>2</w:t>
      </w:r>
      <w:r>
        <w:rPr>
          <w:rFonts w:hint="default" w:ascii="Times New Roman" w:hAnsi="Times New Roman" w:cs="Times New Roman"/>
          <w:b w:val="0"/>
          <w:bCs w:val="0"/>
          <w:color w:val="auto"/>
          <w:sz w:val="24"/>
          <w:highlight w:val="none"/>
        </w:rPr>
        <w:t>。</w:t>
      </w:r>
      <w:r>
        <w:rPr>
          <w:rFonts w:hint="eastAsia" w:cs="Times New Roman"/>
          <w:b w:val="0"/>
          <w:bCs w:val="0"/>
          <w:color w:val="auto"/>
          <w:sz w:val="24"/>
          <w:highlight w:val="none"/>
          <w:lang w:val="en-US" w:eastAsia="zh-CN"/>
        </w:rPr>
        <w:t>详见表3-16。</w:t>
      </w:r>
    </w:p>
    <w:p w14:paraId="3E2BFAFB">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eastAsia="黑体" w:cs="Times New Roman"/>
          <w:b w:val="0"/>
          <w:bCs/>
          <w:color w:val="auto"/>
          <w:szCs w:val="21"/>
          <w:highlight w:val="none"/>
        </w:rPr>
      </w:pPr>
      <w:r>
        <w:rPr>
          <w:rFonts w:hint="eastAsia" w:ascii="Times New Roman" w:hAnsi="Times New Roman" w:eastAsia="黑体" w:cs="Times New Roman"/>
          <w:b w:val="0"/>
          <w:bCs/>
          <w:color w:val="auto"/>
          <w:szCs w:val="21"/>
          <w:highlight w:val="none"/>
          <w:lang w:val="en-US" w:eastAsia="zh-CN"/>
        </w:rPr>
        <w:t>表3-1</w:t>
      </w:r>
      <w:r>
        <w:rPr>
          <w:rFonts w:hint="eastAsia" w:eastAsia="黑体" w:cs="Times New Roman"/>
          <w:b w:val="0"/>
          <w:bCs/>
          <w:color w:val="auto"/>
          <w:szCs w:val="21"/>
          <w:highlight w:val="none"/>
          <w:lang w:val="en-US" w:eastAsia="zh-CN"/>
        </w:rPr>
        <w:t>6</w:t>
      </w:r>
      <w:r>
        <w:rPr>
          <w:rFonts w:hint="eastAsia" w:ascii="Times New Roman" w:hAnsi="Times New Roman" w:eastAsia="黑体" w:cs="Times New Roman"/>
          <w:b w:val="0"/>
          <w:bCs/>
          <w:color w:val="auto"/>
          <w:szCs w:val="21"/>
          <w:highlight w:val="none"/>
          <w:lang w:val="en-US" w:eastAsia="zh-CN"/>
        </w:rPr>
        <w:t xml:space="preserve">  </w:t>
      </w:r>
      <w:r>
        <w:rPr>
          <w:rFonts w:hint="default" w:ascii="Times New Roman" w:hAnsi="Times New Roman" w:eastAsia="黑体" w:cs="Times New Roman"/>
          <w:b w:val="0"/>
          <w:bCs/>
          <w:color w:val="auto"/>
          <w:szCs w:val="21"/>
          <w:highlight w:val="none"/>
        </w:rPr>
        <w:t>现状评估地质环境影响分区统计表</w:t>
      </w:r>
    </w:p>
    <w:tbl>
      <w:tblPr>
        <w:tblStyle w:val="34"/>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36"/>
        <w:gridCol w:w="636"/>
        <w:gridCol w:w="973"/>
        <w:gridCol w:w="2526"/>
        <w:gridCol w:w="973"/>
        <w:gridCol w:w="2775"/>
      </w:tblGrid>
      <w:tr w14:paraId="26CDFD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697"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1D5A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分区</w:t>
            </w:r>
          </w:p>
        </w:tc>
        <w:tc>
          <w:tcPr>
            <w:tcW w:w="230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BB38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主要地质环境问题</w:t>
            </w:r>
          </w:p>
        </w:tc>
      </w:tr>
      <w:tr w14:paraId="2416FD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7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CCFB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编号</w:t>
            </w:r>
          </w:p>
        </w:tc>
        <w:tc>
          <w:tcPr>
            <w:tcW w:w="37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C58E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级别</w:t>
            </w:r>
          </w:p>
        </w:tc>
        <w:tc>
          <w:tcPr>
            <w:tcW w:w="5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5DCF1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面积小计（</w:t>
            </w:r>
            <w:r>
              <w:rPr>
                <w:rFonts w:hint="default" w:ascii="Times New Roman" w:hAnsi="Times New Roman" w:eastAsia="宋体" w:cs="Times New Roman"/>
                <w:i w:val="0"/>
                <w:iCs w:val="0"/>
                <w:color w:val="auto"/>
                <w:kern w:val="0"/>
                <w:sz w:val="21"/>
                <w:szCs w:val="21"/>
                <w:highlight w:val="none"/>
                <w:u w:val="none"/>
                <w:lang w:val="en-US" w:eastAsia="zh-CN" w:bidi="ar"/>
              </w:rPr>
              <w:t>hm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2</w:t>
            </w:r>
            <w:r>
              <w:rPr>
                <w:rFonts w:hint="eastAsia" w:ascii="宋体" w:hAnsi="宋体" w:eastAsia="宋体" w:cs="宋体"/>
                <w:i w:val="0"/>
                <w:iCs w:val="0"/>
                <w:color w:val="auto"/>
                <w:kern w:val="0"/>
                <w:sz w:val="21"/>
                <w:szCs w:val="21"/>
                <w:highlight w:val="none"/>
                <w:u w:val="none"/>
                <w:lang w:val="en-US" w:eastAsia="zh-CN" w:bidi="ar"/>
              </w:rPr>
              <w:t>）</w:t>
            </w:r>
          </w:p>
        </w:tc>
        <w:tc>
          <w:tcPr>
            <w:tcW w:w="80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9AB70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功能分区</w:t>
            </w:r>
          </w:p>
        </w:tc>
        <w:tc>
          <w:tcPr>
            <w:tcW w:w="5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6CDC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面积</w:t>
            </w:r>
          </w:p>
        </w:tc>
        <w:tc>
          <w:tcPr>
            <w:tcW w:w="2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1EED9">
            <w:pPr>
              <w:jc w:val="center"/>
              <w:rPr>
                <w:rFonts w:hint="eastAsia" w:ascii="宋体" w:hAnsi="宋体" w:eastAsia="宋体" w:cs="宋体"/>
                <w:i w:val="0"/>
                <w:iCs w:val="0"/>
                <w:color w:val="auto"/>
                <w:sz w:val="21"/>
                <w:szCs w:val="21"/>
                <w:highlight w:val="none"/>
                <w:u w:val="none"/>
              </w:rPr>
            </w:pPr>
          </w:p>
        </w:tc>
      </w:tr>
      <w:tr w14:paraId="76B2C3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7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BCC9E">
            <w:pPr>
              <w:jc w:val="center"/>
              <w:rPr>
                <w:rFonts w:hint="eastAsia" w:ascii="宋体" w:hAnsi="宋体" w:eastAsia="宋体" w:cs="宋体"/>
                <w:i w:val="0"/>
                <w:iCs w:val="0"/>
                <w:color w:val="auto"/>
                <w:sz w:val="21"/>
                <w:szCs w:val="21"/>
                <w:highlight w:val="none"/>
                <w:u w:val="none"/>
              </w:rPr>
            </w:pPr>
          </w:p>
        </w:tc>
        <w:tc>
          <w:tcPr>
            <w:tcW w:w="37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C3DBB">
            <w:pPr>
              <w:jc w:val="center"/>
              <w:rPr>
                <w:rFonts w:hint="eastAsia" w:ascii="宋体" w:hAnsi="宋体" w:eastAsia="宋体" w:cs="宋体"/>
                <w:i w:val="0"/>
                <w:iCs w:val="0"/>
                <w:color w:val="auto"/>
                <w:sz w:val="21"/>
                <w:szCs w:val="21"/>
                <w:highlight w:val="none"/>
                <w:u w:val="none"/>
              </w:rPr>
            </w:pPr>
          </w:p>
        </w:tc>
        <w:tc>
          <w:tcPr>
            <w:tcW w:w="5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6BD59B">
            <w:pPr>
              <w:jc w:val="center"/>
              <w:rPr>
                <w:rFonts w:hint="eastAsia" w:ascii="宋体" w:hAnsi="宋体" w:eastAsia="宋体" w:cs="宋体"/>
                <w:i w:val="0"/>
                <w:iCs w:val="0"/>
                <w:color w:val="auto"/>
                <w:sz w:val="21"/>
                <w:szCs w:val="21"/>
                <w:highlight w:val="none"/>
                <w:u w:val="none"/>
              </w:rPr>
            </w:pPr>
          </w:p>
        </w:tc>
        <w:tc>
          <w:tcPr>
            <w:tcW w:w="8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126FF0">
            <w:pPr>
              <w:jc w:val="center"/>
              <w:rPr>
                <w:rFonts w:hint="eastAsia" w:ascii="宋体" w:hAnsi="宋体" w:eastAsia="宋体" w:cs="宋体"/>
                <w:i w:val="0"/>
                <w:iCs w:val="0"/>
                <w:color w:val="auto"/>
                <w:sz w:val="21"/>
                <w:szCs w:val="21"/>
                <w:highlight w:val="none"/>
                <w:u w:val="none"/>
              </w:rPr>
            </w:pPr>
          </w:p>
        </w:tc>
        <w:tc>
          <w:tcPr>
            <w:tcW w:w="5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4317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hm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2</w:t>
            </w:r>
            <w:r>
              <w:rPr>
                <w:rFonts w:hint="eastAsia" w:ascii="宋体" w:hAnsi="宋体" w:eastAsia="宋体" w:cs="宋体"/>
                <w:i w:val="0"/>
                <w:iCs w:val="0"/>
                <w:color w:val="auto"/>
                <w:kern w:val="0"/>
                <w:sz w:val="21"/>
                <w:szCs w:val="21"/>
                <w:highlight w:val="none"/>
                <w:u w:val="none"/>
                <w:lang w:val="en-US" w:eastAsia="zh-CN" w:bidi="ar"/>
              </w:rPr>
              <w:t>）</w:t>
            </w:r>
          </w:p>
        </w:tc>
        <w:tc>
          <w:tcPr>
            <w:tcW w:w="2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310C3">
            <w:pPr>
              <w:jc w:val="center"/>
              <w:rPr>
                <w:rFonts w:hint="eastAsia" w:ascii="宋体" w:hAnsi="宋体" w:eastAsia="宋体" w:cs="宋体"/>
                <w:i w:val="0"/>
                <w:iCs w:val="0"/>
                <w:color w:val="auto"/>
                <w:sz w:val="21"/>
                <w:szCs w:val="21"/>
                <w:highlight w:val="none"/>
                <w:u w:val="none"/>
              </w:rPr>
            </w:pPr>
          </w:p>
        </w:tc>
      </w:tr>
      <w:tr w14:paraId="626EBF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8768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I</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1</w:t>
            </w:r>
          </w:p>
        </w:tc>
        <w:tc>
          <w:tcPr>
            <w:tcW w:w="37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D8C81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影响严重区</w:t>
            </w:r>
          </w:p>
        </w:tc>
        <w:tc>
          <w:tcPr>
            <w:tcW w:w="57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AE0D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4.0745</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7AF35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露天采场</w:t>
            </w:r>
          </w:p>
        </w:tc>
        <w:tc>
          <w:tcPr>
            <w:tcW w:w="5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8B79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2.</w:t>
            </w:r>
            <w:r>
              <w:rPr>
                <w:rFonts w:hint="eastAsia" w:cs="Times New Roman"/>
                <w:i w:val="0"/>
                <w:iCs w:val="0"/>
                <w:color w:val="auto"/>
                <w:kern w:val="0"/>
                <w:sz w:val="21"/>
                <w:szCs w:val="21"/>
                <w:highlight w:val="none"/>
                <w:u w:val="none"/>
                <w:lang w:val="en-US" w:eastAsia="zh-CN" w:bidi="ar"/>
              </w:rPr>
              <w:t>5400</w:t>
            </w:r>
          </w:p>
        </w:tc>
        <w:tc>
          <w:tcPr>
            <w:tcW w:w="2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0BA65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现状地质灾害不发育；对含水层影响程度较轻；破坏地形地貌景观严重；对水土环境污染程度较轻</w:t>
            </w:r>
          </w:p>
        </w:tc>
      </w:tr>
      <w:tr w14:paraId="377D79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823C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I</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p>
        </w:tc>
        <w:tc>
          <w:tcPr>
            <w:tcW w:w="3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7D89DD">
            <w:pPr>
              <w:jc w:val="center"/>
              <w:rPr>
                <w:rFonts w:hint="eastAsia" w:ascii="宋体" w:hAnsi="宋体" w:eastAsia="宋体" w:cs="宋体"/>
                <w:i w:val="0"/>
                <w:iCs w:val="0"/>
                <w:color w:val="auto"/>
                <w:sz w:val="21"/>
                <w:szCs w:val="21"/>
                <w:highlight w:val="none"/>
                <w:u w:val="none"/>
              </w:rPr>
            </w:pPr>
          </w:p>
        </w:tc>
        <w:tc>
          <w:tcPr>
            <w:tcW w:w="5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E787C">
            <w:pPr>
              <w:jc w:val="center"/>
              <w:rPr>
                <w:rFonts w:hint="default" w:ascii="Times New Roman" w:hAnsi="Times New Roman" w:eastAsia="宋体" w:cs="Times New Roman"/>
                <w:i w:val="0"/>
                <w:iCs w:val="0"/>
                <w:color w:val="auto"/>
                <w:sz w:val="21"/>
                <w:szCs w:val="21"/>
                <w:highlight w:val="none"/>
                <w:u w:val="none"/>
              </w:rPr>
            </w:pP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63C2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工业广场</w:t>
            </w:r>
          </w:p>
        </w:tc>
        <w:tc>
          <w:tcPr>
            <w:tcW w:w="5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68C9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0.6845 </w:t>
            </w:r>
          </w:p>
        </w:tc>
        <w:tc>
          <w:tcPr>
            <w:tcW w:w="2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2CB93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现状地质灾害不发育；对含水层影响程度较轻；破坏地形地貌景观严重；对水土环境污染程度较轻</w:t>
            </w:r>
          </w:p>
        </w:tc>
      </w:tr>
      <w:tr w14:paraId="7B68DA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5D1C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I</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3</w:t>
            </w:r>
          </w:p>
        </w:tc>
        <w:tc>
          <w:tcPr>
            <w:tcW w:w="3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EE69E5">
            <w:pPr>
              <w:jc w:val="center"/>
              <w:rPr>
                <w:rFonts w:hint="eastAsia" w:ascii="宋体" w:hAnsi="宋体" w:eastAsia="宋体" w:cs="宋体"/>
                <w:i w:val="0"/>
                <w:iCs w:val="0"/>
                <w:color w:val="auto"/>
                <w:sz w:val="21"/>
                <w:szCs w:val="21"/>
                <w:highlight w:val="none"/>
                <w:u w:val="none"/>
              </w:rPr>
            </w:pPr>
          </w:p>
        </w:tc>
        <w:tc>
          <w:tcPr>
            <w:tcW w:w="5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74EB1">
            <w:pPr>
              <w:jc w:val="center"/>
              <w:rPr>
                <w:rFonts w:hint="default" w:ascii="Times New Roman" w:hAnsi="Times New Roman" w:eastAsia="宋体" w:cs="Times New Roman"/>
                <w:i w:val="0"/>
                <w:iCs w:val="0"/>
                <w:color w:val="auto"/>
                <w:sz w:val="21"/>
                <w:szCs w:val="21"/>
                <w:highlight w:val="none"/>
                <w:u w:val="none"/>
              </w:rPr>
            </w:pP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04B3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生产生活区</w:t>
            </w:r>
          </w:p>
        </w:tc>
        <w:tc>
          <w:tcPr>
            <w:tcW w:w="5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BD2F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0.2605 </w:t>
            </w:r>
          </w:p>
        </w:tc>
        <w:tc>
          <w:tcPr>
            <w:tcW w:w="2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B485B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现状地质灾害不发育；对含水层影响程度较轻；破坏地形地貌景观严重；对水土环境污染程度较轻</w:t>
            </w:r>
          </w:p>
        </w:tc>
      </w:tr>
      <w:tr w14:paraId="1BD9AF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C111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I</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4</w:t>
            </w:r>
          </w:p>
        </w:tc>
        <w:tc>
          <w:tcPr>
            <w:tcW w:w="3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FB5A73">
            <w:pPr>
              <w:jc w:val="center"/>
              <w:rPr>
                <w:rFonts w:hint="eastAsia" w:ascii="宋体" w:hAnsi="宋体" w:eastAsia="宋体" w:cs="宋体"/>
                <w:i w:val="0"/>
                <w:iCs w:val="0"/>
                <w:color w:val="auto"/>
                <w:sz w:val="21"/>
                <w:szCs w:val="21"/>
                <w:highlight w:val="none"/>
                <w:u w:val="none"/>
              </w:rPr>
            </w:pPr>
          </w:p>
        </w:tc>
        <w:tc>
          <w:tcPr>
            <w:tcW w:w="5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69865">
            <w:pPr>
              <w:jc w:val="center"/>
              <w:rPr>
                <w:rFonts w:hint="default" w:ascii="Times New Roman" w:hAnsi="Times New Roman" w:eastAsia="宋体" w:cs="Times New Roman"/>
                <w:i w:val="0"/>
                <w:iCs w:val="0"/>
                <w:color w:val="auto"/>
                <w:sz w:val="21"/>
                <w:szCs w:val="21"/>
                <w:highlight w:val="none"/>
                <w:u w:val="none"/>
              </w:rPr>
            </w:pP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014B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原有办公室及临时堆料场</w:t>
            </w:r>
          </w:p>
        </w:tc>
        <w:tc>
          <w:tcPr>
            <w:tcW w:w="5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4C6E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0.1178 </w:t>
            </w:r>
          </w:p>
        </w:tc>
        <w:tc>
          <w:tcPr>
            <w:tcW w:w="2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3B674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现状地质灾害不发育；对含水层影响程度较轻；破坏地形地貌景观严重；对水土环境污染程度较轻</w:t>
            </w:r>
          </w:p>
        </w:tc>
      </w:tr>
      <w:tr w14:paraId="251CAC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BB3C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I</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5</w:t>
            </w:r>
          </w:p>
        </w:tc>
        <w:tc>
          <w:tcPr>
            <w:tcW w:w="3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0EA1AB">
            <w:pPr>
              <w:jc w:val="center"/>
              <w:rPr>
                <w:rFonts w:hint="eastAsia" w:ascii="宋体" w:hAnsi="宋体" w:eastAsia="宋体" w:cs="宋体"/>
                <w:i w:val="0"/>
                <w:iCs w:val="0"/>
                <w:color w:val="auto"/>
                <w:sz w:val="21"/>
                <w:szCs w:val="21"/>
                <w:highlight w:val="none"/>
                <w:u w:val="none"/>
              </w:rPr>
            </w:pPr>
          </w:p>
        </w:tc>
        <w:tc>
          <w:tcPr>
            <w:tcW w:w="5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A4DCE">
            <w:pPr>
              <w:jc w:val="center"/>
              <w:rPr>
                <w:rFonts w:hint="default" w:ascii="Times New Roman" w:hAnsi="Times New Roman" w:eastAsia="宋体" w:cs="Times New Roman"/>
                <w:i w:val="0"/>
                <w:iCs w:val="0"/>
                <w:color w:val="auto"/>
                <w:sz w:val="21"/>
                <w:szCs w:val="21"/>
                <w:highlight w:val="none"/>
                <w:u w:val="none"/>
              </w:rPr>
            </w:pP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294A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矿山道路</w:t>
            </w:r>
          </w:p>
        </w:tc>
        <w:tc>
          <w:tcPr>
            <w:tcW w:w="5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AD98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0.1624 </w:t>
            </w:r>
          </w:p>
        </w:tc>
        <w:tc>
          <w:tcPr>
            <w:tcW w:w="2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BF48C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现状地质灾害不发育；对含水层影响程度较轻；破坏地形地貌景观严重；对水土环境污染程度较轻</w:t>
            </w:r>
          </w:p>
        </w:tc>
      </w:tr>
      <w:tr w14:paraId="5E0618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56F3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I</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6</w:t>
            </w:r>
          </w:p>
        </w:tc>
        <w:tc>
          <w:tcPr>
            <w:tcW w:w="3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3FB9A5">
            <w:pPr>
              <w:jc w:val="center"/>
              <w:rPr>
                <w:rFonts w:hint="eastAsia" w:ascii="宋体" w:hAnsi="宋体" w:eastAsia="宋体" w:cs="宋体"/>
                <w:i w:val="0"/>
                <w:iCs w:val="0"/>
                <w:color w:val="auto"/>
                <w:sz w:val="21"/>
                <w:szCs w:val="21"/>
                <w:highlight w:val="none"/>
                <w:u w:val="none"/>
              </w:rPr>
            </w:pPr>
          </w:p>
        </w:tc>
        <w:tc>
          <w:tcPr>
            <w:tcW w:w="5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FF80B">
            <w:pPr>
              <w:jc w:val="center"/>
              <w:rPr>
                <w:rFonts w:hint="default" w:ascii="Times New Roman" w:hAnsi="Times New Roman" w:eastAsia="宋体" w:cs="Times New Roman"/>
                <w:i w:val="0"/>
                <w:iCs w:val="0"/>
                <w:color w:val="auto"/>
                <w:sz w:val="21"/>
                <w:szCs w:val="21"/>
                <w:highlight w:val="none"/>
                <w:u w:val="none"/>
              </w:rPr>
            </w:pP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72B3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表土堆场</w:t>
            </w:r>
          </w:p>
        </w:tc>
        <w:tc>
          <w:tcPr>
            <w:tcW w:w="5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79BF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0.3093 </w:t>
            </w:r>
          </w:p>
        </w:tc>
        <w:tc>
          <w:tcPr>
            <w:tcW w:w="2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A4A33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现状地质灾害不发育；对含水层影响程度较轻；破坏地形地貌景观严重；对水土环境污染程度较轻</w:t>
            </w:r>
          </w:p>
        </w:tc>
      </w:tr>
      <w:tr w14:paraId="690322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51AB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Ⅱ</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4E737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影响较轻区</w:t>
            </w:r>
          </w:p>
        </w:tc>
        <w:tc>
          <w:tcPr>
            <w:tcW w:w="5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8F6B6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77.3348</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3CA15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其他区域</w:t>
            </w:r>
          </w:p>
        </w:tc>
        <w:tc>
          <w:tcPr>
            <w:tcW w:w="5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7EF7D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35.201</w:t>
            </w:r>
          </w:p>
        </w:tc>
        <w:tc>
          <w:tcPr>
            <w:tcW w:w="2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0FDA7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地质环境影响较轻</w:t>
            </w:r>
          </w:p>
        </w:tc>
      </w:tr>
      <w:tr w14:paraId="290EEC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4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86B2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合计</w:t>
            </w:r>
          </w:p>
        </w:tc>
        <w:tc>
          <w:tcPr>
            <w:tcW w:w="5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19C2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81.4093</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612E9">
            <w:pPr>
              <w:jc w:val="center"/>
              <w:rPr>
                <w:rFonts w:hint="default" w:ascii="Times New Roman" w:hAnsi="Times New Roman" w:eastAsia="宋体" w:cs="Times New Roman"/>
                <w:i w:val="0"/>
                <w:iCs w:val="0"/>
                <w:color w:val="auto"/>
                <w:sz w:val="21"/>
                <w:szCs w:val="21"/>
                <w:highlight w:val="none"/>
                <w:u w:val="none"/>
              </w:rPr>
            </w:pPr>
          </w:p>
        </w:tc>
        <w:tc>
          <w:tcPr>
            <w:tcW w:w="5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88C8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81.4093</w:t>
            </w:r>
          </w:p>
        </w:tc>
        <w:tc>
          <w:tcPr>
            <w:tcW w:w="2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90528">
            <w:pPr>
              <w:jc w:val="center"/>
              <w:rPr>
                <w:rFonts w:hint="default" w:ascii="Times New Roman" w:hAnsi="Times New Roman" w:eastAsia="宋体" w:cs="Times New Roman"/>
                <w:i w:val="0"/>
                <w:iCs w:val="0"/>
                <w:color w:val="auto"/>
                <w:sz w:val="21"/>
                <w:szCs w:val="21"/>
                <w:highlight w:val="none"/>
                <w:u w:val="none"/>
              </w:rPr>
            </w:pPr>
          </w:p>
        </w:tc>
      </w:tr>
    </w:tbl>
    <w:p w14:paraId="1DB7B466">
      <w:pPr>
        <w:spacing w:line="360" w:lineRule="auto"/>
        <w:ind w:firstLine="482" w:firstLineChars="200"/>
        <w:rPr>
          <w:rFonts w:hint="default" w:ascii="Times New Roman" w:hAnsi="Times New Roman" w:cs="Times New Roman"/>
          <w:b/>
          <w:bCs/>
          <w:color w:val="auto"/>
          <w:sz w:val="24"/>
          <w:highlight w:val="none"/>
        </w:rPr>
      </w:pPr>
      <w:r>
        <w:rPr>
          <w:rFonts w:hint="eastAsia" w:ascii="Times New Roman" w:hAnsi="Times New Roman" w:cs="Times New Roman"/>
          <w:b/>
          <w:bCs/>
          <w:color w:val="auto"/>
          <w:sz w:val="24"/>
          <w:highlight w:val="none"/>
          <w:lang w:val="en-US" w:eastAsia="zh-CN"/>
        </w:rPr>
        <w:t>4</w:t>
      </w:r>
      <w:r>
        <w:rPr>
          <w:rFonts w:hint="default" w:ascii="Times New Roman" w:hAnsi="Times New Roman" w:cs="Times New Roman"/>
          <w:b/>
          <w:bCs/>
          <w:color w:val="auto"/>
          <w:sz w:val="24"/>
          <w:highlight w:val="none"/>
        </w:rPr>
        <w:t>、分区评述</w:t>
      </w:r>
      <w:bookmarkEnd w:id="144"/>
      <w:bookmarkEnd w:id="145"/>
      <w:bookmarkEnd w:id="146"/>
      <w:bookmarkEnd w:id="147"/>
      <w:bookmarkEnd w:id="148"/>
      <w:bookmarkEnd w:id="149"/>
      <w:bookmarkEnd w:id="150"/>
      <w:bookmarkEnd w:id="151"/>
    </w:p>
    <w:p w14:paraId="2D0BAA82">
      <w:pPr>
        <w:spacing w:line="360" w:lineRule="auto"/>
        <w:ind w:firstLine="480" w:firstLineChars="200"/>
        <w:rPr>
          <w:rFonts w:hint="default" w:ascii="Times New Roman" w:hAnsi="Times New Roman" w:cs="Times New Roman"/>
          <w:b w:val="0"/>
          <w:bCs w:val="0"/>
          <w:color w:val="auto"/>
          <w:sz w:val="24"/>
          <w:highlight w:val="none"/>
        </w:rPr>
      </w:pPr>
      <w:bookmarkStart w:id="152" w:name="_Toc485629701"/>
      <w:r>
        <w:rPr>
          <w:rFonts w:hint="default" w:ascii="Times New Roman" w:hAnsi="Times New Roman" w:cs="Times New Roman"/>
          <w:b w:val="0"/>
          <w:bCs w:val="0"/>
          <w:color w:val="auto"/>
          <w:sz w:val="24"/>
          <w:highlight w:val="none"/>
        </w:rPr>
        <w:t>根据上述分区原则及方法，可将评估区划分为重点防治区和一般防治区。</w:t>
      </w:r>
    </w:p>
    <w:p w14:paraId="1337DA59">
      <w:pPr>
        <w:spacing w:line="360" w:lineRule="auto"/>
        <w:ind w:firstLine="480" w:firstLineChars="200"/>
        <w:rPr>
          <w:rFonts w:hint="default" w:ascii="Times New Roman" w:hAnsi="Times New Roman" w:cs="Times New Roman"/>
          <w:b w:val="0"/>
          <w:bCs w:val="0"/>
          <w:color w:val="auto"/>
          <w:sz w:val="24"/>
          <w:highlight w:val="none"/>
        </w:rPr>
      </w:pPr>
      <w:r>
        <w:rPr>
          <w:rFonts w:hint="default" w:ascii="Times New Roman" w:hAnsi="Times New Roman" w:cs="Times New Roman"/>
          <w:b w:val="0"/>
          <w:bCs w:val="0"/>
          <w:color w:val="auto"/>
          <w:sz w:val="24"/>
          <w:highlight w:val="none"/>
        </w:rPr>
        <w:t>1）矿区地质环境重点防治区</w:t>
      </w:r>
      <w:r>
        <w:rPr>
          <w:rFonts w:hint="default" w:ascii="Times New Roman" w:hAnsi="Times New Roman" w:cs="Times New Roman"/>
          <w:b w:val="0"/>
          <w:bCs w:val="0"/>
          <w:color w:val="auto"/>
          <w:sz w:val="24"/>
          <w:highlight w:val="none"/>
          <w:lang w:eastAsia="zh-CN"/>
        </w:rPr>
        <w:t>：</w:t>
      </w:r>
      <w:r>
        <w:rPr>
          <w:rFonts w:hint="default" w:ascii="Times New Roman" w:hAnsi="Times New Roman" w:cs="Times New Roman"/>
          <w:b w:val="0"/>
          <w:bCs w:val="0"/>
          <w:color w:val="auto"/>
          <w:sz w:val="24"/>
          <w:highlight w:val="none"/>
        </w:rPr>
        <w:t xml:space="preserve"> </w:t>
      </w:r>
      <w:r>
        <w:rPr>
          <w:rFonts w:hint="eastAsia" w:cs="Times New Roman"/>
          <w:b w:val="0"/>
          <w:bCs w:val="0"/>
          <w:color w:val="auto"/>
          <w:sz w:val="24"/>
          <w:highlight w:val="none"/>
          <w:lang w:eastAsia="zh-CN"/>
        </w:rPr>
        <w:t>露天采场、工业广场、生产生活区、原有办公室及临时堆料场、矿山道路、表土堆场</w:t>
      </w:r>
      <w:r>
        <w:rPr>
          <w:rFonts w:hint="default" w:ascii="Times New Roman" w:hAnsi="Times New Roman" w:cs="Times New Roman"/>
          <w:b w:val="0"/>
          <w:bCs w:val="0"/>
          <w:color w:val="auto"/>
          <w:sz w:val="24"/>
          <w:highlight w:val="none"/>
        </w:rPr>
        <w:t>，面积</w:t>
      </w:r>
      <w:r>
        <w:rPr>
          <w:rFonts w:hint="eastAsia" w:cs="Times New Roman"/>
          <w:b w:val="0"/>
          <w:bCs w:val="0"/>
          <w:color w:val="auto"/>
          <w:sz w:val="24"/>
          <w:highlight w:val="none"/>
          <w:lang w:val="en-US" w:eastAsia="zh-CN"/>
        </w:rPr>
        <w:t>4.0745</w:t>
      </w:r>
      <w:r>
        <w:rPr>
          <w:rFonts w:hint="default" w:ascii="Times New Roman" w:hAnsi="Times New Roman" w:cs="Times New Roman"/>
          <w:b w:val="0"/>
          <w:bCs w:val="0"/>
          <w:color w:val="auto"/>
          <w:sz w:val="24"/>
          <w:highlight w:val="none"/>
        </w:rPr>
        <w:t>h</w:t>
      </w:r>
      <w:r>
        <w:rPr>
          <w:rFonts w:hint="default" w:ascii="Times New Roman" w:hAnsi="Times New Roman" w:cs="Times New Roman"/>
          <w:b w:val="0"/>
          <w:bCs w:val="0"/>
          <w:color w:val="auto"/>
          <w:sz w:val="24"/>
          <w:highlight w:val="none"/>
          <w:lang w:eastAsia="zh-CN"/>
        </w:rPr>
        <w:t>m</w:t>
      </w:r>
      <w:r>
        <w:rPr>
          <w:rFonts w:hint="default" w:ascii="Times New Roman" w:hAnsi="Times New Roman" w:cs="Times New Roman"/>
          <w:b w:val="0"/>
          <w:bCs w:val="0"/>
          <w:color w:val="auto"/>
          <w:sz w:val="24"/>
          <w:highlight w:val="none"/>
          <w:vertAlign w:val="superscript"/>
          <w:lang w:eastAsia="zh-CN"/>
        </w:rPr>
        <w:t>2</w:t>
      </w:r>
      <w:r>
        <w:rPr>
          <w:rFonts w:hint="default" w:ascii="Times New Roman" w:hAnsi="Times New Roman" w:cs="Times New Roman"/>
          <w:b w:val="0"/>
          <w:bCs w:val="0"/>
          <w:color w:val="auto"/>
          <w:sz w:val="24"/>
          <w:highlight w:val="none"/>
        </w:rPr>
        <w:t>。</w:t>
      </w:r>
    </w:p>
    <w:p w14:paraId="4802AB93">
      <w:pPr>
        <w:spacing w:line="360" w:lineRule="auto"/>
        <w:ind w:firstLine="480" w:firstLineChars="200"/>
        <w:rPr>
          <w:rFonts w:hint="default" w:ascii="Times New Roman" w:hAnsi="Times New Roman" w:cs="Times New Roman"/>
          <w:b w:val="0"/>
          <w:bCs w:val="0"/>
          <w:color w:val="auto"/>
          <w:kern w:val="0"/>
          <w:sz w:val="24"/>
          <w:highlight w:val="none"/>
        </w:rPr>
      </w:pPr>
      <w:r>
        <w:rPr>
          <w:rFonts w:hint="default" w:ascii="Times New Roman" w:hAnsi="Times New Roman" w:cs="Times New Roman"/>
          <w:b w:val="0"/>
          <w:bCs w:val="0"/>
          <w:color w:val="auto"/>
          <w:sz w:val="24"/>
          <w:highlight w:val="none"/>
        </w:rPr>
        <w:t>主要防治措施：</w:t>
      </w:r>
      <w:r>
        <w:rPr>
          <w:rFonts w:hint="default" w:ascii="Times New Roman" w:hAnsi="Times New Roman" w:cs="Times New Roman"/>
          <w:b w:val="0"/>
          <w:bCs w:val="0"/>
          <w:color w:val="auto"/>
          <w:kern w:val="0"/>
          <w:sz w:val="24"/>
          <w:highlight w:val="none"/>
        </w:rPr>
        <w:t>对露天采坑边坡、表土堆进行地质灾害监测，一经发现及时采取处理措施</w:t>
      </w:r>
      <w:r>
        <w:rPr>
          <w:rFonts w:hint="default" w:ascii="Times New Roman" w:hAnsi="Times New Roman" w:cs="Times New Roman"/>
          <w:b w:val="0"/>
          <w:bCs w:val="0"/>
          <w:color w:val="auto"/>
          <w:sz w:val="24"/>
          <w:highlight w:val="none"/>
        </w:rPr>
        <w:t>。</w:t>
      </w:r>
      <w:r>
        <w:rPr>
          <w:rFonts w:hint="default" w:ascii="Times New Roman" w:hAnsi="Times New Roman" w:cs="Times New Roman"/>
          <w:b w:val="0"/>
          <w:bCs w:val="0"/>
          <w:color w:val="auto"/>
          <w:kern w:val="0"/>
          <w:sz w:val="24"/>
          <w:highlight w:val="none"/>
        </w:rPr>
        <w:t>拆除建筑物，工业</w:t>
      </w:r>
      <w:r>
        <w:rPr>
          <w:rFonts w:hint="eastAsia" w:cs="Times New Roman"/>
          <w:b w:val="0"/>
          <w:bCs w:val="0"/>
          <w:color w:val="auto"/>
          <w:kern w:val="0"/>
          <w:sz w:val="24"/>
          <w:highlight w:val="none"/>
          <w:lang w:val="en-US" w:eastAsia="zh-CN"/>
        </w:rPr>
        <w:t>广场</w:t>
      </w:r>
      <w:r>
        <w:rPr>
          <w:rFonts w:hint="default" w:ascii="Times New Roman" w:hAnsi="Times New Roman" w:cs="Times New Roman"/>
          <w:b w:val="0"/>
          <w:bCs w:val="0"/>
          <w:color w:val="auto"/>
          <w:kern w:val="0"/>
          <w:sz w:val="24"/>
          <w:highlight w:val="none"/>
        </w:rPr>
        <w:t>、矿山道路、表土堆</w:t>
      </w:r>
      <w:r>
        <w:rPr>
          <w:rFonts w:hint="eastAsia" w:cs="Times New Roman"/>
          <w:b w:val="0"/>
          <w:bCs w:val="0"/>
          <w:color w:val="auto"/>
          <w:kern w:val="0"/>
          <w:sz w:val="24"/>
          <w:highlight w:val="none"/>
          <w:lang w:val="en-US" w:eastAsia="zh-CN"/>
        </w:rPr>
        <w:t>场</w:t>
      </w:r>
      <w:r>
        <w:rPr>
          <w:rFonts w:hint="default" w:ascii="Times New Roman" w:hAnsi="Times New Roman" w:cs="Times New Roman"/>
          <w:b w:val="0"/>
          <w:bCs w:val="0"/>
          <w:color w:val="auto"/>
          <w:kern w:val="0"/>
          <w:sz w:val="24"/>
          <w:highlight w:val="none"/>
        </w:rPr>
        <w:t>、办公生活区进行场地平整，为后期覆土、植被恢复做准备。</w:t>
      </w:r>
    </w:p>
    <w:p w14:paraId="64FF232E">
      <w:pPr>
        <w:spacing w:line="360" w:lineRule="auto"/>
        <w:ind w:firstLine="480" w:firstLineChars="200"/>
        <w:rPr>
          <w:rFonts w:hint="default" w:ascii="Times New Roman" w:hAnsi="Times New Roman" w:cs="Times New Roman"/>
          <w:b w:val="0"/>
          <w:bCs/>
          <w:color w:val="auto"/>
          <w:sz w:val="24"/>
          <w:highlight w:val="none"/>
        </w:rPr>
      </w:pPr>
      <w:r>
        <w:rPr>
          <w:rFonts w:hint="default" w:ascii="Times New Roman" w:hAnsi="Times New Roman" w:cs="Times New Roman"/>
          <w:b w:val="0"/>
          <w:bCs/>
          <w:color w:val="auto"/>
          <w:sz w:val="24"/>
          <w:highlight w:val="none"/>
        </w:rPr>
        <w:t>2）矿区地质环境一般防治区：评估区内其他部分，面积</w:t>
      </w:r>
      <w:r>
        <w:rPr>
          <w:rFonts w:hint="eastAsia" w:cs="Times New Roman"/>
          <w:b w:val="0"/>
          <w:bCs/>
          <w:color w:val="auto"/>
          <w:sz w:val="24"/>
          <w:highlight w:val="none"/>
          <w:lang w:val="en-US" w:eastAsia="zh-CN"/>
        </w:rPr>
        <w:t>77.3348</w:t>
      </w:r>
      <w:r>
        <w:rPr>
          <w:rFonts w:hint="default" w:ascii="Times New Roman" w:hAnsi="Times New Roman" w:cs="Times New Roman"/>
          <w:b w:val="0"/>
          <w:bCs/>
          <w:color w:val="auto"/>
          <w:sz w:val="24"/>
          <w:highlight w:val="none"/>
        </w:rPr>
        <w:t>h</w:t>
      </w:r>
      <w:r>
        <w:rPr>
          <w:rFonts w:hint="default" w:ascii="Times New Roman" w:hAnsi="Times New Roman" w:cs="Times New Roman"/>
          <w:b w:val="0"/>
          <w:bCs/>
          <w:color w:val="auto"/>
          <w:sz w:val="24"/>
          <w:highlight w:val="none"/>
          <w:lang w:eastAsia="zh-CN"/>
        </w:rPr>
        <w:t>m</w:t>
      </w:r>
      <w:r>
        <w:rPr>
          <w:rFonts w:hint="default" w:ascii="Times New Roman" w:hAnsi="Times New Roman" w:cs="Times New Roman"/>
          <w:b w:val="0"/>
          <w:bCs/>
          <w:color w:val="auto"/>
          <w:sz w:val="24"/>
          <w:highlight w:val="none"/>
          <w:vertAlign w:val="superscript"/>
          <w:lang w:eastAsia="zh-CN"/>
        </w:rPr>
        <w:t>2</w:t>
      </w:r>
      <w:r>
        <w:rPr>
          <w:rFonts w:hint="default" w:ascii="Times New Roman" w:hAnsi="Times New Roman" w:cs="Times New Roman"/>
          <w:b w:val="0"/>
          <w:bCs/>
          <w:color w:val="auto"/>
          <w:sz w:val="24"/>
          <w:highlight w:val="none"/>
        </w:rPr>
        <w:t>。</w:t>
      </w:r>
    </w:p>
    <w:p w14:paraId="40FAC3D1">
      <w:pPr>
        <w:spacing w:line="360" w:lineRule="auto"/>
        <w:ind w:firstLine="480" w:firstLineChars="200"/>
        <w:rPr>
          <w:rFonts w:hint="default" w:ascii="Times New Roman" w:hAnsi="Times New Roman" w:eastAsia="宋体" w:cs="Times New Roman"/>
          <w:b w:val="0"/>
          <w:bCs/>
          <w:color w:val="auto"/>
          <w:sz w:val="24"/>
          <w:highlight w:val="none"/>
          <w:lang w:val="en-US" w:eastAsia="zh-CN"/>
        </w:rPr>
      </w:pPr>
      <w:r>
        <w:rPr>
          <w:rFonts w:hint="default" w:ascii="Times New Roman" w:hAnsi="Times New Roman" w:cs="Times New Roman"/>
          <w:b w:val="0"/>
          <w:bCs/>
          <w:color w:val="auto"/>
          <w:sz w:val="24"/>
          <w:highlight w:val="none"/>
        </w:rPr>
        <w:t>主要防治措施：矿山在今后的生产和建设过程中，要予以重视，加以保护，避免损毁现有的土壤和植被，并在生产范围内进行定期的人工巡视；注意合理利用土地，避免造成新的土地、地貌景观及植被的破坏</w:t>
      </w:r>
      <w:r>
        <w:rPr>
          <w:rFonts w:hint="eastAsia" w:cs="Times New Roman"/>
          <w:b w:val="0"/>
          <w:bCs/>
          <w:color w:val="auto"/>
          <w:sz w:val="24"/>
          <w:highlight w:val="none"/>
          <w:lang w:eastAsia="zh-CN"/>
        </w:rPr>
        <w:t>，加强巡视、采取监测预警等措施</w:t>
      </w:r>
      <w:r>
        <w:rPr>
          <w:rFonts w:hint="default" w:ascii="Times New Roman" w:hAnsi="Times New Roman" w:cs="Times New Roman"/>
          <w:b w:val="0"/>
          <w:bCs/>
          <w:color w:val="auto"/>
          <w:sz w:val="24"/>
          <w:highlight w:val="none"/>
        </w:rPr>
        <w:t>。</w:t>
      </w:r>
      <w:r>
        <w:rPr>
          <w:rFonts w:hint="eastAsia" w:cs="Times New Roman"/>
          <w:b w:val="0"/>
          <w:bCs/>
          <w:color w:val="auto"/>
          <w:sz w:val="24"/>
          <w:highlight w:val="none"/>
          <w:lang w:val="en-US" w:eastAsia="zh-CN"/>
        </w:rPr>
        <w:t>详见表3-17。</w:t>
      </w:r>
    </w:p>
    <w:p w14:paraId="0081B85A">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eastAsia="黑体" w:cs="Times New Roman"/>
          <w:b w:val="0"/>
          <w:bCs/>
          <w:color w:val="auto"/>
          <w:szCs w:val="21"/>
          <w:highlight w:val="none"/>
          <w:lang w:val="en-US" w:eastAsia="zh-CN"/>
        </w:rPr>
      </w:pPr>
      <w:r>
        <w:rPr>
          <w:rFonts w:hint="eastAsia" w:eastAsia="黑体" w:cs="Times New Roman"/>
          <w:b w:val="0"/>
          <w:bCs/>
          <w:color w:val="auto"/>
          <w:szCs w:val="21"/>
          <w:highlight w:val="none"/>
          <w:lang w:val="en-US" w:eastAsia="zh-CN"/>
        </w:rPr>
        <w:t xml:space="preserve">表3-17  </w:t>
      </w:r>
      <w:r>
        <w:rPr>
          <w:rFonts w:hint="eastAsia" w:ascii="Times New Roman" w:hAnsi="Times New Roman" w:eastAsia="黑体" w:cs="Times New Roman"/>
          <w:b w:val="0"/>
          <w:bCs/>
          <w:color w:val="auto"/>
          <w:szCs w:val="21"/>
          <w:highlight w:val="none"/>
          <w:lang w:val="en-US" w:eastAsia="zh-CN"/>
        </w:rPr>
        <w:t>不同恢复治理分区防治措施表</w:t>
      </w:r>
    </w:p>
    <w:tbl>
      <w:tblPr>
        <w:tblStyle w:val="3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36"/>
        <w:gridCol w:w="636"/>
        <w:gridCol w:w="973"/>
        <w:gridCol w:w="2526"/>
        <w:gridCol w:w="973"/>
        <w:gridCol w:w="2778"/>
      </w:tblGrid>
      <w:tr w14:paraId="6F424B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blHeader/>
        </w:trPr>
        <w:tc>
          <w:tcPr>
            <w:tcW w:w="3056"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AAB0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分区</w:t>
            </w:r>
          </w:p>
        </w:tc>
        <w:tc>
          <w:tcPr>
            <w:tcW w:w="194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1889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防治措施</w:t>
            </w:r>
          </w:p>
        </w:tc>
      </w:tr>
      <w:tr w14:paraId="73C383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blHeader/>
        </w:trPr>
        <w:tc>
          <w:tcPr>
            <w:tcW w:w="39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9570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编号</w:t>
            </w:r>
          </w:p>
        </w:tc>
        <w:tc>
          <w:tcPr>
            <w:tcW w:w="51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B0E5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级别</w:t>
            </w:r>
          </w:p>
        </w:tc>
        <w:tc>
          <w:tcPr>
            <w:tcW w:w="61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E7C41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面积小计（</w:t>
            </w:r>
            <w:r>
              <w:rPr>
                <w:rFonts w:hint="default" w:ascii="Times New Roman" w:hAnsi="Times New Roman" w:eastAsia="宋体" w:cs="Times New Roman"/>
                <w:i w:val="0"/>
                <w:iCs w:val="0"/>
                <w:color w:val="auto"/>
                <w:kern w:val="0"/>
                <w:sz w:val="21"/>
                <w:szCs w:val="21"/>
                <w:highlight w:val="none"/>
                <w:u w:val="none"/>
                <w:lang w:val="en-US" w:eastAsia="zh-CN" w:bidi="ar"/>
              </w:rPr>
              <w:t>hm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2</w:t>
            </w:r>
            <w:r>
              <w:rPr>
                <w:rFonts w:hint="eastAsia" w:ascii="宋体" w:hAnsi="宋体" w:eastAsia="宋体" w:cs="宋体"/>
                <w:i w:val="0"/>
                <w:iCs w:val="0"/>
                <w:color w:val="auto"/>
                <w:kern w:val="0"/>
                <w:sz w:val="21"/>
                <w:szCs w:val="21"/>
                <w:highlight w:val="none"/>
                <w:u w:val="none"/>
                <w:lang w:val="en-US" w:eastAsia="zh-CN" w:bidi="ar"/>
              </w:rPr>
              <w:t>）</w:t>
            </w:r>
          </w:p>
        </w:tc>
        <w:tc>
          <w:tcPr>
            <w:tcW w:w="9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2D236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功能分区</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4E30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面积</w:t>
            </w:r>
          </w:p>
        </w:tc>
        <w:tc>
          <w:tcPr>
            <w:tcW w:w="194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D023D">
            <w:pPr>
              <w:jc w:val="center"/>
              <w:rPr>
                <w:rFonts w:hint="eastAsia" w:ascii="宋体" w:hAnsi="宋体" w:eastAsia="宋体" w:cs="宋体"/>
                <w:i w:val="0"/>
                <w:iCs w:val="0"/>
                <w:color w:val="auto"/>
                <w:sz w:val="21"/>
                <w:szCs w:val="21"/>
                <w:highlight w:val="none"/>
                <w:u w:val="none"/>
              </w:rPr>
            </w:pPr>
          </w:p>
        </w:tc>
      </w:tr>
      <w:tr w14:paraId="5CC815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blHeader/>
        </w:trPr>
        <w:tc>
          <w:tcPr>
            <w:tcW w:w="39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9A44B">
            <w:pPr>
              <w:jc w:val="center"/>
              <w:rPr>
                <w:rFonts w:hint="eastAsia" w:ascii="宋体" w:hAnsi="宋体" w:eastAsia="宋体" w:cs="宋体"/>
                <w:i w:val="0"/>
                <w:iCs w:val="0"/>
                <w:color w:val="auto"/>
                <w:sz w:val="21"/>
                <w:szCs w:val="21"/>
                <w:highlight w:val="none"/>
                <w:u w:val="none"/>
              </w:rPr>
            </w:pPr>
          </w:p>
        </w:tc>
        <w:tc>
          <w:tcPr>
            <w:tcW w:w="5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6E1D8">
            <w:pPr>
              <w:jc w:val="center"/>
              <w:rPr>
                <w:rFonts w:hint="eastAsia" w:ascii="宋体" w:hAnsi="宋体" w:eastAsia="宋体" w:cs="宋体"/>
                <w:i w:val="0"/>
                <w:iCs w:val="0"/>
                <w:color w:val="auto"/>
                <w:sz w:val="21"/>
                <w:szCs w:val="21"/>
                <w:highlight w:val="none"/>
                <w:u w:val="none"/>
              </w:rPr>
            </w:pPr>
          </w:p>
        </w:tc>
        <w:tc>
          <w:tcPr>
            <w:tcW w:w="6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A3E4BC">
            <w:pPr>
              <w:jc w:val="center"/>
              <w:rPr>
                <w:rFonts w:hint="eastAsia" w:ascii="宋体" w:hAnsi="宋体" w:eastAsia="宋体" w:cs="宋体"/>
                <w:i w:val="0"/>
                <w:iCs w:val="0"/>
                <w:color w:val="auto"/>
                <w:sz w:val="21"/>
                <w:szCs w:val="21"/>
                <w:highlight w:val="none"/>
                <w:u w:val="none"/>
              </w:rPr>
            </w:pPr>
          </w:p>
        </w:tc>
        <w:tc>
          <w:tcPr>
            <w:tcW w:w="9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442C52">
            <w:pPr>
              <w:jc w:val="center"/>
              <w:rPr>
                <w:rFonts w:hint="eastAsia" w:ascii="宋体" w:hAnsi="宋体" w:eastAsia="宋体" w:cs="宋体"/>
                <w:i w:val="0"/>
                <w:iCs w:val="0"/>
                <w:color w:val="auto"/>
                <w:sz w:val="21"/>
                <w:szCs w:val="21"/>
                <w:highlight w:val="none"/>
                <w:u w:val="none"/>
              </w:rPr>
            </w:pP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0675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hm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2</w:t>
            </w:r>
            <w:r>
              <w:rPr>
                <w:rFonts w:hint="eastAsia" w:ascii="宋体" w:hAnsi="宋体" w:eastAsia="宋体" w:cs="宋体"/>
                <w:i w:val="0"/>
                <w:iCs w:val="0"/>
                <w:color w:val="auto"/>
                <w:kern w:val="0"/>
                <w:sz w:val="21"/>
                <w:szCs w:val="21"/>
                <w:highlight w:val="none"/>
                <w:u w:val="none"/>
                <w:lang w:val="en-US" w:eastAsia="zh-CN" w:bidi="ar"/>
              </w:rPr>
              <w:t>）</w:t>
            </w:r>
          </w:p>
        </w:tc>
        <w:tc>
          <w:tcPr>
            <w:tcW w:w="194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55649">
            <w:pPr>
              <w:jc w:val="center"/>
              <w:rPr>
                <w:rFonts w:hint="eastAsia" w:ascii="宋体" w:hAnsi="宋体" w:eastAsia="宋体" w:cs="宋体"/>
                <w:i w:val="0"/>
                <w:iCs w:val="0"/>
                <w:color w:val="auto"/>
                <w:sz w:val="21"/>
                <w:szCs w:val="21"/>
                <w:highlight w:val="none"/>
                <w:u w:val="none"/>
              </w:rPr>
            </w:pPr>
          </w:p>
        </w:tc>
      </w:tr>
      <w:tr w14:paraId="1D91AF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740B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I</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1</w:t>
            </w:r>
          </w:p>
        </w:tc>
        <w:tc>
          <w:tcPr>
            <w:tcW w:w="5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F5C54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重点防治区</w:t>
            </w:r>
          </w:p>
        </w:tc>
        <w:tc>
          <w:tcPr>
            <w:tcW w:w="61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C578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4.0745</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c>
          <w:tcPr>
            <w:tcW w:w="9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98053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露天采场</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1838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1.4711 </w:t>
            </w:r>
          </w:p>
        </w:tc>
        <w:tc>
          <w:tcPr>
            <w:tcW w:w="19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08B03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设立警示牌、网围栏、植树、栽植爬山虎</w:t>
            </w:r>
            <w:r>
              <w:rPr>
                <w:rFonts w:hint="eastAsia" w:ascii="宋体" w:hAnsi="宋体" w:cs="宋体"/>
                <w:i w:val="0"/>
                <w:iCs w:val="0"/>
                <w:color w:val="auto"/>
                <w:kern w:val="0"/>
                <w:sz w:val="21"/>
                <w:szCs w:val="21"/>
                <w:highlight w:val="none"/>
                <w:u w:val="none"/>
                <w:lang w:val="en-US" w:eastAsia="zh-CN" w:bidi="ar"/>
              </w:rPr>
              <w:t>等</w:t>
            </w:r>
          </w:p>
        </w:tc>
      </w:tr>
      <w:tr w14:paraId="5887C6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D14A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I</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p>
        </w:tc>
        <w:tc>
          <w:tcPr>
            <w:tcW w:w="5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A26CC4">
            <w:pPr>
              <w:jc w:val="center"/>
              <w:rPr>
                <w:rFonts w:hint="eastAsia" w:ascii="宋体" w:hAnsi="宋体" w:eastAsia="宋体" w:cs="宋体"/>
                <w:i w:val="0"/>
                <w:iCs w:val="0"/>
                <w:color w:val="auto"/>
                <w:sz w:val="21"/>
                <w:szCs w:val="21"/>
                <w:highlight w:val="none"/>
                <w:u w:val="none"/>
              </w:rPr>
            </w:pPr>
          </w:p>
        </w:tc>
        <w:tc>
          <w:tcPr>
            <w:tcW w:w="61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435A2">
            <w:pPr>
              <w:jc w:val="center"/>
              <w:rPr>
                <w:rFonts w:hint="default" w:ascii="Times New Roman" w:hAnsi="Times New Roman" w:eastAsia="宋体" w:cs="Times New Roman"/>
                <w:i w:val="0"/>
                <w:iCs w:val="0"/>
                <w:color w:val="auto"/>
                <w:sz w:val="21"/>
                <w:szCs w:val="21"/>
                <w:highlight w:val="none"/>
                <w:u w:val="none"/>
              </w:rPr>
            </w:pP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293B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工业广场</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8ED9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0.9327 </w:t>
            </w:r>
          </w:p>
        </w:tc>
        <w:tc>
          <w:tcPr>
            <w:tcW w:w="19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59E31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建筑物拆除、场地清理、平整、覆土植树</w:t>
            </w:r>
            <w:r>
              <w:rPr>
                <w:rFonts w:hint="eastAsia" w:ascii="宋体" w:hAnsi="宋体" w:cs="宋体"/>
                <w:i w:val="0"/>
                <w:iCs w:val="0"/>
                <w:color w:val="auto"/>
                <w:kern w:val="0"/>
                <w:sz w:val="21"/>
                <w:szCs w:val="21"/>
                <w:highlight w:val="none"/>
                <w:u w:val="none"/>
                <w:lang w:val="en-US" w:eastAsia="zh-CN" w:bidi="ar"/>
              </w:rPr>
              <w:t>等</w:t>
            </w:r>
          </w:p>
        </w:tc>
      </w:tr>
      <w:tr w14:paraId="3412BB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501F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I</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3</w:t>
            </w:r>
          </w:p>
        </w:tc>
        <w:tc>
          <w:tcPr>
            <w:tcW w:w="5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B48CA6">
            <w:pPr>
              <w:jc w:val="center"/>
              <w:rPr>
                <w:rFonts w:hint="eastAsia" w:ascii="宋体" w:hAnsi="宋体" w:eastAsia="宋体" w:cs="宋体"/>
                <w:i w:val="0"/>
                <w:iCs w:val="0"/>
                <w:color w:val="auto"/>
                <w:sz w:val="21"/>
                <w:szCs w:val="21"/>
                <w:highlight w:val="none"/>
                <w:u w:val="none"/>
              </w:rPr>
            </w:pPr>
          </w:p>
        </w:tc>
        <w:tc>
          <w:tcPr>
            <w:tcW w:w="61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848C7">
            <w:pPr>
              <w:jc w:val="center"/>
              <w:rPr>
                <w:rFonts w:hint="default" w:ascii="Times New Roman" w:hAnsi="Times New Roman" w:eastAsia="宋体" w:cs="Times New Roman"/>
                <w:i w:val="0"/>
                <w:iCs w:val="0"/>
                <w:color w:val="auto"/>
                <w:sz w:val="21"/>
                <w:szCs w:val="21"/>
                <w:highlight w:val="none"/>
                <w:u w:val="none"/>
              </w:rPr>
            </w:pP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BF43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生产生活区</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FE7D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2.4577 </w:t>
            </w:r>
          </w:p>
        </w:tc>
        <w:tc>
          <w:tcPr>
            <w:tcW w:w="19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8A26B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建筑物拆除、场地清理、平整、覆土植树</w:t>
            </w:r>
            <w:r>
              <w:rPr>
                <w:rFonts w:hint="eastAsia" w:ascii="宋体" w:hAnsi="宋体" w:cs="宋体"/>
                <w:i w:val="0"/>
                <w:iCs w:val="0"/>
                <w:color w:val="auto"/>
                <w:kern w:val="0"/>
                <w:sz w:val="21"/>
                <w:szCs w:val="21"/>
                <w:highlight w:val="none"/>
                <w:u w:val="none"/>
                <w:lang w:val="en-US" w:eastAsia="zh-CN" w:bidi="ar"/>
              </w:rPr>
              <w:t>等</w:t>
            </w:r>
          </w:p>
        </w:tc>
      </w:tr>
      <w:tr w14:paraId="7F8B67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371B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I</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4</w:t>
            </w:r>
          </w:p>
        </w:tc>
        <w:tc>
          <w:tcPr>
            <w:tcW w:w="5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3404B0">
            <w:pPr>
              <w:jc w:val="center"/>
              <w:rPr>
                <w:rFonts w:hint="eastAsia" w:ascii="宋体" w:hAnsi="宋体" w:eastAsia="宋体" w:cs="宋体"/>
                <w:i w:val="0"/>
                <w:iCs w:val="0"/>
                <w:color w:val="auto"/>
                <w:sz w:val="21"/>
                <w:szCs w:val="21"/>
                <w:highlight w:val="none"/>
                <w:u w:val="none"/>
              </w:rPr>
            </w:pPr>
          </w:p>
        </w:tc>
        <w:tc>
          <w:tcPr>
            <w:tcW w:w="61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55810">
            <w:pPr>
              <w:jc w:val="center"/>
              <w:rPr>
                <w:rFonts w:hint="default" w:ascii="Times New Roman" w:hAnsi="Times New Roman" w:eastAsia="宋体" w:cs="Times New Roman"/>
                <w:i w:val="0"/>
                <w:iCs w:val="0"/>
                <w:color w:val="auto"/>
                <w:sz w:val="21"/>
                <w:szCs w:val="21"/>
                <w:highlight w:val="none"/>
                <w:u w:val="none"/>
              </w:rPr>
            </w:pP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EF27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原有办公室及临时堆料场</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FF32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0.0100 </w:t>
            </w:r>
          </w:p>
        </w:tc>
        <w:tc>
          <w:tcPr>
            <w:tcW w:w="19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421BA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建筑物拆除、场地清理、平整、覆土植树</w:t>
            </w:r>
            <w:r>
              <w:rPr>
                <w:rFonts w:hint="eastAsia" w:ascii="宋体" w:hAnsi="宋体" w:cs="宋体"/>
                <w:i w:val="0"/>
                <w:iCs w:val="0"/>
                <w:color w:val="auto"/>
                <w:kern w:val="0"/>
                <w:sz w:val="21"/>
                <w:szCs w:val="21"/>
                <w:highlight w:val="none"/>
                <w:u w:val="none"/>
                <w:lang w:val="en-US" w:eastAsia="zh-CN" w:bidi="ar"/>
              </w:rPr>
              <w:t>等</w:t>
            </w:r>
          </w:p>
        </w:tc>
      </w:tr>
      <w:tr w14:paraId="4BE49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8" w:hRule="atLeast"/>
        </w:trPr>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ED69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I</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5</w:t>
            </w:r>
          </w:p>
        </w:tc>
        <w:tc>
          <w:tcPr>
            <w:tcW w:w="5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90CFB7">
            <w:pPr>
              <w:jc w:val="center"/>
              <w:rPr>
                <w:rFonts w:hint="eastAsia" w:ascii="宋体" w:hAnsi="宋体" w:eastAsia="宋体" w:cs="宋体"/>
                <w:i w:val="0"/>
                <w:iCs w:val="0"/>
                <w:color w:val="auto"/>
                <w:sz w:val="21"/>
                <w:szCs w:val="21"/>
                <w:highlight w:val="none"/>
                <w:u w:val="none"/>
              </w:rPr>
            </w:pPr>
          </w:p>
        </w:tc>
        <w:tc>
          <w:tcPr>
            <w:tcW w:w="61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3600F">
            <w:pPr>
              <w:jc w:val="center"/>
              <w:rPr>
                <w:rFonts w:hint="default" w:ascii="Times New Roman" w:hAnsi="Times New Roman" w:eastAsia="宋体" w:cs="Times New Roman"/>
                <w:i w:val="0"/>
                <w:iCs w:val="0"/>
                <w:color w:val="auto"/>
                <w:sz w:val="21"/>
                <w:szCs w:val="21"/>
                <w:highlight w:val="none"/>
                <w:u w:val="none"/>
              </w:rPr>
            </w:pP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4696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矿山道路</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8FF3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0.0100 </w:t>
            </w:r>
          </w:p>
        </w:tc>
        <w:tc>
          <w:tcPr>
            <w:tcW w:w="19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AF007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清除硬覆盖、</w:t>
            </w:r>
            <w:r>
              <w:rPr>
                <w:rFonts w:hint="eastAsia" w:ascii="宋体" w:hAnsi="宋体" w:eastAsia="宋体" w:cs="宋体"/>
                <w:i w:val="0"/>
                <w:iCs w:val="0"/>
                <w:color w:val="auto"/>
                <w:kern w:val="0"/>
                <w:sz w:val="21"/>
                <w:szCs w:val="21"/>
                <w:highlight w:val="none"/>
                <w:u w:val="none"/>
                <w:lang w:val="en-US" w:eastAsia="zh-CN" w:bidi="ar"/>
              </w:rPr>
              <w:t>场地平整、覆土植树</w:t>
            </w:r>
            <w:r>
              <w:rPr>
                <w:rFonts w:hint="eastAsia" w:ascii="宋体" w:hAnsi="宋体" w:cs="宋体"/>
                <w:i w:val="0"/>
                <w:iCs w:val="0"/>
                <w:color w:val="auto"/>
                <w:kern w:val="0"/>
                <w:sz w:val="21"/>
                <w:szCs w:val="21"/>
                <w:highlight w:val="none"/>
                <w:u w:val="none"/>
                <w:lang w:val="en-US" w:eastAsia="zh-CN" w:bidi="ar"/>
              </w:rPr>
              <w:t>等</w:t>
            </w:r>
          </w:p>
        </w:tc>
      </w:tr>
      <w:tr w14:paraId="575862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9612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I</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6</w:t>
            </w:r>
          </w:p>
        </w:tc>
        <w:tc>
          <w:tcPr>
            <w:tcW w:w="5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0CAF9D">
            <w:pPr>
              <w:jc w:val="center"/>
              <w:rPr>
                <w:rFonts w:hint="eastAsia" w:ascii="宋体" w:hAnsi="宋体" w:eastAsia="宋体" w:cs="宋体"/>
                <w:i w:val="0"/>
                <w:iCs w:val="0"/>
                <w:color w:val="auto"/>
                <w:sz w:val="21"/>
                <w:szCs w:val="21"/>
                <w:highlight w:val="none"/>
                <w:u w:val="none"/>
              </w:rPr>
            </w:pPr>
          </w:p>
        </w:tc>
        <w:tc>
          <w:tcPr>
            <w:tcW w:w="61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D9C7F">
            <w:pPr>
              <w:jc w:val="center"/>
              <w:rPr>
                <w:rFonts w:hint="default" w:ascii="Times New Roman" w:hAnsi="Times New Roman" w:eastAsia="宋体" w:cs="Times New Roman"/>
                <w:i w:val="0"/>
                <w:iCs w:val="0"/>
                <w:color w:val="auto"/>
                <w:sz w:val="21"/>
                <w:szCs w:val="21"/>
                <w:highlight w:val="none"/>
                <w:u w:val="none"/>
              </w:rPr>
            </w:pP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A336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表土堆场</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27BD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0.2223 </w:t>
            </w:r>
          </w:p>
        </w:tc>
        <w:tc>
          <w:tcPr>
            <w:tcW w:w="19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CD707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平整、覆土植树、撒播草籽</w:t>
            </w:r>
          </w:p>
        </w:tc>
      </w:tr>
      <w:tr w14:paraId="636F7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2" w:hRule="atLeast"/>
        </w:trPr>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D623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Ⅱ</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74D25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一般防治区</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8A540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77.3348</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c>
          <w:tcPr>
            <w:tcW w:w="9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2FC75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其他区域</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F5FD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77.3348</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c>
          <w:tcPr>
            <w:tcW w:w="19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FD5B1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地质环境影响较轻</w:t>
            </w:r>
          </w:p>
        </w:tc>
      </w:tr>
      <w:tr w14:paraId="780F00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0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E10E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合计</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EC7F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81.4093</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C569A">
            <w:pPr>
              <w:jc w:val="center"/>
              <w:rPr>
                <w:rFonts w:hint="default" w:ascii="Times New Roman" w:hAnsi="Times New Roman" w:eastAsia="宋体" w:cs="Times New Roman"/>
                <w:i w:val="0"/>
                <w:iCs w:val="0"/>
                <w:color w:val="auto"/>
                <w:sz w:val="21"/>
                <w:szCs w:val="21"/>
                <w:highlight w:val="none"/>
                <w:u w:val="none"/>
              </w:rPr>
            </w:pP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8151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81.4093</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c>
          <w:tcPr>
            <w:tcW w:w="1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7AC84">
            <w:pPr>
              <w:jc w:val="center"/>
              <w:rPr>
                <w:rFonts w:hint="default" w:ascii="Times New Roman" w:hAnsi="Times New Roman" w:eastAsia="宋体" w:cs="Times New Roman"/>
                <w:i w:val="0"/>
                <w:iCs w:val="0"/>
                <w:color w:val="auto"/>
                <w:sz w:val="21"/>
                <w:szCs w:val="21"/>
                <w:highlight w:val="none"/>
                <w:u w:val="none"/>
              </w:rPr>
            </w:pPr>
          </w:p>
        </w:tc>
      </w:tr>
    </w:tbl>
    <w:p w14:paraId="13747EAD">
      <w:pPr>
        <w:rPr>
          <w:rFonts w:hint="default"/>
          <w:color w:val="auto"/>
          <w:highlight w:val="none"/>
        </w:rPr>
      </w:pPr>
    </w:p>
    <w:p w14:paraId="0A77711D">
      <w:pPr>
        <w:pStyle w:val="5"/>
        <w:rPr>
          <w:rFonts w:hint="default" w:ascii="Times New Roman" w:hAnsi="Times New Roman" w:eastAsia="黑体" w:cs="Times New Roman"/>
          <w:b w:val="0"/>
          <w:bCs/>
          <w:color w:val="auto"/>
          <w:szCs w:val="28"/>
          <w:highlight w:val="none"/>
        </w:rPr>
      </w:pPr>
      <w:r>
        <w:rPr>
          <w:rFonts w:hint="default" w:ascii="Times New Roman" w:hAnsi="Times New Roman" w:eastAsia="黑体" w:cs="Times New Roman"/>
          <w:b w:val="0"/>
          <w:bCs/>
          <w:color w:val="auto"/>
          <w:szCs w:val="28"/>
          <w:highlight w:val="none"/>
        </w:rPr>
        <w:t>（二）土地复垦区与复垦责任范围</w:t>
      </w:r>
      <w:bookmarkEnd w:id="152"/>
    </w:p>
    <w:p w14:paraId="5EBBE233">
      <w:pPr>
        <w:autoSpaceDE w:val="0"/>
        <w:autoSpaceDN w:val="0"/>
        <w:adjustRightInd w:val="0"/>
        <w:spacing w:line="360" w:lineRule="auto"/>
        <w:ind w:firstLine="480" w:firstLineChars="200"/>
        <w:jc w:val="both"/>
        <w:rPr>
          <w:rFonts w:hint="default" w:ascii="Times New Roman" w:hAnsi="Times New Roman" w:cs="Times New Roman"/>
          <w:b w:val="0"/>
          <w:bCs/>
          <w:color w:val="auto"/>
          <w:sz w:val="24"/>
          <w:highlight w:val="none"/>
        </w:rPr>
      </w:pPr>
      <w:bookmarkStart w:id="153" w:name="_Hlk26810979"/>
      <w:r>
        <w:rPr>
          <w:rFonts w:hint="default" w:ascii="Times New Roman" w:hAnsi="Times New Roman" w:cs="Times New Roman"/>
          <w:b w:val="0"/>
          <w:bCs/>
          <w:color w:val="auto"/>
          <w:sz w:val="24"/>
          <w:highlight w:val="none"/>
        </w:rPr>
        <w:t>复垦区的确定：</w:t>
      </w:r>
      <w:bookmarkEnd w:id="153"/>
      <w:r>
        <w:rPr>
          <w:rFonts w:hint="default" w:ascii="Times New Roman" w:hAnsi="Times New Roman" w:cs="Times New Roman"/>
          <w:b w:val="0"/>
          <w:bCs/>
          <w:color w:val="auto"/>
          <w:sz w:val="24"/>
          <w:highlight w:val="none"/>
        </w:rPr>
        <w:t>总损毁土地面积</w:t>
      </w:r>
      <w:r>
        <w:rPr>
          <w:rFonts w:hint="eastAsia" w:cs="Times New Roman"/>
          <w:b w:val="0"/>
          <w:bCs/>
          <w:color w:val="auto"/>
          <w:sz w:val="24"/>
          <w:highlight w:val="none"/>
          <w:lang w:val="en-US" w:eastAsia="zh-CN"/>
        </w:rPr>
        <w:t>4.0745</w:t>
      </w:r>
      <w:r>
        <w:rPr>
          <w:rFonts w:hint="default" w:ascii="Times New Roman" w:hAnsi="Times New Roman" w:cs="Times New Roman"/>
          <w:b w:val="0"/>
          <w:bCs/>
          <w:color w:val="auto"/>
          <w:sz w:val="24"/>
          <w:highlight w:val="none"/>
        </w:rPr>
        <w:t>h</w:t>
      </w:r>
      <w:r>
        <w:rPr>
          <w:rFonts w:hint="default" w:ascii="Times New Roman" w:hAnsi="Times New Roman" w:cs="Times New Roman"/>
          <w:b w:val="0"/>
          <w:bCs/>
          <w:color w:val="auto"/>
          <w:sz w:val="24"/>
          <w:highlight w:val="none"/>
          <w:lang w:eastAsia="zh-CN"/>
        </w:rPr>
        <w:t>m</w:t>
      </w:r>
      <w:r>
        <w:rPr>
          <w:rFonts w:hint="default" w:ascii="Times New Roman" w:hAnsi="Times New Roman" w:cs="Times New Roman"/>
          <w:b w:val="0"/>
          <w:bCs/>
          <w:color w:val="auto"/>
          <w:sz w:val="24"/>
          <w:highlight w:val="none"/>
          <w:vertAlign w:val="superscript"/>
          <w:lang w:eastAsia="zh-CN"/>
        </w:rPr>
        <w:t>2</w:t>
      </w:r>
      <w:r>
        <w:rPr>
          <w:rFonts w:hint="default" w:ascii="Times New Roman" w:hAnsi="Times New Roman" w:cs="Times New Roman"/>
          <w:b w:val="0"/>
          <w:bCs/>
          <w:color w:val="auto"/>
          <w:sz w:val="24"/>
          <w:highlight w:val="none"/>
        </w:rPr>
        <w:t>，</w:t>
      </w:r>
      <w:r>
        <w:rPr>
          <w:rFonts w:hint="default" w:ascii="Times New Roman" w:hAnsi="Times New Roman" w:cs="Times New Roman"/>
          <w:color w:val="auto"/>
          <w:sz w:val="24"/>
          <w:highlight w:val="none"/>
        </w:rPr>
        <w:t>损毁方式为挖损、压占，其中挖损损毁</w:t>
      </w:r>
      <w:r>
        <w:rPr>
          <w:rFonts w:hint="eastAsia" w:cs="Times New Roman"/>
          <w:color w:val="auto"/>
          <w:sz w:val="24"/>
          <w:highlight w:val="none"/>
          <w:lang w:val="en-US" w:eastAsia="zh-CN"/>
        </w:rPr>
        <w:t>2.5400</w:t>
      </w:r>
      <w:r>
        <w:rPr>
          <w:rFonts w:hint="default" w:ascii="Times New Roman" w:hAnsi="Times New Roman" w:cs="Times New Roman"/>
          <w:color w:val="auto"/>
          <w:sz w:val="24"/>
          <w:highlight w:val="none"/>
        </w:rPr>
        <w:t>h</w:t>
      </w:r>
      <w:r>
        <w:rPr>
          <w:rFonts w:hint="default" w:ascii="Times New Roman" w:hAnsi="Times New Roman" w:cs="Times New Roman"/>
          <w:color w:val="auto"/>
          <w:sz w:val="24"/>
          <w:highlight w:val="none"/>
          <w:lang w:eastAsia="zh-CN"/>
        </w:rPr>
        <w:t>m</w:t>
      </w:r>
      <w:r>
        <w:rPr>
          <w:rFonts w:hint="default" w:ascii="Times New Roman" w:hAnsi="Times New Roman" w:cs="Times New Roman"/>
          <w:color w:val="auto"/>
          <w:sz w:val="24"/>
          <w:highlight w:val="none"/>
          <w:vertAlign w:val="superscript"/>
          <w:lang w:eastAsia="zh-CN"/>
        </w:rPr>
        <w:t>2</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压占损毁</w:t>
      </w:r>
      <w:r>
        <w:rPr>
          <w:rFonts w:hint="eastAsia" w:cs="Times New Roman"/>
          <w:color w:val="auto"/>
          <w:sz w:val="24"/>
          <w:highlight w:val="none"/>
          <w:lang w:val="en-US" w:eastAsia="zh-CN"/>
        </w:rPr>
        <w:t>1.5345</w:t>
      </w:r>
      <w:r>
        <w:rPr>
          <w:rFonts w:hint="default" w:ascii="Times New Roman" w:hAnsi="Times New Roman" w:cs="Times New Roman"/>
          <w:color w:val="auto"/>
          <w:sz w:val="24"/>
          <w:highlight w:val="none"/>
        </w:rPr>
        <w:t>h</w:t>
      </w:r>
      <w:r>
        <w:rPr>
          <w:rFonts w:hint="default" w:ascii="Times New Roman" w:hAnsi="Times New Roman" w:cs="Times New Roman"/>
          <w:color w:val="auto"/>
          <w:sz w:val="24"/>
          <w:highlight w:val="none"/>
          <w:lang w:eastAsia="zh-CN"/>
        </w:rPr>
        <w:t>m</w:t>
      </w:r>
      <w:r>
        <w:rPr>
          <w:rFonts w:hint="default" w:ascii="Times New Roman" w:hAnsi="Times New Roman" w:cs="Times New Roman"/>
          <w:color w:val="auto"/>
          <w:sz w:val="24"/>
          <w:highlight w:val="none"/>
          <w:vertAlign w:val="superscript"/>
          <w:lang w:eastAsia="zh-CN"/>
        </w:rPr>
        <w:t>2</w:t>
      </w:r>
      <w:r>
        <w:rPr>
          <w:rFonts w:hint="default" w:ascii="Times New Roman" w:hAnsi="Times New Roman" w:cs="Times New Roman"/>
          <w:color w:val="auto"/>
          <w:sz w:val="24"/>
          <w:highlight w:val="none"/>
        </w:rPr>
        <w:t>；损毁土地类型为乔木林地</w:t>
      </w:r>
      <w:r>
        <w:rPr>
          <w:rFonts w:hint="eastAsia" w:cs="Times New Roman"/>
          <w:color w:val="auto"/>
          <w:sz w:val="24"/>
          <w:highlight w:val="none"/>
          <w:lang w:val="en-US" w:eastAsia="zh-CN"/>
        </w:rPr>
        <w:t>0.1810</w:t>
      </w:r>
      <w:r>
        <w:rPr>
          <w:rFonts w:hint="default" w:ascii="Times New Roman" w:hAnsi="Times New Roman" w:cs="Times New Roman"/>
          <w:color w:val="auto"/>
          <w:sz w:val="24"/>
          <w:highlight w:val="none"/>
        </w:rPr>
        <w:t>h</w:t>
      </w:r>
      <w:r>
        <w:rPr>
          <w:rFonts w:hint="default" w:ascii="Times New Roman" w:hAnsi="Times New Roman" w:cs="Times New Roman"/>
          <w:color w:val="auto"/>
          <w:sz w:val="24"/>
          <w:highlight w:val="none"/>
          <w:lang w:eastAsia="zh-CN"/>
        </w:rPr>
        <w:t>m</w:t>
      </w:r>
      <w:r>
        <w:rPr>
          <w:rFonts w:hint="default" w:ascii="Times New Roman" w:hAnsi="Times New Roman" w:cs="Times New Roman"/>
          <w:color w:val="auto"/>
          <w:sz w:val="24"/>
          <w:highlight w:val="none"/>
          <w:vertAlign w:val="superscript"/>
          <w:lang w:eastAsia="zh-CN"/>
        </w:rPr>
        <w:t>2</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采矿用地</w:t>
      </w:r>
      <w:r>
        <w:rPr>
          <w:rFonts w:hint="eastAsia" w:cs="Times New Roman"/>
          <w:color w:val="auto"/>
          <w:sz w:val="24"/>
          <w:highlight w:val="none"/>
          <w:lang w:val="en-US" w:eastAsia="zh-CN"/>
        </w:rPr>
        <w:t>3.8935</w:t>
      </w:r>
      <w:r>
        <w:rPr>
          <w:rFonts w:hint="default" w:ascii="Times New Roman" w:hAnsi="Times New Roman" w:cs="Times New Roman"/>
          <w:color w:val="auto"/>
          <w:sz w:val="24"/>
          <w:highlight w:val="none"/>
        </w:rPr>
        <w:t>h</w:t>
      </w:r>
      <w:r>
        <w:rPr>
          <w:rFonts w:hint="default" w:ascii="Times New Roman" w:hAnsi="Times New Roman" w:cs="Times New Roman"/>
          <w:color w:val="auto"/>
          <w:sz w:val="24"/>
          <w:highlight w:val="none"/>
          <w:lang w:eastAsia="zh-CN"/>
        </w:rPr>
        <w:t>m</w:t>
      </w:r>
      <w:r>
        <w:rPr>
          <w:rFonts w:hint="default" w:ascii="Times New Roman" w:hAnsi="Times New Roman" w:cs="Times New Roman"/>
          <w:color w:val="auto"/>
          <w:sz w:val="24"/>
          <w:highlight w:val="none"/>
          <w:vertAlign w:val="superscript"/>
          <w:lang w:eastAsia="zh-CN"/>
        </w:rPr>
        <w:t>2</w:t>
      </w:r>
      <w:r>
        <w:rPr>
          <w:rFonts w:hint="default" w:ascii="Times New Roman" w:hAnsi="Times New Roman" w:cs="Times New Roman"/>
          <w:b w:val="0"/>
          <w:bCs/>
          <w:color w:val="auto"/>
          <w:sz w:val="24"/>
          <w:highlight w:val="none"/>
        </w:rPr>
        <w:t>。</w:t>
      </w:r>
    </w:p>
    <w:p w14:paraId="0C8D5317">
      <w:pPr>
        <w:autoSpaceDE w:val="0"/>
        <w:autoSpaceDN w:val="0"/>
        <w:adjustRightInd w:val="0"/>
        <w:spacing w:line="360" w:lineRule="auto"/>
        <w:ind w:firstLine="480" w:firstLineChars="200"/>
        <w:jc w:val="both"/>
        <w:rPr>
          <w:rFonts w:hint="default" w:ascii="Times New Roman" w:hAnsi="Times New Roman" w:cs="Times New Roman"/>
          <w:b w:val="0"/>
          <w:bCs/>
          <w:color w:val="auto"/>
          <w:sz w:val="24"/>
          <w:highlight w:val="none"/>
        </w:rPr>
      </w:pPr>
      <w:r>
        <w:rPr>
          <w:rFonts w:hint="default" w:ascii="Times New Roman" w:hAnsi="Times New Roman" w:cs="Times New Roman"/>
          <w:b w:val="0"/>
          <w:bCs/>
          <w:color w:val="auto"/>
          <w:sz w:val="24"/>
          <w:highlight w:val="none"/>
        </w:rPr>
        <w:t>复垦责任范围的确定：本项目无永久性建设用地，</w:t>
      </w:r>
      <w:r>
        <w:rPr>
          <w:rFonts w:hint="eastAsia" w:cs="Times New Roman"/>
          <w:b w:val="0"/>
          <w:bCs/>
          <w:color w:val="auto"/>
          <w:sz w:val="24"/>
          <w:highlight w:val="none"/>
          <w:lang w:val="en-US" w:eastAsia="zh-CN"/>
        </w:rPr>
        <w:t>因此，</w:t>
      </w:r>
      <w:r>
        <w:rPr>
          <w:rFonts w:hint="default" w:ascii="Times New Roman" w:hAnsi="Times New Roman" w:cs="Times New Roman"/>
          <w:b w:val="0"/>
          <w:bCs/>
          <w:color w:val="auto"/>
          <w:sz w:val="24"/>
          <w:highlight w:val="none"/>
        </w:rPr>
        <w:t>复垦责任范围与复垦区面积相同，确定复垦责任范围面积</w:t>
      </w:r>
      <w:r>
        <w:rPr>
          <w:rFonts w:hint="eastAsia" w:cs="Times New Roman"/>
          <w:b w:val="0"/>
          <w:bCs/>
          <w:color w:val="auto"/>
          <w:sz w:val="24"/>
          <w:highlight w:val="none"/>
          <w:lang w:val="en-US" w:eastAsia="zh-CN"/>
        </w:rPr>
        <w:t>4.0745</w:t>
      </w:r>
      <w:r>
        <w:rPr>
          <w:rFonts w:hint="default" w:ascii="Times New Roman" w:hAnsi="Times New Roman" w:cs="Times New Roman"/>
          <w:b w:val="0"/>
          <w:bCs/>
          <w:color w:val="auto"/>
          <w:sz w:val="24"/>
          <w:highlight w:val="none"/>
        </w:rPr>
        <w:t>h</w:t>
      </w:r>
      <w:r>
        <w:rPr>
          <w:rFonts w:hint="default" w:ascii="Times New Roman" w:hAnsi="Times New Roman" w:cs="Times New Roman"/>
          <w:b w:val="0"/>
          <w:bCs/>
          <w:color w:val="auto"/>
          <w:sz w:val="24"/>
          <w:highlight w:val="none"/>
          <w:lang w:eastAsia="zh-CN"/>
        </w:rPr>
        <w:t>m</w:t>
      </w:r>
      <w:r>
        <w:rPr>
          <w:rFonts w:hint="default" w:ascii="Times New Roman" w:hAnsi="Times New Roman" w:cs="Times New Roman"/>
          <w:b w:val="0"/>
          <w:bCs/>
          <w:color w:val="auto"/>
          <w:sz w:val="24"/>
          <w:highlight w:val="none"/>
          <w:vertAlign w:val="superscript"/>
          <w:lang w:eastAsia="zh-CN"/>
        </w:rPr>
        <w:t>2</w:t>
      </w:r>
      <w:r>
        <w:rPr>
          <w:rFonts w:hint="default" w:ascii="Times New Roman" w:hAnsi="Times New Roman" w:cs="Times New Roman"/>
          <w:b w:val="0"/>
          <w:bCs/>
          <w:color w:val="auto"/>
          <w:sz w:val="24"/>
          <w:highlight w:val="none"/>
        </w:rPr>
        <w:t>。</w:t>
      </w:r>
    </w:p>
    <w:p w14:paraId="5833CDAE">
      <w:pPr>
        <w:pStyle w:val="9"/>
        <w:spacing w:line="360" w:lineRule="auto"/>
        <w:ind w:firstLine="480"/>
        <w:rPr>
          <w:rFonts w:hint="default" w:ascii="Times New Roman" w:hAnsi="Times New Roman" w:cs="Times New Roman"/>
          <w:b w:val="0"/>
          <w:bCs/>
          <w:color w:val="auto"/>
          <w:highlight w:val="none"/>
        </w:rPr>
      </w:pPr>
      <w:r>
        <w:rPr>
          <w:rFonts w:hint="default" w:ascii="Times New Roman" w:hAnsi="Times New Roman" w:cs="Times New Roman"/>
          <w:b w:val="0"/>
          <w:bCs/>
          <w:color w:val="auto"/>
          <w:highlight w:val="none"/>
        </w:rPr>
        <w:t>复垦区与复垦责任范围详见表3-1</w:t>
      </w:r>
      <w:r>
        <w:rPr>
          <w:rFonts w:hint="eastAsia" w:cs="Times New Roman"/>
          <w:b w:val="0"/>
          <w:bCs/>
          <w:color w:val="auto"/>
          <w:highlight w:val="none"/>
          <w:lang w:val="en-US" w:eastAsia="zh-CN"/>
        </w:rPr>
        <w:t>8</w:t>
      </w:r>
      <w:r>
        <w:rPr>
          <w:rFonts w:hint="default" w:ascii="Times New Roman" w:hAnsi="Times New Roman" w:cs="Times New Roman"/>
          <w:b w:val="0"/>
          <w:bCs/>
          <w:color w:val="auto"/>
          <w:highlight w:val="none"/>
        </w:rPr>
        <w:t>。</w:t>
      </w:r>
    </w:p>
    <w:p w14:paraId="24B6D378">
      <w:pPr>
        <w:pStyle w:val="9"/>
        <w:keepNext w:val="0"/>
        <w:keepLines w:val="0"/>
        <w:pageBreakBefore w:val="0"/>
        <w:widowControl/>
        <w:kinsoku/>
        <w:wordWrap/>
        <w:overflowPunct/>
        <w:topLinePunct w:val="0"/>
        <w:autoSpaceDE/>
        <w:autoSpaceDN/>
        <w:bidi w:val="0"/>
        <w:adjustRightInd w:val="0"/>
        <w:snapToGrid/>
        <w:spacing w:line="240" w:lineRule="auto"/>
        <w:ind w:firstLine="630" w:firstLineChars="300"/>
        <w:jc w:val="center"/>
        <w:textAlignment w:val="baseline"/>
        <w:rPr>
          <w:rFonts w:hint="default" w:ascii="Times New Roman" w:hAnsi="Times New Roman" w:eastAsia="黑体" w:cs="Times New Roman"/>
          <w:b w:val="0"/>
          <w:bCs/>
          <w:color w:val="auto"/>
          <w:sz w:val="21"/>
          <w:szCs w:val="21"/>
          <w:highlight w:val="none"/>
        </w:rPr>
      </w:pPr>
      <w:r>
        <w:rPr>
          <w:rFonts w:hint="default" w:ascii="Times New Roman" w:hAnsi="Times New Roman" w:eastAsia="黑体" w:cs="Times New Roman"/>
          <w:b w:val="0"/>
          <w:bCs/>
          <w:snapToGrid w:val="0"/>
          <w:color w:val="auto"/>
          <w:sz w:val="21"/>
          <w:szCs w:val="21"/>
          <w:highlight w:val="none"/>
        </w:rPr>
        <w:t>表3-1</w:t>
      </w:r>
      <w:r>
        <w:rPr>
          <w:rFonts w:hint="eastAsia" w:eastAsia="黑体" w:cs="Times New Roman"/>
          <w:b w:val="0"/>
          <w:bCs/>
          <w:snapToGrid w:val="0"/>
          <w:color w:val="auto"/>
          <w:sz w:val="21"/>
          <w:szCs w:val="21"/>
          <w:highlight w:val="none"/>
          <w:lang w:val="en-US" w:eastAsia="zh-CN"/>
        </w:rPr>
        <w:t>8</w:t>
      </w:r>
      <w:r>
        <w:rPr>
          <w:rFonts w:hint="default" w:ascii="Times New Roman" w:hAnsi="Times New Roman" w:eastAsia="黑体" w:cs="Times New Roman"/>
          <w:b w:val="0"/>
          <w:bCs/>
          <w:snapToGrid w:val="0"/>
          <w:color w:val="auto"/>
          <w:sz w:val="21"/>
          <w:szCs w:val="21"/>
          <w:highlight w:val="none"/>
        </w:rPr>
        <w:t xml:space="preserve">   </w:t>
      </w:r>
      <w:r>
        <w:rPr>
          <w:rFonts w:hint="eastAsia" w:eastAsia="黑体" w:cs="Times New Roman"/>
          <w:b w:val="0"/>
          <w:bCs/>
          <w:snapToGrid w:val="0"/>
          <w:color w:val="auto"/>
          <w:sz w:val="21"/>
          <w:szCs w:val="21"/>
          <w:highlight w:val="none"/>
          <w:lang w:eastAsia="zh-CN"/>
        </w:rPr>
        <w:t>北大湖采石场</w:t>
      </w:r>
      <w:r>
        <w:rPr>
          <w:rFonts w:hint="default" w:ascii="Times New Roman" w:hAnsi="Times New Roman" w:eastAsia="黑体" w:cs="Times New Roman"/>
          <w:b w:val="0"/>
          <w:bCs/>
          <w:snapToGrid w:val="0"/>
          <w:color w:val="auto"/>
          <w:sz w:val="21"/>
          <w:szCs w:val="21"/>
          <w:highlight w:val="none"/>
        </w:rPr>
        <w:t>复垦区与复垦责任范围状况表</w:t>
      </w:r>
    </w:p>
    <w:tbl>
      <w:tblPr>
        <w:tblStyle w:val="34"/>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77"/>
        <w:gridCol w:w="2033"/>
        <w:gridCol w:w="842"/>
        <w:gridCol w:w="1750"/>
        <w:gridCol w:w="1394"/>
        <w:gridCol w:w="1823"/>
      </w:tblGrid>
      <w:tr w14:paraId="2DFBD1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3111"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D600C8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bookmarkStart w:id="154" w:name="_Toc485629702"/>
            <w:r>
              <w:rPr>
                <w:rFonts w:hint="default" w:ascii="Times New Roman" w:hAnsi="Times New Roman" w:eastAsia="宋体" w:cs="Times New Roman"/>
                <w:i w:val="0"/>
                <w:iCs w:val="0"/>
                <w:color w:val="auto"/>
                <w:kern w:val="0"/>
                <w:sz w:val="21"/>
                <w:szCs w:val="21"/>
                <w:u w:val="none"/>
                <w:lang w:val="en-US" w:eastAsia="zh-CN" w:bidi="ar"/>
              </w:rPr>
              <w:t>土地利用现状分类</w:t>
            </w:r>
          </w:p>
        </w:tc>
        <w:tc>
          <w:tcPr>
            <w:tcW w:w="18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3D653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面积hm</w:t>
            </w:r>
            <w:r>
              <w:rPr>
                <w:rFonts w:hint="default" w:ascii="Times New Roman" w:hAnsi="Times New Roman" w:eastAsia="宋体" w:cs="Times New Roman"/>
                <w:i w:val="0"/>
                <w:iCs w:val="0"/>
                <w:color w:val="auto"/>
                <w:kern w:val="0"/>
                <w:sz w:val="21"/>
                <w:szCs w:val="21"/>
                <w:u w:val="none"/>
                <w:vertAlign w:val="superscript"/>
                <w:lang w:val="en-US" w:eastAsia="zh-CN" w:bidi="ar"/>
              </w:rPr>
              <w:t>2</w:t>
            </w:r>
          </w:p>
        </w:tc>
      </w:tr>
      <w:tr w14:paraId="6ADA4A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159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30826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一级地类</w:t>
            </w:r>
          </w:p>
        </w:tc>
        <w:tc>
          <w:tcPr>
            <w:tcW w:w="152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4CCD9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二级地类</w:t>
            </w:r>
          </w:p>
        </w:tc>
        <w:tc>
          <w:tcPr>
            <w:tcW w:w="8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CD4A7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复垦区</w:t>
            </w:r>
          </w:p>
        </w:tc>
        <w:tc>
          <w:tcPr>
            <w:tcW w:w="10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9BC1B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复垦责任范围</w:t>
            </w:r>
          </w:p>
        </w:tc>
      </w:tr>
      <w:tr w14:paraId="31D9F5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397" w:type="pct"/>
            <w:tcBorders>
              <w:top w:val="single" w:color="000000" w:sz="4" w:space="0"/>
              <w:left w:val="single" w:color="000000" w:sz="4" w:space="0"/>
              <w:bottom w:val="nil"/>
              <w:right w:val="single" w:color="000000" w:sz="4" w:space="0"/>
            </w:tcBorders>
            <w:shd w:val="clear" w:color="auto" w:fill="auto"/>
            <w:noWrap/>
            <w:vAlign w:val="center"/>
          </w:tcPr>
          <w:p w14:paraId="57D6F98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03</w:t>
            </w:r>
          </w:p>
        </w:tc>
        <w:tc>
          <w:tcPr>
            <w:tcW w:w="1193" w:type="pct"/>
            <w:tcBorders>
              <w:top w:val="single" w:color="000000" w:sz="4" w:space="0"/>
              <w:left w:val="single" w:color="000000" w:sz="4" w:space="0"/>
              <w:bottom w:val="nil"/>
              <w:right w:val="single" w:color="000000" w:sz="4" w:space="0"/>
            </w:tcBorders>
            <w:shd w:val="clear" w:color="auto" w:fill="auto"/>
            <w:vAlign w:val="center"/>
          </w:tcPr>
          <w:p w14:paraId="60E7C5B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林地</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ECB79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0301</w:t>
            </w:r>
          </w:p>
        </w:tc>
        <w:tc>
          <w:tcPr>
            <w:tcW w:w="10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0A038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乔木林地</w:t>
            </w:r>
          </w:p>
        </w:tc>
        <w:tc>
          <w:tcPr>
            <w:tcW w:w="8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57ED4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0.1810 </w:t>
            </w:r>
          </w:p>
        </w:tc>
        <w:tc>
          <w:tcPr>
            <w:tcW w:w="10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94458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0.1810 </w:t>
            </w:r>
          </w:p>
        </w:tc>
      </w:tr>
      <w:tr w14:paraId="1299C2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6B25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06</w:t>
            </w:r>
          </w:p>
        </w:tc>
        <w:tc>
          <w:tcPr>
            <w:tcW w:w="11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9A58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工矿仓储用地</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669FB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0602</w:t>
            </w:r>
          </w:p>
        </w:tc>
        <w:tc>
          <w:tcPr>
            <w:tcW w:w="10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046D7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采矿用地</w:t>
            </w:r>
          </w:p>
        </w:tc>
        <w:tc>
          <w:tcPr>
            <w:tcW w:w="8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3DE9D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3.8935 </w:t>
            </w:r>
          </w:p>
        </w:tc>
        <w:tc>
          <w:tcPr>
            <w:tcW w:w="10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BC483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3.8935 </w:t>
            </w:r>
          </w:p>
        </w:tc>
      </w:tr>
      <w:tr w14:paraId="4E0B5C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3111"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939FD8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合计</w:t>
            </w:r>
          </w:p>
        </w:tc>
        <w:tc>
          <w:tcPr>
            <w:tcW w:w="818" w:type="pct"/>
            <w:tcBorders>
              <w:top w:val="single" w:color="000000" w:sz="4" w:space="0"/>
              <w:left w:val="single" w:color="000000" w:sz="4" w:space="0"/>
              <w:bottom w:val="single" w:color="000000" w:sz="4" w:space="0"/>
              <w:right w:val="single" w:color="000000" w:sz="4" w:space="0"/>
            </w:tcBorders>
            <w:shd w:val="clear" w:color="auto" w:fill="auto"/>
            <w:vAlign w:val="top"/>
          </w:tcPr>
          <w:p w14:paraId="750A20AF">
            <w:pPr>
              <w:keepNext w:val="0"/>
              <w:keepLines w:val="0"/>
              <w:widowControl/>
              <w:suppressLineNumbers w:val="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4.0745 </w:t>
            </w:r>
          </w:p>
        </w:tc>
        <w:tc>
          <w:tcPr>
            <w:tcW w:w="1070" w:type="pct"/>
            <w:tcBorders>
              <w:top w:val="single" w:color="000000" w:sz="4" w:space="0"/>
              <w:left w:val="single" w:color="000000" w:sz="4" w:space="0"/>
              <w:bottom w:val="single" w:color="000000" w:sz="4" w:space="0"/>
              <w:right w:val="single" w:color="000000" w:sz="4" w:space="0"/>
            </w:tcBorders>
            <w:shd w:val="clear" w:color="auto" w:fill="auto"/>
            <w:vAlign w:val="top"/>
          </w:tcPr>
          <w:p w14:paraId="7837C41C">
            <w:pPr>
              <w:keepNext w:val="0"/>
              <w:keepLines w:val="0"/>
              <w:widowControl/>
              <w:suppressLineNumbers w:val="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4.0745 </w:t>
            </w:r>
          </w:p>
        </w:tc>
      </w:tr>
    </w:tbl>
    <w:p w14:paraId="221F0682">
      <w:pPr>
        <w:pStyle w:val="5"/>
        <w:keepNext w:val="0"/>
        <w:keepLines/>
        <w:pageBreakBefore w:val="0"/>
        <w:widowControl/>
        <w:kinsoku/>
        <w:wordWrap/>
        <w:overflowPunct/>
        <w:topLinePunct w:val="0"/>
        <w:autoSpaceDE/>
        <w:autoSpaceDN/>
        <w:bidi w:val="0"/>
        <w:adjustRightInd/>
        <w:snapToGrid/>
        <w:spacing w:line="416" w:lineRule="auto"/>
        <w:textAlignment w:val="auto"/>
        <w:rPr>
          <w:rFonts w:hint="default" w:ascii="Times New Roman" w:hAnsi="Times New Roman" w:eastAsia="黑体" w:cs="Times New Roman"/>
          <w:b w:val="0"/>
          <w:bCs/>
          <w:color w:val="auto"/>
          <w:szCs w:val="28"/>
          <w:highlight w:val="none"/>
        </w:rPr>
      </w:pPr>
      <w:r>
        <w:rPr>
          <w:rFonts w:hint="default" w:ascii="Times New Roman" w:hAnsi="Times New Roman" w:eastAsia="黑体" w:cs="Times New Roman"/>
          <w:b w:val="0"/>
          <w:bCs/>
          <w:color w:val="auto"/>
          <w:szCs w:val="28"/>
          <w:highlight w:val="none"/>
        </w:rPr>
        <w:t>（三）土地类型与权属</w:t>
      </w:r>
      <w:bookmarkEnd w:id="154"/>
    </w:p>
    <w:p w14:paraId="12ACD7B0">
      <w:pPr>
        <w:spacing w:line="360" w:lineRule="auto"/>
        <w:ind w:firstLine="482" w:firstLineChars="200"/>
        <w:jc w:val="both"/>
        <w:rPr>
          <w:rFonts w:hint="default" w:ascii="Times New Roman" w:hAnsi="Times New Roman" w:cs="Times New Roman"/>
          <w:b/>
          <w:bCs w:val="0"/>
          <w:color w:val="auto"/>
          <w:sz w:val="24"/>
          <w:highlight w:val="none"/>
        </w:rPr>
      </w:pPr>
      <w:r>
        <w:rPr>
          <w:rFonts w:hint="default" w:ascii="Times New Roman" w:hAnsi="Times New Roman" w:cs="Times New Roman"/>
          <w:b/>
          <w:bCs w:val="0"/>
          <w:color w:val="auto"/>
          <w:sz w:val="24"/>
          <w:highlight w:val="none"/>
        </w:rPr>
        <w:t>1、土地利用类型</w:t>
      </w:r>
    </w:p>
    <w:p w14:paraId="364B9EF9">
      <w:pPr>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cs="Times New Roman"/>
          <w:b w:val="0"/>
          <w:bCs/>
          <w:color w:val="auto"/>
          <w:sz w:val="24"/>
          <w:szCs w:val="24"/>
          <w:highlight w:val="none"/>
        </w:rPr>
      </w:pPr>
      <w:bookmarkStart w:id="155" w:name="_Toc217806015"/>
      <w:bookmarkStart w:id="156" w:name="_Toc218321583"/>
      <w:bookmarkStart w:id="157" w:name="_Toc29330"/>
      <w:bookmarkStart w:id="158" w:name="_Toc223081723"/>
      <w:r>
        <w:rPr>
          <w:rFonts w:hint="default" w:ascii="Times New Roman" w:hAnsi="Times New Roman" w:cs="Times New Roman"/>
          <w:b w:val="0"/>
          <w:bCs/>
          <w:color w:val="auto"/>
          <w:sz w:val="24"/>
          <w:szCs w:val="24"/>
          <w:highlight w:val="none"/>
          <w:lang w:val="en-US" w:eastAsia="zh-CN"/>
        </w:rPr>
        <w:t>矿山</w:t>
      </w:r>
      <w:r>
        <w:rPr>
          <w:rFonts w:hint="default" w:ascii="Times New Roman" w:hAnsi="Times New Roman" w:cs="Times New Roman"/>
          <w:b w:val="0"/>
          <w:bCs/>
          <w:color w:val="auto"/>
          <w:sz w:val="24"/>
          <w:szCs w:val="24"/>
          <w:highlight w:val="none"/>
        </w:rPr>
        <w:t>复垦</w:t>
      </w:r>
      <w:r>
        <w:rPr>
          <w:rFonts w:hint="default" w:ascii="Times New Roman" w:hAnsi="Times New Roman" w:cs="Times New Roman"/>
          <w:b w:val="0"/>
          <w:bCs/>
          <w:color w:val="auto"/>
          <w:sz w:val="24"/>
          <w:szCs w:val="24"/>
          <w:highlight w:val="none"/>
          <w:lang w:val="en-US" w:eastAsia="zh-CN"/>
        </w:rPr>
        <w:t>区</w:t>
      </w:r>
      <w:r>
        <w:rPr>
          <w:rFonts w:hint="default" w:ascii="Times New Roman" w:hAnsi="Times New Roman" w:cs="Times New Roman"/>
          <w:b w:val="0"/>
          <w:bCs/>
          <w:color w:val="auto"/>
          <w:sz w:val="24"/>
          <w:szCs w:val="24"/>
          <w:highlight w:val="none"/>
        </w:rPr>
        <w:t>面积</w:t>
      </w:r>
      <w:r>
        <w:rPr>
          <w:rFonts w:hint="eastAsia" w:cs="Times New Roman"/>
          <w:b w:val="0"/>
          <w:bCs/>
          <w:color w:val="auto"/>
          <w:sz w:val="24"/>
          <w:szCs w:val="24"/>
          <w:highlight w:val="none"/>
          <w:lang w:val="en-US" w:eastAsia="zh-CN"/>
        </w:rPr>
        <w:t>4.0745</w:t>
      </w:r>
      <w:r>
        <w:rPr>
          <w:rFonts w:hint="default" w:ascii="Times New Roman" w:hAnsi="Times New Roman" w:cs="Times New Roman"/>
          <w:b w:val="0"/>
          <w:bCs/>
          <w:color w:val="auto"/>
          <w:sz w:val="24"/>
          <w:szCs w:val="24"/>
          <w:highlight w:val="none"/>
        </w:rPr>
        <w:t>h</w:t>
      </w:r>
      <w:r>
        <w:rPr>
          <w:rFonts w:hint="default" w:ascii="Times New Roman" w:hAnsi="Times New Roman" w:cs="Times New Roman"/>
          <w:b w:val="0"/>
          <w:bCs/>
          <w:color w:val="auto"/>
          <w:sz w:val="24"/>
          <w:szCs w:val="24"/>
          <w:highlight w:val="none"/>
          <w:lang w:eastAsia="zh-CN"/>
        </w:rPr>
        <w:t>m</w:t>
      </w:r>
      <w:r>
        <w:rPr>
          <w:rFonts w:hint="default" w:ascii="Times New Roman" w:hAnsi="Times New Roman" w:cs="Times New Roman"/>
          <w:b w:val="0"/>
          <w:bCs/>
          <w:color w:val="auto"/>
          <w:sz w:val="24"/>
          <w:szCs w:val="24"/>
          <w:highlight w:val="none"/>
          <w:vertAlign w:val="superscript"/>
          <w:lang w:eastAsia="zh-CN"/>
        </w:rPr>
        <w:t>2</w:t>
      </w:r>
      <w:r>
        <w:rPr>
          <w:rFonts w:hint="default" w:ascii="Times New Roman" w:hAnsi="Times New Roman" w:cs="Times New Roman"/>
          <w:b w:val="0"/>
          <w:bCs/>
          <w:color w:val="auto"/>
          <w:sz w:val="24"/>
          <w:szCs w:val="24"/>
          <w:highlight w:val="none"/>
          <w:lang w:eastAsia="zh-CN"/>
        </w:rPr>
        <w:t>。</w:t>
      </w:r>
      <w:r>
        <w:rPr>
          <w:rFonts w:hint="default" w:ascii="Times New Roman" w:hAnsi="Times New Roman" w:cs="Times New Roman"/>
          <w:b w:val="0"/>
          <w:bCs/>
          <w:color w:val="auto"/>
          <w:sz w:val="24"/>
          <w:szCs w:val="24"/>
          <w:highlight w:val="none"/>
        </w:rPr>
        <w:t>土地类型为</w:t>
      </w:r>
      <w:r>
        <w:rPr>
          <w:rFonts w:hint="default" w:ascii="Times New Roman" w:hAnsi="Times New Roman" w:cs="Times New Roman"/>
          <w:color w:val="auto"/>
          <w:sz w:val="24"/>
          <w:highlight w:val="none"/>
        </w:rPr>
        <w:t>乔木林地</w:t>
      </w:r>
      <w:r>
        <w:rPr>
          <w:rFonts w:hint="eastAsia" w:cs="Times New Roman"/>
          <w:color w:val="auto"/>
          <w:sz w:val="24"/>
          <w:highlight w:val="none"/>
          <w:lang w:val="en-US" w:eastAsia="zh-CN"/>
        </w:rPr>
        <w:t>0.1810</w:t>
      </w:r>
      <w:r>
        <w:rPr>
          <w:rFonts w:hint="default" w:ascii="Times New Roman" w:hAnsi="Times New Roman" w:cs="Times New Roman"/>
          <w:color w:val="auto"/>
          <w:sz w:val="24"/>
          <w:highlight w:val="none"/>
        </w:rPr>
        <w:t>h</w:t>
      </w:r>
      <w:r>
        <w:rPr>
          <w:rFonts w:hint="default" w:ascii="Times New Roman" w:hAnsi="Times New Roman" w:cs="Times New Roman"/>
          <w:color w:val="auto"/>
          <w:sz w:val="24"/>
          <w:highlight w:val="none"/>
          <w:lang w:eastAsia="zh-CN"/>
        </w:rPr>
        <w:t>m</w:t>
      </w:r>
      <w:r>
        <w:rPr>
          <w:rFonts w:hint="default" w:ascii="Times New Roman" w:hAnsi="Times New Roman" w:cs="Times New Roman"/>
          <w:color w:val="auto"/>
          <w:sz w:val="24"/>
          <w:highlight w:val="none"/>
          <w:vertAlign w:val="superscript"/>
          <w:lang w:eastAsia="zh-CN"/>
        </w:rPr>
        <w:t>2</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采矿用地</w:t>
      </w:r>
      <w:r>
        <w:rPr>
          <w:rFonts w:hint="eastAsia" w:cs="Times New Roman"/>
          <w:color w:val="auto"/>
          <w:sz w:val="24"/>
          <w:highlight w:val="none"/>
          <w:lang w:val="en-US" w:eastAsia="zh-CN"/>
        </w:rPr>
        <w:t>3.8935</w:t>
      </w:r>
      <w:r>
        <w:rPr>
          <w:rFonts w:hint="default" w:ascii="Times New Roman" w:hAnsi="Times New Roman" w:cs="Times New Roman"/>
          <w:color w:val="auto"/>
          <w:sz w:val="24"/>
          <w:highlight w:val="none"/>
        </w:rPr>
        <w:t>h</w:t>
      </w:r>
      <w:r>
        <w:rPr>
          <w:rFonts w:hint="default" w:ascii="Times New Roman" w:hAnsi="Times New Roman" w:cs="Times New Roman"/>
          <w:color w:val="auto"/>
          <w:sz w:val="24"/>
          <w:highlight w:val="none"/>
          <w:lang w:eastAsia="zh-CN"/>
        </w:rPr>
        <w:t>m</w:t>
      </w:r>
      <w:r>
        <w:rPr>
          <w:rFonts w:hint="default" w:ascii="Times New Roman" w:hAnsi="Times New Roman" w:cs="Times New Roman"/>
          <w:color w:val="auto"/>
          <w:sz w:val="24"/>
          <w:highlight w:val="none"/>
          <w:vertAlign w:val="superscript"/>
          <w:lang w:eastAsia="zh-CN"/>
        </w:rPr>
        <w:t>2</w:t>
      </w:r>
      <w:r>
        <w:rPr>
          <w:rFonts w:hint="default" w:ascii="Times New Roman" w:hAnsi="Times New Roman" w:cs="Times New Roman"/>
          <w:b w:val="0"/>
          <w:bCs/>
          <w:color w:val="auto"/>
          <w:sz w:val="24"/>
          <w:szCs w:val="24"/>
          <w:highlight w:val="none"/>
        </w:rPr>
        <w:t>。土地利用现状见表3-1</w:t>
      </w:r>
      <w:r>
        <w:rPr>
          <w:rFonts w:hint="eastAsia" w:cs="Times New Roman"/>
          <w:b w:val="0"/>
          <w:bCs/>
          <w:color w:val="auto"/>
          <w:sz w:val="24"/>
          <w:szCs w:val="24"/>
          <w:highlight w:val="none"/>
          <w:lang w:val="en-US" w:eastAsia="zh-CN"/>
        </w:rPr>
        <w:t>9</w:t>
      </w:r>
      <w:r>
        <w:rPr>
          <w:rFonts w:hint="default" w:ascii="Times New Roman" w:hAnsi="Times New Roman" w:cs="Times New Roman"/>
          <w:b w:val="0"/>
          <w:bCs/>
          <w:color w:val="auto"/>
          <w:sz w:val="24"/>
          <w:szCs w:val="24"/>
          <w:highlight w:val="none"/>
        </w:rPr>
        <w:t>。</w:t>
      </w:r>
    </w:p>
    <w:p w14:paraId="20680B76">
      <w:pPr>
        <w:spacing w:line="400" w:lineRule="exact"/>
        <w:jc w:val="center"/>
        <w:rPr>
          <w:rFonts w:hint="default" w:ascii="Times New Roman" w:hAnsi="Times New Roman" w:eastAsia="黑体" w:cs="Times New Roman"/>
          <w:b w:val="0"/>
          <w:bCs/>
          <w:snapToGrid w:val="0"/>
          <w:color w:val="auto"/>
          <w:kern w:val="0"/>
          <w:sz w:val="21"/>
          <w:szCs w:val="21"/>
          <w:highlight w:val="none"/>
        </w:rPr>
      </w:pPr>
      <w:r>
        <w:rPr>
          <w:rFonts w:hint="default" w:ascii="Times New Roman" w:hAnsi="Times New Roman" w:eastAsia="黑体" w:cs="Times New Roman"/>
          <w:b w:val="0"/>
          <w:bCs/>
          <w:snapToGrid w:val="0"/>
          <w:color w:val="auto"/>
          <w:kern w:val="0"/>
          <w:sz w:val="21"/>
          <w:szCs w:val="21"/>
          <w:highlight w:val="none"/>
        </w:rPr>
        <w:t>表3-1</w:t>
      </w:r>
      <w:bookmarkStart w:id="159" w:name="_Hlk18248383"/>
      <w:r>
        <w:rPr>
          <w:rFonts w:hint="eastAsia" w:eastAsia="黑体" w:cs="Times New Roman"/>
          <w:b w:val="0"/>
          <w:bCs/>
          <w:snapToGrid w:val="0"/>
          <w:color w:val="auto"/>
          <w:kern w:val="0"/>
          <w:sz w:val="21"/>
          <w:szCs w:val="21"/>
          <w:highlight w:val="none"/>
          <w:lang w:val="en-US" w:eastAsia="zh-CN"/>
        </w:rPr>
        <w:t>9</w:t>
      </w:r>
      <w:r>
        <w:rPr>
          <w:rFonts w:hint="eastAsia" w:ascii="Times New Roman" w:hAnsi="Times New Roman" w:eastAsia="黑体" w:cs="Times New Roman"/>
          <w:b w:val="0"/>
          <w:bCs/>
          <w:snapToGrid w:val="0"/>
          <w:color w:val="auto"/>
          <w:kern w:val="0"/>
          <w:sz w:val="21"/>
          <w:szCs w:val="21"/>
          <w:highlight w:val="none"/>
          <w:lang w:val="en-US" w:eastAsia="zh-CN"/>
        </w:rPr>
        <w:t xml:space="preserve">  </w:t>
      </w:r>
      <w:r>
        <w:rPr>
          <w:rFonts w:hint="default" w:ascii="Times New Roman" w:hAnsi="Times New Roman" w:eastAsia="黑体" w:cs="Times New Roman"/>
          <w:b w:val="0"/>
          <w:bCs/>
          <w:snapToGrid w:val="0"/>
          <w:color w:val="auto"/>
          <w:kern w:val="0"/>
          <w:sz w:val="21"/>
          <w:szCs w:val="21"/>
          <w:highlight w:val="none"/>
        </w:rPr>
        <w:t>复垦区</w:t>
      </w:r>
      <w:bookmarkEnd w:id="159"/>
      <w:r>
        <w:rPr>
          <w:rFonts w:hint="default" w:ascii="Times New Roman" w:hAnsi="Times New Roman" w:eastAsia="黑体" w:cs="Times New Roman"/>
          <w:b w:val="0"/>
          <w:bCs/>
          <w:snapToGrid w:val="0"/>
          <w:color w:val="auto"/>
          <w:kern w:val="0"/>
          <w:sz w:val="21"/>
          <w:szCs w:val="21"/>
          <w:highlight w:val="none"/>
        </w:rPr>
        <w:t xml:space="preserve">土地利用现状表  </w:t>
      </w:r>
    </w:p>
    <w:bookmarkEnd w:id="155"/>
    <w:bookmarkEnd w:id="156"/>
    <w:bookmarkEnd w:id="157"/>
    <w:bookmarkEnd w:id="158"/>
    <w:tbl>
      <w:tblPr>
        <w:tblStyle w:val="34"/>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75"/>
        <w:gridCol w:w="2033"/>
        <w:gridCol w:w="842"/>
        <w:gridCol w:w="2428"/>
        <w:gridCol w:w="2541"/>
      </w:tblGrid>
      <w:tr w14:paraId="2D1020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3508"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6C213E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土地利用现状分类</w:t>
            </w:r>
          </w:p>
        </w:tc>
        <w:tc>
          <w:tcPr>
            <w:tcW w:w="1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32EC7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面积hm</w:t>
            </w:r>
            <w:r>
              <w:rPr>
                <w:rFonts w:hint="default" w:ascii="Times New Roman" w:hAnsi="Times New Roman" w:eastAsia="宋体" w:cs="Times New Roman"/>
                <w:i w:val="0"/>
                <w:iCs w:val="0"/>
                <w:color w:val="auto"/>
                <w:kern w:val="0"/>
                <w:sz w:val="21"/>
                <w:szCs w:val="21"/>
                <w:u w:val="none"/>
                <w:vertAlign w:val="superscript"/>
                <w:lang w:val="en-US" w:eastAsia="zh-CN" w:bidi="ar"/>
              </w:rPr>
              <w:t>2</w:t>
            </w:r>
          </w:p>
        </w:tc>
      </w:tr>
      <w:tr w14:paraId="139370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158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8445B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一级地类</w:t>
            </w:r>
          </w:p>
        </w:tc>
        <w:tc>
          <w:tcPr>
            <w:tcW w:w="191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9764E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二级地类</w:t>
            </w:r>
          </w:p>
        </w:tc>
        <w:tc>
          <w:tcPr>
            <w:tcW w:w="1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3AACC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复垦区</w:t>
            </w:r>
          </w:p>
        </w:tc>
      </w:tr>
      <w:tr w14:paraId="4548A9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396" w:type="pct"/>
            <w:tcBorders>
              <w:top w:val="single" w:color="000000" w:sz="4" w:space="0"/>
              <w:left w:val="single" w:color="000000" w:sz="4" w:space="0"/>
              <w:bottom w:val="nil"/>
              <w:right w:val="single" w:color="000000" w:sz="4" w:space="0"/>
            </w:tcBorders>
            <w:shd w:val="clear" w:color="auto" w:fill="auto"/>
            <w:noWrap/>
            <w:vAlign w:val="center"/>
          </w:tcPr>
          <w:p w14:paraId="0A8CBFA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03</w:t>
            </w:r>
          </w:p>
        </w:tc>
        <w:tc>
          <w:tcPr>
            <w:tcW w:w="1193" w:type="pct"/>
            <w:tcBorders>
              <w:top w:val="single" w:color="000000" w:sz="4" w:space="0"/>
              <w:left w:val="single" w:color="000000" w:sz="4" w:space="0"/>
              <w:bottom w:val="nil"/>
              <w:right w:val="single" w:color="000000" w:sz="4" w:space="0"/>
            </w:tcBorders>
            <w:shd w:val="clear" w:color="auto" w:fill="auto"/>
            <w:vAlign w:val="center"/>
          </w:tcPr>
          <w:p w14:paraId="3D943DB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林地</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31E28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0301</w:t>
            </w:r>
          </w:p>
        </w:tc>
        <w:tc>
          <w:tcPr>
            <w:tcW w:w="1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F612D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乔木林地</w:t>
            </w:r>
          </w:p>
        </w:tc>
        <w:tc>
          <w:tcPr>
            <w:tcW w:w="1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357FC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0.1810 </w:t>
            </w:r>
          </w:p>
        </w:tc>
      </w:tr>
      <w:tr w14:paraId="2C195C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C590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06</w:t>
            </w:r>
          </w:p>
        </w:tc>
        <w:tc>
          <w:tcPr>
            <w:tcW w:w="11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9002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工矿仓储用地</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F51AA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0602</w:t>
            </w:r>
          </w:p>
        </w:tc>
        <w:tc>
          <w:tcPr>
            <w:tcW w:w="1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1C19A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采矿用地</w:t>
            </w:r>
          </w:p>
        </w:tc>
        <w:tc>
          <w:tcPr>
            <w:tcW w:w="1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8F943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3.8935 </w:t>
            </w:r>
          </w:p>
        </w:tc>
      </w:tr>
      <w:tr w14:paraId="0B0E57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3508"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E8E281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合计</w:t>
            </w:r>
          </w:p>
        </w:tc>
        <w:tc>
          <w:tcPr>
            <w:tcW w:w="1491" w:type="pct"/>
            <w:tcBorders>
              <w:top w:val="single" w:color="000000" w:sz="4" w:space="0"/>
              <w:left w:val="single" w:color="000000" w:sz="4" w:space="0"/>
              <w:bottom w:val="single" w:color="000000" w:sz="4" w:space="0"/>
              <w:right w:val="single" w:color="000000" w:sz="4" w:space="0"/>
            </w:tcBorders>
            <w:shd w:val="clear" w:color="auto" w:fill="auto"/>
            <w:vAlign w:val="top"/>
          </w:tcPr>
          <w:p w14:paraId="63245CBD">
            <w:pPr>
              <w:keepNext w:val="0"/>
              <w:keepLines w:val="0"/>
              <w:widowControl/>
              <w:suppressLineNumbers w:val="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4.0745 </w:t>
            </w:r>
          </w:p>
        </w:tc>
      </w:tr>
    </w:tbl>
    <w:p w14:paraId="01461536">
      <w:pPr>
        <w:spacing w:line="360" w:lineRule="auto"/>
        <w:ind w:firstLine="482" w:firstLineChars="200"/>
        <w:rPr>
          <w:rFonts w:hint="default" w:ascii="Times New Roman" w:hAnsi="Times New Roman" w:cs="Times New Roman"/>
          <w:b/>
          <w:bCs w:val="0"/>
          <w:color w:val="auto"/>
          <w:sz w:val="24"/>
          <w:highlight w:val="none"/>
        </w:rPr>
      </w:pPr>
      <w:r>
        <w:rPr>
          <w:rFonts w:hint="default" w:ascii="Times New Roman" w:hAnsi="Times New Roman" w:cs="Times New Roman"/>
          <w:b/>
          <w:bCs w:val="0"/>
          <w:color w:val="auto"/>
          <w:sz w:val="24"/>
          <w:highlight w:val="none"/>
        </w:rPr>
        <w:t>2、土地权属状况</w:t>
      </w:r>
    </w:p>
    <w:p w14:paraId="4DB0DD19">
      <w:pPr>
        <w:spacing w:line="360" w:lineRule="auto"/>
        <w:ind w:firstLine="480" w:firstLineChars="200"/>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rPr>
        <w:t>复垦区涉及地类</w:t>
      </w:r>
      <w:r>
        <w:rPr>
          <w:rFonts w:hint="eastAsia" w:cs="Times New Roman" w:eastAsiaTheme="minorEastAsia"/>
          <w:color w:val="auto"/>
          <w:sz w:val="24"/>
          <w:highlight w:val="none"/>
          <w:lang w:val="en-US" w:eastAsia="zh-CN"/>
        </w:rPr>
        <w:t>为</w:t>
      </w:r>
      <w:r>
        <w:rPr>
          <w:rFonts w:hint="default" w:ascii="Times New Roman" w:hAnsi="Times New Roman" w:cs="Times New Roman" w:eastAsiaTheme="minorEastAsia"/>
          <w:color w:val="auto"/>
          <w:sz w:val="24"/>
          <w:highlight w:val="none"/>
        </w:rPr>
        <w:t>乔木林地</w:t>
      </w:r>
      <w:r>
        <w:rPr>
          <w:rFonts w:hint="eastAsia" w:cs="Times New Roman" w:eastAsiaTheme="minorEastAsia"/>
          <w:color w:val="auto"/>
          <w:sz w:val="24"/>
          <w:highlight w:val="none"/>
          <w:lang w:val="en-US" w:eastAsia="zh-CN"/>
        </w:rPr>
        <w:t>和</w:t>
      </w:r>
      <w:r>
        <w:rPr>
          <w:rFonts w:hint="default" w:ascii="Times New Roman" w:hAnsi="Times New Roman" w:cs="Times New Roman" w:eastAsiaTheme="minorEastAsia"/>
          <w:color w:val="auto"/>
          <w:sz w:val="24"/>
          <w:highlight w:val="none"/>
        </w:rPr>
        <w:t>采矿用地。通过外业调查和面积量算，采用绘图软件对图件进行处理与数据分析，最终获得了矿区的土地利用数据。</w:t>
      </w:r>
      <w:r>
        <w:rPr>
          <w:rFonts w:hint="eastAsia" w:cs="Times New Roman" w:eastAsiaTheme="minorEastAsia"/>
          <w:color w:val="auto"/>
          <w:sz w:val="24"/>
          <w:highlight w:val="none"/>
          <w:lang w:eastAsia="zh-CN"/>
        </w:rPr>
        <w:t>北大湖采石场</w:t>
      </w:r>
      <w:r>
        <w:rPr>
          <w:rFonts w:hint="default" w:ascii="Times New Roman" w:hAnsi="Times New Roman" w:cs="Times New Roman" w:eastAsiaTheme="minorEastAsia"/>
          <w:color w:val="auto"/>
          <w:sz w:val="24"/>
          <w:highlight w:val="none"/>
        </w:rPr>
        <w:t>复垦</w:t>
      </w:r>
      <w:r>
        <w:rPr>
          <w:rFonts w:hint="default" w:ascii="Times New Roman" w:hAnsi="Times New Roman" w:cs="Times New Roman" w:eastAsiaTheme="minorEastAsia"/>
          <w:color w:val="auto"/>
          <w:sz w:val="24"/>
          <w:highlight w:val="none"/>
          <w:lang w:val="en-US" w:eastAsia="zh-CN"/>
        </w:rPr>
        <w:t>区</w:t>
      </w:r>
      <w:r>
        <w:rPr>
          <w:rFonts w:hint="default" w:ascii="Times New Roman" w:hAnsi="Times New Roman" w:cs="Times New Roman" w:eastAsiaTheme="minorEastAsia"/>
          <w:color w:val="auto"/>
          <w:sz w:val="24"/>
          <w:highlight w:val="none"/>
        </w:rPr>
        <w:t>面积</w:t>
      </w:r>
      <w:r>
        <w:rPr>
          <w:rFonts w:hint="eastAsia" w:cs="Times New Roman" w:eastAsiaTheme="minorEastAsia"/>
          <w:color w:val="auto"/>
          <w:sz w:val="24"/>
          <w:highlight w:val="none"/>
          <w:lang w:eastAsia="zh-CN"/>
        </w:rPr>
        <w:t>4.0745</w:t>
      </w:r>
      <w:r>
        <w:rPr>
          <w:rFonts w:hint="default" w:ascii="Times New Roman" w:hAnsi="Times New Roman" w:cs="Times New Roman" w:eastAsiaTheme="minorEastAsia"/>
          <w:color w:val="auto"/>
          <w:sz w:val="24"/>
          <w:highlight w:val="none"/>
        </w:rPr>
        <w:t>h</w:t>
      </w:r>
      <w:r>
        <w:rPr>
          <w:rFonts w:hint="default" w:ascii="Times New Roman" w:hAnsi="Times New Roman" w:cs="Times New Roman" w:eastAsiaTheme="minorEastAsia"/>
          <w:color w:val="auto"/>
          <w:sz w:val="24"/>
          <w:highlight w:val="none"/>
          <w:lang w:eastAsia="zh-CN"/>
        </w:rPr>
        <w:t>m</w:t>
      </w:r>
      <w:r>
        <w:rPr>
          <w:rFonts w:hint="default" w:ascii="Times New Roman" w:hAnsi="Times New Roman" w:cs="Times New Roman" w:eastAsiaTheme="minorEastAsia"/>
          <w:color w:val="auto"/>
          <w:sz w:val="24"/>
          <w:highlight w:val="none"/>
          <w:vertAlign w:val="superscript"/>
          <w:lang w:eastAsia="zh-CN"/>
        </w:rPr>
        <w:t>2</w:t>
      </w:r>
      <w:r>
        <w:rPr>
          <w:rFonts w:hint="default" w:ascii="Times New Roman" w:hAnsi="Times New Roman" w:cs="Times New Roman" w:eastAsiaTheme="minorEastAsia"/>
          <w:color w:val="auto"/>
          <w:sz w:val="24"/>
          <w:highlight w:val="none"/>
        </w:rPr>
        <w:t>，复垦区内</w:t>
      </w:r>
      <w:bookmarkStart w:id="160" w:name="_Hlk63489600"/>
      <w:r>
        <w:rPr>
          <w:rFonts w:hint="default" w:ascii="Times New Roman" w:hAnsi="Times New Roman" w:cs="Times New Roman" w:eastAsiaTheme="minorEastAsia"/>
          <w:color w:val="auto"/>
          <w:sz w:val="24"/>
          <w:highlight w:val="none"/>
        </w:rPr>
        <w:t>土地为吉林省</w:t>
      </w:r>
      <w:r>
        <w:rPr>
          <w:rFonts w:hint="eastAsia" w:cs="Times New Roman" w:eastAsiaTheme="minorEastAsia"/>
          <w:color w:val="auto"/>
          <w:sz w:val="24"/>
          <w:highlight w:val="none"/>
          <w:lang w:eastAsia="zh-CN"/>
        </w:rPr>
        <w:t>永吉县五里河林场</w:t>
      </w:r>
      <w:r>
        <w:rPr>
          <w:rFonts w:hint="default" w:ascii="Times New Roman" w:hAnsi="Times New Roman" w:cs="Times New Roman" w:eastAsiaTheme="minorEastAsia"/>
          <w:color w:val="auto"/>
          <w:sz w:val="24"/>
          <w:highlight w:val="none"/>
        </w:rPr>
        <w:t>所有，为</w:t>
      </w:r>
      <w:r>
        <w:rPr>
          <w:rFonts w:hint="eastAsia" w:cs="Times New Roman" w:eastAsiaTheme="minorEastAsia"/>
          <w:color w:val="auto"/>
          <w:sz w:val="24"/>
          <w:highlight w:val="none"/>
          <w:lang w:val="en-US" w:eastAsia="zh-CN"/>
        </w:rPr>
        <w:t>国有</w:t>
      </w:r>
      <w:r>
        <w:rPr>
          <w:rFonts w:hint="default" w:ascii="Times New Roman" w:hAnsi="Times New Roman" w:cs="Times New Roman" w:eastAsiaTheme="minorEastAsia"/>
          <w:color w:val="auto"/>
          <w:sz w:val="24"/>
          <w:highlight w:val="none"/>
        </w:rPr>
        <w:t>土地。</w:t>
      </w:r>
      <w:r>
        <w:rPr>
          <w:rFonts w:hint="eastAsia" w:cs="Times New Roman" w:eastAsiaTheme="minorEastAsia"/>
          <w:color w:val="auto"/>
          <w:sz w:val="24"/>
          <w:highlight w:val="none"/>
          <w:lang w:eastAsia="zh-CN"/>
        </w:rPr>
        <w:t>吉林市晟拓工贸有限公司</w:t>
      </w:r>
      <w:r>
        <w:rPr>
          <w:rFonts w:hint="default" w:ascii="Times New Roman" w:hAnsi="Times New Roman" w:cs="Times New Roman" w:eastAsiaTheme="minorEastAsia"/>
          <w:color w:val="auto"/>
          <w:sz w:val="24"/>
          <w:highlight w:val="none"/>
        </w:rPr>
        <w:t>通过土地租赁的方式获得使用权。</w:t>
      </w:r>
      <w:bookmarkEnd w:id="160"/>
      <w:r>
        <w:rPr>
          <w:rFonts w:hint="default" w:ascii="Times New Roman" w:hAnsi="Times New Roman" w:cs="Times New Roman" w:eastAsiaTheme="minorEastAsia"/>
          <w:color w:val="auto"/>
          <w:sz w:val="24"/>
          <w:highlight w:val="none"/>
        </w:rPr>
        <w:t>复垦区土地权属清楚，无土地权属纠纷。见表3-</w:t>
      </w:r>
      <w:r>
        <w:rPr>
          <w:rFonts w:hint="eastAsia" w:cs="Times New Roman" w:eastAsiaTheme="minorEastAsia"/>
          <w:color w:val="auto"/>
          <w:sz w:val="24"/>
          <w:highlight w:val="none"/>
          <w:lang w:val="en-US" w:eastAsia="zh-CN"/>
        </w:rPr>
        <w:t>20</w:t>
      </w:r>
      <w:r>
        <w:rPr>
          <w:rFonts w:hint="default" w:ascii="Times New Roman" w:hAnsi="Times New Roman" w:cs="Times New Roman" w:eastAsiaTheme="minorEastAsia"/>
          <w:color w:val="auto"/>
          <w:sz w:val="24"/>
          <w:highlight w:val="none"/>
        </w:rPr>
        <w:t>。</w:t>
      </w:r>
    </w:p>
    <w:p w14:paraId="1DC044C5">
      <w:pPr>
        <w:keepNext w:val="0"/>
        <w:keepLines w:val="0"/>
        <w:pageBreakBefore w:val="0"/>
        <w:widowControl/>
        <w:kinsoku/>
        <w:wordWrap/>
        <w:overflowPunct/>
        <w:topLinePunct w:val="0"/>
        <w:autoSpaceDE/>
        <w:autoSpaceDN/>
        <w:bidi w:val="0"/>
        <w:adjustRightInd/>
        <w:snapToGrid/>
        <w:spacing w:before="3121" w:beforeLines="1000" w:line="240" w:lineRule="auto"/>
        <w:ind w:firstLine="2730" w:firstLineChars="1300"/>
        <w:textAlignment w:val="auto"/>
        <w:rPr>
          <w:rFonts w:hint="default" w:ascii="Times New Roman" w:hAnsi="Times New Roman" w:eastAsia="黑体" w:cs="Times New Roman"/>
          <w:b w:val="0"/>
          <w:bCs/>
          <w:snapToGrid w:val="0"/>
          <w:color w:val="auto"/>
          <w:kern w:val="0"/>
          <w:szCs w:val="21"/>
          <w:highlight w:val="none"/>
        </w:rPr>
      </w:pPr>
      <w:r>
        <w:rPr>
          <w:rFonts w:hint="default" w:ascii="Times New Roman" w:hAnsi="Times New Roman" w:eastAsia="黑体" w:cs="Times New Roman"/>
          <w:b w:val="0"/>
          <w:bCs/>
          <w:snapToGrid w:val="0"/>
          <w:color w:val="auto"/>
          <w:kern w:val="0"/>
          <w:szCs w:val="21"/>
          <w:highlight w:val="none"/>
        </w:rPr>
        <w:t>表3-</w:t>
      </w:r>
      <w:r>
        <w:rPr>
          <w:rFonts w:hint="eastAsia" w:eastAsia="黑体" w:cs="Times New Roman"/>
          <w:b w:val="0"/>
          <w:bCs/>
          <w:snapToGrid w:val="0"/>
          <w:color w:val="auto"/>
          <w:kern w:val="0"/>
          <w:szCs w:val="21"/>
          <w:highlight w:val="none"/>
          <w:lang w:val="en-US" w:eastAsia="zh-CN"/>
        </w:rPr>
        <w:t>20</w:t>
      </w:r>
      <w:r>
        <w:rPr>
          <w:rFonts w:hint="eastAsia" w:ascii="Times New Roman" w:hAnsi="Times New Roman" w:eastAsia="黑体" w:cs="Times New Roman"/>
          <w:b w:val="0"/>
          <w:bCs/>
          <w:snapToGrid w:val="0"/>
          <w:color w:val="auto"/>
          <w:kern w:val="0"/>
          <w:szCs w:val="21"/>
          <w:highlight w:val="none"/>
          <w:lang w:val="en-US" w:eastAsia="zh-CN"/>
        </w:rPr>
        <w:t xml:space="preserve">  </w:t>
      </w:r>
      <w:r>
        <w:rPr>
          <w:rFonts w:hint="default" w:ascii="Times New Roman" w:hAnsi="Times New Roman" w:eastAsia="黑体" w:cs="Times New Roman"/>
          <w:b w:val="0"/>
          <w:bCs/>
          <w:snapToGrid w:val="0"/>
          <w:color w:val="auto"/>
          <w:kern w:val="0"/>
          <w:szCs w:val="21"/>
          <w:highlight w:val="none"/>
        </w:rPr>
        <w:t>复垦区土地权属状况统计表</w:t>
      </w:r>
    </w:p>
    <w:tbl>
      <w:tblPr>
        <w:tblStyle w:val="3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78"/>
        <w:gridCol w:w="1140"/>
        <w:gridCol w:w="1549"/>
        <w:gridCol w:w="890"/>
        <w:gridCol w:w="1672"/>
        <w:gridCol w:w="990"/>
      </w:tblGrid>
      <w:tr w14:paraId="1E13A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exact"/>
        </w:trPr>
        <w:tc>
          <w:tcPr>
            <w:tcW w:w="1337" w:type="pct"/>
            <w:vMerge w:val="restart"/>
            <w:noWrap/>
            <w:vAlign w:val="center"/>
          </w:tcPr>
          <w:p w14:paraId="3DE60F9E">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权属名称</w:t>
            </w:r>
          </w:p>
        </w:tc>
        <w:tc>
          <w:tcPr>
            <w:tcW w:w="1578" w:type="pct"/>
            <w:gridSpan w:val="2"/>
            <w:vAlign w:val="center"/>
          </w:tcPr>
          <w:p w14:paraId="00825567">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 w:val="21"/>
                <w:szCs w:val="21"/>
                <w:highlight w:val="none"/>
              </w:rPr>
              <w:t>一级地类</w:t>
            </w:r>
          </w:p>
        </w:tc>
        <w:tc>
          <w:tcPr>
            <w:tcW w:w="1503" w:type="pct"/>
            <w:gridSpan w:val="2"/>
            <w:vAlign w:val="center"/>
          </w:tcPr>
          <w:p w14:paraId="200F5633">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 w:val="21"/>
                <w:szCs w:val="21"/>
                <w:highlight w:val="none"/>
              </w:rPr>
              <w:t>二级地类</w:t>
            </w:r>
          </w:p>
        </w:tc>
        <w:tc>
          <w:tcPr>
            <w:tcW w:w="581" w:type="pct"/>
            <w:vAlign w:val="center"/>
          </w:tcPr>
          <w:p w14:paraId="100753E1">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 w:val="21"/>
                <w:szCs w:val="21"/>
                <w:highlight w:val="none"/>
              </w:rPr>
              <w:t>复垦区</w:t>
            </w:r>
          </w:p>
        </w:tc>
      </w:tr>
      <w:tr w14:paraId="3E0A4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exact"/>
        </w:trPr>
        <w:tc>
          <w:tcPr>
            <w:tcW w:w="1337" w:type="pct"/>
            <w:vMerge w:val="continue"/>
            <w:vAlign w:val="center"/>
          </w:tcPr>
          <w:p w14:paraId="7FCB0215">
            <w:pPr>
              <w:jc w:val="center"/>
              <w:rPr>
                <w:rFonts w:hint="default" w:ascii="Times New Roman" w:hAnsi="Times New Roman" w:cs="Times New Roman"/>
                <w:color w:val="auto"/>
                <w:kern w:val="0"/>
                <w:szCs w:val="21"/>
                <w:highlight w:val="none"/>
              </w:rPr>
            </w:pPr>
          </w:p>
        </w:tc>
        <w:tc>
          <w:tcPr>
            <w:tcW w:w="669" w:type="pct"/>
            <w:vAlign w:val="center"/>
          </w:tcPr>
          <w:p w14:paraId="295C9EBD">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 w:val="21"/>
                <w:szCs w:val="21"/>
                <w:highlight w:val="none"/>
              </w:rPr>
              <w:t>类别编码</w:t>
            </w:r>
          </w:p>
        </w:tc>
        <w:tc>
          <w:tcPr>
            <w:tcW w:w="909" w:type="pct"/>
            <w:vAlign w:val="center"/>
          </w:tcPr>
          <w:p w14:paraId="66F43E26">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 w:val="21"/>
                <w:szCs w:val="21"/>
                <w:highlight w:val="none"/>
              </w:rPr>
              <w:t>类别名称</w:t>
            </w:r>
          </w:p>
        </w:tc>
        <w:tc>
          <w:tcPr>
            <w:tcW w:w="522" w:type="pct"/>
            <w:vAlign w:val="center"/>
          </w:tcPr>
          <w:p w14:paraId="42744480">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 w:val="21"/>
                <w:szCs w:val="21"/>
                <w:highlight w:val="none"/>
              </w:rPr>
              <w:t>类别编码</w:t>
            </w:r>
          </w:p>
        </w:tc>
        <w:tc>
          <w:tcPr>
            <w:tcW w:w="981" w:type="pct"/>
            <w:vAlign w:val="center"/>
          </w:tcPr>
          <w:p w14:paraId="3ECAA629">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 w:val="21"/>
                <w:szCs w:val="21"/>
                <w:highlight w:val="none"/>
              </w:rPr>
              <w:t>类别名称</w:t>
            </w:r>
          </w:p>
        </w:tc>
        <w:tc>
          <w:tcPr>
            <w:tcW w:w="581" w:type="pct"/>
            <w:vAlign w:val="center"/>
          </w:tcPr>
          <w:p w14:paraId="0032B0F1">
            <w:pPr>
              <w:jc w:val="center"/>
              <w:rPr>
                <w:rFonts w:hint="default"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 w:val="21"/>
                <w:szCs w:val="21"/>
                <w:highlight w:val="none"/>
              </w:rPr>
              <w:t>h</w:t>
            </w:r>
            <w:r>
              <w:rPr>
                <w:rFonts w:hint="default" w:ascii="Times New Roman" w:hAnsi="Times New Roman" w:cs="Times New Roman"/>
                <w:color w:val="auto"/>
                <w:kern w:val="0"/>
                <w:sz w:val="21"/>
                <w:szCs w:val="21"/>
                <w:highlight w:val="none"/>
                <w:lang w:eastAsia="zh-CN"/>
              </w:rPr>
              <w:t>m</w:t>
            </w:r>
            <w:r>
              <w:rPr>
                <w:rFonts w:hint="default" w:ascii="Times New Roman" w:hAnsi="Times New Roman" w:cs="Times New Roman"/>
                <w:color w:val="auto"/>
                <w:kern w:val="0"/>
                <w:sz w:val="21"/>
                <w:szCs w:val="21"/>
                <w:highlight w:val="none"/>
                <w:vertAlign w:val="superscript"/>
                <w:lang w:eastAsia="zh-CN"/>
              </w:rPr>
              <w:t>2</w:t>
            </w:r>
          </w:p>
        </w:tc>
      </w:tr>
      <w:tr w14:paraId="25C74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exact"/>
        </w:trPr>
        <w:tc>
          <w:tcPr>
            <w:tcW w:w="1337" w:type="pct"/>
            <w:vMerge w:val="restart"/>
            <w:vAlign w:val="center"/>
          </w:tcPr>
          <w:p w14:paraId="2107A4E1">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吉林省永吉县五里河林场</w:t>
            </w:r>
          </w:p>
        </w:tc>
        <w:tc>
          <w:tcPr>
            <w:tcW w:w="669" w:type="pct"/>
            <w:vAlign w:val="center"/>
          </w:tcPr>
          <w:p w14:paraId="7829E02C">
            <w:pPr>
              <w:keepNext w:val="0"/>
              <w:keepLines w:val="0"/>
              <w:widowControl/>
              <w:suppressLineNumbers w:val="0"/>
              <w:jc w:val="center"/>
              <w:textAlignment w:val="center"/>
              <w:rPr>
                <w:rFonts w:hint="default" w:ascii="Times New Roman" w:hAnsi="Times New Roman"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03</w:t>
            </w:r>
          </w:p>
        </w:tc>
        <w:tc>
          <w:tcPr>
            <w:tcW w:w="909" w:type="pct"/>
            <w:vAlign w:val="center"/>
          </w:tcPr>
          <w:p w14:paraId="30B2C0FD">
            <w:pPr>
              <w:keepNext w:val="0"/>
              <w:keepLines w:val="0"/>
              <w:widowControl/>
              <w:suppressLineNumbers w:val="0"/>
              <w:jc w:val="center"/>
              <w:textAlignment w:val="center"/>
              <w:rPr>
                <w:rFonts w:hint="default" w:ascii="Times New Roman" w:hAnsi="Times New Roman"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林地</w:t>
            </w:r>
          </w:p>
        </w:tc>
        <w:tc>
          <w:tcPr>
            <w:tcW w:w="522" w:type="pct"/>
            <w:vAlign w:val="center"/>
          </w:tcPr>
          <w:p w14:paraId="79008D2D">
            <w:pPr>
              <w:keepNext w:val="0"/>
              <w:keepLines w:val="0"/>
              <w:widowControl/>
              <w:suppressLineNumbers w:val="0"/>
              <w:jc w:val="center"/>
              <w:textAlignment w:val="center"/>
              <w:rPr>
                <w:rFonts w:hint="default" w:ascii="Times New Roman" w:hAnsi="Times New Roman" w:cs="Times New Roman"/>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0301</w:t>
            </w:r>
          </w:p>
        </w:tc>
        <w:tc>
          <w:tcPr>
            <w:tcW w:w="981" w:type="pct"/>
            <w:vAlign w:val="center"/>
          </w:tcPr>
          <w:p w14:paraId="30DFE148">
            <w:pPr>
              <w:keepNext w:val="0"/>
              <w:keepLines w:val="0"/>
              <w:widowControl/>
              <w:suppressLineNumbers w:val="0"/>
              <w:jc w:val="center"/>
              <w:textAlignment w:val="center"/>
              <w:rPr>
                <w:rFonts w:hint="default" w:ascii="Times New Roman" w:hAnsi="Times New Roman" w:cs="Times New Roman"/>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乔木林地</w:t>
            </w:r>
          </w:p>
        </w:tc>
        <w:tc>
          <w:tcPr>
            <w:tcW w:w="581" w:type="pct"/>
            <w:vAlign w:val="center"/>
          </w:tcPr>
          <w:p w14:paraId="71B7C6DA">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eastAsia" w:cs="Times New Roman"/>
                <w:i w:val="0"/>
                <w:iCs w:val="0"/>
                <w:color w:val="auto"/>
                <w:kern w:val="0"/>
                <w:sz w:val="21"/>
                <w:szCs w:val="21"/>
                <w:highlight w:val="none"/>
                <w:u w:val="none"/>
                <w:lang w:val="en-US" w:eastAsia="zh-CN" w:bidi="ar"/>
              </w:rPr>
              <w:t>0.1810</w:t>
            </w:r>
          </w:p>
        </w:tc>
      </w:tr>
      <w:tr w14:paraId="62D8B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exact"/>
        </w:trPr>
        <w:tc>
          <w:tcPr>
            <w:tcW w:w="1337" w:type="pct"/>
            <w:vMerge w:val="continue"/>
            <w:vAlign w:val="center"/>
          </w:tcPr>
          <w:p w14:paraId="3E4CBCC6">
            <w:pPr>
              <w:jc w:val="center"/>
              <w:rPr>
                <w:rFonts w:hint="default" w:ascii="Times New Roman" w:hAnsi="Times New Roman" w:cs="Times New Roman"/>
                <w:color w:val="auto"/>
                <w:szCs w:val="21"/>
                <w:highlight w:val="none"/>
              </w:rPr>
            </w:pPr>
          </w:p>
        </w:tc>
        <w:tc>
          <w:tcPr>
            <w:tcW w:w="669" w:type="pct"/>
            <w:vAlign w:val="center"/>
          </w:tcPr>
          <w:p w14:paraId="3CA3394E">
            <w:pPr>
              <w:keepNext w:val="0"/>
              <w:keepLines w:val="0"/>
              <w:widowControl/>
              <w:suppressLineNumbers w:val="0"/>
              <w:jc w:val="center"/>
              <w:textAlignment w:val="center"/>
              <w:rPr>
                <w:rFonts w:hint="default" w:ascii="Times New Roman" w:hAnsi="Times New Roman"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06</w:t>
            </w:r>
          </w:p>
        </w:tc>
        <w:tc>
          <w:tcPr>
            <w:tcW w:w="909" w:type="pct"/>
            <w:vAlign w:val="center"/>
          </w:tcPr>
          <w:p w14:paraId="58A73C71">
            <w:pPr>
              <w:keepNext w:val="0"/>
              <w:keepLines w:val="0"/>
              <w:widowControl/>
              <w:suppressLineNumbers w:val="0"/>
              <w:jc w:val="center"/>
              <w:textAlignment w:val="center"/>
              <w:rPr>
                <w:rFonts w:hint="default" w:ascii="Times New Roman" w:hAnsi="Times New Roman"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工矿仓储用地</w:t>
            </w:r>
          </w:p>
        </w:tc>
        <w:tc>
          <w:tcPr>
            <w:tcW w:w="522" w:type="pct"/>
            <w:vAlign w:val="center"/>
          </w:tcPr>
          <w:p w14:paraId="224D419D">
            <w:pPr>
              <w:keepNext w:val="0"/>
              <w:keepLines w:val="0"/>
              <w:widowControl/>
              <w:suppressLineNumbers w:val="0"/>
              <w:jc w:val="center"/>
              <w:textAlignment w:val="center"/>
              <w:rPr>
                <w:rFonts w:hint="default" w:ascii="Times New Roman" w:hAnsi="Times New Roman" w:cs="Times New Roman"/>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0602</w:t>
            </w:r>
          </w:p>
        </w:tc>
        <w:tc>
          <w:tcPr>
            <w:tcW w:w="981" w:type="pct"/>
            <w:vAlign w:val="center"/>
          </w:tcPr>
          <w:p w14:paraId="04331D95">
            <w:pPr>
              <w:keepNext w:val="0"/>
              <w:keepLines w:val="0"/>
              <w:widowControl/>
              <w:suppressLineNumbers w:val="0"/>
              <w:jc w:val="center"/>
              <w:textAlignment w:val="center"/>
              <w:rPr>
                <w:rFonts w:hint="default" w:ascii="Times New Roman" w:hAnsi="Times New Roman" w:cs="Times New Roman"/>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采矿用地</w:t>
            </w:r>
          </w:p>
        </w:tc>
        <w:tc>
          <w:tcPr>
            <w:tcW w:w="581" w:type="pct"/>
            <w:vAlign w:val="center"/>
          </w:tcPr>
          <w:p w14:paraId="571B8C69">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eastAsia" w:cs="Times New Roman"/>
                <w:i w:val="0"/>
                <w:iCs w:val="0"/>
                <w:color w:val="auto"/>
                <w:kern w:val="0"/>
                <w:sz w:val="21"/>
                <w:szCs w:val="21"/>
                <w:highlight w:val="none"/>
                <w:u w:val="none"/>
                <w:lang w:val="en-US" w:eastAsia="zh-CN" w:bidi="ar"/>
              </w:rPr>
              <w:t>3.8935</w:t>
            </w:r>
          </w:p>
        </w:tc>
      </w:tr>
      <w:tr w14:paraId="35210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exact"/>
        </w:trPr>
        <w:tc>
          <w:tcPr>
            <w:tcW w:w="4418" w:type="pct"/>
            <w:gridSpan w:val="5"/>
            <w:vAlign w:val="center"/>
          </w:tcPr>
          <w:p w14:paraId="5D71E2AE">
            <w:pPr>
              <w:keepNext w:val="0"/>
              <w:keepLines w:val="0"/>
              <w:widowControl/>
              <w:suppressLineNumbers w:val="0"/>
              <w:jc w:val="center"/>
              <w:textAlignment w:val="center"/>
              <w:rPr>
                <w:rFonts w:hint="default" w:ascii="Times New Roman" w:hAnsi="Times New Roman"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合计</w:t>
            </w:r>
          </w:p>
        </w:tc>
        <w:tc>
          <w:tcPr>
            <w:tcW w:w="581" w:type="pct"/>
            <w:vAlign w:val="center"/>
          </w:tcPr>
          <w:p w14:paraId="0C0F53B3">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eastAsia" w:cs="Times New Roman"/>
                <w:i w:val="0"/>
                <w:iCs w:val="0"/>
                <w:color w:val="auto"/>
                <w:kern w:val="0"/>
                <w:sz w:val="21"/>
                <w:szCs w:val="21"/>
                <w:highlight w:val="none"/>
                <w:u w:val="none"/>
                <w:lang w:val="en-US" w:eastAsia="zh-CN" w:bidi="ar"/>
              </w:rPr>
              <w:t>4.0745</w:t>
            </w:r>
          </w:p>
        </w:tc>
      </w:tr>
    </w:tbl>
    <w:p w14:paraId="591B0193">
      <w:pPr>
        <w:pStyle w:val="3"/>
        <w:jc w:val="center"/>
        <w:rPr>
          <w:rFonts w:hint="default" w:ascii="Times New Roman" w:hAnsi="Times New Roman" w:cs="Times New Roman"/>
          <w:bCs w:val="0"/>
          <w:color w:val="auto"/>
          <w:highlight w:val="none"/>
        </w:rPr>
      </w:pPr>
      <w:bookmarkStart w:id="161" w:name="_Toc508869981"/>
      <w:bookmarkStart w:id="162" w:name="_Toc485629703"/>
      <w:r>
        <w:rPr>
          <w:rFonts w:hint="default" w:ascii="Times New Roman" w:hAnsi="Times New Roman" w:cs="Times New Roman"/>
          <w:bCs w:val="0"/>
          <w:color w:val="auto"/>
          <w:highlight w:val="none"/>
        </w:rPr>
        <w:br w:type="page"/>
      </w:r>
      <w:bookmarkStart w:id="163" w:name="_Toc24094"/>
      <w:r>
        <w:rPr>
          <w:rFonts w:hint="default" w:ascii="Times New Roman" w:hAnsi="Times New Roman" w:eastAsia="黑体" w:cs="Times New Roman"/>
          <w:b w:val="0"/>
          <w:color w:val="auto"/>
          <w:sz w:val="32"/>
          <w:szCs w:val="32"/>
          <w:highlight w:val="none"/>
        </w:rPr>
        <w:t>第四章  矿山地质环境治理与土地复垦可行性分析</w:t>
      </w:r>
      <w:bookmarkEnd w:id="161"/>
      <w:bookmarkEnd w:id="162"/>
      <w:bookmarkEnd w:id="163"/>
    </w:p>
    <w:p w14:paraId="544C6C5D">
      <w:pPr>
        <w:keepNext/>
        <w:keepLines/>
        <w:widowControl w:val="0"/>
        <w:spacing w:before="260" w:after="260" w:line="415" w:lineRule="auto"/>
        <w:outlineLvl w:val="1"/>
        <w:rPr>
          <w:rFonts w:hint="default" w:ascii="Times New Roman" w:hAnsi="Times New Roman" w:eastAsia="黑体" w:cs="Times New Roman"/>
          <w:bCs/>
          <w:color w:val="auto"/>
          <w:sz w:val="30"/>
          <w:szCs w:val="30"/>
          <w:highlight w:val="none"/>
        </w:rPr>
      </w:pPr>
      <w:bookmarkStart w:id="164" w:name="_Toc485629704"/>
      <w:bookmarkStart w:id="165" w:name="_Toc28309"/>
      <w:bookmarkStart w:id="166" w:name="_Toc508869982"/>
      <w:r>
        <w:rPr>
          <w:rFonts w:hint="default" w:ascii="Times New Roman" w:hAnsi="Times New Roman" w:eastAsia="黑体" w:cs="Times New Roman"/>
          <w:bCs/>
          <w:color w:val="auto"/>
          <w:sz w:val="30"/>
          <w:szCs w:val="30"/>
          <w:highlight w:val="none"/>
        </w:rPr>
        <w:t>一、矿山地质环境治理可行性分析</w:t>
      </w:r>
      <w:bookmarkEnd w:id="164"/>
      <w:bookmarkEnd w:id="165"/>
      <w:bookmarkEnd w:id="166"/>
    </w:p>
    <w:p w14:paraId="1581E1EA">
      <w:pPr>
        <w:pStyle w:val="5"/>
        <w:rPr>
          <w:rFonts w:hint="default" w:ascii="Times New Roman" w:hAnsi="Times New Roman" w:eastAsia="黑体" w:cs="Times New Roman"/>
          <w:b w:val="0"/>
          <w:bCs w:val="0"/>
          <w:color w:val="auto"/>
          <w:szCs w:val="28"/>
          <w:highlight w:val="none"/>
        </w:rPr>
      </w:pPr>
      <w:bookmarkStart w:id="167" w:name="_Toc485629705"/>
      <w:r>
        <w:rPr>
          <w:rFonts w:hint="default" w:ascii="Times New Roman" w:hAnsi="Times New Roman" w:eastAsia="黑体" w:cs="Times New Roman"/>
          <w:b w:val="0"/>
          <w:bCs w:val="0"/>
          <w:color w:val="auto"/>
          <w:szCs w:val="28"/>
          <w:highlight w:val="none"/>
        </w:rPr>
        <w:t>（一）技术可行性分析</w:t>
      </w:r>
      <w:bookmarkEnd w:id="167"/>
    </w:p>
    <w:p w14:paraId="2133E483">
      <w:pPr>
        <w:spacing w:line="360" w:lineRule="auto"/>
        <w:ind w:firstLine="480" w:firstLineChars="200"/>
        <w:rPr>
          <w:rFonts w:hint="default" w:ascii="Times New Roman" w:hAnsi="Times New Roman" w:cs="Times New Roman"/>
          <w:color w:val="auto"/>
          <w:sz w:val="24"/>
          <w:highlight w:val="none"/>
        </w:rPr>
      </w:pPr>
      <w:bookmarkStart w:id="168" w:name="_Toc485629706"/>
      <w:r>
        <w:rPr>
          <w:rFonts w:hint="default" w:ascii="Times New Roman" w:hAnsi="Times New Roman" w:cs="Times New Roman"/>
          <w:color w:val="auto"/>
          <w:sz w:val="24"/>
          <w:highlight w:val="none"/>
        </w:rPr>
        <w:t>该矿山</w:t>
      </w:r>
      <w:r>
        <w:rPr>
          <w:rFonts w:hint="eastAsia" w:cs="Times New Roman"/>
          <w:color w:val="auto"/>
          <w:sz w:val="24"/>
          <w:highlight w:val="none"/>
          <w:lang w:eastAsia="zh-CN"/>
        </w:rPr>
        <w:t>露天开采</w:t>
      </w:r>
      <w:r>
        <w:rPr>
          <w:rFonts w:hint="default" w:ascii="Times New Roman" w:hAnsi="Times New Roman" w:cs="Times New Roman"/>
          <w:color w:val="auto"/>
          <w:sz w:val="24"/>
          <w:highlight w:val="none"/>
        </w:rPr>
        <w:t>引起的主要地质环境问题有：</w:t>
      </w:r>
      <w:r>
        <w:rPr>
          <w:rFonts w:hint="eastAsia" w:cs="Times New Roman"/>
          <w:color w:val="auto"/>
          <w:sz w:val="24"/>
          <w:highlight w:val="none"/>
          <w:lang w:eastAsia="zh-CN"/>
        </w:rPr>
        <w:t>露天采场、工业广场、生产生活区、原有办公室及临时堆料场、矿山道路、表土堆场</w:t>
      </w:r>
      <w:r>
        <w:rPr>
          <w:rFonts w:hint="default" w:ascii="Times New Roman" w:hAnsi="Times New Roman" w:cs="Times New Roman"/>
          <w:color w:val="auto"/>
          <w:sz w:val="24"/>
          <w:highlight w:val="none"/>
        </w:rPr>
        <w:t>等建设改变了原有的地形地貌景观形态、破坏了土地资源，降低了土地资源利用率。</w:t>
      </w:r>
    </w:p>
    <w:p w14:paraId="3FB89780">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矿山开采对地形地貌景观破坏治理措施目前主要以绿化为主，将办公生活区、工业广场</w:t>
      </w:r>
      <w:r>
        <w:rPr>
          <w:rFonts w:hint="default" w:ascii="Times New Roman" w:hAnsi="Times New Roman" w:cs="Times New Roman"/>
          <w:color w:val="auto"/>
          <w:sz w:val="24"/>
          <w:highlight w:val="none"/>
          <w:lang w:val="en-US" w:eastAsia="zh-CN"/>
        </w:rPr>
        <w:t>等</w:t>
      </w:r>
      <w:r>
        <w:rPr>
          <w:rFonts w:hint="default" w:ascii="Times New Roman" w:hAnsi="Times New Roman" w:cs="Times New Roman"/>
          <w:color w:val="auto"/>
          <w:sz w:val="24"/>
          <w:highlight w:val="none"/>
        </w:rPr>
        <w:t>的建筑拆除、清除地面硬覆盖层，然后覆土，恢复植被；矿区道路、</w:t>
      </w:r>
      <w:r>
        <w:rPr>
          <w:rFonts w:hint="default" w:ascii="Times New Roman" w:hAnsi="Times New Roman" w:cs="Times New Roman"/>
          <w:color w:val="auto"/>
          <w:sz w:val="24"/>
          <w:highlight w:val="none"/>
          <w:lang w:val="en-US" w:eastAsia="zh-CN"/>
        </w:rPr>
        <w:t>工业广场</w:t>
      </w:r>
      <w:r>
        <w:rPr>
          <w:rFonts w:hint="default" w:ascii="Times New Roman" w:hAnsi="Times New Roman" w:cs="Times New Roman"/>
          <w:color w:val="auto"/>
          <w:sz w:val="24"/>
          <w:highlight w:val="none"/>
        </w:rPr>
        <w:t>等清除硬化路面，覆土复绿。对于露天</w:t>
      </w:r>
      <w:r>
        <w:rPr>
          <w:rFonts w:hint="default" w:ascii="Times New Roman" w:hAnsi="Times New Roman" w:cs="Times New Roman"/>
          <w:color w:val="auto"/>
          <w:sz w:val="24"/>
          <w:highlight w:val="none"/>
          <w:lang w:val="en-US" w:eastAsia="zh-CN"/>
        </w:rPr>
        <w:t>采坑边</w:t>
      </w:r>
      <w:r>
        <w:rPr>
          <w:rFonts w:hint="default" w:ascii="Times New Roman" w:hAnsi="Times New Roman" w:cs="Times New Roman"/>
          <w:color w:val="auto"/>
          <w:sz w:val="24"/>
          <w:highlight w:val="none"/>
        </w:rPr>
        <w:t>坡进行清理，场地平整覆绿。</w:t>
      </w:r>
    </w:p>
    <w:p w14:paraId="60A814D3">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矿山</w:t>
      </w:r>
      <w:r>
        <w:rPr>
          <w:rFonts w:hint="default" w:ascii="Times New Roman" w:hAnsi="Times New Roman" w:cs="Times New Roman"/>
          <w:color w:val="auto"/>
          <w:sz w:val="24"/>
          <w:highlight w:val="none"/>
          <w:lang w:val="en-US" w:eastAsia="zh-CN"/>
        </w:rPr>
        <w:t>继续开采为</w:t>
      </w:r>
      <w:r>
        <w:rPr>
          <w:rFonts w:hint="eastAsia" w:cs="Times New Roman"/>
          <w:color w:val="auto"/>
          <w:sz w:val="24"/>
          <w:highlight w:val="none"/>
          <w:lang w:eastAsia="zh-CN"/>
        </w:rPr>
        <w:t>露天开采</w:t>
      </w:r>
      <w:r>
        <w:rPr>
          <w:rFonts w:hint="default" w:ascii="Times New Roman" w:hAnsi="Times New Roman" w:cs="Times New Roman"/>
          <w:color w:val="auto"/>
          <w:sz w:val="24"/>
          <w:highlight w:val="none"/>
        </w:rPr>
        <w:t>，充水因素主要为大气降水补给，矿体本身岩石中的基岩裂隙水水量较小，地形条件有利于自然排水，地表采用自然排水方式，考虑到矿区周边主要为林地，因此对受到影响和破坏的含水层在终采后采取自然恢复的方法进行治理。</w:t>
      </w:r>
    </w:p>
    <w:p w14:paraId="60FF2225">
      <w:pPr>
        <w:pStyle w:val="5"/>
        <w:rPr>
          <w:rFonts w:hint="default" w:ascii="Times New Roman" w:hAnsi="Times New Roman" w:eastAsia="黑体" w:cs="Times New Roman"/>
          <w:b w:val="0"/>
          <w:bCs w:val="0"/>
          <w:color w:val="auto"/>
          <w:szCs w:val="28"/>
          <w:highlight w:val="none"/>
        </w:rPr>
      </w:pPr>
      <w:r>
        <w:rPr>
          <w:rFonts w:hint="default" w:ascii="Times New Roman" w:hAnsi="Times New Roman" w:eastAsia="黑体" w:cs="Times New Roman"/>
          <w:b w:val="0"/>
          <w:bCs w:val="0"/>
          <w:color w:val="auto"/>
          <w:szCs w:val="28"/>
          <w:highlight w:val="none"/>
        </w:rPr>
        <w:t>（二）经济可行性分析</w:t>
      </w:r>
      <w:bookmarkEnd w:id="168"/>
    </w:p>
    <w:p w14:paraId="227D2328">
      <w:pPr>
        <w:pStyle w:val="156"/>
        <w:tabs>
          <w:tab w:val="left" w:pos="3600"/>
        </w:tabs>
        <w:rPr>
          <w:rFonts w:ascii="Times New Roman" w:hAnsi="Times New Roman" w:eastAsia="宋体" w:cs="Times New Roman"/>
          <w:color w:val="auto"/>
          <w:kern w:val="2"/>
          <w:sz w:val="24"/>
          <w:szCs w:val="20"/>
          <w:highlight w:val="none"/>
          <w:lang w:val="en-US" w:eastAsia="zh-CN" w:bidi="ar-SA"/>
        </w:rPr>
      </w:pPr>
      <w:bookmarkStart w:id="169" w:name="_Toc485629707"/>
      <w:r>
        <w:rPr>
          <w:rFonts w:ascii="Times New Roman" w:hAnsi="Times New Roman" w:eastAsia="宋体" w:cs="Times New Roman"/>
          <w:color w:val="auto"/>
          <w:kern w:val="2"/>
          <w:sz w:val="24"/>
          <w:szCs w:val="20"/>
          <w:highlight w:val="none"/>
          <w:lang w:val="en-US" w:eastAsia="zh-CN" w:bidi="ar-SA"/>
        </w:rPr>
        <w:t>本项目具备较好的盈利能力、财务生存能力与抗风险能力。因此矿山企业有能力和实力进行矿山地质环境恢复治理。</w:t>
      </w:r>
      <w:r>
        <w:rPr>
          <w:rFonts w:hint="default" w:ascii="Times New Roman" w:hAnsi="Times New Roman" w:eastAsia="宋体" w:cs="Times New Roman"/>
          <w:color w:val="auto"/>
          <w:kern w:val="2"/>
          <w:sz w:val="24"/>
          <w:szCs w:val="20"/>
          <w:highlight w:val="none"/>
          <w:lang w:val="en-US" w:eastAsia="zh-CN" w:bidi="ar-SA"/>
        </w:rPr>
        <w:t>通过恢复治理工程，可恢复林地资源，在合理地利用和规划下，可以增加效益。</w:t>
      </w:r>
    </w:p>
    <w:p w14:paraId="35BA69C2">
      <w:pPr>
        <w:pStyle w:val="156"/>
        <w:tabs>
          <w:tab w:val="left" w:pos="3600"/>
        </w:tabs>
        <w:rPr>
          <w:rFonts w:eastAsia="宋体" w:cs="Times New Roman"/>
          <w:color w:val="auto"/>
          <w:highlight w:val="none"/>
        </w:rPr>
      </w:pPr>
      <w:r>
        <w:rPr>
          <w:rFonts w:eastAsia="宋体" w:cs="Times New Roman"/>
          <w:color w:val="auto"/>
          <w:highlight w:val="none"/>
        </w:rPr>
        <w:t>矿山开采企业应将矿山地质环境治理工作列为建设项目的一部分，列支专项经费进行矿山地质环境的保护与恢复治理，对可能出现的矿山地质环境问题进行监测。经费要结合方案实施进度统筹安排，做到专款专用，保证经费足额及时到位，确保达到矿山地质环境恢复治理的防治目标。</w:t>
      </w:r>
    </w:p>
    <w:p w14:paraId="58706381">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矿山地质环境综合治理工作是一项投资大、长期收益的工程，是一项利国利民，造福后代的工程，综合效益显著。按照“谁开发、谁保护，谁破坏、谁治理”的原则，矿山地质环境保护与恢复治理工程和矿山地质环境监测工程费用由矿山企业全部承担</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矿山生产能够保证治理工程的进行，矿山恢复能够保证有</w:t>
      </w:r>
      <w:r>
        <w:rPr>
          <w:rFonts w:hint="default" w:ascii="Times New Roman" w:hAnsi="Times New Roman" w:cs="Times New Roman"/>
          <w:color w:val="auto"/>
          <w:sz w:val="24"/>
          <w:highlight w:val="none"/>
          <w:lang w:eastAsia="zh-CN"/>
        </w:rPr>
        <w:t>效</w:t>
      </w:r>
      <w:r>
        <w:rPr>
          <w:rFonts w:hint="default" w:ascii="Times New Roman" w:hAnsi="Times New Roman" w:cs="Times New Roman"/>
          <w:color w:val="auto"/>
          <w:sz w:val="24"/>
          <w:highlight w:val="none"/>
        </w:rPr>
        <w:t>产出，</w:t>
      </w:r>
      <w:r>
        <w:rPr>
          <w:rFonts w:hint="eastAsia" w:cs="Times New Roman"/>
          <w:color w:val="auto"/>
          <w:sz w:val="24"/>
          <w:highlight w:val="none"/>
          <w:lang w:eastAsia="zh-CN"/>
        </w:rPr>
        <w:t>北大湖采石场</w:t>
      </w:r>
      <w:r>
        <w:rPr>
          <w:rFonts w:hint="default" w:ascii="Times New Roman" w:hAnsi="Times New Roman" w:cs="Times New Roman"/>
          <w:color w:val="auto"/>
          <w:sz w:val="24"/>
          <w:highlight w:val="none"/>
        </w:rPr>
        <w:t>进行矿山地质环境保护与土地复垦在经济上是可行的。</w:t>
      </w:r>
    </w:p>
    <w:p w14:paraId="24DB8B1C">
      <w:pPr>
        <w:pStyle w:val="5"/>
        <w:rPr>
          <w:rFonts w:hint="default" w:ascii="Times New Roman" w:hAnsi="Times New Roman" w:eastAsia="黑体" w:cs="Times New Roman"/>
          <w:b w:val="0"/>
          <w:bCs w:val="0"/>
          <w:color w:val="auto"/>
          <w:szCs w:val="28"/>
          <w:highlight w:val="none"/>
        </w:rPr>
      </w:pPr>
      <w:r>
        <w:rPr>
          <w:rFonts w:hint="default" w:ascii="Times New Roman" w:hAnsi="Times New Roman" w:eastAsia="黑体" w:cs="Times New Roman"/>
          <w:b w:val="0"/>
          <w:bCs w:val="0"/>
          <w:color w:val="auto"/>
          <w:szCs w:val="28"/>
          <w:highlight w:val="none"/>
        </w:rPr>
        <w:t>（三）生态环境协调性分析</w:t>
      </w:r>
      <w:bookmarkEnd w:id="169"/>
    </w:p>
    <w:p w14:paraId="4D9F0C8F">
      <w:pPr>
        <w:spacing w:line="360" w:lineRule="auto"/>
        <w:ind w:firstLine="482" w:firstLineChars="200"/>
        <w:rPr>
          <w:rFonts w:hint="default" w:ascii="Times New Roman" w:hAnsi="Times New Roman" w:cs="Times New Roman"/>
          <w:b/>
          <w:bCs/>
          <w:color w:val="auto"/>
          <w:sz w:val="24"/>
          <w:highlight w:val="none"/>
          <w:lang w:val="en-US" w:eastAsia="zh-CN"/>
        </w:rPr>
      </w:pPr>
      <w:bookmarkStart w:id="170" w:name="_Toc485629708"/>
      <w:r>
        <w:rPr>
          <w:rFonts w:hint="default" w:ascii="Times New Roman" w:hAnsi="Times New Roman" w:cs="Times New Roman"/>
          <w:b/>
          <w:bCs/>
          <w:color w:val="auto"/>
          <w:sz w:val="24"/>
          <w:highlight w:val="none"/>
          <w:lang w:val="en-US" w:eastAsia="zh-CN"/>
        </w:rPr>
        <w:t xml:space="preserve">1、项目运行期间的生态环境协调性分析 </w:t>
      </w:r>
    </w:p>
    <w:p w14:paraId="00820702">
      <w:pPr>
        <w:autoSpaceDE w:val="0"/>
        <w:autoSpaceDN w:val="0"/>
        <w:spacing w:line="360" w:lineRule="auto"/>
        <w:ind w:firstLine="480" w:firstLineChars="200"/>
        <w:rPr>
          <w:rFonts w:hint="eastAsia"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项目运行期间对生态环境影响主要体现在以下几方面：</w:t>
      </w:r>
    </w:p>
    <w:p w14:paraId="23F390CD">
      <w:pPr>
        <w:autoSpaceDE w:val="0"/>
        <w:autoSpaceDN w:val="0"/>
        <w:spacing w:line="360" w:lineRule="auto"/>
        <w:ind w:firstLine="480" w:firstLineChars="200"/>
        <w:rPr>
          <w:rFonts w:hint="eastAsia"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1）对项目区地表环境影响</w:t>
      </w:r>
    </w:p>
    <w:p w14:paraId="721A508A">
      <w:pPr>
        <w:autoSpaceDE w:val="0"/>
        <w:autoSpaceDN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运行会造成复垦区及周边地表植被被破坏，使土壤的结构、组成及理化性质等发生变化，由于人为因素的影响，会新增一定量水土流失。各种施工活动会对实施区域内的土壤结构造成不同程度的破坏，使土壤的有机质和粘粒含量减少，影响植物正常生长。施工中机械碾压、人员践踏等，会造成土壤板结。土体翻出堆放、回填过程会造成土壤松散，导致土壤养分损失。</w:t>
      </w:r>
    </w:p>
    <w:p w14:paraId="36D6D6E2">
      <w:pPr>
        <w:autoSpaceDE w:val="0"/>
        <w:autoSpaceDN w:val="0"/>
        <w:spacing w:line="360" w:lineRule="auto"/>
        <w:ind w:firstLine="480" w:firstLineChars="200"/>
        <w:rPr>
          <w:rFonts w:hint="eastAsia"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2）对项目区水环境影响</w:t>
      </w:r>
    </w:p>
    <w:p w14:paraId="138515BD">
      <w:pPr>
        <w:autoSpaceDE w:val="0"/>
        <w:autoSpaceDN w:val="0"/>
        <w:spacing w:line="360" w:lineRule="auto"/>
        <w:ind w:firstLine="480" w:firstLineChars="200"/>
        <w:rPr>
          <w:rFonts w:hint="eastAsia"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采矿排放的废水主要为少量的生活污水，运行期少量生活污水排至矿山旱厕集中处理，及时清理至附近农田作为农家肥料，生活垃圾定期外运到垃圾场统一处理，不会对地表水体产生明显影响。该矿规模较小，产生影响较轻微，所产生影响经自然恢复即可消除。</w:t>
      </w:r>
    </w:p>
    <w:p w14:paraId="6B6C9A0D">
      <w:pPr>
        <w:autoSpaceDE w:val="0"/>
        <w:autoSpaceDN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3）对项目区植被生态影响</w:t>
      </w:r>
    </w:p>
    <w:p w14:paraId="2F10704D">
      <w:pPr>
        <w:autoSpaceDE w:val="0"/>
        <w:autoSpaceDN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经调查项目所在现场调查，</w:t>
      </w:r>
      <w:r>
        <w:rPr>
          <w:rFonts w:hint="default" w:ascii="Times New Roman" w:hAnsi="Times New Roman" w:cs="Times New Roman"/>
          <w:color w:val="auto"/>
          <w:sz w:val="24"/>
          <w:highlight w:val="none"/>
          <w:lang w:val="en-US" w:eastAsia="zh-CN"/>
        </w:rPr>
        <w:t>项目区周边</w:t>
      </w:r>
      <w:r>
        <w:rPr>
          <w:rFonts w:hint="default" w:ascii="Times New Roman" w:hAnsi="Times New Roman" w:cs="Times New Roman"/>
          <w:color w:val="auto"/>
          <w:sz w:val="24"/>
          <w:highlight w:val="none"/>
        </w:rPr>
        <w:t>主要植物群落为针阔混交林，植被具有防风固沙、防水土流失功能。在生产过程中产生的无组织粉尘对植物的影响，主要表现在对作物光合作用的影响上。粒径大于1μm的颗粒物在扩散过程中可自然沉降，吸附于植物叶片上，阻塞气孔，影响生长，使叶片褪色、变硬，植物生长不良。粉尘落到田间会影响土壤的透水透气性能，不利于植物吸收土壤的养分，间接造成植物生长缓慢。另外，</w:t>
      </w:r>
      <w:r>
        <w:rPr>
          <w:rFonts w:hint="default" w:ascii="Times New Roman" w:hAnsi="Times New Roman" w:cs="Times New Roman"/>
          <w:color w:val="auto"/>
          <w:sz w:val="24"/>
          <w:highlight w:val="none"/>
          <w:lang w:val="en-US" w:eastAsia="zh-CN"/>
        </w:rPr>
        <w:t>矿石、</w:t>
      </w:r>
      <w:r>
        <w:rPr>
          <w:rFonts w:hint="default" w:ascii="Times New Roman" w:hAnsi="Times New Roman" w:cs="Times New Roman"/>
          <w:color w:val="auto"/>
          <w:sz w:val="24"/>
          <w:highlight w:val="none"/>
        </w:rPr>
        <w:t>废石</w:t>
      </w:r>
      <w:r>
        <w:rPr>
          <w:rFonts w:hint="default" w:ascii="Times New Roman" w:hAnsi="Times New Roman" w:cs="Times New Roman"/>
          <w:color w:val="auto"/>
          <w:sz w:val="24"/>
          <w:highlight w:val="none"/>
          <w:lang w:val="en-US" w:eastAsia="zh-CN"/>
        </w:rPr>
        <w:t>堆积</w:t>
      </w:r>
      <w:r>
        <w:rPr>
          <w:rFonts w:hint="default" w:ascii="Times New Roman" w:hAnsi="Times New Roman" w:cs="Times New Roman"/>
          <w:color w:val="auto"/>
          <w:sz w:val="24"/>
          <w:highlight w:val="none"/>
        </w:rPr>
        <w:t>、践踏等均会改变土壤结构、质地和物理性质，影响植被生长。采用</w:t>
      </w:r>
      <w:r>
        <w:rPr>
          <w:rFonts w:hint="default" w:ascii="Times New Roman" w:hAnsi="Times New Roman" w:cs="Times New Roman"/>
          <w:color w:val="auto"/>
          <w:sz w:val="24"/>
          <w:highlight w:val="none"/>
          <w:lang w:eastAsia="zh-CN"/>
        </w:rPr>
        <w:t>洒水</w:t>
      </w:r>
      <w:r>
        <w:rPr>
          <w:rFonts w:hint="default" w:ascii="Times New Roman" w:hAnsi="Times New Roman" w:cs="Times New Roman"/>
          <w:color w:val="auto"/>
          <w:sz w:val="24"/>
          <w:highlight w:val="none"/>
        </w:rPr>
        <w:t>、喷雾、封闭运输等方式可有效减少运输过程中对矿山生态环境的污染。</w:t>
      </w:r>
    </w:p>
    <w:p w14:paraId="216A21F4">
      <w:pPr>
        <w:autoSpaceDE w:val="0"/>
        <w:autoSpaceDN w:val="0"/>
        <w:spacing w:line="360" w:lineRule="auto"/>
        <w:ind w:firstLine="480" w:firstLineChars="200"/>
        <w:rPr>
          <w:rFonts w:hint="eastAsia"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4）对项目区野生动物影响</w:t>
      </w:r>
    </w:p>
    <w:p w14:paraId="45846340">
      <w:pPr>
        <w:autoSpaceDE w:val="0"/>
        <w:autoSpaceDN w:val="0"/>
        <w:spacing w:line="360" w:lineRule="auto"/>
        <w:ind w:firstLine="480" w:firstLineChars="200"/>
        <w:rPr>
          <w:rFonts w:hint="default" w:ascii="Times New Roman" w:hAnsi="Times New Roman" w:cs="Times New Roman"/>
          <w:color w:val="auto"/>
          <w:sz w:val="24"/>
          <w:highlight w:val="none"/>
        </w:rPr>
      </w:pPr>
      <w:bookmarkStart w:id="171" w:name="_Hlk90242392"/>
      <w:r>
        <w:rPr>
          <w:rFonts w:hint="default" w:ascii="Times New Roman" w:hAnsi="Times New Roman" w:cs="Times New Roman"/>
          <w:color w:val="auto"/>
          <w:sz w:val="24"/>
          <w:highlight w:val="none"/>
        </w:rPr>
        <w:t>经调查项目所在现场调查没有特有物种及珍稀种类，评估区域内野生动物不含有国家一二类保护动物。</w:t>
      </w:r>
    </w:p>
    <w:bookmarkEnd w:id="171"/>
    <w:p w14:paraId="52F24BA6">
      <w:pPr>
        <w:autoSpaceDE w:val="0"/>
        <w:autoSpaceDN w:val="0"/>
        <w:spacing w:line="360" w:lineRule="auto"/>
        <w:ind w:firstLine="480" w:firstLineChars="200"/>
        <w:rPr>
          <w:rFonts w:hint="eastAsia"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矿山在生产期间，不可避免</w:t>
      </w:r>
      <w:r>
        <w:rPr>
          <w:rFonts w:hint="default" w:ascii="Times New Roman" w:hAnsi="Times New Roman" w:cs="Times New Roman"/>
          <w:color w:val="auto"/>
          <w:sz w:val="24"/>
          <w:highlight w:val="none"/>
          <w:lang w:eastAsia="zh-CN"/>
        </w:rPr>
        <w:t>地</w:t>
      </w:r>
      <w:r>
        <w:rPr>
          <w:rFonts w:hint="default" w:ascii="Times New Roman" w:hAnsi="Times New Roman" w:cs="Times New Roman"/>
          <w:color w:val="auto"/>
          <w:sz w:val="24"/>
          <w:highlight w:val="none"/>
        </w:rPr>
        <w:t>会破坏动物的生境，使生态系统的组成和结构发生局部改变，建筑的噪声、振动会使矿区附近动物发生迁徙，其影响范围是矿山面积的5倍-10倍。项目区附近野生动物较少，所以影响较小，由于植物生境的破坏，使得植被覆盖率降低。再加上动物的迁徙，使系统的总生物量减少，对局部区域的生物量有较大的影响，但对整个地区生态系统的功能、稳定性不会产生大的影响，也不会引起物种减少。</w:t>
      </w:r>
    </w:p>
    <w:p w14:paraId="48FFDD82">
      <w:pPr>
        <w:spacing w:line="360" w:lineRule="auto"/>
        <w:ind w:firstLine="482" w:firstLineChars="200"/>
        <w:rPr>
          <w:rFonts w:hint="default" w:ascii="Times New Roman" w:hAnsi="Times New Roman" w:cs="Times New Roman"/>
          <w:b/>
          <w:bCs/>
          <w:color w:val="auto"/>
          <w:sz w:val="24"/>
          <w:highlight w:val="none"/>
          <w:lang w:val="en-US" w:eastAsia="zh-CN"/>
        </w:rPr>
      </w:pPr>
      <w:r>
        <w:rPr>
          <w:rFonts w:hint="default" w:ascii="Times New Roman" w:hAnsi="Times New Roman" w:cs="Times New Roman"/>
          <w:b/>
          <w:bCs/>
          <w:color w:val="auto"/>
          <w:sz w:val="24"/>
          <w:highlight w:val="none"/>
          <w:lang w:val="en-US" w:eastAsia="zh-CN"/>
        </w:rPr>
        <w:t>2、项目治理期间的生态环境协调性分析</w:t>
      </w:r>
    </w:p>
    <w:p w14:paraId="3CC04067">
      <w:pPr>
        <w:autoSpaceDE w:val="0"/>
        <w:autoSpaceDN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矿山的施工生产使其不能很好</w:t>
      </w:r>
      <w:r>
        <w:rPr>
          <w:rFonts w:hint="eastAsia" w:cs="Times New Roman"/>
          <w:color w:val="auto"/>
          <w:sz w:val="24"/>
          <w:highlight w:val="none"/>
          <w:lang w:eastAsia="zh-CN"/>
        </w:rPr>
        <w:t>地</w:t>
      </w:r>
      <w:r>
        <w:rPr>
          <w:rFonts w:hint="default" w:ascii="Times New Roman" w:hAnsi="Times New Roman" w:cs="Times New Roman"/>
          <w:color w:val="auto"/>
          <w:sz w:val="24"/>
          <w:highlight w:val="none"/>
        </w:rPr>
        <w:t>与周边原生生态环境相协调，通过环境治理及土地复垦方案工程措施与生物措施的逐步实施，将使破坏过的生态环境、区域内的生态条件得以改善。矿山治理中，将场地</w:t>
      </w:r>
      <w:r>
        <w:rPr>
          <w:rFonts w:hint="eastAsia" w:ascii="Times New Roman" w:hAnsi="Times New Roman" w:cs="Times New Roman"/>
          <w:color w:val="auto"/>
          <w:sz w:val="24"/>
          <w:highlight w:val="none"/>
          <w:lang w:val="en-US" w:eastAsia="zh-CN"/>
        </w:rPr>
        <w:t>进行</w:t>
      </w:r>
      <w:r>
        <w:rPr>
          <w:rFonts w:hint="default" w:ascii="Times New Roman" w:hAnsi="Times New Roman" w:cs="Times New Roman"/>
          <w:color w:val="auto"/>
          <w:sz w:val="24"/>
          <w:highlight w:val="none"/>
        </w:rPr>
        <w:t>整平，并进行覆土工程，有效恢复地表环境。同时矿山覆土使用土壤确保其质量不低于原质量，使地表环境恢复甚至高于原状态。闭矿后，采矿废水不外排，水环境通过自然恢复逐步与周边环境相一致。复垦工程中将对复垦场地进行栽植植被、撒播植草</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土壤施肥</w:t>
      </w:r>
      <w:r>
        <w:rPr>
          <w:rFonts w:hint="default" w:ascii="Times New Roman" w:hAnsi="Times New Roman" w:cs="Times New Roman"/>
          <w:color w:val="auto"/>
          <w:sz w:val="24"/>
          <w:highlight w:val="none"/>
        </w:rPr>
        <w:t>，植被选择当地品种，种植后与周边植被相协调，复垦</w:t>
      </w:r>
      <w:r>
        <w:rPr>
          <w:rFonts w:hint="default" w:ascii="Times New Roman" w:hAnsi="Times New Roman" w:cs="Times New Roman"/>
          <w:color w:val="auto"/>
          <w:sz w:val="24"/>
          <w:highlight w:val="none"/>
          <w:lang w:val="en-US" w:eastAsia="zh-CN"/>
        </w:rPr>
        <w:t>后</w:t>
      </w:r>
      <w:r>
        <w:rPr>
          <w:rFonts w:hint="default" w:ascii="Times New Roman" w:hAnsi="Times New Roman" w:cs="Times New Roman"/>
          <w:color w:val="auto"/>
          <w:sz w:val="24"/>
          <w:highlight w:val="none"/>
        </w:rPr>
        <w:t>可有效改善土壤环境，有利于植被生长。经矿山覆绿恢复后，矿山环境将逐步提升，从而增加更多适宜野生动物生存的生态环境。</w:t>
      </w:r>
    </w:p>
    <w:p w14:paraId="7CA2E705">
      <w:pPr>
        <w:autoSpaceDE w:val="0"/>
        <w:autoSpaceDN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综上所述，通过矿山地质环境恢复治理，使矿山地质环境和生态平衡得以恢复，地质灾害隐患得到有效防治，地下水环境破坏也将得到有效控制，并在一定程度上改善区内不良地质环境和生态环境。通过对区内地质灾害实施有效监测，有利于判断其稳定性和发展趋势，有利于矿区人民群众安居乐业和社会稳定。 </w:t>
      </w:r>
    </w:p>
    <w:p w14:paraId="726CD622">
      <w:pPr>
        <w:keepNext/>
        <w:keepLines/>
        <w:widowControl w:val="0"/>
        <w:spacing w:before="260" w:after="260" w:line="415" w:lineRule="auto"/>
        <w:outlineLvl w:val="1"/>
        <w:rPr>
          <w:rFonts w:hint="default" w:ascii="Times New Roman" w:hAnsi="Times New Roman" w:eastAsia="黑体" w:cs="Times New Roman"/>
          <w:bCs/>
          <w:color w:val="auto"/>
          <w:sz w:val="30"/>
          <w:szCs w:val="30"/>
          <w:highlight w:val="none"/>
        </w:rPr>
      </w:pPr>
      <w:bookmarkStart w:id="172" w:name="_Toc508869983"/>
      <w:bookmarkStart w:id="173" w:name="_Toc4649"/>
      <w:r>
        <w:rPr>
          <w:rFonts w:hint="default" w:ascii="Times New Roman" w:hAnsi="Times New Roman" w:eastAsia="黑体" w:cs="Times New Roman"/>
          <w:bCs/>
          <w:color w:val="auto"/>
          <w:sz w:val="30"/>
          <w:szCs w:val="30"/>
          <w:highlight w:val="none"/>
        </w:rPr>
        <w:t>二、矿区土地复垦可行性分析</w:t>
      </w:r>
      <w:bookmarkEnd w:id="170"/>
      <w:bookmarkEnd w:id="172"/>
      <w:bookmarkEnd w:id="173"/>
    </w:p>
    <w:p w14:paraId="7D25778B">
      <w:pPr>
        <w:pStyle w:val="5"/>
        <w:rPr>
          <w:rFonts w:hint="default" w:ascii="Times New Roman" w:hAnsi="Times New Roman" w:eastAsia="黑体" w:cs="Times New Roman"/>
          <w:b w:val="0"/>
          <w:bCs w:val="0"/>
          <w:color w:val="auto"/>
          <w:szCs w:val="28"/>
          <w:highlight w:val="none"/>
        </w:rPr>
      </w:pPr>
      <w:bookmarkStart w:id="174" w:name="_Toc485629709"/>
      <w:r>
        <w:rPr>
          <w:rFonts w:hint="default" w:ascii="Times New Roman" w:hAnsi="Times New Roman" w:eastAsia="黑体" w:cs="Times New Roman"/>
          <w:b w:val="0"/>
          <w:bCs w:val="0"/>
          <w:color w:val="auto"/>
          <w:szCs w:val="28"/>
          <w:highlight w:val="none"/>
        </w:rPr>
        <w:t>（一）复垦区土地利用现状</w:t>
      </w:r>
      <w:bookmarkEnd w:id="174"/>
      <w:r>
        <w:rPr>
          <w:rFonts w:hint="default" w:ascii="Times New Roman" w:hAnsi="Times New Roman" w:eastAsia="黑体" w:cs="Times New Roman"/>
          <w:b w:val="0"/>
          <w:bCs w:val="0"/>
          <w:color w:val="auto"/>
          <w:szCs w:val="28"/>
          <w:highlight w:val="none"/>
        </w:rPr>
        <w:t xml:space="preserve"> </w:t>
      </w:r>
    </w:p>
    <w:p w14:paraId="07156B7B">
      <w:pPr>
        <w:autoSpaceDE w:val="0"/>
        <w:autoSpaceDN w:val="0"/>
        <w:adjustRightInd w:val="0"/>
        <w:spacing w:line="360" w:lineRule="auto"/>
        <w:ind w:firstLine="480" w:firstLineChars="200"/>
        <w:jc w:val="both"/>
        <w:rPr>
          <w:rFonts w:hint="default" w:ascii="Times New Roman" w:hAnsi="Times New Roman" w:cs="Times New Roman"/>
          <w:color w:val="auto"/>
          <w:sz w:val="24"/>
          <w:highlight w:val="none"/>
        </w:rPr>
      </w:pPr>
      <w:bookmarkStart w:id="175" w:name="_Toc485629710"/>
      <w:r>
        <w:rPr>
          <w:rFonts w:hint="default" w:ascii="Times New Roman" w:hAnsi="Times New Roman" w:cs="Times New Roman"/>
          <w:b w:val="0"/>
          <w:bCs/>
          <w:color w:val="auto"/>
          <w:sz w:val="24"/>
          <w:szCs w:val="24"/>
          <w:highlight w:val="none"/>
          <w:lang w:val="en-US" w:eastAsia="zh-CN"/>
        </w:rPr>
        <w:t>矿山</w:t>
      </w:r>
      <w:r>
        <w:rPr>
          <w:rFonts w:hint="default" w:ascii="Times New Roman" w:hAnsi="Times New Roman" w:cs="Times New Roman"/>
          <w:b w:val="0"/>
          <w:bCs/>
          <w:color w:val="auto"/>
          <w:sz w:val="24"/>
          <w:szCs w:val="24"/>
          <w:highlight w:val="none"/>
        </w:rPr>
        <w:t>复垦</w:t>
      </w:r>
      <w:r>
        <w:rPr>
          <w:rFonts w:hint="default" w:ascii="Times New Roman" w:hAnsi="Times New Roman" w:cs="Times New Roman"/>
          <w:b w:val="0"/>
          <w:bCs/>
          <w:color w:val="auto"/>
          <w:sz w:val="24"/>
          <w:szCs w:val="24"/>
          <w:highlight w:val="none"/>
          <w:lang w:val="en-US" w:eastAsia="zh-CN"/>
        </w:rPr>
        <w:t>区</w:t>
      </w:r>
      <w:r>
        <w:rPr>
          <w:rFonts w:hint="default" w:ascii="Times New Roman" w:hAnsi="Times New Roman" w:cs="Times New Roman"/>
          <w:b w:val="0"/>
          <w:bCs/>
          <w:color w:val="auto"/>
          <w:sz w:val="24"/>
          <w:szCs w:val="24"/>
          <w:highlight w:val="none"/>
        </w:rPr>
        <w:t>面积</w:t>
      </w:r>
      <w:r>
        <w:rPr>
          <w:rFonts w:hint="eastAsia" w:cs="Times New Roman"/>
          <w:b w:val="0"/>
          <w:bCs/>
          <w:color w:val="auto"/>
          <w:sz w:val="24"/>
          <w:szCs w:val="24"/>
          <w:highlight w:val="none"/>
          <w:lang w:val="en-US" w:eastAsia="zh-CN"/>
        </w:rPr>
        <w:t>4.0745</w:t>
      </w:r>
      <w:r>
        <w:rPr>
          <w:rFonts w:hint="default" w:ascii="Times New Roman" w:hAnsi="Times New Roman" w:cs="Times New Roman"/>
          <w:b w:val="0"/>
          <w:bCs/>
          <w:color w:val="auto"/>
          <w:sz w:val="24"/>
          <w:szCs w:val="24"/>
          <w:highlight w:val="none"/>
        </w:rPr>
        <w:t>h</w:t>
      </w:r>
      <w:r>
        <w:rPr>
          <w:rFonts w:hint="default" w:ascii="Times New Roman" w:hAnsi="Times New Roman" w:cs="Times New Roman"/>
          <w:b w:val="0"/>
          <w:bCs/>
          <w:color w:val="auto"/>
          <w:sz w:val="24"/>
          <w:szCs w:val="24"/>
          <w:highlight w:val="none"/>
          <w:lang w:eastAsia="zh-CN"/>
        </w:rPr>
        <w:t>m</w:t>
      </w:r>
      <w:r>
        <w:rPr>
          <w:rFonts w:hint="default" w:ascii="Times New Roman" w:hAnsi="Times New Roman" w:cs="Times New Roman"/>
          <w:b w:val="0"/>
          <w:bCs/>
          <w:color w:val="auto"/>
          <w:sz w:val="24"/>
          <w:szCs w:val="24"/>
          <w:highlight w:val="none"/>
          <w:vertAlign w:val="superscript"/>
          <w:lang w:eastAsia="zh-CN"/>
        </w:rPr>
        <w:t>2</w:t>
      </w:r>
      <w:r>
        <w:rPr>
          <w:rFonts w:hint="default" w:ascii="Times New Roman" w:hAnsi="Times New Roman" w:cs="Times New Roman"/>
          <w:b w:val="0"/>
          <w:bCs/>
          <w:color w:val="auto"/>
          <w:sz w:val="24"/>
          <w:szCs w:val="24"/>
          <w:highlight w:val="none"/>
          <w:lang w:eastAsia="zh-CN"/>
        </w:rPr>
        <w:t>。</w:t>
      </w:r>
      <w:r>
        <w:rPr>
          <w:rFonts w:hint="default" w:ascii="Times New Roman" w:hAnsi="Times New Roman" w:cs="Times New Roman"/>
          <w:b w:val="0"/>
          <w:bCs/>
          <w:color w:val="auto"/>
          <w:sz w:val="24"/>
          <w:szCs w:val="24"/>
          <w:highlight w:val="none"/>
        </w:rPr>
        <w:t>土地类型为</w:t>
      </w:r>
      <w:r>
        <w:rPr>
          <w:rFonts w:hint="default" w:ascii="Times New Roman" w:hAnsi="Times New Roman" w:cs="Times New Roman"/>
          <w:color w:val="auto"/>
          <w:sz w:val="24"/>
          <w:highlight w:val="none"/>
        </w:rPr>
        <w:t>乔木林地</w:t>
      </w:r>
      <w:r>
        <w:rPr>
          <w:rFonts w:hint="eastAsia" w:cs="Times New Roman"/>
          <w:color w:val="auto"/>
          <w:sz w:val="24"/>
          <w:highlight w:val="none"/>
          <w:lang w:val="en-US" w:eastAsia="zh-CN"/>
        </w:rPr>
        <w:t>0.1810</w:t>
      </w:r>
      <w:r>
        <w:rPr>
          <w:rFonts w:hint="default" w:ascii="Times New Roman" w:hAnsi="Times New Roman" w:cs="Times New Roman"/>
          <w:color w:val="auto"/>
          <w:sz w:val="24"/>
          <w:highlight w:val="none"/>
        </w:rPr>
        <w:t>h</w:t>
      </w:r>
      <w:r>
        <w:rPr>
          <w:rFonts w:hint="default" w:ascii="Times New Roman" w:hAnsi="Times New Roman" w:cs="Times New Roman"/>
          <w:color w:val="auto"/>
          <w:sz w:val="24"/>
          <w:highlight w:val="none"/>
          <w:lang w:eastAsia="zh-CN"/>
        </w:rPr>
        <w:t>m</w:t>
      </w:r>
      <w:r>
        <w:rPr>
          <w:rFonts w:hint="default" w:ascii="Times New Roman" w:hAnsi="Times New Roman" w:cs="Times New Roman"/>
          <w:color w:val="auto"/>
          <w:sz w:val="24"/>
          <w:highlight w:val="none"/>
          <w:vertAlign w:val="superscript"/>
          <w:lang w:eastAsia="zh-CN"/>
        </w:rPr>
        <w:t>2</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采矿用地</w:t>
      </w:r>
      <w:r>
        <w:rPr>
          <w:rFonts w:hint="eastAsia" w:cs="Times New Roman"/>
          <w:color w:val="auto"/>
          <w:sz w:val="24"/>
          <w:highlight w:val="none"/>
          <w:lang w:val="en-US" w:eastAsia="zh-CN"/>
        </w:rPr>
        <w:t>3.8935</w:t>
      </w:r>
      <w:r>
        <w:rPr>
          <w:rFonts w:hint="default" w:ascii="Times New Roman" w:hAnsi="Times New Roman" w:cs="Times New Roman"/>
          <w:color w:val="auto"/>
          <w:sz w:val="24"/>
          <w:highlight w:val="none"/>
        </w:rPr>
        <w:t>h</w:t>
      </w:r>
      <w:r>
        <w:rPr>
          <w:rFonts w:hint="default" w:ascii="Times New Roman" w:hAnsi="Times New Roman" w:cs="Times New Roman"/>
          <w:color w:val="auto"/>
          <w:sz w:val="24"/>
          <w:highlight w:val="none"/>
          <w:lang w:eastAsia="zh-CN"/>
        </w:rPr>
        <w:t>m</w:t>
      </w:r>
      <w:r>
        <w:rPr>
          <w:rFonts w:hint="default" w:ascii="Times New Roman" w:hAnsi="Times New Roman" w:cs="Times New Roman"/>
          <w:color w:val="auto"/>
          <w:sz w:val="24"/>
          <w:highlight w:val="none"/>
          <w:vertAlign w:val="superscript"/>
          <w:lang w:eastAsia="zh-CN"/>
        </w:rPr>
        <w:t>2</w:t>
      </w:r>
      <w:r>
        <w:rPr>
          <w:rFonts w:hint="default" w:ascii="Times New Roman" w:hAnsi="Times New Roman" w:cs="Times New Roman"/>
          <w:color w:val="auto"/>
          <w:sz w:val="24"/>
          <w:szCs w:val="24"/>
          <w:highlight w:val="none"/>
        </w:rPr>
        <w:t>。</w:t>
      </w:r>
    </w:p>
    <w:p w14:paraId="302BA62C">
      <w:pPr>
        <w:pStyle w:val="5"/>
        <w:rPr>
          <w:rFonts w:hint="default" w:ascii="Times New Roman" w:hAnsi="Times New Roman" w:eastAsia="黑体" w:cs="Times New Roman"/>
          <w:b w:val="0"/>
          <w:bCs w:val="0"/>
          <w:color w:val="auto"/>
          <w:szCs w:val="28"/>
          <w:highlight w:val="none"/>
        </w:rPr>
      </w:pPr>
      <w:r>
        <w:rPr>
          <w:rFonts w:hint="default" w:ascii="Times New Roman" w:hAnsi="Times New Roman" w:eastAsia="黑体" w:cs="Times New Roman"/>
          <w:b w:val="0"/>
          <w:bCs w:val="0"/>
          <w:color w:val="auto"/>
          <w:szCs w:val="28"/>
          <w:highlight w:val="none"/>
        </w:rPr>
        <w:t xml:space="preserve">（二）土地复垦适宜性评价 </w:t>
      </w:r>
    </w:p>
    <w:p w14:paraId="79098490">
      <w:pPr>
        <w:spacing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1、评价原则</w:t>
      </w:r>
    </w:p>
    <w:p w14:paraId="4FE7AC85">
      <w:pPr>
        <w:autoSpaceDE w:val="0"/>
        <w:autoSpaceDN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土地适宜性评价是针对复垦区的拟损毁土地进行的潜在的适宜性评价，根据损毁土地的自然属性和损毁状况，适当对社会经济因素作为背景条件，来评定未来土地复垦治理后对农、林、牧、副、渔及其他利用方向的适宜性及适宜程度、限制性及限制程度，是一种预测性的土地适宜性评价。</w:t>
      </w:r>
    </w:p>
    <w:p w14:paraId="515C74E7">
      <w:pPr>
        <w:autoSpaceDE w:val="0"/>
        <w:autoSpaceDN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1）符合土地利用总体规划，并与其他规划相协调。</w:t>
      </w:r>
    </w:p>
    <w:p w14:paraId="762B324E">
      <w:pPr>
        <w:autoSpaceDE w:val="0"/>
        <w:autoSpaceDN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2）因地制宜原则。</w:t>
      </w:r>
    </w:p>
    <w:p w14:paraId="01A8DE25">
      <w:pPr>
        <w:autoSpaceDE w:val="0"/>
        <w:autoSpaceDN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3）土地复垦耕地优先和综合效益最佳原则。</w:t>
      </w:r>
    </w:p>
    <w:p w14:paraId="7F7604B4">
      <w:pPr>
        <w:autoSpaceDE w:val="0"/>
        <w:autoSpaceDN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4）主导性限制因素与综合平衡原则。</w:t>
      </w:r>
    </w:p>
    <w:p w14:paraId="730DD927">
      <w:pPr>
        <w:autoSpaceDE w:val="0"/>
        <w:autoSpaceDN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5）复垦后土地可持续利用原则。</w:t>
      </w:r>
    </w:p>
    <w:p w14:paraId="2CCF4583">
      <w:pPr>
        <w:autoSpaceDE w:val="0"/>
        <w:autoSpaceDN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6）经济可行、技术合理性原则。</w:t>
      </w:r>
    </w:p>
    <w:p w14:paraId="59C257FE">
      <w:pPr>
        <w:autoSpaceDE w:val="0"/>
        <w:autoSpaceDN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7）社会因素和经济因素相结合原则。</w:t>
      </w:r>
    </w:p>
    <w:p w14:paraId="1240E80B">
      <w:pPr>
        <w:spacing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2、评价依据</w:t>
      </w:r>
    </w:p>
    <w:p w14:paraId="24137DCA">
      <w:pPr>
        <w:pStyle w:val="156"/>
        <w:tabs>
          <w:tab w:val="left" w:pos="360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1）《中华人民共和国土地管理法》</w:t>
      </w:r>
      <w:r>
        <w:rPr>
          <w:rFonts w:hint="default" w:ascii="Times New Roman" w:hAnsi="Times New Roman" w:eastAsia="宋体" w:cs="Times New Roman"/>
          <w:color w:val="auto"/>
          <w:highlight w:val="none"/>
          <w:lang w:eastAsia="zh-CN"/>
        </w:rPr>
        <w:t>（2020年1月1日</w:t>
      </w:r>
      <w:r>
        <w:rPr>
          <w:rFonts w:hint="default" w:ascii="Times New Roman" w:hAnsi="Times New Roman" w:eastAsia="宋体" w:cs="Times New Roman"/>
          <w:color w:val="auto"/>
          <w:highlight w:val="none"/>
        </w:rPr>
        <w:t>）；</w:t>
      </w:r>
    </w:p>
    <w:p w14:paraId="4B47F874">
      <w:pPr>
        <w:pStyle w:val="156"/>
        <w:tabs>
          <w:tab w:val="left" w:pos="360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2）《土地复垦条例》（2011年3月）；</w:t>
      </w:r>
    </w:p>
    <w:p w14:paraId="35738783">
      <w:pPr>
        <w:pStyle w:val="156"/>
        <w:tabs>
          <w:tab w:val="left" w:pos="360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3）《土地复垦质量控制标准》（TD/T1036-2013）；</w:t>
      </w:r>
    </w:p>
    <w:p w14:paraId="6B31B013">
      <w:pPr>
        <w:pStyle w:val="156"/>
        <w:tabs>
          <w:tab w:val="left" w:pos="360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4）《土地开发整理规划编制规程》</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2000年施行）；</w:t>
      </w:r>
    </w:p>
    <w:p w14:paraId="42FFED5A">
      <w:pPr>
        <w:pStyle w:val="156"/>
        <w:tabs>
          <w:tab w:val="left" w:pos="3600"/>
        </w:tabs>
        <w:rPr>
          <w:rFonts w:hint="eastAsia"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5）《</w:t>
      </w:r>
      <w:r>
        <w:rPr>
          <w:rFonts w:hint="eastAsia" w:eastAsia="宋体" w:cs="Times New Roman"/>
          <w:color w:val="auto"/>
          <w:highlight w:val="none"/>
          <w:lang w:eastAsia="zh-CN"/>
        </w:rPr>
        <w:t>永吉县</w:t>
      </w:r>
      <w:r>
        <w:rPr>
          <w:rFonts w:hint="default" w:ascii="Times New Roman" w:hAnsi="Times New Roman" w:eastAsia="宋体" w:cs="Times New Roman"/>
          <w:color w:val="auto"/>
          <w:highlight w:val="none"/>
        </w:rPr>
        <w:t>国土空间总体规划（2021-2035年）》</w:t>
      </w:r>
      <w:r>
        <w:rPr>
          <w:rFonts w:hint="eastAsia" w:eastAsia="宋体" w:cs="Times New Roman"/>
          <w:color w:val="auto"/>
          <w:highlight w:val="none"/>
          <w:lang w:eastAsia="zh-CN"/>
        </w:rPr>
        <w:t>。</w:t>
      </w:r>
    </w:p>
    <w:p w14:paraId="06FD2E25">
      <w:pPr>
        <w:spacing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3、评价体系</w:t>
      </w:r>
    </w:p>
    <w:p w14:paraId="467A3A69">
      <w:pPr>
        <w:pStyle w:val="156"/>
        <w:tabs>
          <w:tab w:val="left" w:pos="360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评价体系分为二级和三级体系两种类型。</w:t>
      </w:r>
    </w:p>
    <w:p w14:paraId="1ED39B55">
      <w:pPr>
        <w:pStyle w:val="156"/>
        <w:tabs>
          <w:tab w:val="left" w:pos="360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二级体系分成两个序列，土地适宜类和土地质量等，土地适宜类一般分成适宜类、暂不适宜类和不适宜类，类别下面再续分若干土地质量等。土地质量等一般分一等地、二等地和三等地，暂不适宜类和不适宜类一般不再续分。</w:t>
      </w:r>
    </w:p>
    <w:p w14:paraId="227DC330">
      <w:pPr>
        <w:pStyle w:val="156"/>
        <w:tabs>
          <w:tab w:val="left" w:pos="360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三级体系分成三个序列，土地适宜类、土地质量等和土地限制型。土地适宜类和土地质量等续分与二级体系一致。根据不同的限制因素，在土地质量等以下又分成若干土地限制型。</w:t>
      </w:r>
    </w:p>
    <w:p w14:paraId="7033C9F7">
      <w:pPr>
        <w:pStyle w:val="156"/>
        <w:tabs>
          <w:tab w:val="left" w:pos="360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本方案采用二级体系进行评价。</w:t>
      </w:r>
    </w:p>
    <w:p w14:paraId="3EB5CDF6">
      <w:pPr>
        <w:spacing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4、评价方法</w:t>
      </w:r>
    </w:p>
    <w:p w14:paraId="06677EC1">
      <w:pPr>
        <w:pStyle w:val="156"/>
        <w:tabs>
          <w:tab w:val="left" w:pos="360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评价方法分为定性和定量法分析两类。定性方法是对评价单元的原土地利用状况、土地破坏、公众参与、当地社会经济等情况进行综合性分析，确定土地复垦方向和适宜性等级。定量分析包括极限条件法、综合指数法等。</w:t>
      </w:r>
    </w:p>
    <w:p w14:paraId="3D596E97">
      <w:pPr>
        <w:pStyle w:val="156"/>
        <w:tabs>
          <w:tab w:val="left" w:pos="360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极限条件法模型为：Yi=min</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Yij）。</w:t>
      </w:r>
    </w:p>
    <w:p w14:paraId="16D65D6C">
      <w:pPr>
        <w:pStyle w:val="156"/>
        <w:tabs>
          <w:tab w:val="left" w:pos="360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式中：Yi为第i个评价单元的最终分值；Yij为第i个评价单元中第j参评因子的分值。</w:t>
      </w:r>
    </w:p>
    <w:p w14:paraId="30BE6F82">
      <w:pPr>
        <w:spacing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5、评价单元的划分</w:t>
      </w:r>
    </w:p>
    <w:p w14:paraId="65B904C8">
      <w:pPr>
        <w:autoSpaceDE w:val="0"/>
        <w:autoSpaceDN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评价单元是土地适宜性评价的基本单元，是评价的具体对象。土地对农林牧业利用类型的适宜性和适宜程度及其地域分布状况，都是通过评价单元及其组合状况来反映的。评价单元的划分与确定应在遵循评价原则的前提下，根据评价区的具体情况来决定。</w:t>
      </w:r>
    </w:p>
    <w:p w14:paraId="449C383C">
      <w:pPr>
        <w:autoSpaceDE w:val="0"/>
        <w:autoSpaceDN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综上所述，</w:t>
      </w:r>
      <w:r>
        <w:rPr>
          <w:rFonts w:hint="default" w:ascii="Times New Roman" w:hAnsi="Times New Roman" w:cs="Times New Roman"/>
          <w:color w:val="auto"/>
          <w:sz w:val="24"/>
          <w:highlight w:val="none"/>
        </w:rPr>
        <w:t>根据本项目损毁土地预测结果，本项目复垦适宜性评价单元划分为</w:t>
      </w:r>
      <w:r>
        <w:rPr>
          <w:rFonts w:hint="eastAsia" w:cs="Times New Roman"/>
          <w:color w:val="auto"/>
          <w:sz w:val="24"/>
          <w:highlight w:val="none"/>
          <w:lang w:val="en-US" w:eastAsia="zh-CN"/>
        </w:rPr>
        <w:t>8</w:t>
      </w:r>
      <w:r>
        <w:rPr>
          <w:rFonts w:hint="default" w:ascii="Times New Roman" w:hAnsi="Times New Roman" w:cs="Times New Roman"/>
          <w:color w:val="auto"/>
          <w:sz w:val="24"/>
          <w:highlight w:val="none"/>
        </w:rPr>
        <w:t>个评价单元，具体见表4-1。</w:t>
      </w:r>
    </w:p>
    <w:p w14:paraId="686C966C">
      <w:pPr>
        <w:ind w:firstLine="682" w:firstLineChars="325"/>
        <w:jc w:val="center"/>
        <w:rPr>
          <w:rFonts w:hint="default" w:ascii="Times New Roman" w:hAnsi="Times New Roman" w:eastAsia="黑体" w:cs="Times New Roman"/>
          <w:b w:val="0"/>
          <w:bCs/>
          <w:color w:val="auto"/>
          <w:szCs w:val="21"/>
          <w:highlight w:val="none"/>
          <w:lang w:val="en-US" w:eastAsia="zh-CN"/>
        </w:rPr>
      </w:pPr>
      <w:r>
        <w:rPr>
          <w:rFonts w:hint="default" w:ascii="Times New Roman" w:hAnsi="Times New Roman" w:eastAsia="黑体" w:cs="Times New Roman"/>
          <w:b w:val="0"/>
          <w:bCs/>
          <w:color w:val="auto"/>
          <w:szCs w:val="21"/>
          <w:highlight w:val="none"/>
        </w:rPr>
        <w:t xml:space="preserve">表4-1  </w:t>
      </w:r>
      <w:r>
        <w:rPr>
          <w:rFonts w:hint="eastAsia" w:eastAsia="黑体" w:cs="Times New Roman"/>
          <w:b w:val="0"/>
          <w:bCs/>
          <w:color w:val="auto"/>
          <w:szCs w:val="21"/>
          <w:highlight w:val="none"/>
          <w:lang w:eastAsia="zh-CN"/>
        </w:rPr>
        <w:t>北大湖采石场</w:t>
      </w:r>
      <w:r>
        <w:rPr>
          <w:rFonts w:hint="default" w:ascii="Times New Roman" w:hAnsi="Times New Roman" w:eastAsia="黑体" w:cs="Times New Roman"/>
          <w:b w:val="0"/>
          <w:bCs/>
          <w:color w:val="auto"/>
          <w:szCs w:val="21"/>
          <w:highlight w:val="none"/>
        </w:rPr>
        <w:t>复垦土地适应性评价单元划分表</w:t>
      </w:r>
      <w:r>
        <w:rPr>
          <w:rFonts w:hint="eastAsia" w:eastAsia="黑体" w:cs="Times New Roman"/>
          <w:b w:val="0"/>
          <w:bCs/>
          <w:color w:val="auto"/>
          <w:szCs w:val="21"/>
          <w:highlight w:val="none"/>
          <w:lang w:val="en-US" w:eastAsia="zh-CN"/>
        </w:rPr>
        <w:t xml:space="preserve">  单位：hm</w:t>
      </w:r>
      <w:r>
        <w:rPr>
          <w:rFonts w:hint="eastAsia" w:eastAsia="黑体" w:cs="Times New Roman"/>
          <w:b w:val="0"/>
          <w:bCs/>
          <w:color w:val="auto"/>
          <w:szCs w:val="21"/>
          <w:highlight w:val="none"/>
          <w:vertAlign w:val="superscript"/>
          <w:lang w:val="en-US" w:eastAsia="zh-CN"/>
        </w:rPr>
        <w:t>2</w:t>
      </w:r>
    </w:p>
    <w:tbl>
      <w:tblPr>
        <w:tblStyle w:val="34"/>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66"/>
        <w:gridCol w:w="1049"/>
        <w:gridCol w:w="1076"/>
        <w:gridCol w:w="1056"/>
        <w:gridCol w:w="1340"/>
        <w:gridCol w:w="1320"/>
        <w:gridCol w:w="1412"/>
      </w:tblGrid>
      <w:tr w14:paraId="39228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3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A409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损毁单元</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C284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损毁类型</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D0BC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损毁程度</w:t>
            </w:r>
          </w:p>
        </w:tc>
        <w:tc>
          <w:tcPr>
            <w:tcW w:w="7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028036">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乔木林地</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71B4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采矿用地</w:t>
            </w:r>
          </w:p>
        </w:tc>
        <w:tc>
          <w:tcPr>
            <w:tcW w:w="8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41AF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合计</w:t>
            </w:r>
          </w:p>
        </w:tc>
      </w:tr>
      <w:tr w14:paraId="00BE86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66" w:type="dxa"/>
            <w:vMerge w:val="restart"/>
            <w:tcBorders>
              <w:top w:val="single" w:color="000000" w:sz="4" w:space="0"/>
              <w:left w:val="single" w:color="000000" w:sz="4" w:space="0"/>
              <w:right w:val="single" w:color="auto" w:sz="4" w:space="0"/>
            </w:tcBorders>
            <w:shd w:val="clear" w:color="auto" w:fill="auto"/>
            <w:noWrap/>
            <w:vAlign w:val="center"/>
          </w:tcPr>
          <w:p w14:paraId="07377AA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露天采场</w:t>
            </w:r>
          </w:p>
        </w:tc>
        <w:tc>
          <w:tcPr>
            <w:tcW w:w="1049"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1F4A996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坑底</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BAA6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挖损</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C268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重度</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FE9F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0.1043 </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8BA6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1.2802 </w:t>
            </w:r>
          </w:p>
        </w:tc>
        <w:tc>
          <w:tcPr>
            <w:tcW w:w="1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62B2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1.3845 </w:t>
            </w:r>
          </w:p>
        </w:tc>
      </w:tr>
      <w:tr w14:paraId="5B719C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66" w:type="dxa"/>
            <w:vMerge w:val="continue"/>
            <w:tcBorders>
              <w:left w:val="single" w:color="000000" w:sz="4" w:space="0"/>
              <w:right w:val="single" w:color="auto" w:sz="4" w:space="0"/>
            </w:tcBorders>
            <w:shd w:val="clear" w:color="auto" w:fill="auto"/>
            <w:noWrap/>
            <w:vAlign w:val="center"/>
          </w:tcPr>
          <w:p w14:paraId="3F6EFD4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049" w:type="dxa"/>
            <w:tcBorders>
              <w:top w:val="single" w:color="000000" w:sz="4" w:space="0"/>
              <w:left w:val="single" w:color="auto" w:sz="4" w:space="0"/>
              <w:bottom w:val="single" w:color="auto" w:sz="4" w:space="0"/>
              <w:right w:val="single" w:color="000000" w:sz="4" w:space="0"/>
            </w:tcBorders>
            <w:shd w:val="clear" w:color="auto" w:fill="auto"/>
            <w:noWrap/>
            <w:vAlign w:val="center"/>
          </w:tcPr>
          <w:p w14:paraId="325BE10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平台</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80DD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挖损</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1BA2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重度</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A878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0.0064 </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10CF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0.2812 </w:t>
            </w:r>
          </w:p>
        </w:tc>
        <w:tc>
          <w:tcPr>
            <w:tcW w:w="1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0495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0.2876 </w:t>
            </w:r>
          </w:p>
        </w:tc>
      </w:tr>
      <w:tr w14:paraId="655E62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66" w:type="dxa"/>
            <w:vMerge w:val="continue"/>
            <w:tcBorders>
              <w:left w:val="single" w:color="000000" w:sz="4" w:space="0"/>
              <w:bottom w:val="single" w:color="auto" w:sz="4" w:space="0"/>
              <w:right w:val="single" w:color="auto" w:sz="4" w:space="0"/>
            </w:tcBorders>
            <w:shd w:val="clear" w:color="auto" w:fill="auto"/>
            <w:noWrap/>
            <w:vAlign w:val="center"/>
          </w:tcPr>
          <w:p w14:paraId="6FA2849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049" w:type="dxa"/>
            <w:tcBorders>
              <w:top w:val="single" w:color="auto" w:sz="4" w:space="0"/>
              <w:left w:val="single" w:color="auto" w:sz="4" w:space="0"/>
              <w:bottom w:val="single" w:color="auto" w:sz="4" w:space="0"/>
              <w:right w:val="single" w:color="000000" w:sz="4" w:space="0"/>
            </w:tcBorders>
            <w:shd w:val="clear" w:color="auto" w:fill="auto"/>
            <w:noWrap/>
            <w:vAlign w:val="center"/>
          </w:tcPr>
          <w:p w14:paraId="7A3B617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边坡</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4D13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挖损</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A851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重度</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9EBE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0.0703 </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7C06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0.7976 </w:t>
            </w:r>
          </w:p>
        </w:tc>
        <w:tc>
          <w:tcPr>
            <w:tcW w:w="1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33E9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0.8679 </w:t>
            </w:r>
          </w:p>
        </w:tc>
      </w:tr>
      <w:tr w14:paraId="44D778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315" w:type="dxa"/>
            <w:gridSpan w:val="2"/>
            <w:tcBorders>
              <w:top w:val="single" w:color="auto" w:sz="4" w:space="0"/>
              <w:left w:val="single" w:color="000000" w:sz="4" w:space="0"/>
              <w:bottom w:val="single" w:color="auto" w:sz="4" w:space="0"/>
              <w:right w:val="single" w:color="auto" w:sz="4" w:space="0"/>
            </w:tcBorders>
            <w:shd w:val="clear" w:color="auto" w:fill="auto"/>
            <w:noWrap/>
            <w:vAlign w:val="center"/>
          </w:tcPr>
          <w:p w14:paraId="14B2244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工业广场</w:t>
            </w:r>
          </w:p>
        </w:tc>
        <w:tc>
          <w:tcPr>
            <w:tcW w:w="107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42512A2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压占</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96D8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重度</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340C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0.0000 </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0162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0.6845 </w:t>
            </w:r>
          </w:p>
        </w:tc>
        <w:tc>
          <w:tcPr>
            <w:tcW w:w="1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BCE8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0.6845 </w:t>
            </w:r>
          </w:p>
        </w:tc>
      </w:tr>
      <w:tr w14:paraId="45B4AB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315" w:type="dxa"/>
            <w:gridSpan w:val="2"/>
            <w:tcBorders>
              <w:top w:val="single" w:color="auto" w:sz="4" w:space="0"/>
              <w:left w:val="single" w:color="000000" w:sz="4" w:space="0"/>
              <w:bottom w:val="single" w:color="000000" w:sz="4" w:space="0"/>
              <w:right w:val="single" w:color="000000" w:sz="4" w:space="0"/>
            </w:tcBorders>
            <w:shd w:val="clear" w:color="auto" w:fill="auto"/>
            <w:noWrap/>
            <w:vAlign w:val="center"/>
          </w:tcPr>
          <w:p w14:paraId="2D4A33A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办公生活区</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23B4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压占</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C4FB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重度</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D03A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0.0000 </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E229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0.2605 </w:t>
            </w:r>
          </w:p>
        </w:tc>
        <w:tc>
          <w:tcPr>
            <w:tcW w:w="1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7C7B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0.2605 </w:t>
            </w:r>
          </w:p>
        </w:tc>
      </w:tr>
      <w:tr w14:paraId="4C28D8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31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EEBB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原有办公室及临时堆料场</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08F8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压占</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E616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重度</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9C0C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0.0000 </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C348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0.1178 </w:t>
            </w:r>
          </w:p>
        </w:tc>
        <w:tc>
          <w:tcPr>
            <w:tcW w:w="1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BFEF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0.1178 </w:t>
            </w:r>
          </w:p>
        </w:tc>
      </w:tr>
      <w:tr w14:paraId="59D23A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31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51DB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矿山道路</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351F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压占</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CD80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重度</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BDE2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0.0000 </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FD83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0.1624 </w:t>
            </w:r>
          </w:p>
        </w:tc>
        <w:tc>
          <w:tcPr>
            <w:tcW w:w="1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B986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0.1624 </w:t>
            </w:r>
          </w:p>
        </w:tc>
      </w:tr>
      <w:tr w14:paraId="1A7543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31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60F3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表土堆场</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F7CA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压占</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8975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重度</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9CBC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0.0000 </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CF62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0.3093 </w:t>
            </w:r>
          </w:p>
        </w:tc>
        <w:tc>
          <w:tcPr>
            <w:tcW w:w="1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C737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0.3093 </w:t>
            </w:r>
          </w:p>
        </w:tc>
      </w:tr>
    </w:tbl>
    <w:p w14:paraId="13CE40E4">
      <w:pPr>
        <w:pStyle w:val="156"/>
        <w:tabs>
          <w:tab w:val="left" w:pos="360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依据复垦区的土地利用总体规划、公众参与意见以及其他社会经济政策因素，最大程度的方便将来城镇的经济建设，同时根据其土地利用现状图，初步确定复垦区待复垦土地的复垦方向为</w:t>
      </w:r>
      <w:r>
        <w:rPr>
          <w:rFonts w:hint="default" w:ascii="Times New Roman" w:hAnsi="Times New Roman" w:eastAsia="宋体" w:cs="Times New Roman"/>
          <w:bCs/>
          <w:color w:val="auto"/>
          <w:highlight w:val="none"/>
        </w:rPr>
        <w:t>乔木林地</w:t>
      </w:r>
      <w:r>
        <w:rPr>
          <w:rFonts w:hint="default" w:ascii="Times New Roman" w:hAnsi="Times New Roman" w:eastAsia="宋体" w:cs="Times New Roman"/>
          <w:color w:val="auto"/>
          <w:highlight w:val="none"/>
        </w:rPr>
        <w:t>。</w:t>
      </w:r>
    </w:p>
    <w:p w14:paraId="1F27BE85">
      <w:pPr>
        <w:spacing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6、评价体系和评价方法的选择</w:t>
      </w:r>
    </w:p>
    <w:p w14:paraId="2209F93E">
      <w:pPr>
        <w:pStyle w:val="156"/>
        <w:tabs>
          <w:tab w:val="left" w:pos="360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本项目矿区所在区域自然环境特征、结合矿区土地破坏特点、土地类型等有关指标，参阅有关矿区破坏土地适宜性评价和复垦经验，本项目土地复垦适宜性评价选择评价体系为二级；本复垦方案土地适宜性评价采用极限条件法进行，这种评价方法的优势在于重点突出了由于破坏造成的对土地利用的限制影响，体现了复垦适宜性评价是在破坏预测基础上进行的特点。</w:t>
      </w:r>
    </w:p>
    <w:p w14:paraId="0AA403F7">
      <w:pPr>
        <w:spacing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7、评价指标体系和标准的建立</w:t>
      </w:r>
    </w:p>
    <w:p w14:paraId="0C68946E">
      <w:pPr>
        <w:pStyle w:val="156"/>
        <w:tabs>
          <w:tab w:val="left" w:pos="360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根据初步确定的复垦方向，结合复垦区的特点，选取破坏后影响土地利用的主导因素，构建评价指标体系及标准。</w:t>
      </w:r>
    </w:p>
    <w:p w14:paraId="2AA7156C">
      <w:pPr>
        <w:pStyle w:val="156"/>
        <w:tabs>
          <w:tab w:val="left" w:pos="360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根据矿区所在区域自然环境特征、结合矿区土地破坏特点、土地类型等有关指标，参阅有关矿区破坏土地适宜性评价和复垦经验，本方案土地适宜性评价限制因子选取主要考虑以下几个方面指标：矿区</w:t>
      </w:r>
      <w:r>
        <w:rPr>
          <w:rFonts w:hint="default" w:ascii="Times New Roman" w:hAnsi="Times New Roman" w:eastAsia="宋体" w:cs="Times New Roman"/>
          <w:color w:val="auto"/>
          <w:highlight w:val="none"/>
          <w:lang w:eastAsia="zh-CN"/>
        </w:rPr>
        <w:t>土地</w:t>
      </w:r>
      <w:r>
        <w:rPr>
          <w:rFonts w:hint="default" w:ascii="Times New Roman" w:hAnsi="Times New Roman" w:eastAsia="宋体" w:cs="Times New Roman"/>
          <w:color w:val="auto"/>
          <w:highlight w:val="none"/>
        </w:rPr>
        <w:t>破坏类型和破坏程度、土地破坏前的利用状况、破坏土地复垦的客观条件。土地适宜性评价系统图见图4-1。适宜性评价限制因素分级标准见表4-2，参评单元的土地质量状况结果见表4-3。</w:t>
      </w:r>
    </w:p>
    <w:p w14:paraId="5F635340">
      <w:pPr>
        <w:pStyle w:val="156"/>
        <w:tabs>
          <w:tab w:val="left" w:pos="3600"/>
        </w:tabs>
        <w:ind w:firstLine="42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mc:AlternateContent>
          <mc:Choice Requires="wpc">
            <w:drawing>
              <wp:inline distT="0" distB="0" distL="114300" distR="114300">
                <wp:extent cx="5257800" cy="2080260"/>
                <wp:effectExtent l="0" t="4445" r="0" b="10795"/>
                <wp:docPr id="36" name="画布 3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文本框 374"/>
                        <wps:cNvSpPr txBox="1"/>
                        <wps:spPr>
                          <a:xfrm>
                            <a:off x="571786" y="0"/>
                            <a:ext cx="1485329" cy="29540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C3E43F">
                              <w:pPr>
                                <w:spacing w:line="240" w:lineRule="exact"/>
                                <w:jc w:val="center"/>
                                <w:rPr>
                                  <w:rFonts w:ascii="仿宋_GB2312" w:eastAsia="仿宋_GB2312"/>
                                </w:rPr>
                              </w:pPr>
                              <w:r>
                                <w:rPr>
                                  <w:rFonts w:hint="eastAsia" w:ascii="仿宋_GB2312" w:eastAsia="仿宋_GB2312"/>
                                </w:rPr>
                                <w:t>适宜性评价分类系统</w:t>
                              </w:r>
                            </w:p>
                          </w:txbxContent>
                        </wps:txbx>
                        <wps:bodyPr upright="1"/>
                      </wps:wsp>
                      <wps:wsp>
                        <wps:cNvPr id="8" name="文本框 375"/>
                        <wps:cNvSpPr txBox="1"/>
                        <wps:spPr>
                          <a:xfrm>
                            <a:off x="2972118" y="891332"/>
                            <a:ext cx="682784" cy="2968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46FA46">
                              <w:pPr>
                                <w:spacing w:line="240" w:lineRule="exact"/>
                                <w:jc w:val="center"/>
                                <w:rPr>
                                  <w:rFonts w:ascii="仿宋_GB2312" w:eastAsia="仿宋_GB2312"/>
                                </w:rPr>
                              </w:pPr>
                              <w:r>
                                <w:rPr>
                                  <w:rFonts w:hint="eastAsia" w:ascii="仿宋_GB2312" w:eastAsia="仿宋_GB2312"/>
                                </w:rPr>
                                <w:t>宜林型</w:t>
                              </w:r>
                            </w:p>
                          </w:txbxContent>
                        </wps:txbx>
                        <wps:bodyPr upright="1"/>
                      </wps:wsp>
                      <wps:wsp>
                        <wps:cNvPr id="13" name="文本框 376"/>
                        <wps:cNvSpPr txBox="1"/>
                        <wps:spPr>
                          <a:xfrm>
                            <a:off x="2972118" y="1585724"/>
                            <a:ext cx="684975" cy="2968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5EEF2E4">
                              <w:pPr>
                                <w:spacing w:line="240" w:lineRule="exact"/>
                                <w:jc w:val="center"/>
                                <w:rPr>
                                  <w:rFonts w:ascii="仿宋_GB2312" w:eastAsia="仿宋_GB2312"/>
                                </w:rPr>
                              </w:pPr>
                              <w:r>
                                <w:rPr>
                                  <w:rFonts w:hint="eastAsia" w:ascii="仿宋_GB2312" w:eastAsia="仿宋_GB2312"/>
                                </w:rPr>
                                <w:t>宜草型</w:t>
                              </w:r>
                            </w:p>
                          </w:txbxContent>
                        </wps:txbx>
                        <wps:bodyPr upright="1"/>
                      </wps:wsp>
                      <wps:wsp>
                        <wps:cNvPr id="14" name="文本框 377"/>
                        <wps:cNvSpPr txBox="1"/>
                        <wps:spPr>
                          <a:xfrm>
                            <a:off x="1371409" y="891332"/>
                            <a:ext cx="1028922" cy="29759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1AE40C">
                              <w:pPr>
                                <w:spacing w:line="240" w:lineRule="exact"/>
                                <w:jc w:val="center"/>
                                <w:rPr>
                                  <w:rFonts w:ascii="仿宋_GB2312" w:eastAsia="仿宋_GB2312"/>
                                </w:rPr>
                              </w:pPr>
                              <w:r>
                                <w:rPr>
                                  <w:rFonts w:hint="eastAsia" w:ascii="仿宋_GB2312" w:eastAsia="仿宋_GB2312"/>
                                </w:rPr>
                                <w:t>适宜类</w:t>
                              </w:r>
                            </w:p>
                          </w:txbxContent>
                        </wps:txbx>
                        <wps:bodyPr upright="1"/>
                      </wps:wsp>
                      <wps:wsp>
                        <wps:cNvPr id="15" name="文本框 378"/>
                        <wps:cNvSpPr txBox="1"/>
                        <wps:spPr>
                          <a:xfrm>
                            <a:off x="228568" y="1783393"/>
                            <a:ext cx="915003" cy="2968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348E2A3">
                              <w:pPr>
                                <w:spacing w:line="240" w:lineRule="exact"/>
                                <w:jc w:val="center"/>
                                <w:rPr>
                                  <w:rFonts w:ascii="仿宋_GB2312" w:eastAsia="仿宋_GB2312"/>
                                </w:rPr>
                              </w:pPr>
                              <w:r>
                                <w:rPr>
                                  <w:rFonts w:hint="eastAsia" w:ascii="仿宋_GB2312" w:eastAsia="仿宋_GB2312"/>
                                </w:rPr>
                                <w:t>暂不适宜类</w:t>
                              </w:r>
                            </w:p>
                          </w:txbxContent>
                        </wps:txbx>
                        <wps:bodyPr upright="1"/>
                      </wps:wsp>
                      <wps:wsp>
                        <wps:cNvPr id="16" name="文本框 379"/>
                        <wps:cNvSpPr txBox="1"/>
                        <wps:spPr>
                          <a:xfrm>
                            <a:off x="4000310" y="693663"/>
                            <a:ext cx="913543" cy="59446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336783E">
                              <w:pPr>
                                <w:spacing w:line="240" w:lineRule="exact"/>
                                <w:jc w:val="center"/>
                                <w:rPr>
                                  <w:rFonts w:ascii="仿宋_GB2312" w:eastAsia="仿宋_GB2312"/>
                                </w:rPr>
                              </w:pPr>
                              <w:r>
                                <w:rPr>
                                  <w:rFonts w:hint="eastAsia" w:ascii="仿宋_GB2312" w:eastAsia="仿宋_GB2312"/>
                                </w:rPr>
                                <w:t>按破坏程度和可复垦性进行分类</w:t>
                              </w:r>
                            </w:p>
                          </w:txbxContent>
                        </wps:txbx>
                        <wps:bodyPr upright="1"/>
                      </wps:wsp>
                      <wps:wsp>
                        <wps:cNvPr id="17" name="文本框 380"/>
                        <wps:cNvSpPr txBox="1"/>
                        <wps:spPr>
                          <a:xfrm>
                            <a:off x="2972118" y="197668"/>
                            <a:ext cx="684975" cy="2968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F733978">
                              <w:pPr>
                                <w:spacing w:line="240" w:lineRule="exact"/>
                                <w:jc w:val="center"/>
                                <w:rPr>
                                  <w:rFonts w:ascii="仿宋_GB2312" w:eastAsia="仿宋_GB2312"/>
                                </w:rPr>
                              </w:pPr>
                              <w:r>
                                <w:rPr>
                                  <w:rFonts w:hint="eastAsia" w:ascii="仿宋_GB2312" w:eastAsia="仿宋_GB2312"/>
                                </w:rPr>
                                <w:t>宜耕型</w:t>
                              </w:r>
                            </w:p>
                          </w:txbxContent>
                        </wps:txbx>
                        <wps:bodyPr upright="1"/>
                      </wps:wsp>
                      <wps:wsp>
                        <wps:cNvPr id="18" name="文本框 381"/>
                        <wps:cNvSpPr txBox="1"/>
                        <wps:spPr>
                          <a:xfrm>
                            <a:off x="1371409" y="1783393"/>
                            <a:ext cx="1028922" cy="29540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602D645">
                              <w:pPr>
                                <w:spacing w:line="240" w:lineRule="exact"/>
                                <w:jc w:val="center"/>
                                <w:rPr>
                                  <w:rFonts w:ascii="仿宋_GB2312" w:eastAsia="仿宋_GB2312"/>
                                </w:rPr>
                              </w:pPr>
                              <w:r>
                                <w:rPr>
                                  <w:rFonts w:hint="eastAsia" w:ascii="仿宋_GB2312" w:eastAsia="仿宋_GB2312"/>
                                </w:rPr>
                                <w:t>永久不适宜类</w:t>
                              </w:r>
                            </w:p>
                          </w:txbxContent>
                        </wps:txbx>
                        <wps:bodyPr upright="1"/>
                      </wps:wsp>
                      <wps:wsp>
                        <wps:cNvPr id="19" name="文本框 382"/>
                        <wps:cNvSpPr txBox="1"/>
                        <wps:spPr>
                          <a:xfrm>
                            <a:off x="228568" y="891332"/>
                            <a:ext cx="913543" cy="29759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DF2D82">
                              <w:pPr>
                                <w:spacing w:line="240" w:lineRule="exact"/>
                                <w:jc w:val="center"/>
                                <w:rPr>
                                  <w:rFonts w:ascii="仿宋_GB2312" w:eastAsia="仿宋_GB2312"/>
                                </w:rPr>
                              </w:pPr>
                              <w:r>
                                <w:rPr>
                                  <w:rFonts w:hint="eastAsia" w:ascii="仿宋_GB2312" w:eastAsia="仿宋_GB2312"/>
                                </w:rPr>
                                <w:t>不适宜类</w:t>
                              </w:r>
                            </w:p>
                          </w:txbxContent>
                        </wps:txbx>
                        <wps:bodyPr upright="1"/>
                      </wps:wsp>
                      <wps:wsp>
                        <wps:cNvPr id="20" name="直线 383"/>
                        <wps:cNvCnPr/>
                        <wps:spPr>
                          <a:xfrm>
                            <a:off x="1257491" y="296867"/>
                            <a:ext cx="0" cy="297597"/>
                          </a:xfrm>
                          <a:prstGeom prst="line">
                            <a:avLst/>
                          </a:prstGeom>
                          <a:ln w="9525" cap="flat" cmpd="sng">
                            <a:solidFill>
                              <a:srgbClr val="000000"/>
                            </a:solidFill>
                            <a:prstDash val="solid"/>
                            <a:headEnd type="none" w="med" len="med"/>
                            <a:tailEnd type="none" w="med" len="med"/>
                          </a:ln>
                        </wps:spPr>
                        <wps:bodyPr upright="1"/>
                      </wps:wsp>
                      <wps:wsp>
                        <wps:cNvPr id="21" name="直线 384"/>
                        <wps:cNvCnPr/>
                        <wps:spPr>
                          <a:xfrm flipH="1">
                            <a:off x="800354" y="594464"/>
                            <a:ext cx="1028192" cy="729"/>
                          </a:xfrm>
                          <a:prstGeom prst="line">
                            <a:avLst/>
                          </a:prstGeom>
                          <a:ln w="9525" cap="flat" cmpd="sng">
                            <a:solidFill>
                              <a:srgbClr val="000000"/>
                            </a:solidFill>
                            <a:prstDash val="solid"/>
                            <a:headEnd type="none" w="med" len="med"/>
                            <a:tailEnd type="none" w="med" len="med"/>
                          </a:ln>
                        </wps:spPr>
                        <wps:bodyPr upright="1"/>
                      </wps:wsp>
                      <wps:wsp>
                        <wps:cNvPr id="22" name="直线 385"/>
                        <wps:cNvCnPr/>
                        <wps:spPr>
                          <a:xfrm>
                            <a:off x="800354" y="594464"/>
                            <a:ext cx="0" cy="296867"/>
                          </a:xfrm>
                          <a:prstGeom prst="line">
                            <a:avLst/>
                          </a:prstGeom>
                          <a:ln w="9525" cap="flat" cmpd="sng">
                            <a:solidFill>
                              <a:srgbClr val="000000"/>
                            </a:solidFill>
                            <a:prstDash val="solid"/>
                            <a:headEnd type="none" w="med" len="med"/>
                            <a:tailEnd type="triangle" w="med" len="med"/>
                          </a:ln>
                        </wps:spPr>
                        <wps:bodyPr upright="1"/>
                      </wps:wsp>
                      <wps:wsp>
                        <wps:cNvPr id="23" name="直线 386"/>
                        <wps:cNvCnPr/>
                        <wps:spPr>
                          <a:xfrm>
                            <a:off x="1828546" y="594464"/>
                            <a:ext cx="0" cy="296867"/>
                          </a:xfrm>
                          <a:prstGeom prst="line">
                            <a:avLst/>
                          </a:prstGeom>
                          <a:ln w="9525" cap="flat" cmpd="sng">
                            <a:solidFill>
                              <a:srgbClr val="000000"/>
                            </a:solidFill>
                            <a:prstDash val="solid"/>
                            <a:headEnd type="none" w="med" len="med"/>
                            <a:tailEnd type="triangle" w="med" len="med"/>
                          </a:ln>
                        </wps:spPr>
                        <wps:bodyPr upright="1"/>
                      </wps:wsp>
                      <wps:wsp>
                        <wps:cNvPr id="24" name="直线 387"/>
                        <wps:cNvCnPr/>
                        <wps:spPr>
                          <a:xfrm>
                            <a:off x="914273" y="1188928"/>
                            <a:ext cx="730" cy="198398"/>
                          </a:xfrm>
                          <a:prstGeom prst="line">
                            <a:avLst/>
                          </a:prstGeom>
                          <a:ln w="9525" cap="flat" cmpd="sng">
                            <a:solidFill>
                              <a:srgbClr val="000000"/>
                            </a:solidFill>
                            <a:prstDash val="solid"/>
                            <a:headEnd type="none" w="med" len="med"/>
                            <a:tailEnd type="none" w="med" len="med"/>
                          </a:ln>
                        </wps:spPr>
                        <wps:bodyPr upright="1"/>
                      </wps:wsp>
                      <wps:wsp>
                        <wps:cNvPr id="25" name="直线 388"/>
                        <wps:cNvCnPr/>
                        <wps:spPr>
                          <a:xfrm>
                            <a:off x="571786" y="1387326"/>
                            <a:ext cx="1371410" cy="729"/>
                          </a:xfrm>
                          <a:prstGeom prst="line">
                            <a:avLst/>
                          </a:prstGeom>
                          <a:ln w="9525" cap="flat" cmpd="sng">
                            <a:solidFill>
                              <a:srgbClr val="000000"/>
                            </a:solidFill>
                            <a:prstDash val="solid"/>
                            <a:headEnd type="none" w="med" len="med"/>
                            <a:tailEnd type="none" w="med" len="med"/>
                          </a:ln>
                        </wps:spPr>
                        <wps:bodyPr upright="1"/>
                      </wps:wsp>
                      <wps:wsp>
                        <wps:cNvPr id="26" name="直线 389"/>
                        <wps:cNvCnPr/>
                        <wps:spPr>
                          <a:xfrm>
                            <a:off x="571786" y="1387326"/>
                            <a:ext cx="730" cy="396066"/>
                          </a:xfrm>
                          <a:prstGeom prst="line">
                            <a:avLst/>
                          </a:prstGeom>
                          <a:ln w="9525" cap="flat" cmpd="sng">
                            <a:solidFill>
                              <a:srgbClr val="000000"/>
                            </a:solidFill>
                            <a:prstDash val="solid"/>
                            <a:headEnd type="none" w="med" len="med"/>
                            <a:tailEnd type="triangle" w="med" len="med"/>
                          </a:ln>
                        </wps:spPr>
                        <wps:bodyPr upright="1"/>
                      </wps:wsp>
                      <wps:wsp>
                        <wps:cNvPr id="27" name="直线 390"/>
                        <wps:cNvCnPr/>
                        <wps:spPr>
                          <a:xfrm>
                            <a:off x="1943195" y="1387326"/>
                            <a:ext cx="0" cy="396066"/>
                          </a:xfrm>
                          <a:prstGeom prst="line">
                            <a:avLst/>
                          </a:prstGeom>
                          <a:ln w="9525" cap="flat" cmpd="sng">
                            <a:solidFill>
                              <a:srgbClr val="000000"/>
                            </a:solidFill>
                            <a:prstDash val="solid"/>
                            <a:headEnd type="none" w="med" len="med"/>
                            <a:tailEnd type="triangle" w="med" len="med"/>
                          </a:ln>
                        </wps:spPr>
                        <wps:bodyPr upright="1"/>
                      </wps:wsp>
                      <wps:wsp>
                        <wps:cNvPr id="28" name="直线 391"/>
                        <wps:cNvCnPr/>
                        <wps:spPr>
                          <a:xfrm>
                            <a:off x="2400332" y="990531"/>
                            <a:ext cx="571786" cy="0"/>
                          </a:xfrm>
                          <a:prstGeom prst="line">
                            <a:avLst/>
                          </a:prstGeom>
                          <a:ln w="9525" cap="flat" cmpd="sng">
                            <a:solidFill>
                              <a:srgbClr val="000000"/>
                            </a:solidFill>
                            <a:prstDash val="solid"/>
                            <a:headEnd type="none" w="med" len="med"/>
                            <a:tailEnd type="triangle" w="med" len="med"/>
                          </a:ln>
                        </wps:spPr>
                        <wps:bodyPr upright="1"/>
                      </wps:wsp>
                      <wps:wsp>
                        <wps:cNvPr id="29" name="直线 392"/>
                        <wps:cNvCnPr/>
                        <wps:spPr>
                          <a:xfrm>
                            <a:off x="2628900" y="296867"/>
                            <a:ext cx="343218" cy="0"/>
                          </a:xfrm>
                          <a:prstGeom prst="line">
                            <a:avLst/>
                          </a:prstGeom>
                          <a:ln w="9525" cap="flat" cmpd="sng">
                            <a:solidFill>
                              <a:srgbClr val="000000"/>
                            </a:solidFill>
                            <a:prstDash val="solid"/>
                            <a:headEnd type="none" w="med" len="med"/>
                            <a:tailEnd type="triangle" w="med" len="med"/>
                          </a:ln>
                        </wps:spPr>
                        <wps:bodyPr upright="1"/>
                      </wps:wsp>
                      <wps:wsp>
                        <wps:cNvPr id="30" name="直线 393"/>
                        <wps:cNvCnPr/>
                        <wps:spPr>
                          <a:xfrm>
                            <a:off x="2628900" y="1783393"/>
                            <a:ext cx="343218" cy="729"/>
                          </a:xfrm>
                          <a:prstGeom prst="line">
                            <a:avLst/>
                          </a:prstGeom>
                          <a:ln w="9525" cap="flat" cmpd="sng">
                            <a:solidFill>
                              <a:srgbClr val="000000"/>
                            </a:solidFill>
                            <a:prstDash val="solid"/>
                            <a:headEnd type="none" w="med" len="med"/>
                            <a:tailEnd type="triangle" w="med" len="med"/>
                          </a:ln>
                        </wps:spPr>
                        <wps:bodyPr upright="1"/>
                      </wps:wsp>
                      <wps:wsp>
                        <wps:cNvPr id="31" name="直线 394"/>
                        <wps:cNvCnPr/>
                        <wps:spPr>
                          <a:xfrm>
                            <a:off x="2628900" y="296867"/>
                            <a:ext cx="0" cy="1486525"/>
                          </a:xfrm>
                          <a:prstGeom prst="line">
                            <a:avLst/>
                          </a:prstGeom>
                          <a:ln w="9525" cap="flat" cmpd="sng">
                            <a:solidFill>
                              <a:srgbClr val="000000"/>
                            </a:solidFill>
                            <a:prstDash val="solid"/>
                            <a:headEnd type="none" w="med" len="med"/>
                            <a:tailEnd type="none" w="med" len="med"/>
                          </a:ln>
                        </wps:spPr>
                        <wps:bodyPr upright="1"/>
                      </wps:wsp>
                      <wps:wsp>
                        <wps:cNvPr id="32" name="直线 395"/>
                        <wps:cNvCnPr/>
                        <wps:spPr>
                          <a:xfrm>
                            <a:off x="3657822" y="990531"/>
                            <a:ext cx="342487" cy="0"/>
                          </a:xfrm>
                          <a:prstGeom prst="line">
                            <a:avLst/>
                          </a:prstGeom>
                          <a:ln w="9525" cap="flat" cmpd="sng">
                            <a:solidFill>
                              <a:srgbClr val="000000"/>
                            </a:solidFill>
                            <a:prstDash val="solid"/>
                            <a:headEnd type="none" w="med" len="med"/>
                            <a:tailEnd type="none" w="med" len="med"/>
                          </a:ln>
                        </wps:spPr>
                        <wps:bodyPr upright="1"/>
                      </wps:wsp>
                      <wps:wsp>
                        <wps:cNvPr id="33" name="直线 396"/>
                        <wps:cNvCnPr/>
                        <wps:spPr>
                          <a:xfrm>
                            <a:off x="3657822" y="296867"/>
                            <a:ext cx="228568" cy="729"/>
                          </a:xfrm>
                          <a:prstGeom prst="line">
                            <a:avLst/>
                          </a:prstGeom>
                          <a:ln w="9525" cap="flat" cmpd="sng">
                            <a:solidFill>
                              <a:srgbClr val="000000"/>
                            </a:solidFill>
                            <a:prstDash val="solid"/>
                            <a:headEnd type="none" w="med" len="med"/>
                            <a:tailEnd type="none" w="med" len="med"/>
                          </a:ln>
                        </wps:spPr>
                        <wps:bodyPr upright="1"/>
                      </wps:wsp>
                      <wps:wsp>
                        <wps:cNvPr id="34" name="直线 397"/>
                        <wps:cNvCnPr/>
                        <wps:spPr>
                          <a:xfrm>
                            <a:off x="3886391" y="296867"/>
                            <a:ext cx="0" cy="1387326"/>
                          </a:xfrm>
                          <a:prstGeom prst="line">
                            <a:avLst/>
                          </a:prstGeom>
                          <a:ln w="9525" cap="flat" cmpd="sng">
                            <a:solidFill>
                              <a:srgbClr val="000000"/>
                            </a:solidFill>
                            <a:prstDash val="solid"/>
                            <a:headEnd type="none" w="med" len="med"/>
                            <a:tailEnd type="none" w="med" len="med"/>
                          </a:ln>
                        </wps:spPr>
                        <wps:bodyPr upright="1"/>
                      </wps:wsp>
                      <wps:wsp>
                        <wps:cNvPr id="35" name="直线 398"/>
                        <wps:cNvCnPr/>
                        <wps:spPr>
                          <a:xfrm flipH="1">
                            <a:off x="3657822" y="1684194"/>
                            <a:ext cx="228568" cy="0"/>
                          </a:xfrm>
                          <a:prstGeom prst="line">
                            <a:avLst/>
                          </a:prstGeom>
                          <a:ln w="9525" cap="flat" cmpd="sng">
                            <a:solidFill>
                              <a:srgbClr val="000000"/>
                            </a:solidFill>
                            <a:prstDash val="solid"/>
                            <a:headEnd type="none" w="med" len="med"/>
                            <a:tailEnd type="none" w="med" len="med"/>
                          </a:ln>
                        </wps:spPr>
                        <wps:bodyPr upright="1"/>
                      </wps:wsp>
                    </wpc:wpc>
                  </a:graphicData>
                </a:graphic>
              </wp:inline>
            </w:drawing>
          </mc:Choice>
          <mc:Fallback>
            <w:pict>
              <v:group id="画布 372" o:spid="_x0000_s1026" o:spt="203" style="height:163.8pt;width:414pt;" coordsize="5257800,2080260" editas="canvas" o:gfxdata="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">
                <o:lock v:ext="edit" aspectratio="f"/>
                <v:shape id="画布 372" o:spid="_x0000_s1026" style="position:absolute;left:0;top:0;height:2080260;width:5257800;" filled="f" stroked="f" coordsize="21600,21600" o:gfxdata="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">
                  <v:fill on="f" focussize="0,0"/>
                  <v:stroke on="f"/>
                  <v:imagedata o:title=""/>
                  <o:lock v:ext="edit" aspectratio="t"/>
                </v:shape>
                <v:shape id="文本框 374" o:spid="_x0000_s1026" o:spt="202" type="#_x0000_t202" style="position:absolute;left:571786;top:0;height:295409;width:1485329;" fillcolor="#FFFFFF" filled="t" stroked="t" coordsize="21600,21600" o:gfxdata="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RXLwZtUAAAAFAQAADwAAAAAAAAAB&#10;ACAAAAAiAAAAZHJzL2Rvd25yZXYueG1sUEsBAhQAFAAAAAgAh07iQAuRKqETAgAAPQQAAA4AAAAA&#10;AAAAAQAgAAAAJAEAAGRycy9lMm9Eb2MueG1sUEsFBgAAAAAGAAYAWQEAAKkFAAAAAA==&#10;">
                  <v:fill on="t" focussize="0,0"/>
                  <v:stroke color="#000000" joinstyle="miter"/>
                  <v:imagedata o:title=""/>
                  <o:lock v:ext="edit" aspectratio="f"/>
                  <v:textbox>
                    <w:txbxContent>
                      <w:p w14:paraId="2AC3E43F">
                        <w:pPr>
                          <w:spacing w:line="240" w:lineRule="exact"/>
                          <w:jc w:val="center"/>
                          <w:rPr>
                            <w:rFonts w:ascii="仿宋_GB2312" w:eastAsia="仿宋_GB2312"/>
                          </w:rPr>
                        </w:pPr>
                        <w:r>
                          <w:rPr>
                            <w:rFonts w:hint="eastAsia" w:ascii="仿宋_GB2312" w:eastAsia="仿宋_GB2312"/>
                          </w:rPr>
                          <w:t>适宜性评价分类系统</w:t>
                        </w:r>
                      </w:p>
                    </w:txbxContent>
                  </v:textbox>
                </v:shape>
                <v:shape id="文本框 375" o:spid="_x0000_s1026" o:spt="202" type="#_x0000_t202" style="position:absolute;left:2972118;top:891332;height:296867;width:682784;" fillcolor="#FFFFFF" filled="t" stroked="t" coordsize="21600,21600" o:gfxdata="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Vy8GbVAAAABQEAAA8AAAAAAAAA&#10;AQAgAAAAIgAAAGRycy9kb3ducmV2LnhtbFBLAQIUABQAAAAIAIdO4kC01KcwFAIAAEIEAAAOAAAA&#10;AAAAAAEAIAAAACQBAABkcnMvZTJvRG9jLnhtbFBLBQYAAAAABgAGAFkBAACqBQAAAAA=&#10;">
                  <v:fill on="t" focussize="0,0"/>
                  <v:stroke color="#000000" joinstyle="miter"/>
                  <v:imagedata o:title=""/>
                  <o:lock v:ext="edit" aspectratio="f"/>
                  <v:textbox>
                    <w:txbxContent>
                      <w:p w14:paraId="6246FA46">
                        <w:pPr>
                          <w:spacing w:line="240" w:lineRule="exact"/>
                          <w:jc w:val="center"/>
                          <w:rPr>
                            <w:rFonts w:ascii="仿宋_GB2312" w:eastAsia="仿宋_GB2312"/>
                          </w:rPr>
                        </w:pPr>
                        <w:r>
                          <w:rPr>
                            <w:rFonts w:hint="eastAsia" w:ascii="仿宋_GB2312" w:eastAsia="仿宋_GB2312"/>
                          </w:rPr>
                          <w:t>宜林型</w:t>
                        </w:r>
                      </w:p>
                    </w:txbxContent>
                  </v:textbox>
                </v:shape>
                <v:shape id="文本框 376" o:spid="_x0000_s1026" o:spt="202" type="#_x0000_t202" style="position:absolute;left:2972118;top:1585724;height:296867;width:684975;" fillcolor="#FFFFFF" filled="t" stroked="t" coordsize="21600,21600" o:gfxdata="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RXLwZtUAAAAFAQAADwAAAAAA&#10;AAABACAAAAAiAAAAZHJzL2Rvd25yZXYueG1sUEsBAhQAFAAAAAgAh07iQK5HnTMWAgAARAQAAA4A&#10;AAAAAAAAAQAgAAAAJAEAAGRycy9lMm9Eb2MueG1sUEsFBgAAAAAGAAYAWQEAAKwFAAAAAA==&#10;">
                  <v:fill on="t" focussize="0,0"/>
                  <v:stroke color="#000000" joinstyle="miter"/>
                  <v:imagedata o:title=""/>
                  <o:lock v:ext="edit" aspectratio="f"/>
                  <v:textbox>
                    <w:txbxContent>
                      <w:p w14:paraId="45EEF2E4">
                        <w:pPr>
                          <w:spacing w:line="240" w:lineRule="exact"/>
                          <w:jc w:val="center"/>
                          <w:rPr>
                            <w:rFonts w:ascii="仿宋_GB2312" w:eastAsia="仿宋_GB2312"/>
                          </w:rPr>
                        </w:pPr>
                        <w:r>
                          <w:rPr>
                            <w:rFonts w:hint="eastAsia" w:ascii="仿宋_GB2312" w:eastAsia="仿宋_GB2312"/>
                          </w:rPr>
                          <w:t>宜草型</w:t>
                        </w:r>
                      </w:p>
                    </w:txbxContent>
                  </v:textbox>
                </v:shape>
                <v:shape id="文本框 377" o:spid="_x0000_s1026" o:spt="202" type="#_x0000_t202" style="position:absolute;left:1371409;top:891332;height:297597;width:1028922;" fillcolor="#FFFFFF" filled="t" stroked="t" coordsize="21600,21600" o:gfxdata="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RXLwZtUAAAAFAQAADwAA&#10;AAAAAAABACAAAAAiAAAAZHJzL2Rvd25yZXYueG1sUEsBAhQAFAAAAAgAh07iQKeAHUYZAgAARAQA&#10;AA4AAAAAAAAAAQAgAAAAJAEAAGRycy9lMm9Eb2MueG1sUEsFBgAAAAAGAAYAWQEAAK8FAAAAAA==&#10;">
                  <v:fill on="t" focussize="0,0"/>
                  <v:stroke color="#000000" joinstyle="miter"/>
                  <v:imagedata o:title=""/>
                  <o:lock v:ext="edit" aspectratio="f"/>
                  <v:textbox>
                    <w:txbxContent>
                      <w:p w14:paraId="201AE40C">
                        <w:pPr>
                          <w:spacing w:line="240" w:lineRule="exact"/>
                          <w:jc w:val="center"/>
                          <w:rPr>
                            <w:rFonts w:ascii="仿宋_GB2312" w:eastAsia="仿宋_GB2312"/>
                          </w:rPr>
                        </w:pPr>
                        <w:r>
                          <w:rPr>
                            <w:rFonts w:hint="eastAsia" w:ascii="仿宋_GB2312" w:eastAsia="仿宋_GB2312"/>
                          </w:rPr>
                          <w:t>适宜类</w:t>
                        </w:r>
                      </w:p>
                    </w:txbxContent>
                  </v:textbox>
                </v:shape>
                <v:shape id="文本框 378" o:spid="_x0000_s1026" o:spt="202" type="#_x0000_t202" style="position:absolute;left:228568;top:1783393;height:296867;width:915003;" fillcolor="#FFFFFF" filled="t" stroked="t" coordsize="21600,21600" o:gfxdata="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Vy8GbVAAAABQEAAA8AAAAAAAAA&#10;AQAgAAAAIgAAAGRycy9kb3ducmV2LnhtbFBLAQIUABQAAAAIAIdO4kBrE1MDFAIAAEMEAAAOAAAA&#10;AAAAAAEAIAAAACQBAABkcnMvZTJvRG9jLnhtbFBLBQYAAAAABgAGAFkBAACqBQAAAAA=&#10;">
                  <v:fill on="t" focussize="0,0"/>
                  <v:stroke color="#000000" joinstyle="miter"/>
                  <v:imagedata o:title=""/>
                  <o:lock v:ext="edit" aspectratio="f"/>
                  <v:textbox>
                    <w:txbxContent>
                      <w:p w14:paraId="7348E2A3">
                        <w:pPr>
                          <w:spacing w:line="240" w:lineRule="exact"/>
                          <w:jc w:val="center"/>
                          <w:rPr>
                            <w:rFonts w:ascii="仿宋_GB2312" w:eastAsia="仿宋_GB2312"/>
                          </w:rPr>
                        </w:pPr>
                        <w:r>
                          <w:rPr>
                            <w:rFonts w:hint="eastAsia" w:ascii="仿宋_GB2312" w:eastAsia="仿宋_GB2312"/>
                          </w:rPr>
                          <w:t>暂不适宜类</w:t>
                        </w:r>
                      </w:p>
                    </w:txbxContent>
                  </v:textbox>
                </v:shape>
                <v:shape id="文本框 379" o:spid="_x0000_s1026" o:spt="202" type="#_x0000_t202" style="position:absolute;left:4000310;top:693663;height:594464;width:913543;" fillcolor="#FFFFFF" filled="t" stroked="t" coordsize="21600,21600" o:gfxdata="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Vy8GbVAAAABQEAAA8AAAAA&#10;AAAAAQAgAAAAIgAAAGRycy9kb3ducmV2LnhtbFBLAQIUABQAAAAIAIdO4kCwbUtfFwIAAEMEAAAO&#10;AAAAAAAAAAEAIAAAACQBAABkcnMvZTJvRG9jLnhtbFBLBQYAAAAABgAGAFkBAACtBQAAAAA=&#10;">
                  <v:fill on="t" focussize="0,0"/>
                  <v:stroke color="#000000" joinstyle="miter"/>
                  <v:imagedata o:title=""/>
                  <o:lock v:ext="edit" aspectratio="f"/>
                  <v:textbox>
                    <w:txbxContent>
                      <w:p w14:paraId="5336783E">
                        <w:pPr>
                          <w:spacing w:line="240" w:lineRule="exact"/>
                          <w:jc w:val="center"/>
                          <w:rPr>
                            <w:rFonts w:ascii="仿宋_GB2312" w:eastAsia="仿宋_GB2312"/>
                          </w:rPr>
                        </w:pPr>
                        <w:r>
                          <w:rPr>
                            <w:rFonts w:hint="eastAsia" w:ascii="仿宋_GB2312" w:eastAsia="仿宋_GB2312"/>
                          </w:rPr>
                          <w:t>按破坏程度和可复垦性进行分类</w:t>
                        </w:r>
                      </w:p>
                    </w:txbxContent>
                  </v:textbox>
                </v:shape>
                <v:shape id="文本框 380" o:spid="_x0000_s1026" o:spt="202" type="#_x0000_t202" style="position:absolute;left:2972118;top:197668;height:296867;width:684975;" fillcolor="#FFFFFF" filled="t" stroked="t" coordsize="21600,21600" o:gfxdata="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FcvBm1QAAAAUBAAAPAAAAAAAA&#10;AAEAIAAAACIAAABkcnMvZG93bnJldi54bWxQSwECFAAUAAAACACHTuJAZWFwFBUCAABDBAAADgAA&#10;AAAAAAABACAAAAAkAQAAZHJzL2Uyb0RvYy54bWxQSwUGAAAAAAYABgBZAQAAqwUAAAAA&#10;">
                  <v:fill on="t" focussize="0,0"/>
                  <v:stroke color="#000000" joinstyle="miter"/>
                  <v:imagedata o:title=""/>
                  <o:lock v:ext="edit" aspectratio="f"/>
                  <v:textbox>
                    <w:txbxContent>
                      <w:p w14:paraId="0F733978">
                        <w:pPr>
                          <w:spacing w:line="240" w:lineRule="exact"/>
                          <w:jc w:val="center"/>
                          <w:rPr>
                            <w:rFonts w:ascii="仿宋_GB2312" w:eastAsia="仿宋_GB2312"/>
                          </w:rPr>
                        </w:pPr>
                        <w:r>
                          <w:rPr>
                            <w:rFonts w:hint="eastAsia" w:ascii="仿宋_GB2312" w:eastAsia="仿宋_GB2312"/>
                          </w:rPr>
                          <w:t>宜耕型</w:t>
                        </w:r>
                      </w:p>
                    </w:txbxContent>
                  </v:textbox>
                </v:shape>
                <v:shape id="文本框 381" o:spid="_x0000_s1026" o:spt="202" type="#_x0000_t202" style="position:absolute;left:1371409;top:1783393;height:295409;width:1028922;" fillcolor="#FFFFFF" filled="t" stroked="t" coordsize="21600,21600" o:gfxdata="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FcvBm1QAAAAUBAAAPAAAAAAAA&#10;AAEAIAAAACIAAABkcnMvZG93bnJldi54bWxQSwECFAAUAAAACACHTuJA1rDGeRUCAABFBAAADgAA&#10;AAAAAAABACAAAAAkAQAAZHJzL2Uyb0RvYy54bWxQSwUGAAAAAAYABgBZAQAAqwUAAAAA&#10;">
                  <v:fill on="t" focussize="0,0"/>
                  <v:stroke color="#000000" joinstyle="miter"/>
                  <v:imagedata o:title=""/>
                  <o:lock v:ext="edit" aspectratio="f"/>
                  <v:textbox>
                    <w:txbxContent>
                      <w:p w14:paraId="1602D645">
                        <w:pPr>
                          <w:spacing w:line="240" w:lineRule="exact"/>
                          <w:jc w:val="center"/>
                          <w:rPr>
                            <w:rFonts w:ascii="仿宋_GB2312" w:eastAsia="仿宋_GB2312"/>
                          </w:rPr>
                        </w:pPr>
                        <w:r>
                          <w:rPr>
                            <w:rFonts w:hint="eastAsia" w:ascii="仿宋_GB2312" w:eastAsia="仿宋_GB2312"/>
                          </w:rPr>
                          <w:t>永久不适宜类</w:t>
                        </w:r>
                      </w:p>
                    </w:txbxContent>
                  </v:textbox>
                </v:shape>
                <v:shape id="文本框 382" o:spid="_x0000_s1026" o:spt="202" type="#_x0000_t202" style="position:absolute;left:228568;top:891332;height:297597;width:913543;" fillcolor="#FFFFFF" filled="t" stroked="t" coordsize="21600,21600" o:gfxdata="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FcvBm1QAAAAUBAAAPAAAAAAAA&#10;AAEAIAAAACIAAABkcnMvZG93bnJldi54bWxQSwECFAAUAAAACACHTuJA8wODTRUCAABCBAAADgAA&#10;AAAAAAABACAAAAAkAQAAZHJzL2Uyb0RvYy54bWxQSwUGAAAAAAYABgBZAQAAqwUAAAAA&#10;">
                  <v:fill on="t" focussize="0,0"/>
                  <v:stroke color="#000000" joinstyle="miter"/>
                  <v:imagedata o:title=""/>
                  <o:lock v:ext="edit" aspectratio="f"/>
                  <v:textbox>
                    <w:txbxContent>
                      <w:p w14:paraId="71DF2D82">
                        <w:pPr>
                          <w:spacing w:line="240" w:lineRule="exact"/>
                          <w:jc w:val="center"/>
                          <w:rPr>
                            <w:rFonts w:ascii="仿宋_GB2312" w:eastAsia="仿宋_GB2312"/>
                          </w:rPr>
                        </w:pPr>
                        <w:r>
                          <w:rPr>
                            <w:rFonts w:hint="eastAsia" w:ascii="仿宋_GB2312" w:eastAsia="仿宋_GB2312"/>
                          </w:rPr>
                          <w:t>不适宜类</w:t>
                        </w:r>
                      </w:p>
                    </w:txbxContent>
                  </v:textbox>
                </v:shape>
                <v:line id="直线 383" o:spid="_x0000_s1026" o:spt="20" style="position:absolute;left:1257491;top:296867;height:297597;width:0;" filled="f" stroked="t" coordsize="21600,21600" o:gfxdata="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KSa62bUAAAABQEAAA8AAAAAAAAAAQAgAAAAIgAAAGRycy9kb3ducmV2LnhtbFBLAQIUABQA&#10;AAAIAIdO4kDipeHO9AEAAOgDAAAOAAAAAAAAAAEAIAAAACMBAABkcnMvZTJvRG9jLnhtbFBLBQYA&#10;AAAABgAGAFkBAACJBQAAAAA=&#10;">
                  <v:fill on="f" focussize="0,0"/>
                  <v:stroke color="#000000" joinstyle="round"/>
                  <v:imagedata o:title=""/>
                  <o:lock v:ext="edit" aspectratio="f"/>
                </v:line>
                <v:line id="直线 384" o:spid="_x0000_s1026" o:spt="20" style="position:absolute;left:800354;top:594464;flip:x;height:729;width:1028192;" filled="f" stroked="t" coordsize="21600,21600" o:gfxdata="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orOTI1AAAAAUBAAAPAAAAAAAAAAEAIAAAACIAAABkcnMvZG93bnJl&#10;di54bWxQSwECFAAUAAAACACHTuJA/KO4lwECAAD0AwAADgAAAAAAAAABACAAAAAjAQAAZHJzL2Uy&#10;b0RvYy54bWxQSwUGAAAAAAYABgBZAQAAlgUAAAAA&#10;">
                  <v:fill on="f" focussize="0,0"/>
                  <v:stroke color="#000000" joinstyle="round"/>
                  <v:imagedata o:title=""/>
                  <o:lock v:ext="edit" aspectratio="f"/>
                </v:line>
                <v:line id="直线 385" o:spid="_x0000_s1026" o:spt="20" style="position:absolute;left:800354;top:594464;height:296867;width:0;" filled="f" stroked="t" coordsize="21600,21600" o:gfxdata="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fuSAbWAAAABQEAAA8AAAAAAAAAAQAgAAAAIgAAAGRycy9kb3ducmV2&#10;LnhtbFBLAQIUABQAAAAIAIdO4kBEo8h0/gEAAOsDAAAOAAAAAAAAAAEAIAAAACUBAABkcnMvZTJv&#10;RG9jLnhtbFBLBQYAAAAABgAGAFkBAACVBQAAAAA=&#10;">
                  <v:fill on="f" focussize="0,0"/>
                  <v:stroke color="#000000" joinstyle="round" endarrow="block"/>
                  <v:imagedata o:title=""/>
                  <o:lock v:ext="edit" aspectratio="f"/>
                </v:line>
                <v:line id="直线 386" o:spid="_x0000_s1026" o:spt="20" style="position:absolute;left:1828546;top:594464;height:296867;width:0;" filled="f" stroked="t" coordsize="21600,21600" o:gfxdata="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fuSAbWAAAABQEAAA8AAAAAAAAAAQAgAAAAIgAAAGRycy9kb3ducmV2&#10;LnhtbFBLAQIUABQAAAAIAIdO4kBYv8H7/gEAAOwDAAAOAAAAAAAAAAEAIAAAACUBAABkcnMvZTJv&#10;RG9jLnhtbFBLBQYAAAAABgAGAFkBAACVBQAAAAA=&#10;">
                  <v:fill on="f" focussize="0,0"/>
                  <v:stroke color="#000000" joinstyle="round" endarrow="block"/>
                  <v:imagedata o:title=""/>
                  <o:lock v:ext="edit" aspectratio="f"/>
                </v:line>
                <v:line id="直线 387" o:spid="_x0000_s1026" o:spt="20" style="position:absolute;left:914273;top:1188928;height:198398;width:730;" filled="f" stroked="t" coordsize="21600,21600" o:gfxdata="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pJrrZtQAAAAFAQAADwAAAAAAAAABACAAAAAiAAAAZHJzL2Rvd25yZXYueG1sUEsB&#10;AhQAFAAAAAgAh07iQJZEqmX5AQAA6gMAAA4AAAAAAAAAAQAgAAAAIwEAAGRycy9lMm9Eb2MueG1s&#10;UEsFBgAAAAAGAAYAWQEAAI4FAAAAAA==&#10;">
                  <v:fill on="f" focussize="0,0"/>
                  <v:stroke color="#000000" joinstyle="round"/>
                  <v:imagedata o:title=""/>
                  <o:lock v:ext="edit" aspectratio="f"/>
                </v:line>
                <v:line id="直线 388" o:spid="_x0000_s1026" o:spt="20" style="position:absolute;left:571786;top:1387326;height:729;width:1371410;" filled="f" stroked="t" coordsize="21600,21600" o:gfxdata="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kmutm1AAAAAUBAAAPAAAAAAAAAAEAIAAAACIAAABkcnMvZG93bnJldi54bWxQSwEC&#10;FAAUAAAACACHTuJAaFXI6/gBAADrAwAADgAAAAAAAAABACAAAAAjAQAAZHJzL2Uyb0RvYy54bWxQ&#10;SwUGAAAAAAYABgBZAQAAjQUAAAAA&#10;">
                  <v:fill on="f" focussize="0,0"/>
                  <v:stroke color="#000000" joinstyle="round"/>
                  <v:imagedata o:title=""/>
                  <o:lock v:ext="edit" aspectratio="f"/>
                </v:line>
                <v:line id="直线 389" o:spid="_x0000_s1026" o:spt="20" style="position:absolute;left:571786;top:1387326;height:396066;width:730;" filled="f" stroked="t" coordsize="21600,21600" o:gfxdata="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fuSAbWAAAABQEAAA8AAAAAAAAAAQAgAAAAIgAAAGRycy9kb3ducmV2&#10;LnhtbFBLAQIUABQAAAAIAIdO4kBdi6yV/gEAAO4DAAAOAAAAAAAAAAEAIAAAACUBAABkcnMvZTJv&#10;RG9jLnhtbFBLBQYAAAAABgAGAFkBAACVBQAAAAA=&#10;">
                  <v:fill on="f" focussize="0,0"/>
                  <v:stroke color="#000000" joinstyle="round" endarrow="block"/>
                  <v:imagedata o:title=""/>
                  <o:lock v:ext="edit" aspectratio="f"/>
                </v:line>
                <v:line id="直线 390" o:spid="_x0000_s1026" o:spt="20" style="position:absolute;left:1943195;top:1387326;height:396066;width:0;" filled="f" stroked="t" coordsize="21600,21600" o:gfxdata="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fuSAbWAAAABQEAAA8AAAAAAAAAAQAgAAAAIgAAAGRycy9kb3ducmV2&#10;LnhtbFBLAQIUABQAAAAIAIdO4kAFAADC/gEAAO0DAAAOAAAAAAAAAAEAIAAAACUBAABkcnMvZTJv&#10;RG9jLnhtbFBLBQYAAAAABgAGAFkBAACVBQAAAAA=&#10;">
                  <v:fill on="f" focussize="0,0"/>
                  <v:stroke color="#000000" joinstyle="round" endarrow="block"/>
                  <v:imagedata o:title=""/>
                  <o:lock v:ext="edit" aspectratio="f"/>
                </v:line>
                <v:line id="直线 391" o:spid="_x0000_s1026" o:spt="20" style="position:absolute;left:2400332;top:990531;height:0;width:571786;" filled="f" stroked="t" coordsize="21600,21600" o:gfxdata="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X7kgG1gAAAAUBAAAPAAAAAAAAAAEAIAAAACIAAABkcnMvZG93bnJl&#10;di54bWxQSwECFAAUAAAACACHTuJABITYIv8BAADsAwAADgAAAAAAAAABACAAAAAlAQAAZHJzL2Uy&#10;b0RvYy54bWxQSwUGAAAAAAYABgBZAQAAlgUAAAAA&#10;">
                  <v:fill on="f" focussize="0,0"/>
                  <v:stroke color="#000000" joinstyle="round" endarrow="block"/>
                  <v:imagedata o:title=""/>
                  <o:lock v:ext="edit" aspectratio="f"/>
                </v:line>
                <v:line id="直线 392" o:spid="_x0000_s1026" o:spt="20" style="position:absolute;left:2628900;top:296867;height:0;width:343218;" filled="f" stroked="t" coordsize="21600,21600" o:gfxdata="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l+5IBtYAAAAFAQAADwAAAAAAAAABACAAAAAiAAAAZHJzL2Rvd25yZXYu&#10;eG1sUEsBAhQAFAAAAAgAh07iQEBdS5z9AQAA7AMAAA4AAAAAAAAAAQAgAAAAJQEAAGRycy9lMm9E&#10;b2MueG1sUEsFBgAAAAAGAAYAWQEAAJQFAAAAAA==&#10;">
                  <v:fill on="f" focussize="0,0"/>
                  <v:stroke color="#000000" joinstyle="round" endarrow="block"/>
                  <v:imagedata o:title=""/>
                  <o:lock v:ext="edit" aspectratio="f"/>
                </v:line>
                <v:line id="直线 393" o:spid="_x0000_s1026" o:spt="20" style="position:absolute;left:2628900;top:1783393;height:729;width:343218;" filled="f" stroked="t" coordsize="21600,21600" o:gfxdata="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fuSAbWAAAABQEAAA8AAAAAAAAAAQAgAAAAIgAAAGRycy9kb3ducmV2&#10;LnhtbFBLAQIUABQAAAAIAIdO4kB/I/Y1/gEAAO8DAAAOAAAAAAAAAAEAIAAAACUBAABkcnMvZTJv&#10;RG9jLnhtbFBLBQYAAAAABgAGAFkBAACVBQAAAAA=&#10;">
                  <v:fill on="f" focussize="0,0"/>
                  <v:stroke color="#000000" joinstyle="round" endarrow="block"/>
                  <v:imagedata o:title=""/>
                  <o:lock v:ext="edit" aspectratio="f"/>
                </v:line>
                <v:line id="直线 394" o:spid="_x0000_s1026" o:spt="20" style="position:absolute;left:2628900;top:296867;height:1486525;width:0;" filled="f" stroked="t" coordsize="21600,21600" o:gfxdata="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KSa62bUAAAABQEAAA8AAAAAAAAAAQAgAAAAIgAAAGRycy9kb3ducmV2LnhtbFBLAQIUABQA&#10;AAAIAIdO4kAZrzOH9AEAAOkDAAAOAAAAAAAAAAEAIAAAACMBAABkcnMvZTJvRG9jLnhtbFBLBQYA&#10;AAAABgAGAFkBAACJBQAAAAA=&#10;">
                  <v:fill on="f" focussize="0,0"/>
                  <v:stroke color="#000000" joinstyle="round"/>
                  <v:imagedata o:title=""/>
                  <o:lock v:ext="edit" aspectratio="f"/>
                </v:line>
                <v:line id="直线 395" o:spid="_x0000_s1026" o:spt="20" style="position:absolute;left:3657822;top:990531;height:0;width:342487;" filled="f" stroked="t" coordsize="21600,21600" o:gfxdata="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Sa62bUAAAABQEAAA8AAAAAAAAAAQAgAAAAIgAAAGRycy9kb3ducmV2LnhtbFBLAQIU&#10;ABQAAAAIAIdO4kC/jmyA9wEAAOgDAAAOAAAAAAAAAAEAIAAAACMBAABkcnMvZTJvRG9jLnhtbFBL&#10;BQYAAAAABgAGAFkBAACMBQAAAAA=&#10;">
                  <v:fill on="f" focussize="0,0"/>
                  <v:stroke color="#000000" joinstyle="round"/>
                  <v:imagedata o:title=""/>
                  <o:lock v:ext="edit" aspectratio="f"/>
                </v:line>
                <v:line id="直线 396" o:spid="_x0000_s1026" o:spt="20" style="position:absolute;left:3657822;top:296867;height:729;width:228568;" filled="f" stroked="t" coordsize="21600,21600" o:gfxdata="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kmutm1AAAAAUBAAAPAAAAAAAAAAEAIAAAACIAAABkcnMvZG93bnJldi54bWxQSwEC&#10;FAAUAAAACACHTuJA1VA4uPgBAADqAwAADgAAAAAAAAABACAAAAAjAQAAZHJzL2Uyb0RvYy54bWxQ&#10;SwUGAAAAAAYABgBZAQAAjQUAAAAA&#10;">
                  <v:fill on="f" focussize="0,0"/>
                  <v:stroke color="#000000" joinstyle="round"/>
                  <v:imagedata o:title=""/>
                  <o:lock v:ext="edit" aspectratio="f"/>
                </v:line>
                <v:line id="直线 397" o:spid="_x0000_s1026" o:spt="20" style="position:absolute;left:3886391;top:296867;height:1387326;width:0;" filled="f" stroked="t" coordsize="21600,21600" o:gfxdata="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Sa62bUAAAABQEAAA8AAAAAAAAAAQAgAAAAIgAAAGRycy9kb3ducmV2LnhtbFBLAQIU&#10;ABQAAAAIAIdO4kCp5nBO9wEAAOkDAAAOAAAAAAAAAAEAIAAAACMBAABkcnMvZTJvRG9jLnhtbFBL&#10;BQYAAAAABgAGAFkBAACMBQAAAAA=&#10;">
                  <v:fill on="f" focussize="0,0"/>
                  <v:stroke color="#000000" joinstyle="round"/>
                  <v:imagedata o:title=""/>
                  <o:lock v:ext="edit" aspectratio="f"/>
                </v:line>
                <v:line id="直线 398" o:spid="_x0000_s1026" o:spt="20" style="position:absolute;left:3657822;top:1684194;flip:x;height:0;width:228568;" filled="f" stroked="t" coordsize="21600,21600" o:gfxdata="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orOTI1AAAAAUBAAAPAAAAAAAAAAEAIAAAACIAAABkcnMvZG93bnJl&#10;di54bWxQSwECFAAUAAAACACHTuJAFvDffwECAADzAwAADgAAAAAAAAABACAAAAAjAQAAZHJzL2Uy&#10;b0RvYy54bWxQSwUGAAAAAAYABgBZAQAAlgUAAAAA&#10;">
                  <v:fill on="f" focussize="0,0"/>
                  <v:stroke color="#000000" joinstyle="round"/>
                  <v:imagedata o:title=""/>
                  <o:lock v:ext="edit" aspectratio="f"/>
                </v:line>
                <w10:wrap type="none"/>
                <w10:anchorlock/>
              </v:group>
            </w:pict>
          </mc:Fallback>
        </mc:AlternateContent>
      </w:r>
    </w:p>
    <w:p w14:paraId="0E340A57">
      <w:pPr>
        <w:pStyle w:val="156"/>
        <w:tabs>
          <w:tab w:val="left" w:pos="3600"/>
        </w:tabs>
        <w:ind w:firstLine="0" w:firstLineChars="0"/>
        <w:jc w:val="center"/>
        <w:rPr>
          <w:rFonts w:hint="default" w:ascii="Times New Roman" w:hAnsi="Times New Roman" w:eastAsia="黑体" w:cs="Times New Roman"/>
          <w:b w:val="0"/>
          <w:bCs/>
          <w:color w:val="auto"/>
          <w:sz w:val="21"/>
          <w:szCs w:val="21"/>
          <w:highlight w:val="none"/>
        </w:rPr>
      </w:pPr>
      <w:r>
        <w:rPr>
          <w:rFonts w:hint="default" w:ascii="Times New Roman" w:hAnsi="Times New Roman" w:eastAsia="黑体" w:cs="Times New Roman"/>
          <w:b w:val="0"/>
          <w:bCs/>
          <w:color w:val="auto"/>
          <w:sz w:val="21"/>
          <w:szCs w:val="21"/>
          <w:highlight w:val="none"/>
        </w:rPr>
        <w:t>图4-1 土地适宜性评价系统图</w:t>
      </w:r>
    </w:p>
    <w:p w14:paraId="28459822">
      <w:pPr>
        <w:pStyle w:val="156"/>
        <w:tabs>
          <w:tab w:val="left" w:pos="3600"/>
        </w:tabs>
        <w:ind w:firstLine="0" w:firstLineChars="0"/>
        <w:jc w:val="center"/>
        <w:rPr>
          <w:rFonts w:hint="default" w:ascii="Times New Roman" w:hAnsi="Times New Roman" w:eastAsia="黑体" w:cs="Times New Roman"/>
          <w:b w:val="0"/>
          <w:bCs/>
          <w:color w:val="auto"/>
          <w:sz w:val="21"/>
          <w:szCs w:val="21"/>
          <w:highlight w:val="none"/>
        </w:rPr>
      </w:pPr>
      <w:r>
        <w:rPr>
          <w:rFonts w:hint="default" w:ascii="Times New Roman" w:hAnsi="Times New Roman" w:eastAsia="黑体" w:cs="Times New Roman"/>
          <w:b w:val="0"/>
          <w:bCs/>
          <w:color w:val="auto"/>
          <w:sz w:val="21"/>
          <w:szCs w:val="21"/>
          <w:highlight w:val="none"/>
        </w:rPr>
        <w:t>表4-2  适宜性评价限制因素分级标准</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2"/>
        <w:gridCol w:w="2192"/>
        <w:gridCol w:w="2153"/>
        <w:gridCol w:w="946"/>
        <w:gridCol w:w="1039"/>
        <w:gridCol w:w="1039"/>
      </w:tblGrid>
      <w:tr w14:paraId="6F2B4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blHeader/>
          <w:jc w:val="center"/>
        </w:trPr>
        <w:tc>
          <w:tcPr>
            <w:tcW w:w="5447" w:type="dxa"/>
            <w:gridSpan w:val="3"/>
            <w:vAlign w:val="center"/>
          </w:tcPr>
          <w:p w14:paraId="56B5E553">
            <w:pPr>
              <w:jc w:val="center"/>
              <w:rPr>
                <w:color w:val="auto"/>
                <w:szCs w:val="21"/>
                <w:highlight w:val="none"/>
              </w:rPr>
            </w:pPr>
            <w:r>
              <w:rPr>
                <w:color w:val="auto"/>
                <w:szCs w:val="21"/>
                <w:highlight w:val="none"/>
              </w:rPr>
              <w:t>适宜性评价限制因素分级</w:t>
            </w:r>
          </w:p>
        </w:tc>
        <w:tc>
          <w:tcPr>
            <w:tcW w:w="3024" w:type="dxa"/>
            <w:gridSpan w:val="3"/>
            <w:vAlign w:val="center"/>
          </w:tcPr>
          <w:p w14:paraId="1B2B821D">
            <w:pPr>
              <w:jc w:val="center"/>
              <w:rPr>
                <w:color w:val="auto"/>
                <w:szCs w:val="21"/>
                <w:highlight w:val="none"/>
              </w:rPr>
            </w:pPr>
            <w:r>
              <w:rPr>
                <w:color w:val="auto"/>
                <w:szCs w:val="21"/>
                <w:highlight w:val="none"/>
              </w:rPr>
              <w:t>适宜性</w:t>
            </w:r>
          </w:p>
        </w:tc>
      </w:tr>
      <w:tr w14:paraId="31371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blHeader/>
          <w:jc w:val="center"/>
        </w:trPr>
        <w:tc>
          <w:tcPr>
            <w:tcW w:w="1102" w:type="dxa"/>
            <w:vAlign w:val="center"/>
          </w:tcPr>
          <w:p w14:paraId="6A68EFEA">
            <w:pPr>
              <w:jc w:val="center"/>
              <w:rPr>
                <w:color w:val="auto"/>
                <w:szCs w:val="21"/>
                <w:highlight w:val="none"/>
              </w:rPr>
            </w:pPr>
            <w:r>
              <w:rPr>
                <w:color w:val="auto"/>
                <w:szCs w:val="21"/>
                <w:highlight w:val="none"/>
              </w:rPr>
              <w:t>序号</w:t>
            </w:r>
          </w:p>
        </w:tc>
        <w:tc>
          <w:tcPr>
            <w:tcW w:w="2192" w:type="dxa"/>
            <w:vAlign w:val="center"/>
          </w:tcPr>
          <w:p w14:paraId="56C8D5D3">
            <w:pPr>
              <w:jc w:val="center"/>
              <w:rPr>
                <w:color w:val="auto"/>
                <w:szCs w:val="21"/>
                <w:highlight w:val="none"/>
              </w:rPr>
            </w:pPr>
            <w:r>
              <w:rPr>
                <w:color w:val="auto"/>
                <w:szCs w:val="21"/>
                <w:highlight w:val="none"/>
              </w:rPr>
              <w:t>限制因素</w:t>
            </w:r>
          </w:p>
        </w:tc>
        <w:tc>
          <w:tcPr>
            <w:tcW w:w="2153" w:type="dxa"/>
            <w:vAlign w:val="center"/>
          </w:tcPr>
          <w:p w14:paraId="71BFD61E">
            <w:pPr>
              <w:jc w:val="center"/>
              <w:rPr>
                <w:color w:val="auto"/>
                <w:szCs w:val="21"/>
                <w:highlight w:val="none"/>
              </w:rPr>
            </w:pPr>
            <w:r>
              <w:rPr>
                <w:color w:val="auto"/>
                <w:szCs w:val="21"/>
                <w:highlight w:val="none"/>
              </w:rPr>
              <w:t>分级</w:t>
            </w:r>
          </w:p>
        </w:tc>
        <w:tc>
          <w:tcPr>
            <w:tcW w:w="946" w:type="dxa"/>
            <w:vAlign w:val="center"/>
          </w:tcPr>
          <w:p w14:paraId="67862E43">
            <w:pPr>
              <w:jc w:val="center"/>
              <w:rPr>
                <w:color w:val="auto"/>
                <w:szCs w:val="21"/>
                <w:highlight w:val="none"/>
              </w:rPr>
            </w:pPr>
            <w:r>
              <w:rPr>
                <w:color w:val="auto"/>
                <w:szCs w:val="21"/>
                <w:highlight w:val="none"/>
              </w:rPr>
              <w:t>宜耕</w:t>
            </w:r>
          </w:p>
        </w:tc>
        <w:tc>
          <w:tcPr>
            <w:tcW w:w="1039" w:type="dxa"/>
            <w:vAlign w:val="center"/>
          </w:tcPr>
          <w:p w14:paraId="21A9B9CD">
            <w:pPr>
              <w:jc w:val="center"/>
              <w:rPr>
                <w:color w:val="auto"/>
                <w:szCs w:val="21"/>
                <w:highlight w:val="none"/>
              </w:rPr>
            </w:pPr>
            <w:r>
              <w:rPr>
                <w:color w:val="auto"/>
                <w:szCs w:val="21"/>
                <w:highlight w:val="none"/>
              </w:rPr>
              <w:t>宜林</w:t>
            </w:r>
          </w:p>
        </w:tc>
        <w:tc>
          <w:tcPr>
            <w:tcW w:w="1039" w:type="dxa"/>
            <w:vAlign w:val="center"/>
          </w:tcPr>
          <w:p w14:paraId="0749B1D0">
            <w:pPr>
              <w:jc w:val="center"/>
              <w:rPr>
                <w:color w:val="auto"/>
                <w:szCs w:val="21"/>
                <w:highlight w:val="none"/>
              </w:rPr>
            </w:pPr>
            <w:r>
              <w:rPr>
                <w:color w:val="auto"/>
                <w:szCs w:val="21"/>
                <w:highlight w:val="none"/>
              </w:rPr>
              <w:t>宜草</w:t>
            </w:r>
          </w:p>
        </w:tc>
      </w:tr>
      <w:tr w14:paraId="6E46F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02" w:type="dxa"/>
            <w:vMerge w:val="restart"/>
            <w:vAlign w:val="center"/>
          </w:tcPr>
          <w:p w14:paraId="2AA76411">
            <w:pPr>
              <w:jc w:val="center"/>
              <w:rPr>
                <w:color w:val="auto"/>
                <w:szCs w:val="21"/>
                <w:highlight w:val="none"/>
              </w:rPr>
            </w:pPr>
            <w:r>
              <w:rPr>
                <w:color w:val="auto"/>
                <w:szCs w:val="21"/>
                <w:highlight w:val="none"/>
              </w:rPr>
              <w:t>1</w:t>
            </w:r>
          </w:p>
        </w:tc>
        <w:tc>
          <w:tcPr>
            <w:tcW w:w="2192" w:type="dxa"/>
            <w:vMerge w:val="restart"/>
            <w:vAlign w:val="center"/>
          </w:tcPr>
          <w:p w14:paraId="72B6B5F7">
            <w:pPr>
              <w:jc w:val="center"/>
              <w:rPr>
                <w:color w:val="auto"/>
                <w:szCs w:val="21"/>
                <w:highlight w:val="none"/>
              </w:rPr>
            </w:pPr>
            <w:r>
              <w:rPr>
                <w:color w:val="auto"/>
                <w:szCs w:val="21"/>
                <w:highlight w:val="none"/>
              </w:rPr>
              <w:t>坡度</w:t>
            </w:r>
          </w:p>
        </w:tc>
        <w:tc>
          <w:tcPr>
            <w:tcW w:w="2153" w:type="dxa"/>
            <w:vAlign w:val="center"/>
          </w:tcPr>
          <w:p w14:paraId="666FC41B">
            <w:pPr>
              <w:jc w:val="center"/>
              <w:rPr>
                <w:color w:val="auto"/>
                <w:szCs w:val="21"/>
                <w:highlight w:val="none"/>
              </w:rPr>
            </w:pPr>
            <w:r>
              <w:rPr>
                <w:color w:val="auto"/>
                <w:szCs w:val="21"/>
                <w:highlight w:val="none"/>
              </w:rPr>
              <w:t>坡度&lt;6°</w:t>
            </w:r>
          </w:p>
        </w:tc>
        <w:tc>
          <w:tcPr>
            <w:tcW w:w="946" w:type="dxa"/>
            <w:vAlign w:val="center"/>
          </w:tcPr>
          <w:p w14:paraId="68C337EB">
            <w:pPr>
              <w:jc w:val="center"/>
              <w:rPr>
                <w:color w:val="auto"/>
                <w:szCs w:val="21"/>
                <w:highlight w:val="none"/>
              </w:rPr>
            </w:pPr>
            <w:r>
              <w:rPr>
                <w:color w:val="auto"/>
                <w:szCs w:val="21"/>
                <w:highlight w:val="none"/>
              </w:rPr>
              <w:t>1</w:t>
            </w:r>
          </w:p>
        </w:tc>
        <w:tc>
          <w:tcPr>
            <w:tcW w:w="1039" w:type="dxa"/>
            <w:vAlign w:val="center"/>
          </w:tcPr>
          <w:p w14:paraId="244512BB">
            <w:pPr>
              <w:jc w:val="center"/>
              <w:rPr>
                <w:color w:val="auto"/>
                <w:szCs w:val="21"/>
                <w:highlight w:val="none"/>
              </w:rPr>
            </w:pPr>
            <w:r>
              <w:rPr>
                <w:color w:val="auto"/>
                <w:szCs w:val="21"/>
                <w:highlight w:val="none"/>
              </w:rPr>
              <w:t>1</w:t>
            </w:r>
          </w:p>
        </w:tc>
        <w:tc>
          <w:tcPr>
            <w:tcW w:w="1039" w:type="dxa"/>
            <w:vAlign w:val="center"/>
          </w:tcPr>
          <w:p w14:paraId="08EC5A0B">
            <w:pPr>
              <w:jc w:val="center"/>
              <w:rPr>
                <w:color w:val="auto"/>
                <w:szCs w:val="21"/>
                <w:highlight w:val="none"/>
              </w:rPr>
            </w:pPr>
            <w:r>
              <w:rPr>
                <w:color w:val="auto"/>
                <w:szCs w:val="21"/>
                <w:highlight w:val="none"/>
              </w:rPr>
              <w:t>1</w:t>
            </w:r>
          </w:p>
        </w:tc>
      </w:tr>
      <w:tr w14:paraId="169E7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02" w:type="dxa"/>
            <w:vMerge w:val="continue"/>
            <w:vAlign w:val="center"/>
          </w:tcPr>
          <w:p w14:paraId="3481EA4C">
            <w:pPr>
              <w:jc w:val="center"/>
              <w:rPr>
                <w:color w:val="auto"/>
                <w:szCs w:val="21"/>
                <w:highlight w:val="none"/>
              </w:rPr>
            </w:pPr>
          </w:p>
        </w:tc>
        <w:tc>
          <w:tcPr>
            <w:tcW w:w="2192" w:type="dxa"/>
            <w:vMerge w:val="continue"/>
            <w:vAlign w:val="center"/>
          </w:tcPr>
          <w:p w14:paraId="770631F5">
            <w:pPr>
              <w:jc w:val="center"/>
              <w:rPr>
                <w:color w:val="auto"/>
                <w:szCs w:val="21"/>
                <w:highlight w:val="none"/>
              </w:rPr>
            </w:pPr>
          </w:p>
        </w:tc>
        <w:tc>
          <w:tcPr>
            <w:tcW w:w="2153" w:type="dxa"/>
            <w:vAlign w:val="center"/>
          </w:tcPr>
          <w:p w14:paraId="43B787BA">
            <w:pPr>
              <w:jc w:val="center"/>
              <w:rPr>
                <w:color w:val="auto"/>
                <w:szCs w:val="21"/>
                <w:highlight w:val="none"/>
              </w:rPr>
            </w:pPr>
            <w:r>
              <w:rPr>
                <w:color w:val="auto"/>
                <w:szCs w:val="21"/>
                <w:highlight w:val="none"/>
              </w:rPr>
              <w:t>6°≤坡度&lt;15°</w:t>
            </w:r>
          </w:p>
        </w:tc>
        <w:tc>
          <w:tcPr>
            <w:tcW w:w="946" w:type="dxa"/>
            <w:vAlign w:val="center"/>
          </w:tcPr>
          <w:p w14:paraId="72DED0FF">
            <w:pPr>
              <w:jc w:val="center"/>
              <w:rPr>
                <w:color w:val="auto"/>
                <w:szCs w:val="21"/>
                <w:highlight w:val="none"/>
              </w:rPr>
            </w:pPr>
            <w:r>
              <w:rPr>
                <w:color w:val="auto"/>
                <w:szCs w:val="21"/>
                <w:highlight w:val="none"/>
              </w:rPr>
              <w:t>2</w:t>
            </w:r>
          </w:p>
        </w:tc>
        <w:tc>
          <w:tcPr>
            <w:tcW w:w="1039" w:type="dxa"/>
            <w:vAlign w:val="center"/>
          </w:tcPr>
          <w:p w14:paraId="6904AC16">
            <w:pPr>
              <w:jc w:val="center"/>
              <w:rPr>
                <w:color w:val="auto"/>
                <w:szCs w:val="21"/>
                <w:highlight w:val="none"/>
              </w:rPr>
            </w:pPr>
            <w:r>
              <w:rPr>
                <w:color w:val="auto"/>
                <w:szCs w:val="21"/>
                <w:highlight w:val="none"/>
              </w:rPr>
              <w:t>1</w:t>
            </w:r>
          </w:p>
        </w:tc>
        <w:tc>
          <w:tcPr>
            <w:tcW w:w="1039" w:type="dxa"/>
            <w:vAlign w:val="center"/>
          </w:tcPr>
          <w:p w14:paraId="734AC618">
            <w:pPr>
              <w:jc w:val="center"/>
              <w:rPr>
                <w:color w:val="auto"/>
                <w:szCs w:val="21"/>
                <w:highlight w:val="none"/>
              </w:rPr>
            </w:pPr>
            <w:r>
              <w:rPr>
                <w:color w:val="auto"/>
                <w:szCs w:val="21"/>
                <w:highlight w:val="none"/>
              </w:rPr>
              <w:t>1</w:t>
            </w:r>
          </w:p>
        </w:tc>
      </w:tr>
      <w:tr w14:paraId="7FAB8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02" w:type="dxa"/>
            <w:vMerge w:val="continue"/>
            <w:vAlign w:val="center"/>
          </w:tcPr>
          <w:p w14:paraId="58F31157">
            <w:pPr>
              <w:jc w:val="center"/>
              <w:rPr>
                <w:color w:val="auto"/>
                <w:szCs w:val="21"/>
                <w:highlight w:val="none"/>
              </w:rPr>
            </w:pPr>
          </w:p>
        </w:tc>
        <w:tc>
          <w:tcPr>
            <w:tcW w:w="2192" w:type="dxa"/>
            <w:vMerge w:val="continue"/>
            <w:vAlign w:val="center"/>
          </w:tcPr>
          <w:p w14:paraId="7FED2EA3">
            <w:pPr>
              <w:jc w:val="center"/>
              <w:rPr>
                <w:color w:val="auto"/>
                <w:szCs w:val="21"/>
                <w:highlight w:val="none"/>
              </w:rPr>
            </w:pPr>
          </w:p>
        </w:tc>
        <w:tc>
          <w:tcPr>
            <w:tcW w:w="2153" w:type="dxa"/>
            <w:vAlign w:val="center"/>
          </w:tcPr>
          <w:p w14:paraId="492322F8">
            <w:pPr>
              <w:jc w:val="center"/>
              <w:rPr>
                <w:color w:val="auto"/>
                <w:szCs w:val="21"/>
                <w:highlight w:val="none"/>
              </w:rPr>
            </w:pPr>
            <w:r>
              <w:rPr>
                <w:color w:val="auto"/>
                <w:szCs w:val="21"/>
                <w:highlight w:val="none"/>
              </w:rPr>
              <w:t>15°≤坡度&lt;25°</w:t>
            </w:r>
          </w:p>
        </w:tc>
        <w:tc>
          <w:tcPr>
            <w:tcW w:w="946" w:type="dxa"/>
            <w:vAlign w:val="center"/>
          </w:tcPr>
          <w:p w14:paraId="64015264">
            <w:pPr>
              <w:jc w:val="center"/>
              <w:rPr>
                <w:color w:val="auto"/>
                <w:szCs w:val="21"/>
                <w:highlight w:val="none"/>
              </w:rPr>
            </w:pPr>
            <w:r>
              <w:rPr>
                <w:color w:val="auto"/>
                <w:szCs w:val="21"/>
                <w:highlight w:val="none"/>
              </w:rPr>
              <w:t>3</w:t>
            </w:r>
          </w:p>
        </w:tc>
        <w:tc>
          <w:tcPr>
            <w:tcW w:w="1039" w:type="dxa"/>
            <w:vAlign w:val="center"/>
          </w:tcPr>
          <w:p w14:paraId="21C2BF6A">
            <w:pPr>
              <w:jc w:val="center"/>
              <w:rPr>
                <w:color w:val="auto"/>
                <w:szCs w:val="21"/>
                <w:highlight w:val="none"/>
              </w:rPr>
            </w:pPr>
            <w:r>
              <w:rPr>
                <w:color w:val="auto"/>
                <w:szCs w:val="21"/>
                <w:highlight w:val="none"/>
              </w:rPr>
              <w:t>2</w:t>
            </w:r>
          </w:p>
        </w:tc>
        <w:tc>
          <w:tcPr>
            <w:tcW w:w="1039" w:type="dxa"/>
            <w:vAlign w:val="center"/>
          </w:tcPr>
          <w:p w14:paraId="47360D5D">
            <w:pPr>
              <w:jc w:val="center"/>
              <w:rPr>
                <w:color w:val="auto"/>
                <w:szCs w:val="21"/>
                <w:highlight w:val="none"/>
              </w:rPr>
            </w:pPr>
            <w:r>
              <w:rPr>
                <w:color w:val="auto"/>
                <w:szCs w:val="21"/>
                <w:highlight w:val="none"/>
              </w:rPr>
              <w:t>1</w:t>
            </w:r>
          </w:p>
        </w:tc>
      </w:tr>
      <w:tr w14:paraId="09B48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02" w:type="dxa"/>
            <w:vMerge w:val="continue"/>
            <w:vAlign w:val="center"/>
          </w:tcPr>
          <w:p w14:paraId="72DB98FE">
            <w:pPr>
              <w:jc w:val="center"/>
              <w:rPr>
                <w:color w:val="auto"/>
                <w:szCs w:val="21"/>
                <w:highlight w:val="none"/>
              </w:rPr>
            </w:pPr>
          </w:p>
        </w:tc>
        <w:tc>
          <w:tcPr>
            <w:tcW w:w="2192" w:type="dxa"/>
            <w:vMerge w:val="continue"/>
            <w:vAlign w:val="center"/>
          </w:tcPr>
          <w:p w14:paraId="6D892FBF">
            <w:pPr>
              <w:jc w:val="center"/>
              <w:rPr>
                <w:color w:val="auto"/>
                <w:szCs w:val="21"/>
                <w:highlight w:val="none"/>
              </w:rPr>
            </w:pPr>
          </w:p>
        </w:tc>
        <w:tc>
          <w:tcPr>
            <w:tcW w:w="2153" w:type="dxa"/>
            <w:vAlign w:val="center"/>
          </w:tcPr>
          <w:p w14:paraId="42F9ACBF">
            <w:pPr>
              <w:jc w:val="center"/>
              <w:rPr>
                <w:color w:val="auto"/>
                <w:szCs w:val="21"/>
                <w:highlight w:val="none"/>
              </w:rPr>
            </w:pPr>
            <w:r>
              <w:rPr>
                <w:color w:val="auto"/>
                <w:szCs w:val="21"/>
                <w:highlight w:val="none"/>
              </w:rPr>
              <w:t>&gt;25°</w:t>
            </w:r>
          </w:p>
        </w:tc>
        <w:tc>
          <w:tcPr>
            <w:tcW w:w="946" w:type="dxa"/>
            <w:vAlign w:val="center"/>
          </w:tcPr>
          <w:p w14:paraId="7F64E6B0">
            <w:pPr>
              <w:jc w:val="center"/>
              <w:rPr>
                <w:color w:val="auto"/>
                <w:szCs w:val="21"/>
                <w:highlight w:val="none"/>
              </w:rPr>
            </w:pPr>
            <w:r>
              <w:rPr>
                <w:color w:val="auto"/>
                <w:szCs w:val="21"/>
                <w:highlight w:val="none"/>
              </w:rPr>
              <w:t>4</w:t>
            </w:r>
          </w:p>
        </w:tc>
        <w:tc>
          <w:tcPr>
            <w:tcW w:w="1039" w:type="dxa"/>
            <w:vAlign w:val="center"/>
          </w:tcPr>
          <w:p w14:paraId="5CF2DCD4">
            <w:pPr>
              <w:jc w:val="center"/>
              <w:rPr>
                <w:color w:val="auto"/>
                <w:szCs w:val="21"/>
                <w:highlight w:val="none"/>
              </w:rPr>
            </w:pPr>
            <w:r>
              <w:rPr>
                <w:color w:val="auto"/>
                <w:szCs w:val="21"/>
                <w:highlight w:val="none"/>
              </w:rPr>
              <w:t>3</w:t>
            </w:r>
          </w:p>
        </w:tc>
        <w:tc>
          <w:tcPr>
            <w:tcW w:w="1039" w:type="dxa"/>
            <w:vAlign w:val="center"/>
          </w:tcPr>
          <w:p w14:paraId="6C0EAA9F">
            <w:pPr>
              <w:jc w:val="center"/>
              <w:rPr>
                <w:color w:val="auto"/>
                <w:szCs w:val="21"/>
                <w:highlight w:val="none"/>
              </w:rPr>
            </w:pPr>
            <w:r>
              <w:rPr>
                <w:color w:val="auto"/>
                <w:szCs w:val="21"/>
                <w:highlight w:val="none"/>
              </w:rPr>
              <w:t>3</w:t>
            </w:r>
          </w:p>
        </w:tc>
      </w:tr>
      <w:tr w14:paraId="54100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02" w:type="dxa"/>
            <w:vMerge w:val="restart"/>
            <w:vAlign w:val="center"/>
          </w:tcPr>
          <w:p w14:paraId="6EC7A39D">
            <w:pPr>
              <w:jc w:val="center"/>
              <w:rPr>
                <w:color w:val="auto"/>
                <w:szCs w:val="21"/>
                <w:highlight w:val="none"/>
              </w:rPr>
            </w:pPr>
            <w:r>
              <w:rPr>
                <w:rFonts w:hint="eastAsia"/>
                <w:color w:val="auto"/>
                <w:szCs w:val="21"/>
                <w:highlight w:val="none"/>
              </w:rPr>
              <w:t>2</w:t>
            </w:r>
          </w:p>
        </w:tc>
        <w:tc>
          <w:tcPr>
            <w:tcW w:w="2192" w:type="dxa"/>
            <w:vMerge w:val="restart"/>
            <w:vAlign w:val="center"/>
          </w:tcPr>
          <w:p w14:paraId="7BDC9F97">
            <w:pPr>
              <w:jc w:val="center"/>
              <w:rPr>
                <w:color w:val="auto"/>
                <w:szCs w:val="21"/>
                <w:highlight w:val="none"/>
              </w:rPr>
            </w:pPr>
            <w:r>
              <w:rPr>
                <w:rFonts w:hint="eastAsia"/>
                <w:color w:val="auto"/>
                <w:szCs w:val="21"/>
                <w:highlight w:val="none"/>
              </w:rPr>
              <w:t>pH</w:t>
            </w:r>
          </w:p>
        </w:tc>
        <w:tc>
          <w:tcPr>
            <w:tcW w:w="2153" w:type="dxa"/>
            <w:vAlign w:val="center"/>
          </w:tcPr>
          <w:p w14:paraId="59E350E0">
            <w:pPr>
              <w:jc w:val="center"/>
              <w:rPr>
                <w:color w:val="auto"/>
                <w:szCs w:val="21"/>
                <w:highlight w:val="none"/>
              </w:rPr>
            </w:pPr>
            <w:r>
              <w:rPr>
                <w:rFonts w:hint="eastAsia"/>
                <w:color w:val="auto"/>
                <w:szCs w:val="21"/>
                <w:highlight w:val="none"/>
              </w:rPr>
              <w:t>6.5</w:t>
            </w:r>
            <w:r>
              <w:rPr>
                <w:color w:val="auto"/>
                <w:szCs w:val="21"/>
                <w:highlight w:val="none"/>
              </w:rPr>
              <w:t>~</w:t>
            </w:r>
            <w:r>
              <w:rPr>
                <w:rFonts w:hint="eastAsia"/>
                <w:color w:val="auto"/>
                <w:szCs w:val="21"/>
                <w:highlight w:val="none"/>
              </w:rPr>
              <w:t>8.0</w:t>
            </w:r>
          </w:p>
        </w:tc>
        <w:tc>
          <w:tcPr>
            <w:tcW w:w="946" w:type="dxa"/>
            <w:vAlign w:val="center"/>
          </w:tcPr>
          <w:p w14:paraId="00A2864F">
            <w:pPr>
              <w:jc w:val="center"/>
              <w:rPr>
                <w:color w:val="auto"/>
                <w:szCs w:val="21"/>
                <w:highlight w:val="none"/>
              </w:rPr>
            </w:pPr>
            <w:r>
              <w:rPr>
                <w:rFonts w:hint="eastAsia"/>
                <w:color w:val="auto"/>
                <w:szCs w:val="21"/>
                <w:highlight w:val="none"/>
              </w:rPr>
              <w:t>1</w:t>
            </w:r>
          </w:p>
        </w:tc>
        <w:tc>
          <w:tcPr>
            <w:tcW w:w="1039" w:type="dxa"/>
            <w:vAlign w:val="center"/>
          </w:tcPr>
          <w:p w14:paraId="76072B82">
            <w:pPr>
              <w:jc w:val="center"/>
              <w:rPr>
                <w:color w:val="auto"/>
                <w:szCs w:val="21"/>
                <w:highlight w:val="none"/>
              </w:rPr>
            </w:pPr>
            <w:r>
              <w:rPr>
                <w:rFonts w:hint="eastAsia"/>
                <w:color w:val="auto"/>
                <w:szCs w:val="21"/>
                <w:highlight w:val="none"/>
              </w:rPr>
              <w:t>1</w:t>
            </w:r>
          </w:p>
        </w:tc>
        <w:tc>
          <w:tcPr>
            <w:tcW w:w="1039" w:type="dxa"/>
            <w:vAlign w:val="center"/>
          </w:tcPr>
          <w:p w14:paraId="0C1D1DE1">
            <w:pPr>
              <w:jc w:val="center"/>
              <w:rPr>
                <w:color w:val="auto"/>
                <w:szCs w:val="21"/>
                <w:highlight w:val="none"/>
              </w:rPr>
            </w:pPr>
            <w:r>
              <w:rPr>
                <w:rFonts w:hint="eastAsia"/>
                <w:color w:val="auto"/>
                <w:szCs w:val="21"/>
                <w:highlight w:val="none"/>
              </w:rPr>
              <w:t>1</w:t>
            </w:r>
          </w:p>
        </w:tc>
      </w:tr>
      <w:tr w14:paraId="70123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02" w:type="dxa"/>
            <w:vMerge w:val="continue"/>
            <w:vAlign w:val="center"/>
          </w:tcPr>
          <w:p w14:paraId="05A8162B">
            <w:pPr>
              <w:jc w:val="center"/>
              <w:rPr>
                <w:color w:val="auto"/>
                <w:szCs w:val="21"/>
                <w:highlight w:val="none"/>
              </w:rPr>
            </w:pPr>
          </w:p>
        </w:tc>
        <w:tc>
          <w:tcPr>
            <w:tcW w:w="2192" w:type="dxa"/>
            <w:vMerge w:val="continue"/>
            <w:vAlign w:val="center"/>
          </w:tcPr>
          <w:p w14:paraId="1C673622">
            <w:pPr>
              <w:jc w:val="center"/>
              <w:rPr>
                <w:color w:val="auto"/>
                <w:szCs w:val="21"/>
                <w:highlight w:val="none"/>
              </w:rPr>
            </w:pPr>
          </w:p>
        </w:tc>
        <w:tc>
          <w:tcPr>
            <w:tcW w:w="2153" w:type="dxa"/>
            <w:vAlign w:val="center"/>
          </w:tcPr>
          <w:p w14:paraId="3E9466E8">
            <w:pPr>
              <w:jc w:val="center"/>
              <w:rPr>
                <w:color w:val="auto"/>
                <w:szCs w:val="21"/>
                <w:highlight w:val="none"/>
              </w:rPr>
            </w:pPr>
            <w:r>
              <w:rPr>
                <w:rFonts w:hint="eastAsia"/>
                <w:color w:val="auto"/>
                <w:szCs w:val="21"/>
                <w:highlight w:val="none"/>
              </w:rPr>
              <w:t>8.0</w:t>
            </w:r>
            <w:r>
              <w:rPr>
                <w:color w:val="auto"/>
                <w:szCs w:val="21"/>
                <w:highlight w:val="none"/>
              </w:rPr>
              <w:t>~</w:t>
            </w:r>
            <w:r>
              <w:rPr>
                <w:rFonts w:hint="eastAsia"/>
                <w:color w:val="auto"/>
                <w:szCs w:val="21"/>
                <w:highlight w:val="none"/>
              </w:rPr>
              <w:t>8.5</w:t>
            </w:r>
          </w:p>
        </w:tc>
        <w:tc>
          <w:tcPr>
            <w:tcW w:w="946" w:type="dxa"/>
            <w:vAlign w:val="center"/>
          </w:tcPr>
          <w:p w14:paraId="5E3CA0BB">
            <w:pPr>
              <w:jc w:val="center"/>
              <w:rPr>
                <w:color w:val="auto"/>
                <w:szCs w:val="21"/>
                <w:highlight w:val="none"/>
              </w:rPr>
            </w:pPr>
            <w:r>
              <w:rPr>
                <w:rFonts w:hint="eastAsia"/>
                <w:color w:val="auto"/>
                <w:szCs w:val="21"/>
                <w:highlight w:val="none"/>
              </w:rPr>
              <w:t>2</w:t>
            </w:r>
          </w:p>
        </w:tc>
        <w:tc>
          <w:tcPr>
            <w:tcW w:w="1039" w:type="dxa"/>
            <w:vAlign w:val="center"/>
          </w:tcPr>
          <w:p w14:paraId="56EF0697">
            <w:pPr>
              <w:jc w:val="center"/>
              <w:rPr>
                <w:color w:val="auto"/>
                <w:szCs w:val="21"/>
                <w:highlight w:val="none"/>
              </w:rPr>
            </w:pPr>
            <w:r>
              <w:rPr>
                <w:rFonts w:hint="eastAsia"/>
                <w:color w:val="auto"/>
                <w:szCs w:val="21"/>
                <w:highlight w:val="none"/>
              </w:rPr>
              <w:t>2</w:t>
            </w:r>
          </w:p>
        </w:tc>
        <w:tc>
          <w:tcPr>
            <w:tcW w:w="1039" w:type="dxa"/>
            <w:vAlign w:val="center"/>
          </w:tcPr>
          <w:p w14:paraId="2ADCB4D6">
            <w:pPr>
              <w:jc w:val="center"/>
              <w:rPr>
                <w:color w:val="auto"/>
                <w:szCs w:val="21"/>
                <w:highlight w:val="none"/>
              </w:rPr>
            </w:pPr>
            <w:r>
              <w:rPr>
                <w:rFonts w:hint="eastAsia"/>
                <w:color w:val="auto"/>
                <w:szCs w:val="21"/>
                <w:highlight w:val="none"/>
              </w:rPr>
              <w:t>2</w:t>
            </w:r>
          </w:p>
        </w:tc>
      </w:tr>
      <w:tr w14:paraId="7838B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02" w:type="dxa"/>
            <w:vMerge w:val="continue"/>
            <w:vAlign w:val="center"/>
          </w:tcPr>
          <w:p w14:paraId="04FD6CEC">
            <w:pPr>
              <w:jc w:val="center"/>
              <w:rPr>
                <w:color w:val="auto"/>
                <w:szCs w:val="21"/>
                <w:highlight w:val="none"/>
              </w:rPr>
            </w:pPr>
          </w:p>
        </w:tc>
        <w:tc>
          <w:tcPr>
            <w:tcW w:w="2192" w:type="dxa"/>
            <w:vMerge w:val="continue"/>
            <w:vAlign w:val="center"/>
          </w:tcPr>
          <w:p w14:paraId="09485801">
            <w:pPr>
              <w:jc w:val="center"/>
              <w:rPr>
                <w:color w:val="auto"/>
                <w:szCs w:val="21"/>
                <w:highlight w:val="none"/>
              </w:rPr>
            </w:pPr>
          </w:p>
        </w:tc>
        <w:tc>
          <w:tcPr>
            <w:tcW w:w="2153" w:type="dxa"/>
            <w:vAlign w:val="center"/>
          </w:tcPr>
          <w:p w14:paraId="3764CFAB">
            <w:pPr>
              <w:jc w:val="center"/>
              <w:rPr>
                <w:color w:val="auto"/>
                <w:szCs w:val="21"/>
                <w:highlight w:val="none"/>
              </w:rPr>
            </w:pPr>
            <w:r>
              <w:rPr>
                <w:color w:val="auto"/>
                <w:szCs w:val="21"/>
                <w:highlight w:val="none"/>
              </w:rPr>
              <w:t>&lt;</w:t>
            </w:r>
            <w:r>
              <w:rPr>
                <w:rFonts w:hint="eastAsia"/>
                <w:color w:val="auto"/>
                <w:szCs w:val="21"/>
                <w:highlight w:val="none"/>
              </w:rPr>
              <w:t>6.5，</w:t>
            </w:r>
            <w:r>
              <w:rPr>
                <w:color w:val="auto"/>
                <w:szCs w:val="21"/>
                <w:highlight w:val="none"/>
              </w:rPr>
              <w:t>&gt;</w:t>
            </w:r>
            <w:r>
              <w:rPr>
                <w:rFonts w:hint="eastAsia"/>
                <w:color w:val="auto"/>
                <w:szCs w:val="21"/>
                <w:highlight w:val="none"/>
              </w:rPr>
              <w:t>8.5</w:t>
            </w:r>
          </w:p>
        </w:tc>
        <w:tc>
          <w:tcPr>
            <w:tcW w:w="946" w:type="dxa"/>
            <w:vAlign w:val="center"/>
          </w:tcPr>
          <w:p w14:paraId="317F9A87">
            <w:pPr>
              <w:jc w:val="center"/>
              <w:rPr>
                <w:color w:val="auto"/>
                <w:szCs w:val="21"/>
                <w:highlight w:val="none"/>
              </w:rPr>
            </w:pPr>
            <w:r>
              <w:rPr>
                <w:rFonts w:hint="eastAsia"/>
                <w:color w:val="auto"/>
                <w:szCs w:val="21"/>
                <w:highlight w:val="none"/>
              </w:rPr>
              <w:t>3</w:t>
            </w:r>
          </w:p>
        </w:tc>
        <w:tc>
          <w:tcPr>
            <w:tcW w:w="1039" w:type="dxa"/>
            <w:vAlign w:val="center"/>
          </w:tcPr>
          <w:p w14:paraId="07580ADB">
            <w:pPr>
              <w:jc w:val="center"/>
              <w:rPr>
                <w:color w:val="auto"/>
                <w:szCs w:val="21"/>
                <w:highlight w:val="none"/>
              </w:rPr>
            </w:pPr>
            <w:r>
              <w:rPr>
                <w:rFonts w:hint="eastAsia"/>
                <w:color w:val="auto"/>
                <w:szCs w:val="21"/>
                <w:highlight w:val="none"/>
              </w:rPr>
              <w:t>3</w:t>
            </w:r>
          </w:p>
        </w:tc>
        <w:tc>
          <w:tcPr>
            <w:tcW w:w="1039" w:type="dxa"/>
            <w:vAlign w:val="center"/>
          </w:tcPr>
          <w:p w14:paraId="57A536EB">
            <w:pPr>
              <w:jc w:val="center"/>
              <w:rPr>
                <w:color w:val="auto"/>
                <w:szCs w:val="21"/>
                <w:highlight w:val="none"/>
              </w:rPr>
            </w:pPr>
            <w:r>
              <w:rPr>
                <w:rFonts w:hint="eastAsia"/>
                <w:color w:val="auto"/>
                <w:szCs w:val="21"/>
                <w:highlight w:val="none"/>
              </w:rPr>
              <w:t>3</w:t>
            </w:r>
          </w:p>
        </w:tc>
      </w:tr>
      <w:tr w14:paraId="04533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02" w:type="dxa"/>
            <w:vMerge w:val="restart"/>
            <w:vAlign w:val="center"/>
          </w:tcPr>
          <w:p w14:paraId="335888C3">
            <w:pPr>
              <w:jc w:val="center"/>
              <w:rPr>
                <w:color w:val="auto"/>
                <w:szCs w:val="21"/>
                <w:highlight w:val="none"/>
              </w:rPr>
            </w:pPr>
            <w:r>
              <w:rPr>
                <w:rFonts w:hint="eastAsia"/>
                <w:color w:val="auto"/>
                <w:szCs w:val="21"/>
                <w:highlight w:val="none"/>
              </w:rPr>
              <w:t>3</w:t>
            </w:r>
          </w:p>
        </w:tc>
        <w:tc>
          <w:tcPr>
            <w:tcW w:w="2192" w:type="dxa"/>
            <w:vMerge w:val="restart"/>
            <w:vAlign w:val="center"/>
          </w:tcPr>
          <w:p w14:paraId="668371D6">
            <w:pPr>
              <w:jc w:val="center"/>
              <w:rPr>
                <w:color w:val="auto"/>
                <w:szCs w:val="21"/>
                <w:highlight w:val="none"/>
              </w:rPr>
            </w:pPr>
            <w:r>
              <w:rPr>
                <w:color w:val="auto"/>
                <w:szCs w:val="21"/>
                <w:highlight w:val="none"/>
              </w:rPr>
              <w:t>土壤质地</w:t>
            </w:r>
          </w:p>
        </w:tc>
        <w:tc>
          <w:tcPr>
            <w:tcW w:w="2153" w:type="dxa"/>
            <w:vAlign w:val="center"/>
          </w:tcPr>
          <w:p w14:paraId="5BB30624">
            <w:pPr>
              <w:jc w:val="center"/>
              <w:rPr>
                <w:color w:val="auto"/>
                <w:szCs w:val="21"/>
                <w:highlight w:val="none"/>
              </w:rPr>
            </w:pPr>
            <w:r>
              <w:rPr>
                <w:color w:val="auto"/>
                <w:szCs w:val="21"/>
                <w:highlight w:val="none"/>
              </w:rPr>
              <w:t>壤土</w:t>
            </w:r>
          </w:p>
        </w:tc>
        <w:tc>
          <w:tcPr>
            <w:tcW w:w="946" w:type="dxa"/>
            <w:vAlign w:val="center"/>
          </w:tcPr>
          <w:p w14:paraId="7DFF8664">
            <w:pPr>
              <w:jc w:val="center"/>
              <w:rPr>
                <w:color w:val="auto"/>
                <w:szCs w:val="21"/>
                <w:highlight w:val="none"/>
              </w:rPr>
            </w:pPr>
            <w:r>
              <w:rPr>
                <w:color w:val="auto"/>
                <w:szCs w:val="21"/>
                <w:highlight w:val="none"/>
              </w:rPr>
              <w:t>1</w:t>
            </w:r>
          </w:p>
        </w:tc>
        <w:tc>
          <w:tcPr>
            <w:tcW w:w="1039" w:type="dxa"/>
            <w:vAlign w:val="center"/>
          </w:tcPr>
          <w:p w14:paraId="4ED39912">
            <w:pPr>
              <w:jc w:val="center"/>
              <w:rPr>
                <w:color w:val="auto"/>
                <w:szCs w:val="21"/>
                <w:highlight w:val="none"/>
              </w:rPr>
            </w:pPr>
            <w:r>
              <w:rPr>
                <w:color w:val="auto"/>
                <w:szCs w:val="21"/>
                <w:highlight w:val="none"/>
              </w:rPr>
              <w:t>1</w:t>
            </w:r>
          </w:p>
        </w:tc>
        <w:tc>
          <w:tcPr>
            <w:tcW w:w="1039" w:type="dxa"/>
            <w:vAlign w:val="center"/>
          </w:tcPr>
          <w:p w14:paraId="26A4335D">
            <w:pPr>
              <w:jc w:val="center"/>
              <w:rPr>
                <w:color w:val="auto"/>
                <w:szCs w:val="21"/>
                <w:highlight w:val="none"/>
              </w:rPr>
            </w:pPr>
            <w:r>
              <w:rPr>
                <w:color w:val="auto"/>
                <w:szCs w:val="21"/>
                <w:highlight w:val="none"/>
              </w:rPr>
              <w:t>1</w:t>
            </w:r>
          </w:p>
        </w:tc>
      </w:tr>
      <w:tr w14:paraId="6B8A5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02" w:type="dxa"/>
            <w:vMerge w:val="continue"/>
            <w:vAlign w:val="center"/>
          </w:tcPr>
          <w:p w14:paraId="07B9A4CC">
            <w:pPr>
              <w:jc w:val="center"/>
              <w:rPr>
                <w:color w:val="auto"/>
                <w:szCs w:val="21"/>
                <w:highlight w:val="none"/>
              </w:rPr>
            </w:pPr>
          </w:p>
        </w:tc>
        <w:tc>
          <w:tcPr>
            <w:tcW w:w="2192" w:type="dxa"/>
            <w:vMerge w:val="continue"/>
            <w:vAlign w:val="center"/>
          </w:tcPr>
          <w:p w14:paraId="77F3DB28">
            <w:pPr>
              <w:jc w:val="center"/>
              <w:rPr>
                <w:color w:val="auto"/>
                <w:szCs w:val="21"/>
                <w:highlight w:val="none"/>
              </w:rPr>
            </w:pPr>
          </w:p>
        </w:tc>
        <w:tc>
          <w:tcPr>
            <w:tcW w:w="2153" w:type="dxa"/>
            <w:vAlign w:val="center"/>
          </w:tcPr>
          <w:p w14:paraId="612B7E72">
            <w:pPr>
              <w:jc w:val="center"/>
              <w:rPr>
                <w:color w:val="auto"/>
                <w:szCs w:val="21"/>
                <w:highlight w:val="none"/>
              </w:rPr>
            </w:pPr>
            <w:r>
              <w:rPr>
                <w:color w:val="auto"/>
                <w:szCs w:val="21"/>
                <w:highlight w:val="none"/>
              </w:rPr>
              <w:t>粘土、砂土</w:t>
            </w:r>
          </w:p>
        </w:tc>
        <w:tc>
          <w:tcPr>
            <w:tcW w:w="946" w:type="dxa"/>
            <w:vAlign w:val="center"/>
          </w:tcPr>
          <w:p w14:paraId="5C9ED16D">
            <w:pPr>
              <w:jc w:val="center"/>
              <w:rPr>
                <w:color w:val="auto"/>
                <w:szCs w:val="21"/>
                <w:highlight w:val="none"/>
              </w:rPr>
            </w:pPr>
            <w:r>
              <w:rPr>
                <w:color w:val="auto"/>
                <w:szCs w:val="21"/>
                <w:highlight w:val="none"/>
              </w:rPr>
              <w:t>2</w:t>
            </w:r>
          </w:p>
        </w:tc>
        <w:tc>
          <w:tcPr>
            <w:tcW w:w="1039" w:type="dxa"/>
            <w:vAlign w:val="center"/>
          </w:tcPr>
          <w:p w14:paraId="53D51FA8">
            <w:pPr>
              <w:jc w:val="center"/>
              <w:rPr>
                <w:color w:val="auto"/>
                <w:szCs w:val="21"/>
                <w:highlight w:val="none"/>
              </w:rPr>
            </w:pPr>
            <w:r>
              <w:rPr>
                <w:color w:val="auto"/>
                <w:szCs w:val="21"/>
                <w:highlight w:val="none"/>
              </w:rPr>
              <w:t>2</w:t>
            </w:r>
          </w:p>
        </w:tc>
        <w:tc>
          <w:tcPr>
            <w:tcW w:w="1039" w:type="dxa"/>
            <w:vAlign w:val="center"/>
          </w:tcPr>
          <w:p w14:paraId="322C60CD">
            <w:pPr>
              <w:jc w:val="center"/>
              <w:rPr>
                <w:color w:val="auto"/>
                <w:szCs w:val="21"/>
                <w:highlight w:val="none"/>
              </w:rPr>
            </w:pPr>
            <w:r>
              <w:rPr>
                <w:color w:val="auto"/>
                <w:szCs w:val="21"/>
                <w:highlight w:val="none"/>
              </w:rPr>
              <w:t>2</w:t>
            </w:r>
          </w:p>
        </w:tc>
      </w:tr>
      <w:tr w14:paraId="71315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02" w:type="dxa"/>
            <w:vMerge w:val="continue"/>
            <w:vAlign w:val="center"/>
          </w:tcPr>
          <w:p w14:paraId="35AFC282">
            <w:pPr>
              <w:jc w:val="center"/>
              <w:rPr>
                <w:color w:val="auto"/>
                <w:szCs w:val="21"/>
                <w:highlight w:val="none"/>
              </w:rPr>
            </w:pPr>
          </w:p>
        </w:tc>
        <w:tc>
          <w:tcPr>
            <w:tcW w:w="2192" w:type="dxa"/>
            <w:vMerge w:val="continue"/>
            <w:vAlign w:val="center"/>
          </w:tcPr>
          <w:p w14:paraId="32C5C314">
            <w:pPr>
              <w:jc w:val="center"/>
              <w:rPr>
                <w:color w:val="auto"/>
                <w:szCs w:val="21"/>
                <w:highlight w:val="none"/>
              </w:rPr>
            </w:pPr>
          </w:p>
        </w:tc>
        <w:tc>
          <w:tcPr>
            <w:tcW w:w="2153" w:type="dxa"/>
            <w:vAlign w:val="center"/>
          </w:tcPr>
          <w:p w14:paraId="67D9A58A">
            <w:pPr>
              <w:jc w:val="center"/>
              <w:rPr>
                <w:color w:val="auto"/>
                <w:szCs w:val="21"/>
                <w:highlight w:val="none"/>
              </w:rPr>
            </w:pPr>
            <w:r>
              <w:rPr>
                <w:color w:val="auto"/>
                <w:szCs w:val="21"/>
                <w:highlight w:val="none"/>
              </w:rPr>
              <w:t>砂质、砾质</w:t>
            </w:r>
          </w:p>
        </w:tc>
        <w:tc>
          <w:tcPr>
            <w:tcW w:w="946" w:type="dxa"/>
            <w:vAlign w:val="center"/>
          </w:tcPr>
          <w:p w14:paraId="23B07FB8">
            <w:pPr>
              <w:jc w:val="center"/>
              <w:rPr>
                <w:color w:val="auto"/>
                <w:szCs w:val="21"/>
                <w:highlight w:val="none"/>
              </w:rPr>
            </w:pPr>
            <w:r>
              <w:rPr>
                <w:color w:val="auto"/>
                <w:szCs w:val="21"/>
                <w:highlight w:val="none"/>
              </w:rPr>
              <w:t>4</w:t>
            </w:r>
          </w:p>
        </w:tc>
        <w:tc>
          <w:tcPr>
            <w:tcW w:w="1039" w:type="dxa"/>
            <w:vAlign w:val="center"/>
          </w:tcPr>
          <w:p w14:paraId="45206E7D">
            <w:pPr>
              <w:jc w:val="center"/>
              <w:rPr>
                <w:color w:val="auto"/>
                <w:szCs w:val="21"/>
                <w:highlight w:val="none"/>
              </w:rPr>
            </w:pPr>
            <w:r>
              <w:rPr>
                <w:color w:val="auto"/>
                <w:szCs w:val="21"/>
                <w:highlight w:val="none"/>
              </w:rPr>
              <w:t>3</w:t>
            </w:r>
          </w:p>
        </w:tc>
        <w:tc>
          <w:tcPr>
            <w:tcW w:w="1039" w:type="dxa"/>
            <w:vAlign w:val="center"/>
          </w:tcPr>
          <w:p w14:paraId="083B978B">
            <w:pPr>
              <w:jc w:val="center"/>
              <w:rPr>
                <w:color w:val="auto"/>
                <w:szCs w:val="21"/>
                <w:highlight w:val="none"/>
              </w:rPr>
            </w:pPr>
            <w:r>
              <w:rPr>
                <w:color w:val="auto"/>
                <w:szCs w:val="21"/>
                <w:highlight w:val="none"/>
              </w:rPr>
              <w:t>3</w:t>
            </w:r>
          </w:p>
        </w:tc>
      </w:tr>
      <w:tr w14:paraId="662A9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02" w:type="dxa"/>
            <w:vMerge w:val="restart"/>
            <w:vAlign w:val="center"/>
          </w:tcPr>
          <w:p w14:paraId="0C3EF832">
            <w:pPr>
              <w:jc w:val="center"/>
              <w:rPr>
                <w:color w:val="auto"/>
                <w:szCs w:val="21"/>
                <w:highlight w:val="none"/>
              </w:rPr>
            </w:pPr>
            <w:r>
              <w:rPr>
                <w:rFonts w:hint="eastAsia"/>
                <w:color w:val="auto"/>
                <w:szCs w:val="21"/>
                <w:highlight w:val="none"/>
              </w:rPr>
              <w:t>4</w:t>
            </w:r>
          </w:p>
        </w:tc>
        <w:tc>
          <w:tcPr>
            <w:tcW w:w="2192" w:type="dxa"/>
            <w:vMerge w:val="restart"/>
            <w:vAlign w:val="center"/>
          </w:tcPr>
          <w:p w14:paraId="66C4552D">
            <w:pPr>
              <w:jc w:val="center"/>
              <w:rPr>
                <w:color w:val="auto"/>
                <w:szCs w:val="21"/>
                <w:highlight w:val="none"/>
              </w:rPr>
            </w:pPr>
            <w:r>
              <w:rPr>
                <w:color w:val="auto"/>
                <w:szCs w:val="21"/>
                <w:highlight w:val="none"/>
              </w:rPr>
              <w:t>有机质含量（%）</w:t>
            </w:r>
          </w:p>
        </w:tc>
        <w:tc>
          <w:tcPr>
            <w:tcW w:w="2153" w:type="dxa"/>
            <w:vAlign w:val="center"/>
          </w:tcPr>
          <w:p w14:paraId="15049656">
            <w:pPr>
              <w:jc w:val="center"/>
              <w:rPr>
                <w:color w:val="auto"/>
                <w:szCs w:val="21"/>
                <w:highlight w:val="none"/>
              </w:rPr>
            </w:pPr>
            <w:r>
              <w:rPr>
                <w:color w:val="auto"/>
                <w:szCs w:val="21"/>
                <w:highlight w:val="none"/>
              </w:rPr>
              <w:t>&gt;2.0</w:t>
            </w:r>
          </w:p>
        </w:tc>
        <w:tc>
          <w:tcPr>
            <w:tcW w:w="946" w:type="dxa"/>
            <w:vAlign w:val="center"/>
          </w:tcPr>
          <w:p w14:paraId="6C0825CD">
            <w:pPr>
              <w:jc w:val="center"/>
              <w:rPr>
                <w:color w:val="auto"/>
                <w:szCs w:val="21"/>
                <w:highlight w:val="none"/>
              </w:rPr>
            </w:pPr>
            <w:r>
              <w:rPr>
                <w:rFonts w:hint="eastAsia"/>
                <w:color w:val="auto"/>
                <w:szCs w:val="21"/>
                <w:highlight w:val="none"/>
              </w:rPr>
              <w:t>1</w:t>
            </w:r>
          </w:p>
        </w:tc>
        <w:tc>
          <w:tcPr>
            <w:tcW w:w="1039" w:type="dxa"/>
            <w:vAlign w:val="center"/>
          </w:tcPr>
          <w:p w14:paraId="0F9F0B08">
            <w:pPr>
              <w:jc w:val="center"/>
              <w:rPr>
                <w:color w:val="auto"/>
                <w:szCs w:val="21"/>
                <w:highlight w:val="none"/>
              </w:rPr>
            </w:pPr>
            <w:r>
              <w:rPr>
                <w:rFonts w:hint="eastAsia"/>
                <w:color w:val="auto"/>
                <w:szCs w:val="21"/>
                <w:highlight w:val="none"/>
              </w:rPr>
              <w:t>1</w:t>
            </w:r>
          </w:p>
        </w:tc>
        <w:tc>
          <w:tcPr>
            <w:tcW w:w="1039" w:type="dxa"/>
            <w:vAlign w:val="center"/>
          </w:tcPr>
          <w:p w14:paraId="6376F890">
            <w:pPr>
              <w:jc w:val="center"/>
              <w:rPr>
                <w:color w:val="auto"/>
                <w:szCs w:val="21"/>
                <w:highlight w:val="none"/>
              </w:rPr>
            </w:pPr>
            <w:r>
              <w:rPr>
                <w:rFonts w:hint="eastAsia"/>
                <w:color w:val="auto"/>
                <w:szCs w:val="21"/>
                <w:highlight w:val="none"/>
              </w:rPr>
              <w:t>1</w:t>
            </w:r>
          </w:p>
        </w:tc>
      </w:tr>
      <w:tr w14:paraId="47566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02" w:type="dxa"/>
            <w:vMerge w:val="continue"/>
            <w:vAlign w:val="center"/>
          </w:tcPr>
          <w:p w14:paraId="0A0FE4D5">
            <w:pPr>
              <w:jc w:val="center"/>
              <w:rPr>
                <w:color w:val="auto"/>
                <w:szCs w:val="21"/>
                <w:highlight w:val="none"/>
              </w:rPr>
            </w:pPr>
          </w:p>
        </w:tc>
        <w:tc>
          <w:tcPr>
            <w:tcW w:w="2192" w:type="dxa"/>
            <w:vMerge w:val="continue"/>
            <w:vAlign w:val="center"/>
          </w:tcPr>
          <w:p w14:paraId="1ECA7A6D">
            <w:pPr>
              <w:jc w:val="center"/>
              <w:rPr>
                <w:color w:val="auto"/>
                <w:szCs w:val="21"/>
                <w:highlight w:val="none"/>
              </w:rPr>
            </w:pPr>
          </w:p>
        </w:tc>
        <w:tc>
          <w:tcPr>
            <w:tcW w:w="2153" w:type="dxa"/>
            <w:vAlign w:val="center"/>
          </w:tcPr>
          <w:p w14:paraId="58C7602B">
            <w:pPr>
              <w:jc w:val="center"/>
              <w:rPr>
                <w:color w:val="auto"/>
                <w:szCs w:val="21"/>
                <w:highlight w:val="none"/>
              </w:rPr>
            </w:pPr>
            <w:r>
              <w:rPr>
                <w:color w:val="auto"/>
                <w:szCs w:val="21"/>
                <w:highlight w:val="none"/>
              </w:rPr>
              <w:t>1.5~2.0</w:t>
            </w:r>
          </w:p>
        </w:tc>
        <w:tc>
          <w:tcPr>
            <w:tcW w:w="946" w:type="dxa"/>
            <w:vAlign w:val="center"/>
          </w:tcPr>
          <w:p w14:paraId="73C130C7">
            <w:pPr>
              <w:jc w:val="center"/>
              <w:rPr>
                <w:color w:val="auto"/>
                <w:szCs w:val="21"/>
                <w:highlight w:val="none"/>
              </w:rPr>
            </w:pPr>
            <w:r>
              <w:rPr>
                <w:rFonts w:hint="eastAsia"/>
                <w:color w:val="auto"/>
                <w:szCs w:val="21"/>
                <w:highlight w:val="none"/>
              </w:rPr>
              <w:t>2</w:t>
            </w:r>
          </w:p>
        </w:tc>
        <w:tc>
          <w:tcPr>
            <w:tcW w:w="1039" w:type="dxa"/>
            <w:vAlign w:val="center"/>
          </w:tcPr>
          <w:p w14:paraId="5579365B">
            <w:pPr>
              <w:jc w:val="center"/>
              <w:rPr>
                <w:color w:val="auto"/>
                <w:szCs w:val="21"/>
                <w:highlight w:val="none"/>
              </w:rPr>
            </w:pPr>
            <w:r>
              <w:rPr>
                <w:rFonts w:hint="eastAsia"/>
                <w:color w:val="auto"/>
                <w:szCs w:val="21"/>
                <w:highlight w:val="none"/>
              </w:rPr>
              <w:t>1</w:t>
            </w:r>
          </w:p>
        </w:tc>
        <w:tc>
          <w:tcPr>
            <w:tcW w:w="1039" w:type="dxa"/>
            <w:vAlign w:val="center"/>
          </w:tcPr>
          <w:p w14:paraId="262728D6">
            <w:pPr>
              <w:jc w:val="center"/>
              <w:rPr>
                <w:color w:val="auto"/>
                <w:szCs w:val="21"/>
                <w:highlight w:val="none"/>
              </w:rPr>
            </w:pPr>
            <w:r>
              <w:rPr>
                <w:rFonts w:hint="eastAsia"/>
                <w:color w:val="auto"/>
                <w:szCs w:val="21"/>
                <w:highlight w:val="none"/>
              </w:rPr>
              <w:t>1</w:t>
            </w:r>
          </w:p>
        </w:tc>
      </w:tr>
      <w:tr w14:paraId="56160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02" w:type="dxa"/>
            <w:vMerge w:val="continue"/>
            <w:vAlign w:val="center"/>
          </w:tcPr>
          <w:p w14:paraId="5827691F">
            <w:pPr>
              <w:jc w:val="center"/>
              <w:rPr>
                <w:color w:val="auto"/>
                <w:szCs w:val="21"/>
                <w:highlight w:val="none"/>
              </w:rPr>
            </w:pPr>
          </w:p>
        </w:tc>
        <w:tc>
          <w:tcPr>
            <w:tcW w:w="2192" w:type="dxa"/>
            <w:vMerge w:val="continue"/>
            <w:vAlign w:val="center"/>
          </w:tcPr>
          <w:p w14:paraId="7AF8B7CE">
            <w:pPr>
              <w:jc w:val="center"/>
              <w:rPr>
                <w:color w:val="auto"/>
                <w:szCs w:val="21"/>
                <w:highlight w:val="none"/>
              </w:rPr>
            </w:pPr>
          </w:p>
        </w:tc>
        <w:tc>
          <w:tcPr>
            <w:tcW w:w="2153" w:type="dxa"/>
            <w:vAlign w:val="center"/>
          </w:tcPr>
          <w:p w14:paraId="32B0491B">
            <w:pPr>
              <w:jc w:val="center"/>
              <w:rPr>
                <w:color w:val="auto"/>
                <w:szCs w:val="21"/>
                <w:highlight w:val="none"/>
              </w:rPr>
            </w:pPr>
            <w:r>
              <w:rPr>
                <w:color w:val="auto"/>
                <w:szCs w:val="21"/>
                <w:highlight w:val="none"/>
              </w:rPr>
              <w:t>1.0~1.5</w:t>
            </w:r>
          </w:p>
        </w:tc>
        <w:tc>
          <w:tcPr>
            <w:tcW w:w="946" w:type="dxa"/>
            <w:vAlign w:val="center"/>
          </w:tcPr>
          <w:p w14:paraId="2FF1609C">
            <w:pPr>
              <w:jc w:val="center"/>
              <w:rPr>
                <w:color w:val="auto"/>
                <w:szCs w:val="21"/>
                <w:highlight w:val="none"/>
              </w:rPr>
            </w:pPr>
            <w:r>
              <w:rPr>
                <w:rFonts w:hint="eastAsia"/>
                <w:color w:val="auto"/>
                <w:szCs w:val="21"/>
                <w:highlight w:val="none"/>
              </w:rPr>
              <w:t>3</w:t>
            </w:r>
          </w:p>
        </w:tc>
        <w:tc>
          <w:tcPr>
            <w:tcW w:w="1039" w:type="dxa"/>
            <w:vAlign w:val="center"/>
          </w:tcPr>
          <w:p w14:paraId="5A14054E">
            <w:pPr>
              <w:jc w:val="center"/>
              <w:rPr>
                <w:color w:val="auto"/>
                <w:szCs w:val="21"/>
                <w:highlight w:val="none"/>
              </w:rPr>
            </w:pPr>
            <w:r>
              <w:rPr>
                <w:rFonts w:hint="eastAsia"/>
                <w:color w:val="auto"/>
                <w:szCs w:val="21"/>
                <w:highlight w:val="none"/>
              </w:rPr>
              <w:t>2</w:t>
            </w:r>
          </w:p>
        </w:tc>
        <w:tc>
          <w:tcPr>
            <w:tcW w:w="1039" w:type="dxa"/>
            <w:vAlign w:val="center"/>
          </w:tcPr>
          <w:p w14:paraId="4D1C69DC">
            <w:pPr>
              <w:jc w:val="center"/>
              <w:rPr>
                <w:color w:val="auto"/>
                <w:szCs w:val="21"/>
                <w:highlight w:val="none"/>
              </w:rPr>
            </w:pPr>
            <w:r>
              <w:rPr>
                <w:rFonts w:hint="eastAsia"/>
                <w:color w:val="auto"/>
                <w:szCs w:val="21"/>
                <w:highlight w:val="none"/>
              </w:rPr>
              <w:t>2</w:t>
            </w:r>
          </w:p>
        </w:tc>
      </w:tr>
      <w:tr w14:paraId="26930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02" w:type="dxa"/>
            <w:vMerge w:val="continue"/>
            <w:vAlign w:val="center"/>
          </w:tcPr>
          <w:p w14:paraId="25E46EC7">
            <w:pPr>
              <w:jc w:val="center"/>
              <w:rPr>
                <w:color w:val="auto"/>
                <w:szCs w:val="21"/>
                <w:highlight w:val="none"/>
              </w:rPr>
            </w:pPr>
          </w:p>
        </w:tc>
        <w:tc>
          <w:tcPr>
            <w:tcW w:w="2192" w:type="dxa"/>
            <w:vMerge w:val="continue"/>
            <w:vAlign w:val="center"/>
          </w:tcPr>
          <w:p w14:paraId="477A9339">
            <w:pPr>
              <w:jc w:val="center"/>
              <w:rPr>
                <w:color w:val="auto"/>
                <w:szCs w:val="21"/>
                <w:highlight w:val="none"/>
              </w:rPr>
            </w:pPr>
          </w:p>
        </w:tc>
        <w:tc>
          <w:tcPr>
            <w:tcW w:w="2153" w:type="dxa"/>
            <w:vAlign w:val="center"/>
          </w:tcPr>
          <w:p w14:paraId="446EBDC2">
            <w:pPr>
              <w:jc w:val="center"/>
              <w:rPr>
                <w:color w:val="auto"/>
                <w:szCs w:val="21"/>
                <w:highlight w:val="none"/>
              </w:rPr>
            </w:pPr>
            <w:r>
              <w:rPr>
                <w:color w:val="auto"/>
                <w:szCs w:val="21"/>
                <w:highlight w:val="none"/>
              </w:rPr>
              <w:t>&lt;1.0</w:t>
            </w:r>
          </w:p>
        </w:tc>
        <w:tc>
          <w:tcPr>
            <w:tcW w:w="946" w:type="dxa"/>
            <w:vAlign w:val="center"/>
          </w:tcPr>
          <w:p w14:paraId="6772A353">
            <w:pPr>
              <w:jc w:val="center"/>
              <w:rPr>
                <w:color w:val="auto"/>
                <w:szCs w:val="21"/>
                <w:highlight w:val="none"/>
              </w:rPr>
            </w:pPr>
            <w:r>
              <w:rPr>
                <w:rFonts w:hint="eastAsia"/>
                <w:color w:val="auto"/>
                <w:szCs w:val="21"/>
                <w:highlight w:val="none"/>
              </w:rPr>
              <w:t>4</w:t>
            </w:r>
          </w:p>
        </w:tc>
        <w:tc>
          <w:tcPr>
            <w:tcW w:w="1039" w:type="dxa"/>
            <w:vAlign w:val="center"/>
          </w:tcPr>
          <w:p w14:paraId="33F09DEA">
            <w:pPr>
              <w:jc w:val="center"/>
              <w:rPr>
                <w:color w:val="auto"/>
                <w:szCs w:val="21"/>
                <w:highlight w:val="none"/>
              </w:rPr>
            </w:pPr>
            <w:r>
              <w:rPr>
                <w:rFonts w:hint="eastAsia"/>
                <w:color w:val="auto"/>
                <w:szCs w:val="21"/>
                <w:highlight w:val="none"/>
              </w:rPr>
              <w:t>4</w:t>
            </w:r>
          </w:p>
        </w:tc>
        <w:tc>
          <w:tcPr>
            <w:tcW w:w="1039" w:type="dxa"/>
            <w:vAlign w:val="center"/>
          </w:tcPr>
          <w:p w14:paraId="30E6F007">
            <w:pPr>
              <w:jc w:val="center"/>
              <w:rPr>
                <w:color w:val="auto"/>
                <w:szCs w:val="21"/>
                <w:highlight w:val="none"/>
              </w:rPr>
            </w:pPr>
            <w:r>
              <w:rPr>
                <w:rFonts w:hint="eastAsia"/>
                <w:color w:val="auto"/>
                <w:szCs w:val="21"/>
                <w:highlight w:val="none"/>
              </w:rPr>
              <w:t>3</w:t>
            </w:r>
          </w:p>
        </w:tc>
      </w:tr>
      <w:tr w14:paraId="46994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02" w:type="dxa"/>
            <w:vMerge w:val="restart"/>
            <w:vAlign w:val="center"/>
          </w:tcPr>
          <w:p w14:paraId="71111ED4">
            <w:pPr>
              <w:jc w:val="center"/>
              <w:rPr>
                <w:color w:val="auto"/>
                <w:szCs w:val="21"/>
                <w:highlight w:val="none"/>
              </w:rPr>
            </w:pPr>
            <w:r>
              <w:rPr>
                <w:rFonts w:hint="eastAsia"/>
                <w:color w:val="auto"/>
                <w:szCs w:val="21"/>
                <w:highlight w:val="none"/>
              </w:rPr>
              <w:t>5</w:t>
            </w:r>
          </w:p>
        </w:tc>
        <w:tc>
          <w:tcPr>
            <w:tcW w:w="2192" w:type="dxa"/>
            <w:vMerge w:val="restart"/>
            <w:vAlign w:val="center"/>
          </w:tcPr>
          <w:p w14:paraId="38D88C80">
            <w:pPr>
              <w:jc w:val="center"/>
              <w:rPr>
                <w:color w:val="auto"/>
                <w:szCs w:val="21"/>
                <w:highlight w:val="none"/>
              </w:rPr>
            </w:pPr>
            <w:r>
              <w:rPr>
                <w:color w:val="auto"/>
                <w:szCs w:val="21"/>
                <w:highlight w:val="none"/>
              </w:rPr>
              <w:t>有效土层厚度（cm）</w:t>
            </w:r>
          </w:p>
        </w:tc>
        <w:tc>
          <w:tcPr>
            <w:tcW w:w="2153" w:type="dxa"/>
            <w:vAlign w:val="center"/>
          </w:tcPr>
          <w:p w14:paraId="6692CA1D">
            <w:pPr>
              <w:jc w:val="center"/>
              <w:rPr>
                <w:color w:val="auto"/>
                <w:szCs w:val="21"/>
                <w:highlight w:val="none"/>
              </w:rPr>
            </w:pPr>
            <w:r>
              <w:rPr>
                <w:color w:val="auto"/>
                <w:szCs w:val="21"/>
                <w:highlight w:val="none"/>
              </w:rPr>
              <w:t>≥50</w:t>
            </w:r>
          </w:p>
        </w:tc>
        <w:tc>
          <w:tcPr>
            <w:tcW w:w="946" w:type="dxa"/>
            <w:vAlign w:val="center"/>
          </w:tcPr>
          <w:p w14:paraId="28609C8B">
            <w:pPr>
              <w:jc w:val="center"/>
              <w:rPr>
                <w:color w:val="auto"/>
                <w:szCs w:val="21"/>
                <w:highlight w:val="none"/>
              </w:rPr>
            </w:pPr>
            <w:r>
              <w:rPr>
                <w:color w:val="auto"/>
                <w:szCs w:val="21"/>
                <w:highlight w:val="none"/>
              </w:rPr>
              <w:t>1</w:t>
            </w:r>
          </w:p>
        </w:tc>
        <w:tc>
          <w:tcPr>
            <w:tcW w:w="1039" w:type="dxa"/>
            <w:vAlign w:val="center"/>
          </w:tcPr>
          <w:p w14:paraId="1D624A74">
            <w:pPr>
              <w:jc w:val="center"/>
              <w:rPr>
                <w:color w:val="auto"/>
                <w:szCs w:val="21"/>
                <w:highlight w:val="none"/>
              </w:rPr>
            </w:pPr>
            <w:r>
              <w:rPr>
                <w:color w:val="auto"/>
                <w:szCs w:val="21"/>
                <w:highlight w:val="none"/>
              </w:rPr>
              <w:t>1</w:t>
            </w:r>
          </w:p>
        </w:tc>
        <w:tc>
          <w:tcPr>
            <w:tcW w:w="1039" w:type="dxa"/>
            <w:vAlign w:val="center"/>
          </w:tcPr>
          <w:p w14:paraId="5ECF0254">
            <w:pPr>
              <w:jc w:val="center"/>
              <w:rPr>
                <w:color w:val="auto"/>
                <w:szCs w:val="21"/>
                <w:highlight w:val="none"/>
              </w:rPr>
            </w:pPr>
            <w:r>
              <w:rPr>
                <w:color w:val="auto"/>
                <w:szCs w:val="21"/>
                <w:highlight w:val="none"/>
              </w:rPr>
              <w:t>1</w:t>
            </w:r>
          </w:p>
        </w:tc>
      </w:tr>
      <w:tr w14:paraId="7B92F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02" w:type="dxa"/>
            <w:vMerge w:val="continue"/>
            <w:vAlign w:val="center"/>
          </w:tcPr>
          <w:p w14:paraId="015BC44C">
            <w:pPr>
              <w:jc w:val="center"/>
              <w:rPr>
                <w:color w:val="auto"/>
                <w:szCs w:val="21"/>
                <w:highlight w:val="none"/>
              </w:rPr>
            </w:pPr>
          </w:p>
        </w:tc>
        <w:tc>
          <w:tcPr>
            <w:tcW w:w="2192" w:type="dxa"/>
            <w:vMerge w:val="continue"/>
            <w:vAlign w:val="center"/>
          </w:tcPr>
          <w:p w14:paraId="38864EAF">
            <w:pPr>
              <w:jc w:val="center"/>
              <w:rPr>
                <w:color w:val="auto"/>
                <w:szCs w:val="21"/>
                <w:highlight w:val="none"/>
              </w:rPr>
            </w:pPr>
          </w:p>
        </w:tc>
        <w:tc>
          <w:tcPr>
            <w:tcW w:w="2153" w:type="dxa"/>
            <w:vAlign w:val="center"/>
          </w:tcPr>
          <w:p w14:paraId="13855676">
            <w:pPr>
              <w:jc w:val="center"/>
              <w:rPr>
                <w:color w:val="auto"/>
                <w:szCs w:val="21"/>
                <w:highlight w:val="none"/>
              </w:rPr>
            </w:pPr>
            <w:r>
              <w:rPr>
                <w:color w:val="auto"/>
                <w:szCs w:val="21"/>
                <w:highlight w:val="none"/>
              </w:rPr>
              <w:t>30≥厚度＞50</w:t>
            </w:r>
          </w:p>
        </w:tc>
        <w:tc>
          <w:tcPr>
            <w:tcW w:w="946" w:type="dxa"/>
            <w:vAlign w:val="center"/>
          </w:tcPr>
          <w:p w14:paraId="7D52A55C">
            <w:pPr>
              <w:jc w:val="center"/>
              <w:rPr>
                <w:color w:val="auto"/>
                <w:szCs w:val="21"/>
                <w:highlight w:val="none"/>
              </w:rPr>
            </w:pPr>
            <w:r>
              <w:rPr>
                <w:color w:val="auto"/>
                <w:szCs w:val="21"/>
                <w:highlight w:val="none"/>
              </w:rPr>
              <w:t>2</w:t>
            </w:r>
          </w:p>
        </w:tc>
        <w:tc>
          <w:tcPr>
            <w:tcW w:w="1039" w:type="dxa"/>
            <w:vAlign w:val="center"/>
          </w:tcPr>
          <w:p w14:paraId="669EB8F9">
            <w:pPr>
              <w:jc w:val="center"/>
              <w:rPr>
                <w:color w:val="auto"/>
                <w:szCs w:val="21"/>
                <w:highlight w:val="none"/>
              </w:rPr>
            </w:pPr>
            <w:r>
              <w:rPr>
                <w:color w:val="auto"/>
                <w:szCs w:val="21"/>
                <w:highlight w:val="none"/>
              </w:rPr>
              <w:t>1</w:t>
            </w:r>
          </w:p>
        </w:tc>
        <w:tc>
          <w:tcPr>
            <w:tcW w:w="1039" w:type="dxa"/>
            <w:vAlign w:val="center"/>
          </w:tcPr>
          <w:p w14:paraId="722B20B7">
            <w:pPr>
              <w:jc w:val="center"/>
              <w:rPr>
                <w:color w:val="auto"/>
                <w:szCs w:val="21"/>
                <w:highlight w:val="none"/>
              </w:rPr>
            </w:pPr>
            <w:r>
              <w:rPr>
                <w:color w:val="auto"/>
                <w:szCs w:val="21"/>
                <w:highlight w:val="none"/>
              </w:rPr>
              <w:t>1</w:t>
            </w:r>
          </w:p>
        </w:tc>
      </w:tr>
      <w:tr w14:paraId="712E0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02" w:type="dxa"/>
            <w:vMerge w:val="continue"/>
            <w:vAlign w:val="center"/>
          </w:tcPr>
          <w:p w14:paraId="50AB6627">
            <w:pPr>
              <w:jc w:val="center"/>
              <w:rPr>
                <w:color w:val="auto"/>
                <w:szCs w:val="21"/>
                <w:highlight w:val="none"/>
              </w:rPr>
            </w:pPr>
          </w:p>
        </w:tc>
        <w:tc>
          <w:tcPr>
            <w:tcW w:w="2192" w:type="dxa"/>
            <w:vMerge w:val="continue"/>
            <w:vAlign w:val="center"/>
          </w:tcPr>
          <w:p w14:paraId="5A7AD97B">
            <w:pPr>
              <w:jc w:val="center"/>
              <w:rPr>
                <w:color w:val="auto"/>
                <w:szCs w:val="21"/>
                <w:highlight w:val="none"/>
              </w:rPr>
            </w:pPr>
          </w:p>
        </w:tc>
        <w:tc>
          <w:tcPr>
            <w:tcW w:w="2153" w:type="dxa"/>
            <w:vAlign w:val="center"/>
          </w:tcPr>
          <w:p w14:paraId="35F6326E">
            <w:pPr>
              <w:jc w:val="center"/>
              <w:rPr>
                <w:color w:val="auto"/>
                <w:szCs w:val="21"/>
                <w:highlight w:val="none"/>
              </w:rPr>
            </w:pPr>
            <w:r>
              <w:rPr>
                <w:color w:val="auto"/>
                <w:szCs w:val="21"/>
                <w:highlight w:val="none"/>
              </w:rPr>
              <w:t>10≥厚度＞30</w:t>
            </w:r>
          </w:p>
        </w:tc>
        <w:tc>
          <w:tcPr>
            <w:tcW w:w="946" w:type="dxa"/>
            <w:vAlign w:val="center"/>
          </w:tcPr>
          <w:p w14:paraId="40F96B45">
            <w:pPr>
              <w:jc w:val="center"/>
              <w:rPr>
                <w:color w:val="auto"/>
                <w:szCs w:val="21"/>
                <w:highlight w:val="none"/>
              </w:rPr>
            </w:pPr>
            <w:r>
              <w:rPr>
                <w:color w:val="auto"/>
                <w:szCs w:val="21"/>
                <w:highlight w:val="none"/>
              </w:rPr>
              <w:t>3</w:t>
            </w:r>
          </w:p>
        </w:tc>
        <w:tc>
          <w:tcPr>
            <w:tcW w:w="1039" w:type="dxa"/>
            <w:vAlign w:val="center"/>
          </w:tcPr>
          <w:p w14:paraId="3B951095">
            <w:pPr>
              <w:jc w:val="center"/>
              <w:rPr>
                <w:color w:val="auto"/>
                <w:szCs w:val="21"/>
                <w:highlight w:val="none"/>
              </w:rPr>
            </w:pPr>
            <w:r>
              <w:rPr>
                <w:color w:val="auto"/>
                <w:szCs w:val="21"/>
                <w:highlight w:val="none"/>
              </w:rPr>
              <w:t>2</w:t>
            </w:r>
          </w:p>
        </w:tc>
        <w:tc>
          <w:tcPr>
            <w:tcW w:w="1039" w:type="dxa"/>
            <w:vAlign w:val="center"/>
          </w:tcPr>
          <w:p w14:paraId="60A9E7CA">
            <w:pPr>
              <w:jc w:val="center"/>
              <w:rPr>
                <w:color w:val="auto"/>
                <w:szCs w:val="21"/>
                <w:highlight w:val="none"/>
              </w:rPr>
            </w:pPr>
            <w:r>
              <w:rPr>
                <w:color w:val="auto"/>
                <w:szCs w:val="21"/>
                <w:highlight w:val="none"/>
              </w:rPr>
              <w:t>1</w:t>
            </w:r>
          </w:p>
        </w:tc>
      </w:tr>
      <w:tr w14:paraId="17770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02" w:type="dxa"/>
            <w:vMerge w:val="restart"/>
            <w:vAlign w:val="center"/>
          </w:tcPr>
          <w:p w14:paraId="0E6A9CF6">
            <w:pPr>
              <w:jc w:val="center"/>
              <w:rPr>
                <w:color w:val="auto"/>
                <w:szCs w:val="21"/>
                <w:highlight w:val="none"/>
              </w:rPr>
            </w:pPr>
            <w:r>
              <w:rPr>
                <w:rFonts w:hint="eastAsia"/>
                <w:color w:val="auto"/>
                <w:szCs w:val="21"/>
                <w:highlight w:val="none"/>
              </w:rPr>
              <w:t>6</w:t>
            </w:r>
          </w:p>
        </w:tc>
        <w:tc>
          <w:tcPr>
            <w:tcW w:w="2192" w:type="dxa"/>
            <w:vMerge w:val="restart"/>
            <w:vAlign w:val="center"/>
          </w:tcPr>
          <w:p w14:paraId="2B143580">
            <w:pPr>
              <w:jc w:val="center"/>
              <w:rPr>
                <w:color w:val="auto"/>
                <w:szCs w:val="21"/>
                <w:highlight w:val="none"/>
              </w:rPr>
            </w:pPr>
            <w:r>
              <w:rPr>
                <w:color w:val="auto"/>
                <w:szCs w:val="21"/>
                <w:highlight w:val="none"/>
              </w:rPr>
              <w:t>排水条件</w:t>
            </w:r>
          </w:p>
        </w:tc>
        <w:tc>
          <w:tcPr>
            <w:tcW w:w="2153" w:type="dxa"/>
            <w:vAlign w:val="center"/>
          </w:tcPr>
          <w:p w14:paraId="415548D1">
            <w:pPr>
              <w:jc w:val="center"/>
              <w:rPr>
                <w:color w:val="auto"/>
                <w:szCs w:val="21"/>
                <w:highlight w:val="none"/>
              </w:rPr>
            </w:pPr>
            <w:r>
              <w:rPr>
                <w:color w:val="auto"/>
                <w:szCs w:val="21"/>
                <w:highlight w:val="none"/>
              </w:rPr>
              <w:t>好</w:t>
            </w:r>
          </w:p>
        </w:tc>
        <w:tc>
          <w:tcPr>
            <w:tcW w:w="946" w:type="dxa"/>
            <w:vAlign w:val="center"/>
          </w:tcPr>
          <w:p w14:paraId="7FD7412E">
            <w:pPr>
              <w:jc w:val="center"/>
              <w:rPr>
                <w:color w:val="auto"/>
                <w:szCs w:val="21"/>
                <w:highlight w:val="none"/>
              </w:rPr>
            </w:pPr>
            <w:r>
              <w:rPr>
                <w:color w:val="auto"/>
                <w:szCs w:val="21"/>
                <w:highlight w:val="none"/>
              </w:rPr>
              <w:t>1</w:t>
            </w:r>
          </w:p>
        </w:tc>
        <w:tc>
          <w:tcPr>
            <w:tcW w:w="1039" w:type="dxa"/>
            <w:vAlign w:val="center"/>
          </w:tcPr>
          <w:p w14:paraId="7FEC77F2">
            <w:pPr>
              <w:jc w:val="center"/>
              <w:rPr>
                <w:color w:val="auto"/>
                <w:szCs w:val="21"/>
                <w:highlight w:val="none"/>
              </w:rPr>
            </w:pPr>
            <w:r>
              <w:rPr>
                <w:color w:val="auto"/>
                <w:szCs w:val="21"/>
                <w:highlight w:val="none"/>
              </w:rPr>
              <w:t>1</w:t>
            </w:r>
          </w:p>
        </w:tc>
        <w:tc>
          <w:tcPr>
            <w:tcW w:w="1039" w:type="dxa"/>
            <w:vAlign w:val="center"/>
          </w:tcPr>
          <w:p w14:paraId="2DC27108">
            <w:pPr>
              <w:jc w:val="center"/>
              <w:rPr>
                <w:color w:val="auto"/>
                <w:szCs w:val="21"/>
                <w:highlight w:val="none"/>
              </w:rPr>
            </w:pPr>
            <w:r>
              <w:rPr>
                <w:color w:val="auto"/>
                <w:szCs w:val="21"/>
                <w:highlight w:val="none"/>
              </w:rPr>
              <w:t>1</w:t>
            </w:r>
          </w:p>
        </w:tc>
      </w:tr>
      <w:tr w14:paraId="0AE8B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02" w:type="dxa"/>
            <w:vMerge w:val="continue"/>
            <w:vAlign w:val="center"/>
          </w:tcPr>
          <w:p w14:paraId="4D129DDB">
            <w:pPr>
              <w:jc w:val="center"/>
              <w:rPr>
                <w:color w:val="auto"/>
                <w:szCs w:val="21"/>
                <w:highlight w:val="none"/>
              </w:rPr>
            </w:pPr>
          </w:p>
        </w:tc>
        <w:tc>
          <w:tcPr>
            <w:tcW w:w="2192" w:type="dxa"/>
            <w:vMerge w:val="continue"/>
            <w:vAlign w:val="center"/>
          </w:tcPr>
          <w:p w14:paraId="5E3EAAF5">
            <w:pPr>
              <w:jc w:val="center"/>
              <w:rPr>
                <w:color w:val="auto"/>
                <w:szCs w:val="21"/>
                <w:highlight w:val="none"/>
              </w:rPr>
            </w:pPr>
          </w:p>
        </w:tc>
        <w:tc>
          <w:tcPr>
            <w:tcW w:w="2153" w:type="dxa"/>
            <w:vAlign w:val="center"/>
          </w:tcPr>
          <w:p w14:paraId="25314F06">
            <w:pPr>
              <w:jc w:val="center"/>
              <w:rPr>
                <w:color w:val="auto"/>
                <w:szCs w:val="21"/>
                <w:highlight w:val="none"/>
              </w:rPr>
            </w:pPr>
            <w:r>
              <w:rPr>
                <w:color w:val="auto"/>
                <w:szCs w:val="21"/>
                <w:highlight w:val="none"/>
              </w:rPr>
              <w:t>中等</w:t>
            </w:r>
          </w:p>
        </w:tc>
        <w:tc>
          <w:tcPr>
            <w:tcW w:w="946" w:type="dxa"/>
            <w:vAlign w:val="center"/>
          </w:tcPr>
          <w:p w14:paraId="6FB160BC">
            <w:pPr>
              <w:jc w:val="center"/>
              <w:rPr>
                <w:color w:val="auto"/>
                <w:szCs w:val="21"/>
                <w:highlight w:val="none"/>
              </w:rPr>
            </w:pPr>
            <w:r>
              <w:rPr>
                <w:color w:val="auto"/>
                <w:szCs w:val="21"/>
                <w:highlight w:val="none"/>
              </w:rPr>
              <w:t>2</w:t>
            </w:r>
          </w:p>
        </w:tc>
        <w:tc>
          <w:tcPr>
            <w:tcW w:w="1039" w:type="dxa"/>
            <w:vAlign w:val="center"/>
          </w:tcPr>
          <w:p w14:paraId="02D8F80C">
            <w:pPr>
              <w:jc w:val="center"/>
              <w:rPr>
                <w:color w:val="auto"/>
                <w:szCs w:val="21"/>
                <w:highlight w:val="none"/>
              </w:rPr>
            </w:pPr>
            <w:r>
              <w:rPr>
                <w:color w:val="auto"/>
                <w:szCs w:val="21"/>
                <w:highlight w:val="none"/>
              </w:rPr>
              <w:t>2</w:t>
            </w:r>
          </w:p>
        </w:tc>
        <w:tc>
          <w:tcPr>
            <w:tcW w:w="1039" w:type="dxa"/>
            <w:vAlign w:val="center"/>
          </w:tcPr>
          <w:p w14:paraId="58B09FA0">
            <w:pPr>
              <w:jc w:val="center"/>
              <w:rPr>
                <w:color w:val="auto"/>
                <w:szCs w:val="21"/>
                <w:highlight w:val="none"/>
              </w:rPr>
            </w:pPr>
            <w:r>
              <w:rPr>
                <w:color w:val="auto"/>
                <w:szCs w:val="21"/>
                <w:highlight w:val="none"/>
              </w:rPr>
              <w:t>2</w:t>
            </w:r>
          </w:p>
        </w:tc>
      </w:tr>
      <w:tr w14:paraId="56830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02" w:type="dxa"/>
            <w:vMerge w:val="continue"/>
            <w:vAlign w:val="center"/>
          </w:tcPr>
          <w:p w14:paraId="1BD9DD88">
            <w:pPr>
              <w:jc w:val="center"/>
              <w:rPr>
                <w:color w:val="auto"/>
                <w:szCs w:val="21"/>
                <w:highlight w:val="none"/>
              </w:rPr>
            </w:pPr>
          </w:p>
        </w:tc>
        <w:tc>
          <w:tcPr>
            <w:tcW w:w="2192" w:type="dxa"/>
            <w:vMerge w:val="continue"/>
            <w:vAlign w:val="center"/>
          </w:tcPr>
          <w:p w14:paraId="1014702B">
            <w:pPr>
              <w:jc w:val="center"/>
              <w:rPr>
                <w:color w:val="auto"/>
                <w:szCs w:val="21"/>
                <w:highlight w:val="none"/>
              </w:rPr>
            </w:pPr>
          </w:p>
        </w:tc>
        <w:tc>
          <w:tcPr>
            <w:tcW w:w="2153" w:type="dxa"/>
            <w:vAlign w:val="center"/>
          </w:tcPr>
          <w:p w14:paraId="7B1FD937">
            <w:pPr>
              <w:jc w:val="center"/>
              <w:rPr>
                <w:color w:val="auto"/>
                <w:szCs w:val="21"/>
                <w:highlight w:val="none"/>
              </w:rPr>
            </w:pPr>
            <w:r>
              <w:rPr>
                <w:color w:val="auto"/>
                <w:szCs w:val="21"/>
                <w:highlight w:val="none"/>
              </w:rPr>
              <w:t>一般</w:t>
            </w:r>
          </w:p>
        </w:tc>
        <w:tc>
          <w:tcPr>
            <w:tcW w:w="946" w:type="dxa"/>
            <w:vAlign w:val="center"/>
          </w:tcPr>
          <w:p w14:paraId="0FDD0AA5">
            <w:pPr>
              <w:jc w:val="center"/>
              <w:rPr>
                <w:color w:val="auto"/>
                <w:szCs w:val="21"/>
                <w:highlight w:val="none"/>
              </w:rPr>
            </w:pPr>
            <w:r>
              <w:rPr>
                <w:color w:val="auto"/>
                <w:szCs w:val="21"/>
                <w:highlight w:val="none"/>
              </w:rPr>
              <w:t>4</w:t>
            </w:r>
          </w:p>
        </w:tc>
        <w:tc>
          <w:tcPr>
            <w:tcW w:w="1039" w:type="dxa"/>
            <w:vAlign w:val="center"/>
          </w:tcPr>
          <w:p w14:paraId="2DEE1291">
            <w:pPr>
              <w:jc w:val="center"/>
              <w:rPr>
                <w:color w:val="auto"/>
                <w:szCs w:val="21"/>
                <w:highlight w:val="none"/>
              </w:rPr>
            </w:pPr>
            <w:r>
              <w:rPr>
                <w:color w:val="auto"/>
                <w:szCs w:val="21"/>
                <w:highlight w:val="none"/>
              </w:rPr>
              <w:t>3</w:t>
            </w:r>
          </w:p>
        </w:tc>
        <w:tc>
          <w:tcPr>
            <w:tcW w:w="1039" w:type="dxa"/>
            <w:vAlign w:val="center"/>
          </w:tcPr>
          <w:p w14:paraId="214B081D">
            <w:pPr>
              <w:jc w:val="center"/>
              <w:rPr>
                <w:color w:val="auto"/>
                <w:szCs w:val="21"/>
                <w:highlight w:val="none"/>
              </w:rPr>
            </w:pPr>
            <w:r>
              <w:rPr>
                <w:color w:val="auto"/>
                <w:szCs w:val="21"/>
                <w:highlight w:val="none"/>
              </w:rPr>
              <w:t>3</w:t>
            </w:r>
          </w:p>
        </w:tc>
      </w:tr>
      <w:tr w14:paraId="6A0CC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02" w:type="dxa"/>
            <w:vMerge w:val="restart"/>
            <w:vAlign w:val="center"/>
          </w:tcPr>
          <w:p w14:paraId="7B954934">
            <w:pPr>
              <w:jc w:val="center"/>
              <w:rPr>
                <w:color w:val="auto"/>
                <w:szCs w:val="21"/>
                <w:highlight w:val="none"/>
              </w:rPr>
            </w:pPr>
            <w:r>
              <w:rPr>
                <w:rFonts w:hint="eastAsia"/>
                <w:color w:val="auto"/>
                <w:szCs w:val="21"/>
                <w:highlight w:val="none"/>
              </w:rPr>
              <w:t>7</w:t>
            </w:r>
          </w:p>
        </w:tc>
        <w:tc>
          <w:tcPr>
            <w:tcW w:w="2192" w:type="dxa"/>
            <w:vMerge w:val="restart"/>
            <w:vAlign w:val="center"/>
          </w:tcPr>
          <w:p w14:paraId="2926478E">
            <w:pPr>
              <w:jc w:val="center"/>
              <w:rPr>
                <w:color w:val="auto"/>
                <w:szCs w:val="21"/>
                <w:highlight w:val="none"/>
              </w:rPr>
            </w:pPr>
            <w:r>
              <w:rPr>
                <w:color w:val="auto"/>
                <w:szCs w:val="21"/>
                <w:highlight w:val="none"/>
              </w:rPr>
              <w:t>土壤容重（</w:t>
            </w:r>
            <w:r>
              <w:rPr>
                <w:rFonts w:hint="eastAsia"/>
                <w:color w:val="auto"/>
                <w:szCs w:val="21"/>
                <w:highlight w:val="none"/>
              </w:rPr>
              <w:t>g/cm</w:t>
            </w:r>
            <w:r>
              <w:rPr>
                <w:rFonts w:hint="eastAsia"/>
                <w:color w:val="auto"/>
                <w:szCs w:val="21"/>
                <w:highlight w:val="none"/>
                <w:vertAlign w:val="superscript"/>
              </w:rPr>
              <w:t>3</w:t>
            </w:r>
            <w:r>
              <w:rPr>
                <w:color w:val="auto"/>
                <w:szCs w:val="21"/>
                <w:highlight w:val="none"/>
              </w:rPr>
              <w:t>）</w:t>
            </w:r>
          </w:p>
        </w:tc>
        <w:tc>
          <w:tcPr>
            <w:tcW w:w="2153" w:type="dxa"/>
            <w:vAlign w:val="center"/>
          </w:tcPr>
          <w:p w14:paraId="3C93C936">
            <w:pPr>
              <w:jc w:val="center"/>
              <w:rPr>
                <w:color w:val="auto"/>
                <w:szCs w:val="21"/>
                <w:highlight w:val="none"/>
              </w:rPr>
            </w:pPr>
            <w:r>
              <w:rPr>
                <w:color w:val="auto"/>
                <w:szCs w:val="21"/>
                <w:highlight w:val="none"/>
              </w:rPr>
              <w:t>&lt;1.</w:t>
            </w:r>
            <w:r>
              <w:rPr>
                <w:rFonts w:hint="eastAsia"/>
                <w:color w:val="auto"/>
                <w:szCs w:val="21"/>
                <w:highlight w:val="none"/>
              </w:rPr>
              <w:t>3</w:t>
            </w:r>
            <w:r>
              <w:rPr>
                <w:color w:val="auto"/>
                <w:szCs w:val="21"/>
                <w:highlight w:val="none"/>
              </w:rPr>
              <w:t>0</w:t>
            </w:r>
          </w:p>
        </w:tc>
        <w:tc>
          <w:tcPr>
            <w:tcW w:w="946" w:type="dxa"/>
            <w:vAlign w:val="center"/>
          </w:tcPr>
          <w:p w14:paraId="0C9AE00E">
            <w:pPr>
              <w:jc w:val="center"/>
              <w:rPr>
                <w:color w:val="auto"/>
                <w:szCs w:val="21"/>
                <w:highlight w:val="none"/>
              </w:rPr>
            </w:pPr>
            <w:r>
              <w:rPr>
                <w:color w:val="auto"/>
                <w:szCs w:val="21"/>
                <w:highlight w:val="none"/>
              </w:rPr>
              <w:t>1</w:t>
            </w:r>
          </w:p>
        </w:tc>
        <w:tc>
          <w:tcPr>
            <w:tcW w:w="1039" w:type="dxa"/>
            <w:vAlign w:val="center"/>
          </w:tcPr>
          <w:p w14:paraId="2C923ED8">
            <w:pPr>
              <w:jc w:val="center"/>
              <w:rPr>
                <w:color w:val="auto"/>
                <w:szCs w:val="21"/>
                <w:highlight w:val="none"/>
              </w:rPr>
            </w:pPr>
            <w:r>
              <w:rPr>
                <w:color w:val="auto"/>
                <w:szCs w:val="21"/>
                <w:highlight w:val="none"/>
              </w:rPr>
              <w:t>1</w:t>
            </w:r>
          </w:p>
        </w:tc>
        <w:tc>
          <w:tcPr>
            <w:tcW w:w="1039" w:type="dxa"/>
            <w:vAlign w:val="center"/>
          </w:tcPr>
          <w:p w14:paraId="0181C26F">
            <w:pPr>
              <w:jc w:val="center"/>
              <w:rPr>
                <w:color w:val="auto"/>
                <w:szCs w:val="21"/>
                <w:highlight w:val="none"/>
              </w:rPr>
            </w:pPr>
            <w:r>
              <w:rPr>
                <w:color w:val="auto"/>
                <w:szCs w:val="21"/>
                <w:highlight w:val="none"/>
              </w:rPr>
              <w:t>1</w:t>
            </w:r>
          </w:p>
        </w:tc>
      </w:tr>
      <w:tr w14:paraId="180CC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02" w:type="dxa"/>
            <w:vMerge w:val="continue"/>
            <w:vAlign w:val="center"/>
          </w:tcPr>
          <w:p w14:paraId="07450BE5">
            <w:pPr>
              <w:jc w:val="center"/>
              <w:rPr>
                <w:color w:val="auto"/>
                <w:szCs w:val="21"/>
                <w:highlight w:val="none"/>
              </w:rPr>
            </w:pPr>
          </w:p>
        </w:tc>
        <w:tc>
          <w:tcPr>
            <w:tcW w:w="2192" w:type="dxa"/>
            <w:vMerge w:val="continue"/>
            <w:vAlign w:val="center"/>
          </w:tcPr>
          <w:p w14:paraId="7EE5F1C1">
            <w:pPr>
              <w:jc w:val="center"/>
              <w:rPr>
                <w:color w:val="auto"/>
                <w:szCs w:val="21"/>
                <w:highlight w:val="none"/>
              </w:rPr>
            </w:pPr>
          </w:p>
        </w:tc>
        <w:tc>
          <w:tcPr>
            <w:tcW w:w="2153" w:type="dxa"/>
            <w:vAlign w:val="center"/>
          </w:tcPr>
          <w:p w14:paraId="567887B3">
            <w:pPr>
              <w:jc w:val="center"/>
              <w:rPr>
                <w:color w:val="auto"/>
                <w:szCs w:val="21"/>
                <w:highlight w:val="none"/>
              </w:rPr>
            </w:pPr>
            <w:r>
              <w:rPr>
                <w:color w:val="auto"/>
                <w:szCs w:val="21"/>
                <w:highlight w:val="none"/>
              </w:rPr>
              <w:t>1.</w:t>
            </w:r>
            <w:r>
              <w:rPr>
                <w:rFonts w:hint="eastAsia"/>
                <w:color w:val="auto"/>
                <w:szCs w:val="21"/>
                <w:highlight w:val="none"/>
              </w:rPr>
              <w:t>30</w:t>
            </w:r>
            <w:r>
              <w:rPr>
                <w:color w:val="auto"/>
                <w:szCs w:val="21"/>
                <w:highlight w:val="none"/>
              </w:rPr>
              <w:t>~1.</w:t>
            </w:r>
            <w:r>
              <w:rPr>
                <w:rFonts w:hint="eastAsia"/>
                <w:color w:val="auto"/>
                <w:szCs w:val="21"/>
                <w:highlight w:val="none"/>
              </w:rPr>
              <w:t>40</w:t>
            </w:r>
          </w:p>
        </w:tc>
        <w:tc>
          <w:tcPr>
            <w:tcW w:w="946" w:type="dxa"/>
            <w:vAlign w:val="center"/>
          </w:tcPr>
          <w:p w14:paraId="68FAD157">
            <w:pPr>
              <w:jc w:val="center"/>
              <w:rPr>
                <w:color w:val="auto"/>
                <w:szCs w:val="21"/>
                <w:highlight w:val="none"/>
              </w:rPr>
            </w:pPr>
            <w:r>
              <w:rPr>
                <w:rFonts w:hint="eastAsia"/>
                <w:color w:val="auto"/>
                <w:szCs w:val="21"/>
                <w:highlight w:val="none"/>
              </w:rPr>
              <w:t>2</w:t>
            </w:r>
          </w:p>
        </w:tc>
        <w:tc>
          <w:tcPr>
            <w:tcW w:w="1039" w:type="dxa"/>
            <w:vAlign w:val="center"/>
          </w:tcPr>
          <w:p w14:paraId="793DE559">
            <w:pPr>
              <w:jc w:val="center"/>
              <w:rPr>
                <w:color w:val="auto"/>
                <w:szCs w:val="21"/>
                <w:highlight w:val="none"/>
              </w:rPr>
            </w:pPr>
            <w:r>
              <w:rPr>
                <w:rFonts w:hint="eastAsia"/>
                <w:color w:val="auto"/>
                <w:szCs w:val="21"/>
                <w:highlight w:val="none"/>
              </w:rPr>
              <w:t>1</w:t>
            </w:r>
          </w:p>
        </w:tc>
        <w:tc>
          <w:tcPr>
            <w:tcW w:w="1039" w:type="dxa"/>
            <w:vAlign w:val="center"/>
          </w:tcPr>
          <w:p w14:paraId="56947301">
            <w:pPr>
              <w:jc w:val="center"/>
              <w:rPr>
                <w:color w:val="auto"/>
                <w:szCs w:val="21"/>
                <w:highlight w:val="none"/>
              </w:rPr>
            </w:pPr>
            <w:r>
              <w:rPr>
                <w:rFonts w:hint="eastAsia"/>
                <w:color w:val="auto"/>
                <w:szCs w:val="21"/>
                <w:highlight w:val="none"/>
              </w:rPr>
              <w:t>1</w:t>
            </w:r>
          </w:p>
        </w:tc>
      </w:tr>
      <w:tr w14:paraId="21125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02" w:type="dxa"/>
            <w:vMerge w:val="continue"/>
            <w:vAlign w:val="center"/>
          </w:tcPr>
          <w:p w14:paraId="3D5FA645">
            <w:pPr>
              <w:jc w:val="center"/>
              <w:rPr>
                <w:color w:val="auto"/>
                <w:szCs w:val="21"/>
                <w:highlight w:val="none"/>
              </w:rPr>
            </w:pPr>
          </w:p>
        </w:tc>
        <w:tc>
          <w:tcPr>
            <w:tcW w:w="2192" w:type="dxa"/>
            <w:vMerge w:val="continue"/>
            <w:vAlign w:val="center"/>
          </w:tcPr>
          <w:p w14:paraId="197A7B9C">
            <w:pPr>
              <w:jc w:val="center"/>
              <w:rPr>
                <w:color w:val="auto"/>
                <w:szCs w:val="21"/>
                <w:highlight w:val="none"/>
              </w:rPr>
            </w:pPr>
          </w:p>
        </w:tc>
        <w:tc>
          <w:tcPr>
            <w:tcW w:w="2153" w:type="dxa"/>
            <w:vAlign w:val="center"/>
          </w:tcPr>
          <w:p w14:paraId="0AE4E1A6">
            <w:pPr>
              <w:jc w:val="center"/>
              <w:rPr>
                <w:color w:val="auto"/>
                <w:szCs w:val="21"/>
                <w:highlight w:val="none"/>
              </w:rPr>
            </w:pPr>
            <w:r>
              <w:rPr>
                <w:color w:val="auto"/>
                <w:szCs w:val="21"/>
                <w:highlight w:val="none"/>
              </w:rPr>
              <w:t>1</w:t>
            </w:r>
            <w:r>
              <w:rPr>
                <w:rFonts w:hint="eastAsia"/>
                <w:color w:val="auto"/>
                <w:szCs w:val="21"/>
                <w:highlight w:val="none"/>
              </w:rPr>
              <w:t>.40</w:t>
            </w:r>
            <w:r>
              <w:rPr>
                <w:color w:val="auto"/>
                <w:szCs w:val="21"/>
                <w:highlight w:val="none"/>
              </w:rPr>
              <w:t>~1.</w:t>
            </w:r>
            <w:r>
              <w:rPr>
                <w:rFonts w:hint="eastAsia"/>
                <w:color w:val="auto"/>
                <w:szCs w:val="21"/>
                <w:highlight w:val="none"/>
              </w:rPr>
              <w:t>50</w:t>
            </w:r>
          </w:p>
        </w:tc>
        <w:tc>
          <w:tcPr>
            <w:tcW w:w="946" w:type="dxa"/>
            <w:vAlign w:val="center"/>
          </w:tcPr>
          <w:p w14:paraId="09B145D8">
            <w:pPr>
              <w:jc w:val="center"/>
              <w:rPr>
                <w:color w:val="auto"/>
                <w:szCs w:val="21"/>
                <w:highlight w:val="none"/>
              </w:rPr>
            </w:pPr>
            <w:r>
              <w:rPr>
                <w:rFonts w:hint="eastAsia"/>
                <w:color w:val="auto"/>
                <w:szCs w:val="21"/>
                <w:highlight w:val="none"/>
              </w:rPr>
              <w:t>3</w:t>
            </w:r>
          </w:p>
        </w:tc>
        <w:tc>
          <w:tcPr>
            <w:tcW w:w="1039" w:type="dxa"/>
            <w:vAlign w:val="center"/>
          </w:tcPr>
          <w:p w14:paraId="70D12D35">
            <w:pPr>
              <w:jc w:val="center"/>
              <w:rPr>
                <w:color w:val="auto"/>
                <w:szCs w:val="21"/>
                <w:highlight w:val="none"/>
              </w:rPr>
            </w:pPr>
            <w:r>
              <w:rPr>
                <w:rFonts w:hint="eastAsia"/>
                <w:color w:val="auto"/>
                <w:szCs w:val="21"/>
                <w:highlight w:val="none"/>
              </w:rPr>
              <w:t>2</w:t>
            </w:r>
          </w:p>
        </w:tc>
        <w:tc>
          <w:tcPr>
            <w:tcW w:w="1039" w:type="dxa"/>
            <w:vAlign w:val="center"/>
          </w:tcPr>
          <w:p w14:paraId="23C03DDF">
            <w:pPr>
              <w:jc w:val="center"/>
              <w:rPr>
                <w:color w:val="auto"/>
                <w:szCs w:val="21"/>
                <w:highlight w:val="none"/>
              </w:rPr>
            </w:pPr>
            <w:r>
              <w:rPr>
                <w:rFonts w:hint="eastAsia"/>
                <w:color w:val="auto"/>
                <w:szCs w:val="21"/>
                <w:highlight w:val="none"/>
              </w:rPr>
              <w:t>2</w:t>
            </w:r>
          </w:p>
        </w:tc>
      </w:tr>
      <w:tr w14:paraId="04923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02" w:type="dxa"/>
            <w:vMerge w:val="continue"/>
            <w:vAlign w:val="center"/>
          </w:tcPr>
          <w:p w14:paraId="56DFC5FA">
            <w:pPr>
              <w:jc w:val="center"/>
              <w:rPr>
                <w:color w:val="auto"/>
                <w:szCs w:val="21"/>
                <w:highlight w:val="none"/>
              </w:rPr>
            </w:pPr>
          </w:p>
        </w:tc>
        <w:tc>
          <w:tcPr>
            <w:tcW w:w="2192" w:type="dxa"/>
            <w:vMerge w:val="continue"/>
            <w:vAlign w:val="center"/>
          </w:tcPr>
          <w:p w14:paraId="61BADFB6">
            <w:pPr>
              <w:jc w:val="center"/>
              <w:rPr>
                <w:color w:val="auto"/>
                <w:szCs w:val="21"/>
                <w:highlight w:val="none"/>
              </w:rPr>
            </w:pPr>
          </w:p>
        </w:tc>
        <w:tc>
          <w:tcPr>
            <w:tcW w:w="2153" w:type="dxa"/>
            <w:vAlign w:val="center"/>
          </w:tcPr>
          <w:p w14:paraId="5925256D">
            <w:pPr>
              <w:jc w:val="center"/>
              <w:rPr>
                <w:color w:val="auto"/>
                <w:szCs w:val="21"/>
                <w:highlight w:val="none"/>
              </w:rPr>
            </w:pPr>
            <w:r>
              <w:rPr>
                <w:color w:val="auto"/>
                <w:szCs w:val="21"/>
                <w:highlight w:val="none"/>
              </w:rPr>
              <w:t>&gt;1.</w:t>
            </w:r>
            <w:r>
              <w:rPr>
                <w:rFonts w:hint="eastAsia"/>
                <w:color w:val="auto"/>
                <w:szCs w:val="21"/>
                <w:highlight w:val="none"/>
              </w:rPr>
              <w:t>45</w:t>
            </w:r>
          </w:p>
        </w:tc>
        <w:tc>
          <w:tcPr>
            <w:tcW w:w="946" w:type="dxa"/>
            <w:vAlign w:val="center"/>
          </w:tcPr>
          <w:p w14:paraId="0119BE6A">
            <w:pPr>
              <w:jc w:val="center"/>
              <w:rPr>
                <w:color w:val="auto"/>
                <w:szCs w:val="21"/>
                <w:highlight w:val="none"/>
              </w:rPr>
            </w:pPr>
            <w:r>
              <w:rPr>
                <w:rFonts w:hint="eastAsia"/>
                <w:color w:val="auto"/>
                <w:szCs w:val="21"/>
                <w:highlight w:val="none"/>
              </w:rPr>
              <w:t>4</w:t>
            </w:r>
          </w:p>
        </w:tc>
        <w:tc>
          <w:tcPr>
            <w:tcW w:w="1039" w:type="dxa"/>
            <w:vAlign w:val="center"/>
          </w:tcPr>
          <w:p w14:paraId="53AA86A1">
            <w:pPr>
              <w:jc w:val="center"/>
              <w:rPr>
                <w:color w:val="auto"/>
                <w:szCs w:val="21"/>
                <w:highlight w:val="none"/>
              </w:rPr>
            </w:pPr>
            <w:r>
              <w:rPr>
                <w:rFonts w:hint="eastAsia"/>
                <w:color w:val="auto"/>
                <w:szCs w:val="21"/>
                <w:highlight w:val="none"/>
              </w:rPr>
              <w:t>3</w:t>
            </w:r>
          </w:p>
        </w:tc>
        <w:tc>
          <w:tcPr>
            <w:tcW w:w="1039" w:type="dxa"/>
            <w:vAlign w:val="center"/>
          </w:tcPr>
          <w:p w14:paraId="4FFBA914">
            <w:pPr>
              <w:jc w:val="center"/>
              <w:rPr>
                <w:color w:val="auto"/>
                <w:szCs w:val="21"/>
                <w:highlight w:val="none"/>
              </w:rPr>
            </w:pPr>
            <w:r>
              <w:rPr>
                <w:rFonts w:hint="eastAsia"/>
                <w:color w:val="auto"/>
                <w:szCs w:val="21"/>
                <w:highlight w:val="none"/>
              </w:rPr>
              <w:t>3</w:t>
            </w:r>
          </w:p>
        </w:tc>
      </w:tr>
      <w:tr w14:paraId="37E59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471" w:type="dxa"/>
            <w:gridSpan w:val="6"/>
            <w:vAlign w:val="center"/>
          </w:tcPr>
          <w:p w14:paraId="78D5A9F2">
            <w:pPr>
              <w:jc w:val="center"/>
              <w:rPr>
                <w:color w:val="auto"/>
                <w:szCs w:val="21"/>
                <w:highlight w:val="none"/>
              </w:rPr>
            </w:pPr>
            <w:r>
              <w:rPr>
                <w:color w:val="auto"/>
                <w:szCs w:val="21"/>
                <w:highlight w:val="none"/>
              </w:rPr>
              <w:t>说明：1代表适宜，2代表基本适宜，3代表临界适宜，4代表不适宜</w:t>
            </w:r>
          </w:p>
        </w:tc>
      </w:tr>
    </w:tbl>
    <w:p w14:paraId="41DCD312">
      <w:pPr>
        <w:spacing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8、适宜性等级的评定</w:t>
      </w:r>
    </w:p>
    <w:p w14:paraId="6443AF76">
      <w:pPr>
        <w:pStyle w:val="156"/>
        <w:tabs>
          <w:tab w:val="left" w:pos="3600"/>
        </w:tabs>
        <w:rPr>
          <w:rFonts w:hint="default" w:ascii="Times New Roman" w:hAnsi="Times New Roman" w:eastAsia="宋体" w:cs="Times New Roman"/>
          <w:color w:val="auto"/>
          <w:highlight w:val="none"/>
        </w:rPr>
        <w:sectPr>
          <w:pgSz w:w="11906" w:h="16838"/>
          <w:pgMar w:top="1440" w:right="1800" w:bottom="1440" w:left="1800" w:header="851" w:footer="992" w:gutter="0"/>
          <w:pgBorders w:offsetFrom="page">
            <w:top w:val="none" w:sz="0" w:space="0"/>
            <w:left w:val="none" w:sz="0" w:space="0"/>
            <w:bottom w:val="none" w:sz="0" w:space="0"/>
            <w:right w:val="none" w:sz="0" w:space="0"/>
          </w:pgBorders>
          <w:pgNumType w:fmt="decimal"/>
          <w:cols w:space="720" w:num="1"/>
          <w:docGrid w:type="lines" w:linePitch="312" w:charSpace="0"/>
        </w:sectPr>
      </w:pPr>
      <w:r>
        <w:rPr>
          <w:rFonts w:hint="default" w:ascii="Times New Roman" w:hAnsi="Times New Roman" w:eastAsia="宋体" w:cs="Times New Roman"/>
          <w:color w:val="auto"/>
          <w:highlight w:val="none"/>
        </w:rPr>
        <w:t>根据上述土地适宜性评价原则、评价方法、评价标准、评价单元划分以及主导适宜性等将项目区各类评价单元土地质量状况（表4-3）与复垦土地主要限制因素的农林牧等级标准表进行对比分析，可以得到参评单元的土地复垦适宜性等级评价结果，评价结果见表4-4。</w:t>
      </w:r>
    </w:p>
    <w:p w14:paraId="6C8DAA02">
      <w:pPr>
        <w:pStyle w:val="156"/>
        <w:tabs>
          <w:tab w:val="left" w:pos="3600"/>
        </w:tabs>
        <w:ind w:firstLine="0" w:firstLineChars="0"/>
        <w:jc w:val="center"/>
        <w:rPr>
          <w:rFonts w:eastAsia="黑体" w:cs="Times New Roman"/>
          <w:bCs/>
          <w:color w:val="auto"/>
          <w:sz w:val="21"/>
          <w:szCs w:val="21"/>
          <w:highlight w:val="none"/>
        </w:rPr>
      </w:pPr>
      <w:r>
        <w:rPr>
          <w:rFonts w:eastAsia="黑体" w:cs="Times New Roman"/>
          <w:bCs/>
          <w:color w:val="auto"/>
          <w:sz w:val="21"/>
          <w:szCs w:val="21"/>
          <w:highlight w:val="none"/>
        </w:rPr>
        <w:t>表4-3 参评单元的土地质量状况结果</w:t>
      </w:r>
      <w:r>
        <w:rPr>
          <w:rFonts w:hint="eastAsia" w:eastAsia="黑体" w:cs="Times New Roman"/>
          <w:bCs/>
          <w:color w:val="auto"/>
          <w:sz w:val="21"/>
          <w:szCs w:val="21"/>
          <w:highlight w:val="none"/>
        </w:rPr>
        <w:t>表</w:t>
      </w:r>
    </w:p>
    <w:tbl>
      <w:tblPr>
        <w:tblStyle w:val="34"/>
        <w:tblW w:w="467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0"/>
        <w:gridCol w:w="1374"/>
        <w:gridCol w:w="2"/>
        <w:gridCol w:w="1629"/>
        <w:gridCol w:w="3"/>
        <w:gridCol w:w="1124"/>
        <w:gridCol w:w="3"/>
        <w:gridCol w:w="1275"/>
        <w:gridCol w:w="3"/>
        <w:gridCol w:w="1275"/>
        <w:gridCol w:w="3"/>
        <w:gridCol w:w="1304"/>
        <w:gridCol w:w="1937"/>
        <w:gridCol w:w="3"/>
        <w:gridCol w:w="975"/>
        <w:gridCol w:w="3"/>
        <w:gridCol w:w="1153"/>
        <w:gridCol w:w="3"/>
      </w:tblGrid>
      <w:tr w14:paraId="3E716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jc w:val="center"/>
        </w:trPr>
        <w:tc>
          <w:tcPr>
            <w:tcW w:w="961" w:type="pct"/>
            <w:gridSpan w:val="2"/>
            <w:vAlign w:val="center"/>
          </w:tcPr>
          <w:p w14:paraId="0D6050F0">
            <w:pPr>
              <w:jc w:val="center"/>
              <w:rPr>
                <w:color w:val="auto"/>
                <w:kern w:val="0"/>
                <w:szCs w:val="21"/>
                <w:highlight w:val="none"/>
              </w:rPr>
            </w:pPr>
            <w:r>
              <w:rPr>
                <w:color w:val="auto"/>
                <w:kern w:val="0"/>
                <w:szCs w:val="21"/>
                <w:highlight w:val="none"/>
              </w:rPr>
              <w:t>评价单元</w:t>
            </w:r>
          </w:p>
        </w:tc>
        <w:tc>
          <w:tcPr>
            <w:tcW w:w="616" w:type="pct"/>
            <w:gridSpan w:val="2"/>
            <w:vAlign w:val="center"/>
          </w:tcPr>
          <w:p w14:paraId="430DB365">
            <w:pPr>
              <w:jc w:val="center"/>
              <w:rPr>
                <w:color w:val="auto"/>
                <w:kern w:val="0"/>
                <w:szCs w:val="21"/>
                <w:highlight w:val="none"/>
              </w:rPr>
            </w:pPr>
            <w:r>
              <w:rPr>
                <w:color w:val="auto"/>
                <w:kern w:val="0"/>
                <w:szCs w:val="21"/>
                <w:highlight w:val="none"/>
              </w:rPr>
              <w:t>面积（hm</w:t>
            </w:r>
            <w:r>
              <w:rPr>
                <w:color w:val="auto"/>
                <w:kern w:val="0"/>
                <w:szCs w:val="21"/>
                <w:highlight w:val="none"/>
                <w:vertAlign w:val="superscript"/>
              </w:rPr>
              <w:t>2</w:t>
            </w:r>
            <w:r>
              <w:rPr>
                <w:color w:val="auto"/>
                <w:kern w:val="0"/>
                <w:szCs w:val="21"/>
                <w:highlight w:val="none"/>
              </w:rPr>
              <w:t>）</w:t>
            </w:r>
          </w:p>
        </w:tc>
        <w:tc>
          <w:tcPr>
            <w:tcW w:w="425" w:type="pct"/>
            <w:gridSpan w:val="2"/>
            <w:vAlign w:val="center"/>
          </w:tcPr>
          <w:p w14:paraId="7FA809F8">
            <w:pPr>
              <w:jc w:val="center"/>
              <w:rPr>
                <w:color w:val="auto"/>
                <w:szCs w:val="21"/>
                <w:highlight w:val="none"/>
              </w:rPr>
            </w:pPr>
            <w:r>
              <w:rPr>
                <w:color w:val="auto"/>
                <w:szCs w:val="21"/>
                <w:highlight w:val="none"/>
              </w:rPr>
              <w:t>坡度</w:t>
            </w:r>
          </w:p>
          <w:p w14:paraId="6C937EF4">
            <w:pPr>
              <w:jc w:val="center"/>
              <w:rPr>
                <w:color w:val="auto"/>
                <w:szCs w:val="21"/>
                <w:highlight w:val="none"/>
              </w:rPr>
            </w:pPr>
            <w:r>
              <w:rPr>
                <w:color w:val="auto"/>
                <w:szCs w:val="21"/>
                <w:highlight w:val="none"/>
              </w:rPr>
              <w:t>（°）</w:t>
            </w:r>
          </w:p>
        </w:tc>
        <w:tc>
          <w:tcPr>
            <w:tcW w:w="482" w:type="pct"/>
            <w:gridSpan w:val="2"/>
            <w:vAlign w:val="center"/>
          </w:tcPr>
          <w:p w14:paraId="717A4D40">
            <w:pPr>
              <w:jc w:val="center"/>
              <w:rPr>
                <w:color w:val="auto"/>
                <w:szCs w:val="21"/>
                <w:highlight w:val="none"/>
              </w:rPr>
            </w:pPr>
            <w:r>
              <w:rPr>
                <w:rFonts w:hint="eastAsia"/>
                <w:color w:val="auto"/>
                <w:szCs w:val="21"/>
                <w:highlight w:val="none"/>
              </w:rPr>
              <w:t>pH</w:t>
            </w:r>
          </w:p>
        </w:tc>
        <w:tc>
          <w:tcPr>
            <w:tcW w:w="482" w:type="pct"/>
            <w:gridSpan w:val="2"/>
            <w:vAlign w:val="center"/>
          </w:tcPr>
          <w:p w14:paraId="7BF27EC4">
            <w:pPr>
              <w:jc w:val="center"/>
              <w:rPr>
                <w:color w:val="auto"/>
                <w:szCs w:val="21"/>
                <w:highlight w:val="none"/>
              </w:rPr>
            </w:pPr>
            <w:r>
              <w:rPr>
                <w:color w:val="auto"/>
                <w:szCs w:val="21"/>
                <w:highlight w:val="none"/>
              </w:rPr>
              <w:t>土壤</w:t>
            </w:r>
          </w:p>
          <w:p w14:paraId="20F62269">
            <w:pPr>
              <w:jc w:val="center"/>
              <w:rPr>
                <w:color w:val="auto"/>
                <w:szCs w:val="21"/>
                <w:highlight w:val="none"/>
              </w:rPr>
            </w:pPr>
            <w:r>
              <w:rPr>
                <w:color w:val="auto"/>
                <w:szCs w:val="21"/>
                <w:highlight w:val="none"/>
              </w:rPr>
              <w:t>质地</w:t>
            </w:r>
          </w:p>
        </w:tc>
        <w:tc>
          <w:tcPr>
            <w:tcW w:w="493" w:type="pct"/>
            <w:gridSpan w:val="2"/>
            <w:vAlign w:val="center"/>
          </w:tcPr>
          <w:p w14:paraId="1D92DDB4">
            <w:pPr>
              <w:jc w:val="center"/>
              <w:rPr>
                <w:color w:val="auto"/>
                <w:szCs w:val="21"/>
                <w:highlight w:val="none"/>
              </w:rPr>
            </w:pPr>
            <w:r>
              <w:rPr>
                <w:color w:val="auto"/>
                <w:szCs w:val="21"/>
                <w:highlight w:val="none"/>
              </w:rPr>
              <w:t>有机质含量（%）</w:t>
            </w:r>
          </w:p>
        </w:tc>
        <w:tc>
          <w:tcPr>
            <w:tcW w:w="731" w:type="pct"/>
            <w:vAlign w:val="center"/>
          </w:tcPr>
          <w:p w14:paraId="265007C7">
            <w:pPr>
              <w:ind w:left="-139" w:leftChars="-66" w:right="-107" w:rightChars="-51"/>
              <w:jc w:val="center"/>
              <w:rPr>
                <w:color w:val="auto"/>
                <w:szCs w:val="21"/>
                <w:highlight w:val="none"/>
              </w:rPr>
            </w:pPr>
            <w:r>
              <w:rPr>
                <w:color w:val="auto"/>
                <w:szCs w:val="21"/>
                <w:highlight w:val="none"/>
              </w:rPr>
              <w:t>有效土层厚度（cm）</w:t>
            </w:r>
          </w:p>
        </w:tc>
        <w:tc>
          <w:tcPr>
            <w:tcW w:w="369" w:type="pct"/>
            <w:gridSpan w:val="2"/>
            <w:vAlign w:val="center"/>
          </w:tcPr>
          <w:p w14:paraId="67471869">
            <w:pPr>
              <w:jc w:val="center"/>
              <w:rPr>
                <w:color w:val="auto"/>
                <w:szCs w:val="21"/>
                <w:highlight w:val="none"/>
              </w:rPr>
            </w:pPr>
            <w:r>
              <w:rPr>
                <w:color w:val="auto"/>
                <w:szCs w:val="21"/>
                <w:highlight w:val="none"/>
              </w:rPr>
              <w:t>排水</w:t>
            </w:r>
          </w:p>
          <w:p w14:paraId="2D805A0C">
            <w:pPr>
              <w:jc w:val="center"/>
              <w:rPr>
                <w:color w:val="auto"/>
                <w:szCs w:val="21"/>
                <w:highlight w:val="none"/>
              </w:rPr>
            </w:pPr>
            <w:r>
              <w:rPr>
                <w:color w:val="auto"/>
                <w:szCs w:val="21"/>
                <w:highlight w:val="none"/>
              </w:rPr>
              <w:t>条件</w:t>
            </w:r>
          </w:p>
        </w:tc>
        <w:tc>
          <w:tcPr>
            <w:tcW w:w="436" w:type="pct"/>
            <w:gridSpan w:val="2"/>
            <w:vAlign w:val="center"/>
          </w:tcPr>
          <w:p w14:paraId="300B5966">
            <w:pPr>
              <w:jc w:val="center"/>
              <w:rPr>
                <w:color w:val="auto"/>
                <w:szCs w:val="21"/>
                <w:highlight w:val="none"/>
              </w:rPr>
            </w:pPr>
            <w:r>
              <w:rPr>
                <w:color w:val="auto"/>
                <w:szCs w:val="21"/>
                <w:highlight w:val="none"/>
              </w:rPr>
              <w:t>土壤容</w:t>
            </w:r>
            <w:r>
              <w:rPr>
                <w:rFonts w:hint="eastAsia"/>
                <w:color w:val="auto"/>
                <w:szCs w:val="21"/>
                <w:highlight w:val="none"/>
              </w:rPr>
              <w:t>积(g/cm</w:t>
            </w:r>
            <w:r>
              <w:rPr>
                <w:rFonts w:hint="eastAsia"/>
                <w:color w:val="auto"/>
                <w:szCs w:val="21"/>
                <w:highlight w:val="none"/>
                <w:vertAlign w:val="superscript"/>
              </w:rPr>
              <w:t>3</w:t>
            </w:r>
            <w:r>
              <w:rPr>
                <w:rFonts w:hint="eastAsia"/>
                <w:color w:val="auto"/>
                <w:szCs w:val="21"/>
                <w:highlight w:val="none"/>
              </w:rPr>
              <w:t>)</w:t>
            </w:r>
          </w:p>
        </w:tc>
      </w:tr>
      <w:tr w14:paraId="39D18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90" w:hRule="atLeast"/>
          <w:jc w:val="center"/>
        </w:trPr>
        <w:tc>
          <w:tcPr>
            <w:tcW w:w="442" w:type="pct"/>
            <w:vMerge w:val="restart"/>
            <w:vAlign w:val="center"/>
          </w:tcPr>
          <w:p w14:paraId="145E7F64">
            <w:pPr>
              <w:jc w:val="center"/>
              <w:textAlignment w:val="center"/>
              <w:rPr>
                <w:color w:val="auto"/>
                <w:kern w:val="0"/>
                <w:szCs w:val="21"/>
                <w:highlight w:val="none"/>
              </w:rPr>
            </w:pPr>
            <w:r>
              <w:rPr>
                <w:rFonts w:hint="eastAsia"/>
                <w:color w:val="auto"/>
                <w:kern w:val="0"/>
                <w:szCs w:val="21"/>
                <w:highlight w:val="none"/>
                <w:lang w:bidi="ar"/>
              </w:rPr>
              <w:t>露天采场</w:t>
            </w:r>
          </w:p>
        </w:tc>
        <w:tc>
          <w:tcPr>
            <w:tcW w:w="519" w:type="pct"/>
            <w:vAlign w:val="center"/>
          </w:tcPr>
          <w:p w14:paraId="6A1376F4">
            <w:pPr>
              <w:jc w:val="center"/>
              <w:textAlignment w:val="center"/>
              <w:rPr>
                <w:rFonts w:hint="eastAsia" w:eastAsia="宋体"/>
                <w:color w:val="auto"/>
                <w:kern w:val="0"/>
                <w:szCs w:val="21"/>
                <w:highlight w:val="none"/>
                <w:lang w:val="en-US" w:eastAsia="zh-CN" w:bidi="ar"/>
              </w:rPr>
            </w:pPr>
            <w:r>
              <w:rPr>
                <w:rFonts w:hint="eastAsia"/>
                <w:color w:val="auto"/>
                <w:kern w:val="0"/>
                <w:szCs w:val="21"/>
                <w:highlight w:val="none"/>
                <w:lang w:val="en-US" w:eastAsia="zh-CN" w:bidi="ar"/>
              </w:rPr>
              <w:t>坑底</w:t>
            </w:r>
          </w:p>
        </w:tc>
        <w:tc>
          <w:tcPr>
            <w:tcW w:w="616" w:type="pct"/>
            <w:gridSpan w:val="2"/>
            <w:vAlign w:val="center"/>
          </w:tcPr>
          <w:p w14:paraId="3041B586">
            <w:pPr>
              <w:keepNext w:val="0"/>
              <w:keepLines w:val="0"/>
              <w:widowControl/>
              <w:suppressLineNumbers w:val="0"/>
              <w:jc w:val="center"/>
              <w:textAlignment w:val="center"/>
              <w:rPr>
                <w:rFonts w:eastAsia="等线"/>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1.3845 </w:t>
            </w:r>
          </w:p>
        </w:tc>
        <w:tc>
          <w:tcPr>
            <w:tcW w:w="425" w:type="pct"/>
            <w:gridSpan w:val="2"/>
            <w:vAlign w:val="center"/>
          </w:tcPr>
          <w:p w14:paraId="0B63920C">
            <w:pPr>
              <w:jc w:val="center"/>
              <w:rPr>
                <w:rFonts w:hint="eastAsia"/>
                <w:color w:val="auto"/>
                <w:szCs w:val="21"/>
                <w:highlight w:val="none"/>
              </w:rPr>
            </w:pPr>
            <w:r>
              <w:rPr>
                <w:rFonts w:hint="eastAsia"/>
                <w:color w:val="auto"/>
                <w:szCs w:val="21"/>
                <w:highlight w:val="none"/>
              </w:rPr>
              <w:t>＜3</w:t>
            </w:r>
            <w:r>
              <w:rPr>
                <w:color w:val="auto"/>
                <w:szCs w:val="21"/>
                <w:highlight w:val="none"/>
              </w:rPr>
              <w:t>°</w:t>
            </w:r>
          </w:p>
        </w:tc>
        <w:tc>
          <w:tcPr>
            <w:tcW w:w="482" w:type="pct"/>
            <w:gridSpan w:val="2"/>
            <w:vAlign w:val="center"/>
          </w:tcPr>
          <w:p w14:paraId="21FA41EE">
            <w:pPr>
              <w:jc w:val="center"/>
              <w:rPr>
                <w:rFonts w:hint="eastAsia"/>
                <w:color w:val="auto"/>
                <w:szCs w:val="21"/>
                <w:highlight w:val="none"/>
              </w:rPr>
            </w:pPr>
            <w:r>
              <w:rPr>
                <w:rFonts w:hint="eastAsia"/>
                <w:color w:val="auto"/>
                <w:szCs w:val="21"/>
                <w:highlight w:val="none"/>
              </w:rPr>
              <w:t>7.5左右</w:t>
            </w:r>
          </w:p>
        </w:tc>
        <w:tc>
          <w:tcPr>
            <w:tcW w:w="482" w:type="pct"/>
            <w:gridSpan w:val="2"/>
            <w:vAlign w:val="center"/>
          </w:tcPr>
          <w:p w14:paraId="285D7214">
            <w:pPr>
              <w:jc w:val="center"/>
              <w:rPr>
                <w:color w:val="auto"/>
                <w:szCs w:val="21"/>
                <w:highlight w:val="none"/>
              </w:rPr>
            </w:pPr>
            <w:r>
              <w:rPr>
                <w:color w:val="auto"/>
                <w:szCs w:val="21"/>
                <w:highlight w:val="none"/>
              </w:rPr>
              <w:t>砂土</w:t>
            </w:r>
            <w:r>
              <w:rPr>
                <w:rFonts w:hint="eastAsia"/>
                <w:color w:val="auto"/>
                <w:szCs w:val="21"/>
                <w:highlight w:val="none"/>
              </w:rPr>
              <w:t>、壤土</w:t>
            </w:r>
          </w:p>
        </w:tc>
        <w:tc>
          <w:tcPr>
            <w:tcW w:w="493" w:type="pct"/>
            <w:gridSpan w:val="2"/>
            <w:vAlign w:val="center"/>
          </w:tcPr>
          <w:p w14:paraId="5536726D">
            <w:pPr>
              <w:jc w:val="center"/>
              <w:rPr>
                <w:rFonts w:hint="eastAsia" w:eastAsia="宋体"/>
                <w:color w:val="auto"/>
                <w:szCs w:val="21"/>
                <w:highlight w:val="none"/>
                <w:lang w:val="en-US" w:eastAsia="zh-CN"/>
              </w:rPr>
            </w:pPr>
            <w:r>
              <w:rPr>
                <w:rFonts w:hint="eastAsia"/>
                <w:color w:val="auto"/>
                <w:szCs w:val="21"/>
                <w:highlight w:val="none"/>
              </w:rPr>
              <w:t>2.</w:t>
            </w:r>
            <w:r>
              <w:rPr>
                <w:rFonts w:hint="eastAsia"/>
                <w:color w:val="auto"/>
                <w:szCs w:val="21"/>
                <w:highlight w:val="none"/>
                <w:lang w:val="en-US" w:eastAsia="zh-CN"/>
              </w:rPr>
              <w:t>1</w:t>
            </w:r>
          </w:p>
        </w:tc>
        <w:tc>
          <w:tcPr>
            <w:tcW w:w="731" w:type="pct"/>
            <w:vAlign w:val="center"/>
          </w:tcPr>
          <w:p w14:paraId="198519D8">
            <w:pPr>
              <w:jc w:val="center"/>
              <w:rPr>
                <w:rFonts w:hint="eastAsia"/>
                <w:color w:val="auto"/>
                <w:szCs w:val="21"/>
                <w:highlight w:val="none"/>
              </w:rPr>
            </w:pPr>
            <w:r>
              <w:rPr>
                <w:rFonts w:hint="eastAsia"/>
                <w:color w:val="auto"/>
                <w:szCs w:val="21"/>
                <w:highlight w:val="none"/>
              </w:rPr>
              <w:t>60（穴栽）</w:t>
            </w:r>
          </w:p>
        </w:tc>
        <w:tc>
          <w:tcPr>
            <w:tcW w:w="369" w:type="pct"/>
            <w:gridSpan w:val="2"/>
            <w:vAlign w:val="center"/>
          </w:tcPr>
          <w:p w14:paraId="4624BF3D">
            <w:pPr>
              <w:jc w:val="center"/>
              <w:rPr>
                <w:rFonts w:hint="eastAsia" w:eastAsia="宋体"/>
                <w:color w:val="auto"/>
                <w:szCs w:val="21"/>
                <w:highlight w:val="none"/>
                <w:lang w:val="en-US" w:eastAsia="zh-CN"/>
              </w:rPr>
            </w:pPr>
            <w:r>
              <w:rPr>
                <w:rFonts w:hint="eastAsia"/>
                <w:color w:val="auto"/>
                <w:szCs w:val="21"/>
                <w:highlight w:val="none"/>
                <w:lang w:val="en-US" w:eastAsia="zh-CN"/>
              </w:rPr>
              <w:t>中等</w:t>
            </w:r>
          </w:p>
        </w:tc>
        <w:tc>
          <w:tcPr>
            <w:tcW w:w="436" w:type="pct"/>
            <w:gridSpan w:val="2"/>
            <w:vAlign w:val="center"/>
          </w:tcPr>
          <w:p w14:paraId="7600B6B6">
            <w:pPr>
              <w:jc w:val="center"/>
              <w:rPr>
                <w:color w:val="auto"/>
                <w:szCs w:val="21"/>
                <w:highlight w:val="none"/>
              </w:rPr>
            </w:pPr>
            <w:r>
              <w:rPr>
                <w:color w:val="auto"/>
                <w:szCs w:val="21"/>
                <w:highlight w:val="none"/>
              </w:rPr>
              <w:t>&lt;1.</w:t>
            </w:r>
            <w:r>
              <w:rPr>
                <w:rFonts w:hint="eastAsia"/>
                <w:color w:val="auto"/>
                <w:szCs w:val="21"/>
                <w:highlight w:val="none"/>
              </w:rPr>
              <w:t>3</w:t>
            </w:r>
            <w:r>
              <w:rPr>
                <w:color w:val="auto"/>
                <w:szCs w:val="21"/>
                <w:highlight w:val="none"/>
              </w:rPr>
              <w:t>0</w:t>
            </w:r>
          </w:p>
        </w:tc>
      </w:tr>
      <w:tr w14:paraId="029B8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90" w:hRule="atLeast"/>
          <w:jc w:val="center"/>
        </w:trPr>
        <w:tc>
          <w:tcPr>
            <w:tcW w:w="442" w:type="pct"/>
            <w:vMerge w:val="continue"/>
            <w:vAlign w:val="center"/>
          </w:tcPr>
          <w:p w14:paraId="6E1BCFD7">
            <w:pPr>
              <w:jc w:val="center"/>
              <w:textAlignment w:val="center"/>
              <w:rPr>
                <w:color w:val="auto"/>
                <w:kern w:val="0"/>
                <w:szCs w:val="21"/>
                <w:highlight w:val="none"/>
              </w:rPr>
            </w:pPr>
          </w:p>
        </w:tc>
        <w:tc>
          <w:tcPr>
            <w:tcW w:w="519" w:type="pct"/>
            <w:vAlign w:val="center"/>
          </w:tcPr>
          <w:p w14:paraId="3C014B3D">
            <w:pPr>
              <w:jc w:val="center"/>
              <w:textAlignment w:val="center"/>
              <w:rPr>
                <w:color w:val="auto"/>
                <w:kern w:val="0"/>
                <w:szCs w:val="21"/>
                <w:highlight w:val="none"/>
                <w:lang w:bidi="ar"/>
              </w:rPr>
            </w:pPr>
            <w:r>
              <w:rPr>
                <w:rFonts w:hint="eastAsia"/>
                <w:color w:val="auto"/>
                <w:kern w:val="0"/>
                <w:szCs w:val="21"/>
                <w:highlight w:val="none"/>
                <w:lang w:bidi="ar"/>
              </w:rPr>
              <w:t>平台</w:t>
            </w:r>
          </w:p>
        </w:tc>
        <w:tc>
          <w:tcPr>
            <w:tcW w:w="616" w:type="pct"/>
            <w:gridSpan w:val="2"/>
            <w:vAlign w:val="center"/>
          </w:tcPr>
          <w:p w14:paraId="18B03ECD">
            <w:pPr>
              <w:keepNext w:val="0"/>
              <w:keepLines w:val="0"/>
              <w:widowControl/>
              <w:suppressLineNumbers w:val="0"/>
              <w:jc w:val="center"/>
              <w:textAlignment w:val="center"/>
              <w:rPr>
                <w:color w:val="auto"/>
                <w:kern w:val="0"/>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0.2876 </w:t>
            </w:r>
          </w:p>
        </w:tc>
        <w:tc>
          <w:tcPr>
            <w:tcW w:w="425" w:type="pct"/>
            <w:gridSpan w:val="2"/>
            <w:vAlign w:val="center"/>
          </w:tcPr>
          <w:p w14:paraId="3C65F792">
            <w:pPr>
              <w:jc w:val="center"/>
              <w:rPr>
                <w:color w:val="auto"/>
                <w:szCs w:val="21"/>
                <w:highlight w:val="none"/>
              </w:rPr>
            </w:pPr>
            <w:r>
              <w:rPr>
                <w:rFonts w:hint="eastAsia"/>
                <w:color w:val="auto"/>
                <w:szCs w:val="21"/>
                <w:highlight w:val="none"/>
              </w:rPr>
              <w:t>＜3</w:t>
            </w:r>
            <w:r>
              <w:rPr>
                <w:color w:val="auto"/>
                <w:szCs w:val="21"/>
                <w:highlight w:val="none"/>
              </w:rPr>
              <w:t>°</w:t>
            </w:r>
          </w:p>
        </w:tc>
        <w:tc>
          <w:tcPr>
            <w:tcW w:w="482" w:type="pct"/>
            <w:gridSpan w:val="2"/>
            <w:vAlign w:val="center"/>
          </w:tcPr>
          <w:p w14:paraId="2ED75F40">
            <w:pPr>
              <w:jc w:val="center"/>
              <w:rPr>
                <w:color w:val="auto"/>
                <w:szCs w:val="21"/>
                <w:highlight w:val="none"/>
              </w:rPr>
            </w:pPr>
            <w:r>
              <w:rPr>
                <w:rFonts w:hint="eastAsia"/>
                <w:color w:val="auto"/>
                <w:szCs w:val="21"/>
                <w:highlight w:val="none"/>
              </w:rPr>
              <w:t>7.5左右</w:t>
            </w:r>
          </w:p>
        </w:tc>
        <w:tc>
          <w:tcPr>
            <w:tcW w:w="482" w:type="pct"/>
            <w:gridSpan w:val="2"/>
            <w:vAlign w:val="center"/>
          </w:tcPr>
          <w:p w14:paraId="176DF178">
            <w:pPr>
              <w:jc w:val="center"/>
              <w:rPr>
                <w:color w:val="auto"/>
                <w:szCs w:val="21"/>
                <w:highlight w:val="none"/>
              </w:rPr>
            </w:pPr>
            <w:r>
              <w:rPr>
                <w:color w:val="auto"/>
                <w:szCs w:val="21"/>
                <w:highlight w:val="none"/>
              </w:rPr>
              <w:t>砂土</w:t>
            </w:r>
            <w:r>
              <w:rPr>
                <w:rFonts w:hint="eastAsia"/>
                <w:color w:val="auto"/>
                <w:szCs w:val="21"/>
                <w:highlight w:val="none"/>
              </w:rPr>
              <w:t>、壤土</w:t>
            </w:r>
          </w:p>
        </w:tc>
        <w:tc>
          <w:tcPr>
            <w:tcW w:w="493" w:type="pct"/>
            <w:gridSpan w:val="2"/>
            <w:vAlign w:val="center"/>
          </w:tcPr>
          <w:p w14:paraId="6FD54C8D">
            <w:pPr>
              <w:jc w:val="center"/>
              <w:rPr>
                <w:color w:val="auto"/>
                <w:szCs w:val="21"/>
                <w:highlight w:val="none"/>
              </w:rPr>
            </w:pPr>
            <w:r>
              <w:rPr>
                <w:rFonts w:hint="eastAsia"/>
                <w:color w:val="auto"/>
                <w:szCs w:val="21"/>
                <w:highlight w:val="none"/>
              </w:rPr>
              <w:t>2.</w:t>
            </w:r>
            <w:r>
              <w:rPr>
                <w:rFonts w:hint="eastAsia"/>
                <w:color w:val="auto"/>
                <w:szCs w:val="21"/>
                <w:highlight w:val="none"/>
                <w:lang w:val="en-US" w:eastAsia="zh-CN"/>
              </w:rPr>
              <w:t>1</w:t>
            </w:r>
          </w:p>
        </w:tc>
        <w:tc>
          <w:tcPr>
            <w:tcW w:w="731" w:type="pct"/>
            <w:vAlign w:val="center"/>
          </w:tcPr>
          <w:p w14:paraId="64E6B3C2">
            <w:pPr>
              <w:jc w:val="center"/>
              <w:rPr>
                <w:color w:val="auto"/>
                <w:szCs w:val="21"/>
                <w:highlight w:val="none"/>
              </w:rPr>
            </w:pPr>
            <w:r>
              <w:rPr>
                <w:rFonts w:hint="eastAsia"/>
                <w:color w:val="auto"/>
                <w:szCs w:val="21"/>
                <w:highlight w:val="none"/>
              </w:rPr>
              <w:t>60（穴栽）</w:t>
            </w:r>
          </w:p>
        </w:tc>
        <w:tc>
          <w:tcPr>
            <w:tcW w:w="369" w:type="pct"/>
            <w:gridSpan w:val="2"/>
            <w:vAlign w:val="center"/>
          </w:tcPr>
          <w:p w14:paraId="018B011B">
            <w:pPr>
              <w:jc w:val="center"/>
              <w:rPr>
                <w:color w:val="auto"/>
                <w:szCs w:val="21"/>
                <w:highlight w:val="none"/>
              </w:rPr>
            </w:pPr>
            <w:r>
              <w:rPr>
                <w:color w:val="auto"/>
                <w:szCs w:val="21"/>
                <w:highlight w:val="none"/>
              </w:rPr>
              <w:t>好</w:t>
            </w:r>
          </w:p>
        </w:tc>
        <w:tc>
          <w:tcPr>
            <w:tcW w:w="436" w:type="pct"/>
            <w:gridSpan w:val="2"/>
            <w:vAlign w:val="center"/>
          </w:tcPr>
          <w:p w14:paraId="4CB6244D">
            <w:pPr>
              <w:jc w:val="center"/>
              <w:rPr>
                <w:color w:val="auto"/>
                <w:szCs w:val="21"/>
                <w:highlight w:val="none"/>
              </w:rPr>
            </w:pPr>
            <w:r>
              <w:rPr>
                <w:color w:val="auto"/>
                <w:szCs w:val="21"/>
                <w:highlight w:val="none"/>
              </w:rPr>
              <w:t>&lt;1.</w:t>
            </w:r>
            <w:r>
              <w:rPr>
                <w:rFonts w:hint="eastAsia"/>
                <w:color w:val="auto"/>
                <w:szCs w:val="21"/>
                <w:highlight w:val="none"/>
              </w:rPr>
              <w:t>3</w:t>
            </w:r>
            <w:r>
              <w:rPr>
                <w:color w:val="auto"/>
                <w:szCs w:val="21"/>
                <w:highlight w:val="none"/>
              </w:rPr>
              <w:t>0</w:t>
            </w:r>
          </w:p>
        </w:tc>
      </w:tr>
      <w:tr w14:paraId="502D1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90" w:hRule="atLeast"/>
          <w:jc w:val="center"/>
        </w:trPr>
        <w:tc>
          <w:tcPr>
            <w:tcW w:w="442" w:type="pct"/>
            <w:vMerge w:val="continue"/>
            <w:vAlign w:val="center"/>
          </w:tcPr>
          <w:p w14:paraId="3A9D22F0">
            <w:pPr>
              <w:jc w:val="center"/>
              <w:textAlignment w:val="center"/>
              <w:rPr>
                <w:color w:val="auto"/>
                <w:kern w:val="0"/>
                <w:szCs w:val="21"/>
                <w:highlight w:val="none"/>
                <w:lang w:bidi="ar"/>
              </w:rPr>
            </w:pPr>
          </w:p>
        </w:tc>
        <w:tc>
          <w:tcPr>
            <w:tcW w:w="519" w:type="pct"/>
            <w:vAlign w:val="center"/>
          </w:tcPr>
          <w:p w14:paraId="39522A0E">
            <w:pPr>
              <w:jc w:val="center"/>
              <w:textAlignment w:val="center"/>
              <w:rPr>
                <w:color w:val="auto"/>
                <w:kern w:val="0"/>
                <w:szCs w:val="21"/>
                <w:highlight w:val="none"/>
                <w:lang w:bidi="ar"/>
              </w:rPr>
            </w:pPr>
            <w:r>
              <w:rPr>
                <w:rFonts w:hint="eastAsia"/>
                <w:color w:val="auto"/>
                <w:kern w:val="0"/>
                <w:szCs w:val="21"/>
                <w:highlight w:val="none"/>
                <w:lang w:bidi="ar"/>
              </w:rPr>
              <w:t>边坡</w:t>
            </w:r>
          </w:p>
        </w:tc>
        <w:tc>
          <w:tcPr>
            <w:tcW w:w="616" w:type="pct"/>
            <w:gridSpan w:val="2"/>
            <w:vAlign w:val="center"/>
          </w:tcPr>
          <w:p w14:paraId="20241EE6">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0.8679 </w:t>
            </w:r>
          </w:p>
        </w:tc>
        <w:tc>
          <w:tcPr>
            <w:tcW w:w="425" w:type="pct"/>
            <w:gridSpan w:val="2"/>
            <w:vAlign w:val="center"/>
          </w:tcPr>
          <w:p w14:paraId="24C21FCB">
            <w:pPr>
              <w:jc w:val="center"/>
              <w:rPr>
                <w:color w:val="auto"/>
                <w:szCs w:val="21"/>
                <w:highlight w:val="none"/>
              </w:rPr>
            </w:pPr>
            <w:r>
              <w:rPr>
                <w:rFonts w:hint="eastAsia"/>
                <w:color w:val="auto"/>
                <w:szCs w:val="21"/>
                <w:highlight w:val="none"/>
              </w:rPr>
              <w:t>＜5</w:t>
            </w:r>
            <w:r>
              <w:rPr>
                <w:rFonts w:hint="eastAsia"/>
                <w:color w:val="auto"/>
                <w:szCs w:val="21"/>
                <w:highlight w:val="none"/>
                <w:lang w:val="en-US" w:eastAsia="zh-CN"/>
              </w:rPr>
              <w:t>5</w:t>
            </w:r>
            <w:r>
              <w:rPr>
                <w:color w:val="auto"/>
                <w:szCs w:val="21"/>
                <w:highlight w:val="none"/>
              </w:rPr>
              <w:t>°</w:t>
            </w:r>
          </w:p>
        </w:tc>
        <w:tc>
          <w:tcPr>
            <w:tcW w:w="482" w:type="pct"/>
            <w:gridSpan w:val="2"/>
            <w:vAlign w:val="center"/>
          </w:tcPr>
          <w:p w14:paraId="464A781A">
            <w:pPr>
              <w:jc w:val="center"/>
              <w:rPr>
                <w:color w:val="auto"/>
                <w:szCs w:val="21"/>
                <w:highlight w:val="none"/>
              </w:rPr>
            </w:pPr>
            <w:r>
              <w:rPr>
                <w:rFonts w:hint="eastAsia"/>
                <w:color w:val="auto"/>
                <w:szCs w:val="21"/>
                <w:highlight w:val="none"/>
              </w:rPr>
              <w:t>7.5左右</w:t>
            </w:r>
          </w:p>
        </w:tc>
        <w:tc>
          <w:tcPr>
            <w:tcW w:w="482" w:type="pct"/>
            <w:gridSpan w:val="2"/>
            <w:vAlign w:val="center"/>
          </w:tcPr>
          <w:p w14:paraId="31EE509E">
            <w:pPr>
              <w:jc w:val="center"/>
              <w:rPr>
                <w:color w:val="auto"/>
                <w:szCs w:val="21"/>
                <w:highlight w:val="none"/>
              </w:rPr>
            </w:pPr>
            <w:r>
              <w:rPr>
                <w:color w:val="auto"/>
                <w:szCs w:val="21"/>
                <w:highlight w:val="none"/>
              </w:rPr>
              <w:t>砾质</w:t>
            </w:r>
          </w:p>
        </w:tc>
        <w:tc>
          <w:tcPr>
            <w:tcW w:w="493" w:type="pct"/>
            <w:gridSpan w:val="2"/>
            <w:vAlign w:val="center"/>
          </w:tcPr>
          <w:p w14:paraId="1E9788B4">
            <w:pPr>
              <w:jc w:val="center"/>
              <w:rPr>
                <w:color w:val="auto"/>
                <w:szCs w:val="21"/>
                <w:highlight w:val="none"/>
              </w:rPr>
            </w:pPr>
            <w:r>
              <w:rPr>
                <w:rFonts w:hint="eastAsia"/>
                <w:color w:val="auto"/>
                <w:szCs w:val="21"/>
                <w:highlight w:val="none"/>
              </w:rPr>
              <w:t>2.</w:t>
            </w:r>
            <w:r>
              <w:rPr>
                <w:rFonts w:hint="eastAsia"/>
                <w:color w:val="auto"/>
                <w:szCs w:val="21"/>
                <w:highlight w:val="none"/>
                <w:lang w:val="en-US" w:eastAsia="zh-CN"/>
              </w:rPr>
              <w:t>1</w:t>
            </w:r>
          </w:p>
        </w:tc>
        <w:tc>
          <w:tcPr>
            <w:tcW w:w="731" w:type="pct"/>
            <w:vAlign w:val="center"/>
          </w:tcPr>
          <w:p w14:paraId="366429EC">
            <w:pPr>
              <w:jc w:val="center"/>
              <w:rPr>
                <w:color w:val="auto"/>
                <w:szCs w:val="21"/>
                <w:highlight w:val="none"/>
              </w:rPr>
            </w:pPr>
            <w:r>
              <w:rPr>
                <w:rFonts w:hint="eastAsia"/>
                <w:color w:val="auto"/>
                <w:szCs w:val="21"/>
                <w:highlight w:val="none"/>
              </w:rPr>
              <w:t>/（无法覆土）</w:t>
            </w:r>
          </w:p>
        </w:tc>
        <w:tc>
          <w:tcPr>
            <w:tcW w:w="369" w:type="pct"/>
            <w:gridSpan w:val="2"/>
            <w:vAlign w:val="center"/>
          </w:tcPr>
          <w:p w14:paraId="3BA915FB">
            <w:pPr>
              <w:jc w:val="center"/>
              <w:rPr>
                <w:color w:val="auto"/>
                <w:szCs w:val="21"/>
                <w:highlight w:val="none"/>
              </w:rPr>
            </w:pPr>
            <w:r>
              <w:rPr>
                <w:color w:val="auto"/>
                <w:szCs w:val="21"/>
                <w:highlight w:val="none"/>
              </w:rPr>
              <w:t>好</w:t>
            </w:r>
          </w:p>
        </w:tc>
        <w:tc>
          <w:tcPr>
            <w:tcW w:w="436" w:type="pct"/>
            <w:gridSpan w:val="2"/>
            <w:vAlign w:val="center"/>
          </w:tcPr>
          <w:p w14:paraId="60BD1074">
            <w:pPr>
              <w:jc w:val="center"/>
              <w:rPr>
                <w:color w:val="auto"/>
                <w:szCs w:val="21"/>
                <w:highlight w:val="none"/>
              </w:rPr>
            </w:pPr>
            <w:r>
              <w:rPr>
                <w:color w:val="auto"/>
                <w:szCs w:val="21"/>
                <w:highlight w:val="none"/>
              </w:rPr>
              <w:t>&lt;1.</w:t>
            </w:r>
            <w:r>
              <w:rPr>
                <w:rFonts w:hint="eastAsia"/>
                <w:color w:val="auto"/>
                <w:szCs w:val="21"/>
                <w:highlight w:val="none"/>
              </w:rPr>
              <w:t>3</w:t>
            </w:r>
            <w:r>
              <w:rPr>
                <w:color w:val="auto"/>
                <w:szCs w:val="21"/>
                <w:highlight w:val="none"/>
              </w:rPr>
              <w:t>0</w:t>
            </w:r>
          </w:p>
        </w:tc>
      </w:tr>
      <w:tr w14:paraId="460FA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340" w:hRule="exact"/>
          <w:jc w:val="center"/>
        </w:trPr>
        <w:tc>
          <w:tcPr>
            <w:tcW w:w="961" w:type="pct"/>
            <w:gridSpan w:val="2"/>
            <w:vAlign w:val="center"/>
          </w:tcPr>
          <w:p w14:paraId="3C79BF3D">
            <w:pPr>
              <w:keepNext w:val="0"/>
              <w:keepLines w:val="0"/>
              <w:widowControl/>
              <w:suppressLineNumbers w:val="0"/>
              <w:jc w:val="center"/>
              <w:textAlignment w:val="center"/>
              <w:rPr>
                <w:color w:val="auto"/>
                <w:kern w:val="0"/>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工业广场</w:t>
            </w:r>
          </w:p>
        </w:tc>
        <w:tc>
          <w:tcPr>
            <w:tcW w:w="616" w:type="pct"/>
            <w:gridSpan w:val="2"/>
            <w:vAlign w:val="center"/>
          </w:tcPr>
          <w:p w14:paraId="25AA5D68">
            <w:pPr>
              <w:keepNext w:val="0"/>
              <w:keepLines w:val="0"/>
              <w:widowControl/>
              <w:suppressLineNumbers w:val="0"/>
              <w:jc w:val="center"/>
              <w:textAlignment w:val="center"/>
              <w:rPr>
                <w:color w:val="auto"/>
                <w:kern w:val="0"/>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0.6845 </w:t>
            </w:r>
          </w:p>
        </w:tc>
        <w:tc>
          <w:tcPr>
            <w:tcW w:w="425" w:type="pct"/>
            <w:gridSpan w:val="2"/>
            <w:vAlign w:val="center"/>
          </w:tcPr>
          <w:p w14:paraId="13CE14E2">
            <w:pPr>
              <w:jc w:val="center"/>
              <w:rPr>
                <w:color w:val="auto"/>
                <w:kern w:val="0"/>
                <w:szCs w:val="21"/>
                <w:highlight w:val="none"/>
              </w:rPr>
            </w:pPr>
            <w:r>
              <w:rPr>
                <w:rFonts w:hint="eastAsia"/>
                <w:color w:val="auto"/>
                <w:szCs w:val="21"/>
                <w:highlight w:val="none"/>
              </w:rPr>
              <w:t>8~13</w:t>
            </w:r>
            <w:r>
              <w:rPr>
                <w:color w:val="auto"/>
                <w:szCs w:val="21"/>
                <w:highlight w:val="none"/>
              </w:rPr>
              <w:t>°</w:t>
            </w:r>
          </w:p>
        </w:tc>
        <w:tc>
          <w:tcPr>
            <w:tcW w:w="482" w:type="pct"/>
            <w:gridSpan w:val="2"/>
            <w:vAlign w:val="center"/>
          </w:tcPr>
          <w:p w14:paraId="6403DB1F">
            <w:pPr>
              <w:jc w:val="center"/>
              <w:rPr>
                <w:color w:val="auto"/>
                <w:szCs w:val="21"/>
                <w:highlight w:val="none"/>
              </w:rPr>
            </w:pPr>
            <w:r>
              <w:rPr>
                <w:rFonts w:hint="eastAsia"/>
                <w:color w:val="auto"/>
                <w:szCs w:val="21"/>
                <w:highlight w:val="none"/>
              </w:rPr>
              <w:t>7.5左右</w:t>
            </w:r>
          </w:p>
        </w:tc>
        <w:tc>
          <w:tcPr>
            <w:tcW w:w="482" w:type="pct"/>
            <w:gridSpan w:val="2"/>
            <w:vAlign w:val="center"/>
          </w:tcPr>
          <w:p w14:paraId="02FA16DF">
            <w:pPr>
              <w:jc w:val="center"/>
              <w:rPr>
                <w:color w:val="auto"/>
                <w:szCs w:val="21"/>
                <w:highlight w:val="none"/>
              </w:rPr>
            </w:pPr>
            <w:r>
              <w:rPr>
                <w:color w:val="auto"/>
                <w:szCs w:val="21"/>
                <w:highlight w:val="none"/>
              </w:rPr>
              <w:t>砂土</w:t>
            </w:r>
            <w:r>
              <w:rPr>
                <w:rFonts w:hint="eastAsia"/>
                <w:color w:val="auto"/>
                <w:szCs w:val="21"/>
                <w:highlight w:val="none"/>
              </w:rPr>
              <w:t>、壤土</w:t>
            </w:r>
          </w:p>
        </w:tc>
        <w:tc>
          <w:tcPr>
            <w:tcW w:w="493" w:type="pct"/>
            <w:gridSpan w:val="2"/>
            <w:vAlign w:val="center"/>
          </w:tcPr>
          <w:p w14:paraId="4F4C1DFC">
            <w:pPr>
              <w:jc w:val="center"/>
              <w:rPr>
                <w:color w:val="auto"/>
                <w:szCs w:val="21"/>
                <w:highlight w:val="none"/>
              </w:rPr>
            </w:pPr>
            <w:r>
              <w:rPr>
                <w:rFonts w:hint="eastAsia"/>
                <w:color w:val="auto"/>
                <w:szCs w:val="21"/>
                <w:highlight w:val="none"/>
              </w:rPr>
              <w:t>2.</w:t>
            </w:r>
            <w:r>
              <w:rPr>
                <w:rFonts w:hint="eastAsia"/>
                <w:color w:val="auto"/>
                <w:szCs w:val="21"/>
                <w:highlight w:val="none"/>
                <w:lang w:val="en-US" w:eastAsia="zh-CN"/>
              </w:rPr>
              <w:t>1</w:t>
            </w:r>
          </w:p>
        </w:tc>
        <w:tc>
          <w:tcPr>
            <w:tcW w:w="731" w:type="pct"/>
            <w:vAlign w:val="center"/>
          </w:tcPr>
          <w:p w14:paraId="36273680">
            <w:pPr>
              <w:jc w:val="center"/>
              <w:rPr>
                <w:rFonts w:hint="default" w:eastAsia="宋体"/>
                <w:color w:val="auto"/>
                <w:szCs w:val="21"/>
                <w:highlight w:val="none"/>
                <w:lang w:val="en-US" w:eastAsia="zh-CN"/>
              </w:rPr>
            </w:pPr>
            <w:r>
              <w:rPr>
                <w:rFonts w:hint="eastAsia"/>
                <w:color w:val="auto"/>
                <w:szCs w:val="21"/>
                <w:highlight w:val="none"/>
                <w:lang w:val="en-US" w:eastAsia="zh-CN"/>
              </w:rPr>
              <w:t>0.3</w:t>
            </w:r>
          </w:p>
        </w:tc>
        <w:tc>
          <w:tcPr>
            <w:tcW w:w="369" w:type="pct"/>
            <w:gridSpan w:val="2"/>
            <w:vAlign w:val="center"/>
          </w:tcPr>
          <w:p w14:paraId="196290D6">
            <w:pPr>
              <w:jc w:val="center"/>
              <w:rPr>
                <w:color w:val="auto"/>
                <w:szCs w:val="21"/>
                <w:highlight w:val="none"/>
              </w:rPr>
            </w:pPr>
            <w:r>
              <w:rPr>
                <w:color w:val="auto"/>
                <w:szCs w:val="21"/>
                <w:highlight w:val="none"/>
              </w:rPr>
              <w:t>好</w:t>
            </w:r>
          </w:p>
        </w:tc>
        <w:tc>
          <w:tcPr>
            <w:tcW w:w="436" w:type="pct"/>
            <w:gridSpan w:val="2"/>
            <w:vAlign w:val="center"/>
          </w:tcPr>
          <w:p w14:paraId="755B2E64">
            <w:pPr>
              <w:jc w:val="center"/>
              <w:rPr>
                <w:color w:val="auto"/>
                <w:szCs w:val="21"/>
                <w:highlight w:val="none"/>
              </w:rPr>
            </w:pPr>
            <w:r>
              <w:rPr>
                <w:color w:val="auto"/>
                <w:szCs w:val="21"/>
                <w:highlight w:val="none"/>
              </w:rPr>
              <w:t>&lt;1.</w:t>
            </w:r>
            <w:r>
              <w:rPr>
                <w:rFonts w:hint="eastAsia"/>
                <w:color w:val="auto"/>
                <w:szCs w:val="21"/>
                <w:highlight w:val="none"/>
              </w:rPr>
              <w:t>3</w:t>
            </w:r>
            <w:r>
              <w:rPr>
                <w:color w:val="auto"/>
                <w:szCs w:val="21"/>
                <w:highlight w:val="none"/>
              </w:rPr>
              <w:t>0</w:t>
            </w:r>
          </w:p>
        </w:tc>
      </w:tr>
      <w:tr w14:paraId="276EA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340" w:hRule="exact"/>
          <w:jc w:val="center"/>
        </w:trPr>
        <w:tc>
          <w:tcPr>
            <w:tcW w:w="961" w:type="pct"/>
            <w:gridSpan w:val="2"/>
            <w:vAlign w:val="center"/>
          </w:tcPr>
          <w:p w14:paraId="27E1A92F">
            <w:pPr>
              <w:keepNext w:val="0"/>
              <w:keepLines w:val="0"/>
              <w:widowControl/>
              <w:suppressLineNumbers w:val="0"/>
              <w:jc w:val="center"/>
              <w:textAlignment w:val="center"/>
              <w:rPr>
                <w:color w:val="auto"/>
                <w:kern w:val="0"/>
                <w:szCs w:val="21"/>
                <w:highlight w:val="none"/>
                <w:lang w:bidi="ar"/>
              </w:rPr>
            </w:pPr>
            <w:r>
              <w:rPr>
                <w:rFonts w:hint="eastAsia" w:ascii="Times New Roman" w:hAnsi="Times New Roman" w:eastAsia="宋体" w:cs="Times New Roman"/>
                <w:i w:val="0"/>
                <w:iCs w:val="0"/>
                <w:color w:val="auto"/>
                <w:kern w:val="0"/>
                <w:sz w:val="21"/>
                <w:szCs w:val="21"/>
                <w:highlight w:val="none"/>
                <w:u w:val="none"/>
                <w:lang w:val="en-US" w:eastAsia="zh-CN" w:bidi="ar"/>
              </w:rPr>
              <w:t>办公生活区</w:t>
            </w:r>
          </w:p>
        </w:tc>
        <w:tc>
          <w:tcPr>
            <w:tcW w:w="616" w:type="pct"/>
            <w:gridSpan w:val="2"/>
            <w:vAlign w:val="center"/>
          </w:tcPr>
          <w:p w14:paraId="17242AD2">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0.2605 </w:t>
            </w:r>
          </w:p>
        </w:tc>
        <w:tc>
          <w:tcPr>
            <w:tcW w:w="425" w:type="pct"/>
            <w:gridSpan w:val="2"/>
            <w:vAlign w:val="center"/>
          </w:tcPr>
          <w:p w14:paraId="618B7D59">
            <w:pPr>
              <w:jc w:val="center"/>
              <w:rPr>
                <w:color w:val="auto"/>
                <w:kern w:val="0"/>
                <w:szCs w:val="21"/>
                <w:highlight w:val="none"/>
              </w:rPr>
            </w:pPr>
            <w:r>
              <w:rPr>
                <w:rFonts w:hint="eastAsia"/>
                <w:color w:val="auto"/>
                <w:szCs w:val="21"/>
                <w:highlight w:val="none"/>
              </w:rPr>
              <w:t>5</w:t>
            </w:r>
            <w:r>
              <w:rPr>
                <w:color w:val="auto"/>
                <w:szCs w:val="21"/>
                <w:highlight w:val="none"/>
              </w:rPr>
              <w:t>°</w:t>
            </w:r>
          </w:p>
        </w:tc>
        <w:tc>
          <w:tcPr>
            <w:tcW w:w="482" w:type="pct"/>
            <w:gridSpan w:val="2"/>
            <w:vAlign w:val="center"/>
          </w:tcPr>
          <w:p w14:paraId="3F54AEFA">
            <w:pPr>
              <w:jc w:val="center"/>
              <w:rPr>
                <w:color w:val="auto"/>
                <w:szCs w:val="21"/>
                <w:highlight w:val="none"/>
              </w:rPr>
            </w:pPr>
            <w:r>
              <w:rPr>
                <w:rFonts w:hint="eastAsia"/>
                <w:color w:val="auto"/>
                <w:szCs w:val="21"/>
                <w:highlight w:val="none"/>
              </w:rPr>
              <w:t>7.5左右</w:t>
            </w:r>
          </w:p>
        </w:tc>
        <w:tc>
          <w:tcPr>
            <w:tcW w:w="482" w:type="pct"/>
            <w:gridSpan w:val="2"/>
            <w:vAlign w:val="center"/>
          </w:tcPr>
          <w:p w14:paraId="2EC97906">
            <w:pPr>
              <w:jc w:val="center"/>
              <w:rPr>
                <w:color w:val="auto"/>
                <w:szCs w:val="21"/>
                <w:highlight w:val="none"/>
              </w:rPr>
            </w:pPr>
            <w:r>
              <w:rPr>
                <w:color w:val="auto"/>
                <w:szCs w:val="21"/>
                <w:highlight w:val="none"/>
              </w:rPr>
              <w:t>砂土</w:t>
            </w:r>
            <w:r>
              <w:rPr>
                <w:rFonts w:hint="eastAsia"/>
                <w:color w:val="auto"/>
                <w:szCs w:val="21"/>
                <w:highlight w:val="none"/>
              </w:rPr>
              <w:t>、壤土</w:t>
            </w:r>
          </w:p>
        </w:tc>
        <w:tc>
          <w:tcPr>
            <w:tcW w:w="493" w:type="pct"/>
            <w:gridSpan w:val="2"/>
            <w:vAlign w:val="center"/>
          </w:tcPr>
          <w:p w14:paraId="0234AA9C">
            <w:pPr>
              <w:jc w:val="center"/>
              <w:rPr>
                <w:color w:val="auto"/>
                <w:szCs w:val="21"/>
                <w:highlight w:val="none"/>
              </w:rPr>
            </w:pPr>
            <w:r>
              <w:rPr>
                <w:rFonts w:hint="eastAsia"/>
                <w:color w:val="auto"/>
                <w:szCs w:val="21"/>
                <w:highlight w:val="none"/>
              </w:rPr>
              <w:t>2.</w:t>
            </w:r>
            <w:r>
              <w:rPr>
                <w:rFonts w:hint="eastAsia"/>
                <w:color w:val="auto"/>
                <w:szCs w:val="21"/>
                <w:highlight w:val="none"/>
                <w:lang w:val="en-US" w:eastAsia="zh-CN"/>
              </w:rPr>
              <w:t>1</w:t>
            </w:r>
          </w:p>
        </w:tc>
        <w:tc>
          <w:tcPr>
            <w:tcW w:w="731" w:type="pct"/>
            <w:vAlign w:val="center"/>
          </w:tcPr>
          <w:p w14:paraId="3981C477">
            <w:pPr>
              <w:jc w:val="center"/>
              <w:rPr>
                <w:color w:val="auto"/>
                <w:szCs w:val="21"/>
                <w:highlight w:val="none"/>
              </w:rPr>
            </w:pPr>
            <w:r>
              <w:rPr>
                <w:rFonts w:hint="eastAsia"/>
                <w:color w:val="auto"/>
                <w:szCs w:val="21"/>
                <w:highlight w:val="none"/>
                <w:lang w:val="en-US" w:eastAsia="zh-CN"/>
              </w:rPr>
              <w:t>0.3</w:t>
            </w:r>
          </w:p>
        </w:tc>
        <w:tc>
          <w:tcPr>
            <w:tcW w:w="369" w:type="pct"/>
            <w:gridSpan w:val="2"/>
            <w:vAlign w:val="center"/>
          </w:tcPr>
          <w:p w14:paraId="425AE000">
            <w:pPr>
              <w:jc w:val="center"/>
              <w:rPr>
                <w:color w:val="auto"/>
                <w:szCs w:val="21"/>
                <w:highlight w:val="none"/>
              </w:rPr>
            </w:pPr>
            <w:r>
              <w:rPr>
                <w:color w:val="auto"/>
                <w:szCs w:val="21"/>
                <w:highlight w:val="none"/>
              </w:rPr>
              <w:t>好</w:t>
            </w:r>
          </w:p>
        </w:tc>
        <w:tc>
          <w:tcPr>
            <w:tcW w:w="436" w:type="pct"/>
            <w:gridSpan w:val="2"/>
            <w:vAlign w:val="center"/>
          </w:tcPr>
          <w:p w14:paraId="33503784">
            <w:pPr>
              <w:jc w:val="center"/>
              <w:rPr>
                <w:color w:val="auto"/>
                <w:szCs w:val="21"/>
                <w:highlight w:val="none"/>
              </w:rPr>
            </w:pPr>
            <w:r>
              <w:rPr>
                <w:color w:val="auto"/>
                <w:szCs w:val="21"/>
                <w:highlight w:val="none"/>
              </w:rPr>
              <w:t>&lt;1.</w:t>
            </w:r>
            <w:r>
              <w:rPr>
                <w:rFonts w:hint="eastAsia"/>
                <w:color w:val="auto"/>
                <w:szCs w:val="21"/>
                <w:highlight w:val="none"/>
              </w:rPr>
              <w:t>3</w:t>
            </w:r>
            <w:r>
              <w:rPr>
                <w:color w:val="auto"/>
                <w:szCs w:val="21"/>
                <w:highlight w:val="none"/>
              </w:rPr>
              <w:t>0</w:t>
            </w:r>
          </w:p>
        </w:tc>
      </w:tr>
      <w:tr w14:paraId="2429E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340" w:hRule="atLeast"/>
          <w:jc w:val="center"/>
        </w:trPr>
        <w:tc>
          <w:tcPr>
            <w:tcW w:w="961" w:type="pct"/>
            <w:gridSpan w:val="2"/>
            <w:vAlign w:val="center"/>
          </w:tcPr>
          <w:p w14:paraId="4CFEF3C9">
            <w:pPr>
              <w:keepNext w:val="0"/>
              <w:keepLines w:val="0"/>
              <w:widowControl/>
              <w:suppressLineNumbers w:val="0"/>
              <w:jc w:val="center"/>
              <w:textAlignment w:val="center"/>
              <w:rPr>
                <w:color w:val="auto"/>
                <w:kern w:val="0"/>
                <w:szCs w:val="21"/>
                <w:highlight w:val="none"/>
                <w:lang w:bidi="ar"/>
              </w:rPr>
            </w:pPr>
            <w:r>
              <w:rPr>
                <w:rFonts w:hint="eastAsia" w:ascii="Times New Roman" w:hAnsi="Times New Roman" w:eastAsia="宋体" w:cs="Times New Roman"/>
                <w:i w:val="0"/>
                <w:iCs w:val="0"/>
                <w:color w:val="auto"/>
                <w:kern w:val="0"/>
                <w:sz w:val="21"/>
                <w:szCs w:val="21"/>
                <w:highlight w:val="none"/>
                <w:u w:val="none"/>
                <w:lang w:val="en-US" w:eastAsia="zh-CN" w:bidi="ar"/>
              </w:rPr>
              <w:t>原有办公室及临时堆料场</w:t>
            </w:r>
          </w:p>
        </w:tc>
        <w:tc>
          <w:tcPr>
            <w:tcW w:w="616" w:type="pct"/>
            <w:gridSpan w:val="2"/>
            <w:vAlign w:val="center"/>
          </w:tcPr>
          <w:p w14:paraId="6BDB4AF2">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0.1178 </w:t>
            </w:r>
          </w:p>
        </w:tc>
        <w:tc>
          <w:tcPr>
            <w:tcW w:w="425" w:type="pct"/>
            <w:gridSpan w:val="2"/>
            <w:vAlign w:val="center"/>
          </w:tcPr>
          <w:p w14:paraId="56D71974">
            <w:pPr>
              <w:jc w:val="center"/>
              <w:rPr>
                <w:color w:val="auto"/>
                <w:kern w:val="0"/>
                <w:szCs w:val="21"/>
                <w:highlight w:val="none"/>
              </w:rPr>
            </w:pPr>
            <w:r>
              <w:rPr>
                <w:rFonts w:hint="eastAsia"/>
                <w:color w:val="auto"/>
                <w:kern w:val="0"/>
                <w:szCs w:val="21"/>
                <w:highlight w:val="none"/>
                <w:lang w:val="en-US" w:eastAsia="zh-CN"/>
              </w:rPr>
              <w:t>5</w:t>
            </w:r>
            <w:r>
              <w:rPr>
                <w:color w:val="auto"/>
                <w:kern w:val="0"/>
                <w:szCs w:val="21"/>
                <w:highlight w:val="none"/>
              </w:rPr>
              <w:t>°</w:t>
            </w:r>
          </w:p>
        </w:tc>
        <w:tc>
          <w:tcPr>
            <w:tcW w:w="482" w:type="pct"/>
            <w:gridSpan w:val="2"/>
            <w:vAlign w:val="center"/>
          </w:tcPr>
          <w:p w14:paraId="14F85494">
            <w:pPr>
              <w:jc w:val="center"/>
              <w:rPr>
                <w:color w:val="auto"/>
                <w:kern w:val="0"/>
                <w:szCs w:val="21"/>
                <w:highlight w:val="none"/>
              </w:rPr>
            </w:pPr>
            <w:r>
              <w:rPr>
                <w:rFonts w:hint="eastAsia"/>
                <w:color w:val="auto"/>
                <w:szCs w:val="21"/>
                <w:highlight w:val="none"/>
              </w:rPr>
              <w:t>7.5左右</w:t>
            </w:r>
          </w:p>
        </w:tc>
        <w:tc>
          <w:tcPr>
            <w:tcW w:w="482" w:type="pct"/>
            <w:gridSpan w:val="2"/>
            <w:vAlign w:val="center"/>
          </w:tcPr>
          <w:p w14:paraId="15D178A7">
            <w:pPr>
              <w:jc w:val="center"/>
              <w:rPr>
                <w:color w:val="auto"/>
                <w:szCs w:val="21"/>
                <w:highlight w:val="none"/>
              </w:rPr>
            </w:pPr>
            <w:r>
              <w:rPr>
                <w:color w:val="auto"/>
                <w:szCs w:val="21"/>
                <w:highlight w:val="none"/>
              </w:rPr>
              <w:t>砂土</w:t>
            </w:r>
            <w:r>
              <w:rPr>
                <w:rFonts w:hint="eastAsia"/>
                <w:color w:val="auto"/>
                <w:szCs w:val="21"/>
                <w:highlight w:val="none"/>
              </w:rPr>
              <w:t>、壤土</w:t>
            </w:r>
          </w:p>
        </w:tc>
        <w:tc>
          <w:tcPr>
            <w:tcW w:w="493" w:type="pct"/>
            <w:gridSpan w:val="2"/>
            <w:vAlign w:val="center"/>
          </w:tcPr>
          <w:p w14:paraId="200E4BB4">
            <w:pPr>
              <w:jc w:val="center"/>
              <w:rPr>
                <w:color w:val="auto"/>
                <w:szCs w:val="21"/>
                <w:highlight w:val="none"/>
              </w:rPr>
            </w:pPr>
            <w:r>
              <w:rPr>
                <w:rFonts w:hint="eastAsia"/>
                <w:color w:val="auto"/>
                <w:szCs w:val="21"/>
                <w:highlight w:val="none"/>
              </w:rPr>
              <w:t>2.</w:t>
            </w:r>
            <w:r>
              <w:rPr>
                <w:rFonts w:hint="eastAsia"/>
                <w:color w:val="auto"/>
                <w:szCs w:val="21"/>
                <w:highlight w:val="none"/>
                <w:lang w:val="en-US" w:eastAsia="zh-CN"/>
              </w:rPr>
              <w:t>1</w:t>
            </w:r>
          </w:p>
        </w:tc>
        <w:tc>
          <w:tcPr>
            <w:tcW w:w="731" w:type="pct"/>
            <w:vAlign w:val="center"/>
          </w:tcPr>
          <w:p w14:paraId="5F7AF23C">
            <w:pPr>
              <w:jc w:val="center"/>
              <w:rPr>
                <w:color w:val="auto"/>
                <w:szCs w:val="21"/>
                <w:highlight w:val="none"/>
              </w:rPr>
            </w:pPr>
            <w:r>
              <w:rPr>
                <w:rFonts w:hint="eastAsia"/>
                <w:color w:val="auto"/>
                <w:szCs w:val="21"/>
                <w:highlight w:val="none"/>
                <w:lang w:val="en-US" w:eastAsia="zh-CN"/>
              </w:rPr>
              <w:t>0.3</w:t>
            </w:r>
          </w:p>
        </w:tc>
        <w:tc>
          <w:tcPr>
            <w:tcW w:w="369" w:type="pct"/>
            <w:gridSpan w:val="2"/>
            <w:vAlign w:val="center"/>
          </w:tcPr>
          <w:p w14:paraId="0AABCA55">
            <w:pPr>
              <w:jc w:val="center"/>
              <w:rPr>
                <w:color w:val="auto"/>
                <w:szCs w:val="21"/>
                <w:highlight w:val="none"/>
              </w:rPr>
            </w:pPr>
            <w:r>
              <w:rPr>
                <w:color w:val="auto"/>
                <w:szCs w:val="21"/>
                <w:highlight w:val="none"/>
              </w:rPr>
              <w:t>好</w:t>
            </w:r>
          </w:p>
        </w:tc>
        <w:tc>
          <w:tcPr>
            <w:tcW w:w="436" w:type="pct"/>
            <w:gridSpan w:val="2"/>
            <w:vAlign w:val="center"/>
          </w:tcPr>
          <w:p w14:paraId="7B7DCCE2">
            <w:pPr>
              <w:jc w:val="center"/>
              <w:rPr>
                <w:color w:val="auto"/>
                <w:szCs w:val="21"/>
                <w:highlight w:val="none"/>
              </w:rPr>
            </w:pPr>
            <w:r>
              <w:rPr>
                <w:color w:val="auto"/>
                <w:szCs w:val="21"/>
                <w:highlight w:val="none"/>
              </w:rPr>
              <w:t>&lt;1.</w:t>
            </w:r>
            <w:r>
              <w:rPr>
                <w:rFonts w:hint="eastAsia"/>
                <w:color w:val="auto"/>
                <w:szCs w:val="21"/>
                <w:highlight w:val="none"/>
              </w:rPr>
              <w:t>3</w:t>
            </w:r>
            <w:r>
              <w:rPr>
                <w:color w:val="auto"/>
                <w:szCs w:val="21"/>
                <w:highlight w:val="none"/>
              </w:rPr>
              <w:t>0</w:t>
            </w:r>
          </w:p>
        </w:tc>
      </w:tr>
      <w:tr w14:paraId="25099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340" w:hRule="exact"/>
          <w:jc w:val="center"/>
        </w:trPr>
        <w:tc>
          <w:tcPr>
            <w:tcW w:w="961" w:type="pct"/>
            <w:gridSpan w:val="2"/>
            <w:vAlign w:val="center"/>
          </w:tcPr>
          <w:p w14:paraId="403A7072">
            <w:pPr>
              <w:keepNext w:val="0"/>
              <w:keepLines w:val="0"/>
              <w:widowControl/>
              <w:suppressLineNumbers w:val="0"/>
              <w:jc w:val="center"/>
              <w:textAlignment w:val="center"/>
              <w:rPr>
                <w:color w:val="auto"/>
                <w:kern w:val="0"/>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矿山道路</w:t>
            </w:r>
          </w:p>
        </w:tc>
        <w:tc>
          <w:tcPr>
            <w:tcW w:w="616" w:type="pct"/>
            <w:gridSpan w:val="2"/>
            <w:vAlign w:val="center"/>
          </w:tcPr>
          <w:p w14:paraId="1CF8A7F2">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0.1624 </w:t>
            </w:r>
          </w:p>
        </w:tc>
        <w:tc>
          <w:tcPr>
            <w:tcW w:w="425" w:type="pct"/>
            <w:gridSpan w:val="2"/>
            <w:vAlign w:val="center"/>
          </w:tcPr>
          <w:p w14:paraId="0A4FC349">
            <w:pPr>
              <w:jc w:val="center"/>
              <w:rPr>
                <w:color w:val="auto"/>
                <w:kern w:val="0"/>
                <w:szCs w:val="21"/>
                <w:highlight w:val="none"/>
              </w:rPr>
            </w:pPr>
            <w:r>
              <w:rPr>
                <w:rFonts w:hint="eastAsia"/>
                <w:color w:val="auto"/>
                <w:szCs w:val="21"/>
                <w:highlight w:val="none"/>
              </w:rPr>
              <w:t>5</w:t>
            </w:r>
            <w:r>
              <w:rPr>
                <w:color w:val="auto"/>
                <w:szCs w:val="21"/>
                <w:highlight w:val="none"/>
              </w:rPr>
              <w:t>°</w:t>
            </w:r>
          </w:p>
        </w:tc>
        <w:tc>
          <w:tcPr>
            <w:tcW w:w="482" w:type="pct"/>
            <w:gridSpan w:val="2"/>
            <w:vAlign w:val="center"/>
          </w:tcPr>
          <w:p w14:paraId="31038F3A">
            <w:pPr>
              <w:jc w:val="center"/>
              <w:rPr>
                <w:color w:val="auto"/>
                <w:szCs w:val="21"/>
                <w:highlight w:val="none"/>
              </w:rPr>
            </w:pPr>
            <w:r>
              <w:rPr>
                <w:rFonts w:hint="eastAsia"/>
                <w:color w:val="auto"/>
                <w:szCs w:val="21"/>
                <w:highlight w:val="none"/>
              </w:rPr>
              <w:t>7.5左右</w:t>
            </w:r>
          </w:p>
        </w:tc>
        <w:tc>
          <w:tcPr>
            <w:tcW w:w="482" w:type="pct"/>
            <w:gridSpan w:val="2"/>
            <w:vAlign w:val="center"/>
          </w:tcPr>
          <w:p w14:paraId="709A7763">
            <w:pPr>
              <w:jc w:val="center"/>
              <w:rPr>
                <w:color w:val="auto"/>
                <w:szCs w:val="21"/>
                <w:highlight w:val="none"/>
              </w:rPr>
            </w:pPr>
            <w:r>
              <w:rPr>
                <w:color w:val="auto"/>
                <w:szCs w:val="21"/>
                <w:highlight w:val="none"/>
              </w:rPr>
              <w:t>砂土</w:t>
            </w:r>
            <w:r>
              <w:rPr>
                <w:rFonts w:hint="eastAsia"/>
                <w:color w:val="auto"/>
                <w:szCs w:val="21"/>
                <w:highlight w:val="none"/>
              </w:rPr>
              <w:t>、壤土</w:t>
            </w:r>
          </w:p>
        </w:tc>
        <w:tc>
          <w:tcPr>
            <w:tcW w:w="493" w:type="pct"/>
            <w:gridSpan w:val="2"/>
            <w:vAlign w:val="center"/>
          </w:tcPr>
          <w:p w14:paraId="70E31091">
            <w:pPr>
              <w:jc w:val="center"/>
              <w:rPr>
                <w:color w:val="auto"/>
                <w:szCs w:val="21"/>
                <w:highlight w:val="none"/>
              </w:rPr>
            </w:pPr>
            <w:r>
              <w:rPr>
                <w:rFonts w:hint="eastAsia"/>
                <w:color w:val="auto"/>
                <w:szCs w:val="21"/>
                <w:highlight w:val="none"/>
              </w:rPr>
              <w:t>2.</w:t>
            </w:r>
            <w:r>
              <w:rPr>
                <w:rFonts w:hint="eastAsia"/>
                <w:color w:val="auto"/>
                <w:szCs w:val="21"/>
                <w:highlight w:val="none"/>
                <w:lang w:val="en-US" w:eastAsia="zh-CN"/>
              </w:rPr>
              <w:t>1</w:t>
            </w:r>
          </w:p>
        </w:tc>
        <w:tc>
          <w:tcPr>
            <w:tcW w:w="731" w:type="pct"/>
            <w:vAlign w:val="center"/>
          </w:tcPr>
          <w:p w14:paraId="51FF7167">
            <w:pPr>
              <w:jc w:val="center"/>
              <w:rPr>
                <w:color w:val="auto"/>
                <w:szCs w:val="21"/>
                <w:highlight w:val="none"/>
              </w:rPr>
            </w:pPr>
            <w:r>
              <w:rPr>
                <w:rFonts w:hint="eastAsia"/>
                <w:color w:val="auto"/>
                <w:szCs w:val="21"/>
                <w:highlight w:val="none"/>
                <w:lang w:val="en-US" w:eastAsia="zh-CN"/>
              </w:rPr>
              <w:t>0.3</w:t>
            </w:r>
          </w:p>
        </w:tc>
        <w:tc>
          <w:tcPr>
            <w:tcW w:w="369" w:type="pct"/>
            <w:gridSpan w:val="2"/>
            <w:vAlign w:val="center"/>
          </w:tcPr>
          <w:p w14:paraId="4FAE5775">
            <w:pPr>
              <w:jc w:val="center"/>
              <w:rPr>
                <w:color w:val="auto"/>
                <w:szCs w:val="21"/>
                <w:highlight w:val="none"/>
              </w:rPr>
            </w:pPr>
            <w:r>
              <w:rPr>
                <w:color w:val="auto"/>
                <w:szCs w:val="21"/>
                <w:highlight w:val="none"/>
              </w:rPr>
              <w:t>好</w:t>
            </w:r>
          </w:p>
        </w:tc>
        <w:tc>
          <w:tcPr>
            <w:tcW w:w="436" w:type="pct"/>
            <w:gridSpan w:val="2"/>
            <w:vAlign w:val="center"/>
          </w:tcPr>
          <w:p w14:paraId="6E5DF194">
            <w:pPr>
              <w:jc w:val="center"/>
              <w:rPr>
                <w:color w:val="auto"/>
                <w:szCs w:val="21"/>
                <w:highlight w:val="none"/>
              </w:rPr>
            </w:pPr>
            <w:r>
              <w:rPr>
                <w:color w:val="auto"/>
                <w:szCs w:val="21"/>
                <w:highlight w:val="none"/>
              </w:rPr>
              <w:t>&lt;1.</w:t>
            </w:r>
            <w:r>
              <w:rPr>
                <w:rFonts w:hint="eastAsia"/>
                <w:color w:val="auto"/>
                <w:szCs w:val="21"/>
                <w:highlight w:val="none"/>
              </w:rPr>
              <w:t>3</w:t>
            </w:r>
            <w:r>
              <w:rPr>
                <w:color w:val="auto"/>
                <w:szCs w:val="21"/>
                <w:highlight w:val="none"/>
              </w:rPr>
              <w:t>0</w:t>
            </w:r>
          </w:p>
        </w:tc>
      </w:tr>
      <w:tr w14:paraId="702F4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340" w:hRule="exact"/>
          <w:jc w:val="center"/>
        </w:trPr>
        <w:tc>
          <w:tcPr>
            <w:tcW w:w="961" w:type="pct"/>
            <w:gridSpan w:val="2"/>
            <w:vAlign w:val="center"/>
          </w:tcPr>
          <w:p w14:paraId="1601E026">
            <w:pPr>
              <w:keepNext w:val="0"/>
              <w:keepLines w:val="0"/>
              <w:widowControl/>
              <w:suppressLineNumbers w:val="0"/>
              <w:jc w:val="center"/>
              <w:textAlignment w:val="center"/>
              <w:rPr>
                <w:rFonts w:hint="eastAsia"/>
                <w:color w:val="auto"/>
                <w:kern w:val="0"/>
                <w:szCs w:val="21"/>
                <w:highlight w:val="none"/>
                <w:lang w:bidi="ar"/>
              </w:rPr>
            </w:pPr>
            <w:r>
              <w:rPr>
                <w:rFonts w:hint="eastAsia" w:ascii="Times New Roman" w:hAnsi="Times New Roman" w:eastAsia="宋体" w:cs="Times New Roman"/>
                <w:i w:val="0"/>
                <w:iCs w:val="0"/>
                <w:color w:val="auto"/>
                <w:kern w:val="0"/>
                <w:sz w:val="21"/>
                <w:szCs w:val="21"/>
                <w:highlight w:val="none"/>
                <w:u w:val="none"/>
                <w:lang w:val="en-US" w:eastAsia="zh-CN" w:bidi="ar"/>
              </w:rPr>
              <w:t>表土堆场</w:t>
            </w:r>
          </w:p>
        </w:tc>
        <w:tc>
          <w:tcPr>
            <w:tcW w:w="616" w:type="pct"/>
            <w:gridSpan w:val="2"/>
            <w:vAlign w:val="center"/>
          </w:tcPr>
          <w:p w14:paraId="52AD3A55">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0.3093 </w:t>
            </w:r>
          </w:p>
        </w:tc>
        <w:tc>
          <w:tcPr>
            <w:tcW w:w="1127" w:type="dxa"/>
            <w:gridSpan w:val="2"/>
            <w:vAlign w:val="center"/>
          </w:tcPr>
          <w:p w14:paraId="6E60F146">
            <w:pPr>
              <w:jc w:val="center"/>
              <w:rPr>
                <w:rFonts w:hint="eastAsia"/>
                <w:color w:val="auto"/>
                <w:szCs w:val="21"/>
                <w:highlight w:val="none"/>
              </w:rPr>
            </w:pPr>
            <w:r>
              <w:rPr>
                <w:rFonts w:hint="eastAsia"/>
                <w:color w:val="auto"/>
                <w:szCs w:val="21"/>
                <w:highlight w:val="none"/>
              </w:rPr>
              <w:t>5</w:t>
            </w:r>
            <w:r>
              <w:rPr>
                <w:color w:val="auto"/>
                <w:szCs w:val="21"/>
                <w:highlight w:val="none"/>
              </w:rPr>
              <w:t>°</w:t>
            </w:r>
          </w:p>
        </w:tc>
        <w:tc>
          <w:tcPr>
            <w:tcW w:w="1278" w:type="dxa"/>
            <w:gridSpan w:val="2"/>
            <w:vAlign w:val="center"/>
          </w:tcPr>
          <w:p w14:paraId="63515FA8">
            <w:pPr>
              <w:jc w:val="center"/>
              <w:rPr>
                <w:rFonts w:hint="eastAsia"/>
                <w:color w:val="auto"/>
                <w:szCs w:val="21"/>
                <w:highlight w:val="none"/>
              </w:rPr>
            </w:pPr>
            <w:r>
              <w:rPr>
                <w:rFonts w:hint="eastAsia"/>
                <w:color w:val="auto"/>
                <w:szCs w:val="21"/>
                <w:highlight w:val="none"/>
              </w:rPr>
              <w:t>7.5左右</w:t>
            </w:r>
          </w:p>
        </w:tc>
        <w:tc>
          <w:tcPr>
            <w:tcW w:w="482" w:type="pct"/>
            <w:gridSpan w:val="2"/>
            <w:vAlign w:val="center"/>
          </w:tcPr>
          <w:p w14:paraId="43D77A67">
            <w:pPr>
              <w:jc w:val="center"/>
              <w:rPr>
                <w:color w:val="auto"/>
                <w:szCs w:val="21"/>
                <w:highlight w:val="none"/>
              </w:rPr>
            </w:pPr>
            <w:r>
              <w:rPr>
                <w:rFonts w:hint="eastAsia"/>
                <w:color w:val="auto"/>
                <w:szCs w:val="21"/>
                <w:highlight w:val="none"/>
              </w:rPr>
              <w:t>壤土</w:t>
            </w:r>
          </w:p>
        </w:tc>
        <w:tc>
          <w:tcPr>
            <w:tcW w:w="1307" w:type="dxa"/>
            <w:gridSpan w:val="2"/>
            <w:vAlign w:val="center"/>
          </w:tcPr>
          <w:p w14:paraId="3C3E3C9F">
            <w:pPr>
              <w:jc w:val="center"/>
              <w:rPr>
                <w:rFonts w:hint="eastAsia"/>
                <w:color w:val="auto"/>
                <w:szCs w:val="21"/>
                <w:highlight w:val="none"/>
              </w:rPr>
            </w:pPr>
            <w:r>
              <w:rPr>
                <w:rFonts w:hint="eastAsia"/>
                <w:color w:val="auto"/>
                <w:szCs w:val="21"/>
                <w:highlight w:val="none"/>
              </w:rPr>
              <w:t>2.</w:t>
            </w:r>
            <w:r>
              <w:rPr>
                <w:rFonts w:hint="eastAsia"/>
                <w:color w:val="auto"/>
                <w:szCs w:val="21"/>
                <w:highlight w:val="none"/>
                <w:lang w:val="en-US" w:eastAsia="zh-CN"/>
              </w:rPr>
              <w:t>1</w:t>
            </w:r>
          </w:p>
        </w:tc>
        <w:tc>
          <w:tcPr>
            <w:tcW w:w="1937" w:type="dxa"/>
            <w:vAlign w:val="center"/>
          </w:tcPr>
          <w:p w14:paraId="73288C8A">
            <w:pPr>
              <w:jc w:val="center"/>
              <w:rPr>
                <w:rFonts w:hint="eastAsia"/>
                <w:color w:val="auto"/>
                <w:szCs w:val="21"/>
                <w:highlight w:val="none"/>
              </w:rPr>
            </w:pPr>
            <w:r>
              <w:rPr>
                <w:rFonts w:hint="eastAsia"/>
                <w:color w:val="auto"/>
                <w:szCs w:val="21"/>
                <w:highlight w:val="none"/>
                <w:lang w:val="en-US" w:eastAsia="zh-CN"/>
              </w:rPr>
              <w:t>0.3</w:t>
            </w:r>
          </w:p>
        </w:tc>
        <w:tc>
          <w:tcPr>
            <w:tcW w:w="978" w:type="dxa"/>
            <w:gridSpan w:val="2"/>
            <w:vAlign w:val="center"/>
          </w:tcPr>
          <w:p w14:paraId="02215143">
            <w:pPr>
              <w:jc w:val="center"/>
              <w:rPr>
                <w:color w:val="auto"/>
                <w:szCs w:val="21"/>
                <w:highlight w:val="none"/>
              </w:rPr>
            </w:pPr>
            <w:r>
              <w:rPr>
                <w:color w:val="auto"/>
                <w:szCs w:val="21"/>
                <w:highlight w:val="none"/>
              </w:rPr>
              <w:t>好</w:t>
            </w:r>
          </w:p>
        </w:tc>
        <w:tc>
          <w:tcPr>
            <w:tcW w:w="1156" w:type="dxa"/>
            <w:gridSpan w:val="2"/>
            <w:vAlign w:val="center"/>
          </w:tcPr>
          <w:p w14:paraId="047988E7">
            <w:pPr>
              <w:jc w:val="center"/>
              <w:rPr>
                <w:color w:val="auto"/>
                <w:szCs w:val="21"/>
                <w:highlight w:val="none"/>
              </w:rPr>
            </w:pPr>
            <w:r>
              <w:rPr>
                <w:color w:val="auto"/>
                <w:szCs w:val="21"/>
                <w:highlight w:val="none"/>
              </w:rPr>
              <w:t>&lt;1.</w:t>
            </w:r>
            <w:r>
              <w:rPr>
                <w:rFonts w:hint="eastAsia"/>
                <w:color w:val="auto"/>
                <w:szCs w:val="21"/>
                <w:highlight w:val="none"/>
              </w:rPr>
              <w:t>3</w:t>
            </w:r>
            <w:r>
              <w:rPr>
                <w:color w:val="auto"/>
                <w:szCs w:val="21"/>
                <w:highlight w:val="none"/>
              </w:rPr>
              <w:t>0</w:t>
            </w:r>
          </w:p>
        </w:tc>
      </w:tr>
      <w:tr w14:paraId="6A55B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962" w:type="pct"/>
            <w:gridSpan w:val="3"/>
            <w:vAlign w:val="center"/>
          </w:tcPr>
          <w:p w14:paraId="4205EF42">
            <w:pPr>
              <w:jc w:val="center"/>
              <w:rPr>
                <w:color w:val="auto"/>
                <w:kern w:val="0"/>
                <w:szCs w:val="21"/>
                <w:highlight w:val="none"/>
              </w:rPr>
            </w:pPr>
            <w:r>
              <w:rPr>
                <w:color w:val="auto"/>
                <w:kern w:val="0"/>
                <w:szCs w:val="21"/>
                <w:highlight w:val="none"/>
              </w:rPr>
              <w:t>合计</w:t>
            </w:r>
          </w:p>
        </w:tc>
        <w:tc>
          <w:tcPr>
            <w:tcW w:w="616" w:type="pct"/>
            <w:gridSpan w:val="2"/>
            <w:shd w:val="clear" w:color="auto" w:fill="auto"/>
            <w:vAlign w:val="center"/>
          </w:tcPr>
          <w:p w14:paraId="55AD9E5B">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4.0745 </w:t>
            </w:r>
          </w:p>
        </w:tc>
        <w:tc>
          <w:tcPr>
            <w:tcW w:w="425" w:type="pct"/>
            <w:gridSpan w:val="2"/>
            <w:vAlign w:val="center"/>
          </w:tcPr>
          <w:p w14:paraId="00A0E081">
            <w:pPr>
              <w:jc w:val="center"/>
              <w:rPr>
                <w:color w:val="auto"/>
                <w:kern w:val="0"/>
                <w:szCs w:val="21"/>
                <w:highlight w:val="none"/>
              </w:rPr>
            </w:pPr>
          </w:p>
        </w:tc>
        <w:tc>
          <w:tcPr>
            <w:tcW w:w="482" w:type="pct"/>
            <w:gridSpan w:val="2"/>
            <w:vAlign w:val="center"/>
          </w:tcPr>
          <w:p w14:paraId="36D1675E">
            <w:pPr>
              <w:jc w:val="center"/>
              <w:rPr>
                <w:color w:val="auto"/>
                <w:kern w:val="0"/>
                <w:szCs w:val="21"/>
                <w:highlight w:val="none"/>
              </w:rPr>
            </w:pPr>
          </w:p>
        </w:tc>
        <w:tc>
          <w:tcPr>
            <w:tcW w:w="482" w:type="pct"/>
            <w:gridSpan w:val="2"/>
            <w:vAlign w:val="center"/>
          </w:tcPr>
          <w:p w14:paraId="1A7744F6">
            <w:pPr>
              <w:jc w:val="center"/>
              <w:rPr>
                <w:color w:val="auto"/>
                <w:kern w:val="0"/>
                <w:szCs w:val="21"/>
                <w:highlight w:val="none"/>
              </w:rPr>
            </w:pPr>
          </w:p>
        </w:tc>
        <w:tc>
          <w:tcPr>
            <w:tcW w:w="492" w:type="pct"/>
            <w:vAlign w:val="center"/>
          </w:tcPr>
          <w:p w14:paraId="6C9D5F11">
            <w:pPr>
              <w:jc w:val="center"/>
              <w:rPr>
                <w:color w:val="auto"/>
                <w:kern w:val="0"/>
                <w:szCs w:val="21"/>
                <w:highlight w:val="none"/>
              </w:rPr>
            </w:pPr>
          </w:p>
        </w:tc>
        <w:tc>
          <w:tcPr>
            <w:tcW w:w="732" w:type="pct"/>
            <w:gridSpan w:val="2"/>
            <w:vAlign w:val="center"/>
          </w:tcPr>
          <w:p w14:paraId="6C54F6E0">
            <w:pPr>
              <w:jc w:val="center"/>
              <w:rPr>
                <w:color w:val="auto"/>
                <w:kern w:val="0"/>
                <w:szCs w:val="21"/>
                <w:highlight w:val="none"/>
              </w:rPr>
            </w:pPr>
          </w:p>
        </w:tc>
        <w:tc>
          <w:tcPr>
            <w:tcW w:w="369" w:type="pct"/>
            <w:gridSpan w:val="2"/>
            <w:vAlign w:val="center"/>
          </w:tcPr>
          <w:p w14:paraId="128FD834">
            <w:pPr>
              <w:jc w:val="center"/>
              <w:rPr>
                <w:color w:val="auto"/>
                <w:kern w:val="0"/>
                <w:szCs w:val="21"/>
                <w:highlight w:val="none"/>
              </w:rPr>
            </w:pPr>
          </w:p>
        </w:tc>
        <w:tc>
          <w:tcPr>
            <w:tcW w:w="436" w:type="pct"/>
            <w:gridSpan w:val="2"/>
            <w:vAlign w:val="center"/>
          </w:tcPr>
          <w:p w14:paraId="3365FADD">
            <w:pPr>
              <w:jc w:val="center"/>
              <w:rPr>
                <w:color w:val="auto"/>
                <w:kern w:val="0"/>
                <w:szCs w:val="21"/>
                <w:highlight w:val="none"/>
              </w:rPr>
            </w:pPr>
          </w:p>
        </w:tc>
      </w:tr>
    </w:tbl>
    <w:p w14:paraId="42DF4EE5">
      <w:pPr>
        <w:pStyle w:val="156"/>
        <w:tabs>
          <w:tab w:val="left" w:pos="3600"/>
        </w:tabs>
        <w:ind w:firstLine="0" w:firstLineChars="0"/>
        <w:rPr>
          <w:rFonts w:hint="eastAsia" w:ascii="宋体" w:hAnsi="宋体" w:eastAsia="宋体" w:cs="Times New Roman"/>
          <w:bCs/>
          <w:color w:val="auto"/>
          <w:sz w:val="18"/>
          <w:szCs w:val="18"/>
          <w:highlight w:val="none"/>
        </w:rPr>
      </w:pPr>
      <w:r>
        <w:rPr>
          <w:rFonts w:hint="eastAsia" w:ascii="宋体" w:hAnsi="宋体" w:eastAsia="宋体" w:cs="Times New Roman"/>
          <w:bCs/>
          <w:color w:val="auto"/>
          <w:sz w:val="18"/>
          <w:szCs w:val="18"/>
          <w:highlight w:val="none"/>
        </w:rPr>
        <w:t>注：土壤有机质数据参考“中国土壤数据库”数据。</w:t>
      </w:r>
    </w:p>
    <w:p w14:paraId="64390EC0">
      <w:pPr>
        <w:pStyle w:val="156"/>
        <w:tabs>
          <w:tab w:val="left" w:pos="3600"/>
        </w:tabs>
        <w:rPr>
          <w:rFonts w:hint="default" w:ascii="Times New Roman" w:hAnsi="Times New Roman" w:eastAsia="宋体" w:cs="Times New Roman"/>
          <w:color w:val="auto"/>
          <w:highlight w:val="none"/>
        </w:rPr>
        <w:sectPr>
          <w:pgSz w:w="16838" w:h="11906" w:orient="landscape"/>
          <w:pgMar w:top="1800" w:right="1440" w:bottom="1800" w:left="1440" w:header="851" w:footer="992" w:gutter="0"/>
          <w:pgBorders w:offsetFrom="page">
            <w:top w:val="none" w:sz="0" w:space="0"/>
            <w:left w:val="none" w:sz="0" w:space="0"/>
            <w:bottom w:val="none" w:sz="0" w:space="0"/>
            <w:right w:val="none" w:sz="0" w:space="0"/>
          </w:pgBorders>
          <w:pgNumType w:fmt="decimal"/>
          <w:cols w:space="720" w:num="1"/>
          <w:docGrid w:type="lines" w:linePitch="312" w:charSpace="0"/>
        </w:sectPr>
      </w:pPr>
    </w:p>
    <w:p w14:paraId="5B4E1393">
      <w:pPr>
        <w:pStyle w:val="156"/>
        <w:keepNext w:val="0"/>
        <w:keepLines w:val="0"/>
        <w:pageBreakBefore w:val="0"/>
        <w:widowControl w:val="0"/>
        <w:tabs>
          <w:tab w:val="left" w:pos="3600"/>
        </w:tabs>
        <w:kinsoku/>
        <w:wordWrap/>
        <w:overflowPunct/>
        <w:topLinePunct w:val="0"/>
        <w:autoSpaceDE/>
        <w:autoSpaceDN/>
        <w:bidi w:val="0"/>
        <w:adjustRightInd/>
        <w:snapToGrid/>
        <w:spacing w:before="157" w:beforeLines="50" w:line="240" w:lineRule="auto"/>
        <w:ind w:firstLine="0" w:firstLineChars="0"/>
        <w:jc w:val="center"/>
        <w:textAlignment w:val="auto"/>
        <w:rPr>
          <w:rFonts w:hint="default" w:ascii="Times New Roman" w:hAnsi="Times New Roman" w:eastAsia="黑体" w:cs="Times New Roman"/>
          <w:b w:val="0"/>
          <w:bCs/>
          <w:color w:val="auto"/>
          <w:sz w:val="21"/>
          <w:szCs w:val="21"/>
          <w:highlight w:val="none"/>
        </w:rPr>
      </w:pPr>
      <w:r>
        <w:rPr>
          <w:rFonts w:hint="default" w:ascii="Times New Roman" w:hAnsi="Times New Roman" w:eastAsia="黑体" w:cs="Times New Roman"/>
          <w:b w:val="0"/>
          <w:bCs/>
          <w:color w:val="auto"/>
          <w:sz w:val="21"/>
          <w:szCs w:val="21"/>
          <w:highlight w:val="none"/>
        </w:rPr>
        <w:t>表4-4 土地适宜性评价结果表</w:t>
      </w:r>
    </w:p>
    <w:tbl>
      <w:tblPr>
        <w:tblStyle w:val="34"/>
        <w:tblW w:w="90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2"/>
        <w:gridCol w:w="898"/>
        <w:gridCol w:w="1035"/>
        <w:gridCol w:w="1307"/>
        <w:gridCol w:w="730"/>
        <w:gridCol w:w="730"/>
        <w:gridCol w:w="582"/>
        <w:gridCol w:w="3161"/>
      </w:tblGrid>
      <w:tr w14:paraId="6361E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2" w:type="dxa"/>
            <w:vMerge w:val="restart"/>
            <w:vAlign w:val="center"/>
          </w:tcPr>
          <w:p w14:paraId="0A09801E">
            <w:pPr>
              <w:jc w:val="center"/>
              <w:rPr>
                <w:rFonts w:hint="default" w:ascii="Times New Roman" w:hAnsi="Times New Roman" w:cs="Times New Roman"/>
                <w:color w:val="auto"/>
                <w:kern w:val="0"/>
                <w:sz w:val="20"/>
                <w:szCs w:val="20"/>
                <w:highlight w:val="none"/>
              </w:rPr>
            </w:pPr>
            <w:r>
              <w:rPr>
                <w:rFonts w:hint="default" w:ascii="Times New Roman" w:hAnsi="Times New Roman" w:cs="Times New Roman"/>
                <w:color w:val="auto"/>
                <w:kern w:val="0"/>
                <w:sz w:val="20"/>
                <w:szCs w:val="20"/>
                <w:highlight w:val="none"/>
              </w:rPr>
              <w:t>单元编号</w:t>
            </w:r>
          </w:p>
        </w:tc>
        <w:tc>
          <w:tcPr>
            <w:tcW w:w="1933" w:type="dxa"/>
            <w:gridSpan w:val="2"/>
            <w:vMerge w:val="restart"/>
            <w:vAlign w:val="center"/>
          </w:tcPr>
          <w:p w14:paraId="10C3D636">
            <w:pPr>
              <w:jc w:val="center"/>
              <w:rPr>
                <w:rFonts w:hint="default" w:ascii="Times New Roman" w:hAnsi="Times New Roman" w:cs="Times New Roman"/>
                <w:color w:val="auto"/>
                <w:kern w:val="0"/>
                <w:sz w:val="20"/>
                <w:szCs w:val="20"/>
                <w:highlight w:val="none"/>
              </w:rPr>
            </w:pPr>
            <w:r>
              <w:rPr>
                <w:rFonts w:hint="default" w:ascii="Times New Roman" w:hAnsi="Times New Roman" w:cs="Times New Roman"/>
                <w:color w:val="auto"/>
                <w:kern w:val="0"/>
                <w:sz w:val="20"/>
                <w:szCs w:val="20"/>
                <w:highlight w:val="none"/>
              </w:rPr>
              <w:t>评价单元</w:t>
            </w:r>
          </w:p>
        </w:tc>
        <w:tc>
          <w:tcPr>
            <w:tcW w:w="1307" w:type="dxa"/>
            <w:vMerge w:val="restart"/>
            <w:vAlign w:val="center"/>
          </w:tcPr>
          <w:p w14:paraId="081954C9">
            <w:pPr>
              <w:jc w:val="center"/>
              <w:rPr>
                <w:rFonts w:hint="default" w:ascii="Times New Roman" w:hAnsi="Times New Roman" w:cs="Times New Roman"/>
                <w:color w:val="auto"/>
                <w:kern w:val="0"/>
                <w:sz w:val="20"/>
                <w:szCs w:val="20"/>
                <w:highlight w:val="none"/>
              </w:rPr>
            </w:pPr>
            <w:r>
              <w:rPr>
                <w:rFonts w:hint="default" w:ascii="Times New Roman" w:hAnsi="Times New Roman" w:cs="Times New Roman"/>
                <w:color w:val="auto"/>
                <w:kern w:val="0"/>
                <w:sz w:val="20"/>
                <w:szCs w:val="20"/>
                <w:highlight w:val="none"/>
              </w:rPr>
              <w:t>面积（h</w:t>
            </w:r>
            <w:r>
              <w:rPr>
                <w:rFonts w:hint="default" w:ascii="Times New Roman" w:hAnsi="Times New Roman" w:cs="Times New Roman"/>
                <w:color w:val="auto"/>
                <w:kern w:val="0"/>
                <w:sz w:val="20"/>
                <w:szCs w:val="20"/>
                <w:highlight w:val="none"/>
                <w:lang w:eastAsia="zh-CN"/>
              </w:rPr>
              <w:t>m</w:t>
            </w:r>
            <w:r>
              <w:rPr>
                <w:rFonts w:hint="default" w:ascii="Times New Roman" w:hAnsi="Times New Roman" w:cs="Times New Roman"/>
                <w:color w:val="auto"/>
                <w:kern w:val="0"/>
                <w:sz w:val="20"/>
                <w:szCs w:val="20"/>
                <w:highlight w:val="none"/>
                <w:vertAlign w:val="superscript"/>
                <w:lang w:eastAsia="zh-CN"/>
              </w:rPr>
              <w:t>2</w:t>
            </w:r>
            <w:r>
              <w:rPr>
                <w:rFonts w:hint="default" w:ascii="Times New Roman" w:hAnsi="Times New Roman" w:cs="Times New Roman"/>
                <w:color w:val="auto"/>
                <w:kern w:val="0"/>
                <w:sz w:val="20"/>
                <w:szCs w:val="20"/>
                <w:highlight w:val="none"/>
              </w:rPr>
              <w:t>）</w:t>
            </w:r>
          </w:p>
        </w:tc>
        <w:tc>
          <w:tcPr>
            <w:tcW w:w="2042" w:type="dxa"/>
            <w:gridSpan w:val="3"/>
            <w:vAlign w:val="center"/>
          </w:tcPr>
          <w:p w14:paraId="20B974D3">
            <w:pPr>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适宜性</w:t>
            </w:r>
          </w:p>
        </w:tc>
        <w:tc>
          <w:tcPr>
            <w:tcW w:w="3161" w:type="dxa"/>
            <w:vMerge w:val="restart"/>
            <w:vAlign w:val="center"/>
          </w:tcPr>
          <w:p w14:paraId="4343A2DB">
            <w:pPr>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限制因子</w:t>
            </w:r>
          </w:p>
        </w:tc>
      </w:tr>
      <w:tr w14:paraId="1F650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622" w:type="dxa"/>
            <w:vMerge w:val="continue"/>
            <w:vAlign w:val="center"/>
          </w:tcPr>
          <w:p w14:paraId="4E23D087">
            <w:pPr>
              <w:jc w:val="center"/>
              <w:rPr>
                <w:rFonts w:hint="default" w:ascii="Times New Roman" w:hAnsi="Times New Roman" w:cs="Times New Roman"/>
                <w:color w:val="auto"/>
                <w:kern w:val="0"/>
                <w:sz w:val="20"/>
                <w:szCs w:val="20"/>
                <w:highlight w:val="none"/>
              </w:rPr>
            </w:pPr>
          </w:p>
        </w:tc>
        <w:tc>
          <w:tcPr>
            <w:tcW w:w="1933" w:type="dxa"/>
            <w:gridSpan w:val="2"/>
            <w:vMerge w:val="continue"/>
            <w:vAlign w:val="center"/>
          </w:tcPr>
          <w:p w14:paraId="7ADCF1FE">
            <w:pPr>
              <w:jc w:val="center"/>
              <w:rPr>
                <w:rFonts w:hint="default" w:ascii="Times New Roman" w:hAnsi="Times New Roman" w:cs="Times New Roman"/>
                <w:color w:val="auto"/>
                <w:kern w:val="0"/>
                <w:sz w:val="20"/>
                <w:szCs w:val="20"/>
                <w:highlight w:val="none"/>
              </w:rPr>
            </w:pPr>
          </w:p>
        </w:tc>
        <w:tc>
          <w:tcPr>
            <w:tcW w:w="1307" w:type="dxa"/>
            <w:vMerge w:val="continue"/>
            <w:vAlign w:val="center"/>
          </w:tcPr>
          <w:p w14:paraId="744C8788">
            <w:pPr>
              <w:jc w:val="center"/>
              <w:rPr>
                <w:rFonts w:hint="default" w:ascii="Times New Roman" w:hAnsi="Times New Roman" w:cs="Times New Roman"/>
                <w:color w:val="auto"/>
                <w:kern w:val="0"/>
                <w:sz w:val="20"/>
                <w:szCs w:val="20"/>
                <w:highlight w:val="none"/>
              </w:rPr>
            </w:pPr>
          </w:p>
        </w:tc>
        <w:tc>
          <w:tcPr>
            <w:tcW w:w="730" w:type="dxa"/>
            <w:vAlign w:val="center"/>
          </w:tcPr>
          <w:p w14:paraId="6BEE76E3">
            <w:pPr>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宜耕</w:t>
            </w:r>
          </w:p>
        </w:tc>
        <w:tc>
          <w:tcPr>
            <w:tcW w:w="730" w:type="dxa"/>
            <w:vAlign w:val="center"/>
          </w:tcPr>
          <w:p w14:paraId="40995950">
            <w:pPr>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宜林</w:t>
            </w:r>
          </w:p>
        </w:tc>
        <w:tc>
          <w:tcPr>
            <w:tcW w:w="582" w:type="dxa"/>
            <w:vAlign w:val="center"/>
          </w:tcPr>
          <w:p w14:paraId="0620F02A">
            <w:pPr>
              <w:ind w:left="-139" w:leftChars="-66" w:right="-107" w:rightChars="-51"/>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宜草</w:t>
            </w:r>
          </w:p>
        </w:tc>
        <w:tc>
          <w:tcPr>
            <w:tcW w:w="3161" w:type="dxa"/>
            <w:vMerge w:val="continue"/>
            <w:vAlign w:val="center"/>
          </w:tcPr>
          <w:p w14:paraId="772B712B">
            <w:pPr>
              <w:jc w:val="center"/>
              <w:rPr>
                <w:rFonts w:hint="default" w:ascii="Times New Roman" w:hAnsi="Times New Roman" w:cs="Times New Roman"/>
                <w:color w:val="auto"/>
                <w:sz w:val="20"/>
                <w:szCs w:val="20"/>
                <w:highlight w:val="none"/>
              </w:rPr>
            </w:pPr>
          </w:p>
        </w:tc>
      </w:tr>
      <w:tr w14:paraId="139D7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vAlign w:val="center"/>
          </w:tcPr>
          <w:p w14:paraId="6E577E03">
            <w:pPr>
              <w:jc w:val="center"/>
              <w:rPr>
                <w:rFonts w:hint="default" w:ascii="Times New Roman" w:hAnsi="Times New Roman" w:cs="Times New Roman"/>
                <w:color w:val="auto"/>
                <w:kern w:val="0"/>
                <w:sz w:val="20"/>
                <w:szCs w:val="20"/>
                <w:highlight w:val="none"/>
              </w:rPr>
            </w:pPr>
            <w:r>
              <w:rPr>
                <w:rFonts w:hint="default" w:ascii="Times New Roman" w:hAnsi="Times New Roman" w:eastAsia="宋体" w:cs="Times New Roman"/>
                <w:color w:val="auto"/>
                <w:kern w:val="0"/>
                <w:sz w:val="21"/>
                <w:szCs w:val="21"/>
                <w:highlight w:val="none"/>
              </w:rPr>
              <w:t>1</w:t>
            </w:r>
          </w:p>
        </w:tc>
        <w:tc>
          <w:tcPr>
            <w:tcW w:w="898" w:type="dxa"/>
            <w:vMerge w:val="restart"/>
            <w:vAlign w:val="center"/>
          </w:tcPr>
          <w:p w14:paraId="78FADE92">
            <w:pPr>
              <w:jc w:val="center"/>
              <w:textAlignment w:val="center"/>
              <w:rPr>
                <w:rFonts w:hint="default" w:ascii="Times New Roman" w:hAnsi="Times New Roman" w:cs="Times New Roman"/>
                <w:color w:val="auto"/>
                <w:kern w:val="0"/>
                <w:sz w:val="20"/>
                <w:szCs w:val="20"/>
                <w:highlight w:val="none"/>
              </w:rPr>
            </w:pPr>
            <w:r>
              <w:rPr>
                <w:rFonts w:hint="eastAsia"/>
                <w:color w:val="auto"/>
                <w:kern w:val="0"/>
                <w:szCs w:val="21"/>
                <w:highlight w:val="none"/>
                <w:lang w:bidi="ar"/>
              </w:rPr>
              <w:t>露天采场</w:t>
            </w:r>
          </w:p>
        </w:tc>
        <w:tc>
          <w:tcPr>
            <w:tcW w:w="1035" w:type="dxa"/>
            <w:vAlign w:val="center"/>
          </w:tcPr>
          <w:p w14:paraId="79F8FA35">
            <w:pPr>
              <w:jc w:val="center"/>
              <w:textAlignment w:val="center"/>
              <w:rPr>
                <w:rFonts w:hint="default" w:ascii="Times New Roman" w:hAnsi="Times New Roman" w:cs="Times New Roman"/>
                <w:color w:val="auto"/>
                <w:kern w:val="0"/>
                <w:sz w:val="20"/>
                <w:szCs w:val="20"/>
                <w:highlight w:val="none"/>
              </w:rPr>
            </w:pPr>
            <w:r>
              <w:rPr>
                <w:rFonts w:hint="eastAsia"/>
                <w:color w:val="auto"/>
                <w:kern w:val="0"/>
                <w:szCs w:val="21"/>
                <w:highlight w:val="none"/>
                <w:lang w:val="en-US" w:eastAsia="zh-CN" w:bidi="ar"/>
              </w:rPr>
              <w:t>坑底</w:t>
            </w:r>
          </w:p>
        </w:tc>
        <w:tc>
          <w:tcPr>
            <w:tcW w:w="1307" w:type="dxa"/>
            <w:vAlign w:val="center"/>
          </w:tcPr>
          <w:p w14:paraId="61FFF308">
            <w:pPr>
              <w:keepNext w:val="0"/>
              <w:keepLines w:val="0"/>
              <w:widowControl/>
              <w:suppressLineNumbers w:val="0"/>
              <w:jc w:val="center"/>
              <w:textAlignment w:val="center"/>
              <w:rPr>
                <w:rFonts w:hint="default" w:ascii="Times New Roman" w:hAnsi="Times New Roman" w:cs="Times New Roman"/>
                <w:color w:val="auto"/>
                <w:kern w:val="0"/>
                <w:sz w:val="20"/>
                <w:szCs w:val="20"/>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1.3845 </w:t>
            </w:r>
          </w:p>
        </w:tc>
        <w:tc>
          <w:tcPr>
            <w:tcW w:w="730" w:type="dxa"/>
            <w:vAlign w:val="center"/>
          </w:tcPr>
          <w:p w14:paraId="4255B183">
            <w:pPr>
              <w:jc w:val="center"/>
              <w:rPr>
                <w:rFonts w:hint="default" w:ascii="Times New Roman" w:hAnsi="Times New Roman" w:eastAsia="宋体" w:cs="Times New Roman"/>
                <w:color w:val="auto"/>
                <w:sz w:val="20"/>
                <w:szCs w:val="20"/>
                <w:highlight w:val="none"/>
                <w:lang w:eastAsia="zh-CN"/>
              </w:rPr>
            </w:pPr>
            <w:r>
              <w:rPr>
                <w:rFonts w:hint="default" w:ascii="Times New Roman" w:hAnsi="Times New Roman" w:cs="Times New Roman"/>
                <w:color w:val="auto"/>
                <w:sz w:val="20"/>
                <w:szCs w:val="20"/>
                <w:highlight w:val="none"/>
                <w:lang w:val="en-US" w:eastAsia="zh-CN"/>
              </w:rPr>
              <w:t>3</w:t>
            </w:r>
          </w:p>
        </w:tc>
        <w:tc>
          <w:tcPr>
            <w:tcW w:w="730" w:type="dxa"/>
            <w:vAlign w:val="center"/>
          </w:tcPr>
          <w:p w14:paraId="060824A6">
            <w:pPr>
              <w:jc w:val="center"/>
              <w:rPr>
                <w:rFonts w:hint="default" w:ascii="Times New Roman" w:hAnsi="Times New Roman" w:eastAsia="宋体" w:cs="Times New Roman"/>
                <w:color w:val="auto"/>
                <w:sz w:val="20"/>
                <w:szCs w:val="20"/>
                <w:highlight w:val="none"/>
                <w:lang w:eastAsia="zh-CN"/>
              </w:rPr>
            </w:pPr>
            <w:r>
              <w:rPr>
                <w:rFonts w:hint="default" w:ascii="Times New Roman" w:hAnsi="Times New Roman" w:cs="Times New Roman"/>
                <w:color w:val="auto"/>
                <w:sz w:val="20"/>
                <w:szCs w:val="20"/>
                <w:highlight w:val="none"/>
                <w:lang w:val="en-US" w:eastAsia="zh-CN"/>
              </w:rPr>
              <w:t>2</w:t>
            </w:r>
          </w:p>
        </w:tc>
        <w:tc>
          <w:tcPr>
            <w:tcW w:w="582" w:type="dxa"/>
            <w:vAlign w:val="center"/>
          </w:tcPr>
          <w:p w14:paraId="71ED112F">
            <w:pPr>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1</w:t>
            </w:r>
          </w:p>
        </w:tc>
        <w:tc>
          <w:tcPr>
            <w:tcW w:w="3161" w:type="dxa"/>
            <w:vAlign w:val="center"/>
          </w:tcPr>
          <w:p w14:paraId="4AA50227">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有效土层厚度、坡度、</w:t>
            </w:r>
            <w:r>
              <w:rPr>
                <w:rFonts w:hint="default" w:ascii="Times New Roman" w:hAnsi="Times New Roman" w:cs="Times New Roman"/>
                <w:color w:val="auto"/>
                <w:szCs w:val="21"/>
                <w:highlight w:val="none"/>
              </w:rPr>
              <w:t>土壤质地</w:t>
            </w:r>
          </w:p>
        </w:tc>
      </w:tr>
      <w:tr w14:paraId="5ECA3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vAlign w:val="center"/>
          </w:tcPr>
          <w:p w14:paraId="14BA679D">
            <w:pPr>
              <w:jc w:val="center"/>
              <w:rPr>
                <w:rFonts w:hint="default" w:ascii="Times New Roman" w:hAnsi="Times New Roman" w:cs="Times New Roman"/>
                <w:color w:val="auto"/>
                <w:kern w:val="0"/>
                <w:sz w:val="20"/>
                <w:szCs w:val="20"/>
                <w:highlight w:val="none"/>
              </w:rPr>
            </w:pPr>
            <w:r>
              <w:rPr>
                <w:rFonts w:hint="default" w:ascii="Times New Roman" w:hAnsi="Times New Roman" w:eastAsia="宋体" w:cs="Times New Roman"/>
                <w:color w:val="auto"/>
                <w:kern w:val="0"/>
                <w:sz w:val="21"/>
                <w:szCs w:val="21"/>
                <w:highlight w:val="none"/>
              </w:rPr>
              <w:t>2</w:t>
            </w:r>
          </w:p>
        </w:tc>
        <w:tc>
          <w:tcPr>
            <w:tcW w:w="898" w:type="dxa"/>
            <w:vMerge w:val="continue"/>
            <w:vAlign w:val="center"/>
          </w:tcPr>
          <w:p w14:paraId="72FE33F2">
            <w:pPr>
              <w:jc w:val="center"/>
              <w:textAlignment w:val="center"/>
              <w:rPr>
                <w:rFonts w:hint="default" w:ascii="Times New Roman" w:hAnsi="Times New Roman" w:cs="Times New Roman"/>
                <w:color w:val="auto"/>
                <w:kern w:val="0"/>
                <w:sz w:val="20"/>
                <w:szCs w:val="20"/>
                <w:highlight w:val="none"/>
              </w:rPr>
            </w:pPr>
          </w:p>
        </w:tc>
        <w:tc>
          <w:tcPr>
            <w:tcW w:w="1035" w:type="dxa"/>
            <w:vAlign w:val="center"/>
          </w:tcPr>
          <w:p w14:paraId="3CCA7E8E">
            <w:pPr>
              <w:jc w:val="center"/>
              <w:textAlignment w:val="center"/>
              <w:rPr>
                <w:rFonts w:hint="default" w:ascii="Times New Roman" w:hAnsi="Times New Roman" w:cs="Times New Roman"/>
                <w:color w:val="auto"/>
                <w:kern w:val="0"/>
                <w:sz w:val="20"/>
                <w:szCs w:val="20"/>
                <w:highlight w:val="none"/>
              </w:rPr>
            </w:pPr>
            <w:r>
              <w:rPr>
                <w:rFonts w:hint="eastAsia"/>
                <w:color w:val="auto"/>
                <w:kern w:val="0"/>
                <w:szCs w:val="21"/>
                <w:highlight w:val="none"/>
                <w:lang w:bidi="ar"/>
              </w:rPr>
              <w:t>平台</w:t>
            </w:r>
          </w:p>
        </w:tc>
        <w:tc>
          <w:tcPr>
            <w:tcW w:w="1307" w:type="dxa"/>
            <w:vAlign w:val="center"/>
          </w:tcPr>
          <w:p w14:paraId="676D0AA3">
            <w:pPr>
              <w:keepNext w:val="0"/>
              <w:keepLines w:val="0"/>
              <w:widowControl/>
              <w:suppressLineNumbers w:val="0"/>
              <w:jc w:val="center"/>
              <w:textAlignment w:val="center"/>
              <w:rPr>
                <w:rFonts w:hint="default" w:ascii="Times New Roman" w:hAnsi="Times New Roman" w:cs="Times New Roman"/>
                <w:color w:val="auto"/>
                <w:kern w:val="0"/>
                <w:sz w:val="20"/>
                <w:szCs w:val="20"/>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0.2876 </w:t>
            </w:r>
          </w:p>
        </w:tc>
        <w:tc>
          <w:tcPr>
            <w:tcW w:w="730" w:type="dxa"/>
            <w:vAlign w:val="center"/>
          </w:tcPr>
          <w:p w14:paraId="3F07907C">
            <w:pPr>
              <w:jc w:val="center"/>
              <w:rPr>
                <w:rFonts w:hint="default" w:ascii="Times New Roman" w:hAnsi="Times New Roman" w:cs="Times New Roman"/>
                <w:color w:val="auto"/>
                <w:sz w:val="20"/>
                <w:szCs w:val="20"/>
                <w:highlight w:val="none"/>
              </w:rPr>
            </w:pPr>
            <w:r>
              <w:rPr>
                <w:rFonts w:hint="eastAsia" w:cs="Times New Roman"/>
                <w:color w:val="auto"/>
                <w:sz w:val="20"/>
                <w:szCs w:val="20"/>
                <w:highlight w:val="none"/>
                <w:lang w:val="en-US" w:eastAsia="zh-CN"/>
              </w:rPr>
              <w:t>3</w:t>
            </w:r>
          </w:p>
        </w:tc>
        <w:tc>
          <w:tcPr>
            <w:tcW w:w="730" w:type="dxa"/>
            <w:vAlign w:val="center"/>
          </w:tcPr>
          <w:p w14:paraId="3A05A7B2">
            <w:pPr>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lang w:val="en-US" w:eastAsia="zh-CN"/>
              </w:rPr>
              <w:t>2</w:t>
            </w:r>
          </w:p>
        </w:tc>
        <w:tc>
          <w:tcPr>
            <w:tcW w:w="582" w:type="dxa"/>
            <w:vAlign w:val="center"/>
          </w:tcPr>
          <w:p w14:paraId="251C5B71">
            <w:pPr>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1</w:t>
            </w:r>
          </w:p>
        </w:tc>
        <w:tc>
          <w:tcPr>
            <w:tcW w:w="3161" w:type="dxa"/>
            <w:vAlign w:val="center"/>
          </w:tcPr>
          <w:p w14:paraId="63487A29">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有效土层厚度、坡度、</w:t>
            </w:r>
            <w:r>
              <w:rPr>
                <w:rFonts w:hint="default" w:ascii="Times New Roman" w:hAnsi="Times New Roman" w:cs="Times New Roman"/>
                <w:color w:val="auto"/>
                <w:szCs w:val="21"/>
                <w:highlight w:val="none"/>
              </w:rPr>
              <w:t>土壤质地</w:t>
            </w:r>
          </w:p>
        </w:tc>
      </w:tr>
      <w:tr w14:paraId="6ACC9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vAlign w:val="center"/>
          </w:tcPr>
          <w:p w14:paraId="39C2E4E9">
            <w:pPr>
              <w:jc w:val="center"/>
              <w:rPr>
                <w:rFonts w:hint="default" w:ascii="Times New Roman" w:hAnsi="Times New Roman" w:cs="Times New Roman"/>
                <w:color w:val="auto"/>
                <w:kern w:val="0"/>
                <w:sz w:val="20"/>
                <w:szCs w:val="20"/>
                <w:highlight w:val="none"/>
              </w:rPr>
            </w:pPr>
            <w:r>
              <w:rPr>
                <w:rFonts w:hint="default" w:ascii="Times New Roman" w:hAnsi="Times New Roman" w:eastAsia="宋体" w:cs="Times New Roman"/>
                <w:color w:val="auto"/>
                <w:kern w:val="0"/>
                <w:sz w:val="21"/>
                <w:szCs w:val="21"/>
                <w:highlight w:val="none"/>
              </w:rPr>
              <w:t>3</w:t>
            </w:r>
          </w:p>
        </w:tc>
        <w:tc>
          <w:tcPr>
            <w:tcW w:w="898" w:type="dxa"/>
            <w:vMerge w:val="continue"/>
            <w:vAlign w:val="center"/>
          </w:tcPr>
          <w:p w14:paraId="62C9E204">
            <w:pPr>
              <w:jc w:val="center"/>
              <w:textAlignment w:val="center"/>
              <w:rPr>
                <w:rFonts w:hint="default" w:ascii="Times New Roman" w:hAnsi="Times New Roman" w:cs="Times New Roman"/>
                <w:color w:val="auto"/>
                <w:kern w:val="0"/>
                <w:sz w:val="20"/>
                <w:szCs w:val="20"/>
                <w:highlight w:val="none"/>
              </w:rPr>
            </w:pPr>
          </w:p>
        </w:tc>
        <w:tc>
          <w:tcPr>
            <w:tcW w:w="1035" w:type="dxa"/>
            <w:vAlign w:val="center"/>
          </w:tcPr>
          <w:p w14:paraId="095E58BE">
            <w:pPr>
              <w:jc w:val="center"/>
              <w:textAlignment w:val="center"/>
              <w:rPr>
                <w:rFonts w:hint="default" w:ascii="Times New Roman" w:hAnsi="Times New Roman" w:cs="Times New Roman"/>
                <w:color w:val="auto"/>
                <w:kern w:val="0"/>
                <w:sz w:val="20"/>
                <w:szCs w:val="20"/>
                <w:highlight w:val="none"/>
              </w:rPr>
            </w:pPr>
            <w:r>
              <w:rPr>
                <w:rFonts w:hint="eastAsia"/>
                <w:color w:val="auto"/>
                <w:kern w:val="0"/>
                <w:szCs w:val="21"/>
                <w:highlight w:val="none"/>
                <w:lang w:bidi="ar"/>
              </w:rPr>
              <w:t>边坡</w:t>
            </w:r>
          </w:p>
        </w:tc>
        <w:tc>
          <w:tcPr>
            <w:tcW w:w="1307" w:type="dxa"/>
            <w:vAlign w:val="center"/>
          </w:tcPr>
          <w:p w14:paraId="449B35DF">
            <w:pPr>
              <w:keepNext w:val="0"/>
              <w:keepLines w:val="0"/>
              <w:widowControl/>
              <w:suppressLineNumbers w:val="0"/>
              <w:jc w:val="center"/>
              <w:textAlignment w:val="center"/>
              <w:rPr>
                <w:rFonts w:hint="default" w:ascii="Times New Roman" w:hAnsi="Times New Roman" w:cs="Times New Roman"/>
                <w:color w:val="auto"/>
                <w:kern w:val="0"/>
                <w:sz w:val="20"/>
                <w:szCs w:val="20"/>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0.8679 </w:t>
            </w:r>
          </w:p>
        </w:tc>
        <w:tc>
          <w:tcPr>
            <w:tcW w:w="730" w:type="dxa"/>
            <w:vAlign w:val="center"/>
          </w:tcPr>
          <w:p w14:paraId="3049301A">
            <w:pPr>
              <w:jc w:val="center"/>
              <w:rPr>
                <w:rFonts w:hint="default" w:ascii="Times New Roman" w:hAnsi="Times New Roman" w:cs="Times New Roman"/>
                <w:color w:val="auto"/>
                <w:sz w:val="20"/>
                <w:szCs w:val="20"/>
                <w:highlight w:val="none"/>
              </w:rPr>
            </w:pPr>
            <w:r>
              <w:rPr>
                <w:rFonts w:hint="eastAsia" w:cs="Times New Roman"/>
                <w:color w:val="auto"/>
                <w:sz w:val="20"/>
                <w:szCs w:val="20"/>
                <w:highlight w:val="none"/>
                <w:lang w:val="en-US" w:eastAsia="zh-CN"/>
              </w:rPr>
              <w:t>4</w:t>
            </w:r>
          </w:p>
        </w:tc>
        <w:tc>
          <w:tcPr>
            <w:tcW w:w="730" w:type="dxa"/>
            <w:vAlign w:val="center"/>
          </w:tcPr>
          <w:p w14:paraId="57A3F808">
            <w:pPr>
              <w:jc w:val="center"/>
              <w:rPr>
                <w:rFonts w:hint="default" w:ascii="Times New Roman" w:hAnsi="Times New Roman" w:cs="Times New Roman"/>
                <w:color w:val="auto"/>
                <w:sz w:val="20"/>
                <w:szCs w:val="20"/>
                <w:highlight w:val="none"/>
              </w:rPr>
            </w:pPr>
            <w:r>
              <w:rPr>
                <w:rFonts w:hint="eastAsia" w:cs="Times New Roman"/>
                <w:color w:val="auto"/>
                <w:sz w:val="20"/>
                <w:szCs w:val="20"/>
                <w:highlight w:val="none"/>
                <w:lang w:val="en-US" w:eastAsia="zh-CN"/>
              </w:rPr>
              <w:t>3</w:t>
            </w:r>
          </w:p>
        </w:tc>
        <w:tc>
          <w:tcPr>
            <w:tcW w:w="582" w:type="dxa"/>
            <w:vAlign w:val="center"/>
          </w:tcPr>
          <w:p w14:paraId="66A92E56">
            <w:pPr>
              <w:jc w:val="center"/>
              <w:rPr>
                <w:rFonts w:hint="eastAsia" w:ascii="Times New Roman" w:hAnsi="Times New Roman" w:eastAsia="宋体" w:cs="Times New Roman"/>
                <w:color w:val="auto"/>
                <w:sz w:val="20"/>
                <w:szCs w:val="20"/>
                <w:highlight w:val="none"/>
                <w:lang w:eastAsia="zh-CN"/>
              </w:rPr>
            </w:pPr>
            <w:r>
              <w:rPr>
                <w:rFonts w:hint="eastAsia" w:cs="Times New Roman"/>
                <w:color w:val="auto"/>
                <w:sz w:val="20"/>
                <w:szCs w:val="20"/>
                <w:highlight w:val="none"/>
                <w:lang w:val="en-US" w:eastAsia="zh-CN"/>
              </w:rPr>
              <w:t>3</w:t>
            </w:r>
          </w:p>
        </w:tc>
        <w:tc>
          <w:tcPr>
            <w:tcW w:w="3161" w:type="dxa"/>
            <w:vAlign w:val="center"/>
          </w:tcPr>
          <w:p w14:paraId="69CC39FC">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有效土层厚度、坡度、</w:t>
            </w:r>
            <w:r>
              <w:rPr>
                <w:rFonts w:hint="default" w:ascii="Times New Roman" w:hAnsi="Times New Roman" w:cs="Times New Roman"/>
                <w:color w:val="auto"/>
                <w:szCs w:val="21"/>
                <w:highlight w:val="none"/>
              </w:rPr>
              <w:t>土壤质地</w:t>
            </w:r>
          </w:p>
        </w:tc>
      </w:tr>
      <w:tr w14:paraId="0670D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vAlign w:val="center"/>
          </w:tcPr>
          <w:p w14:paraId="0547FAF5">
            <w:pPr>
              <w:jc w:val="center"/>
              <w:rPr>
                <w:rFonts w:hint="default" w:ascii="Times New Roman" w:hAnsi="Times New Roman" w:cs="Times New Roman"/>
                <w:color w:val="auto"/>
                <w:kern w:val="0"/>
                <w:sz w:val="20"/>
                <w:szCs w:val="20"/>
                <w:highlight w:val="none"/>
              </w:rPr>
            </w:pPr>
            <w:r>
              <w:rPr>
                <w:rFonts w:hint="default" w:ascii="Times New Roman" w:hAnsi="Times New Roman" w:eastAsia="宋体" w:cs="Times New Roman"/>
                <w:color w:val="auto"/>
                <w:kern w:val="0"/>
                <w:sz w:val="21"/>
                <w:szCs w:val="21"/>
                <w:highlight w:val="none"/>
              </w:rPr>
              <w:t>4</w:t>
            </w:r>
          </w:p>
        </w:tc>
        <w:tc>
          <w:tcPr>
            <w:tcW w:w="1933" w:type="dxa"/>
            <w:gridSpan w:val="2"/>
            <w:vAlign w:val="center"/>
          </w:tcPr>
          <w:p w14:paraId="53C6A63C">
            <w:pPr>
              <w:keepNext w:val="0"/>
              <w:keepLines w:val="0"/>
              <w:widowControl/>
              <w:suppressLineNumbers w:val="0"/>
              <w:jc w:val="center"/>
              <w:textAlignment w:val="center"/>
              <w:rPr>
                <w:rFonts w:hint="default" w:ascii="Times New Roman" w:hAnsi="Times New Roman" w:cs="Times New Roman"/>
                <w:color w:val="auto"/>
                <w:kern w:val="0"/>
                <w:sz w:val="20"/>
                <w:szCs w:val="20"/>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工业广场</w:t>
            </w:r>
          </w:p>
        </w:tc>
        <w:tc>
          <w:tcPr>
            <w:tcW w:w="1307" w:type="dxa"/>
            <w:vAlign w:val="center"/>
          </w:tcPr>
          <w:p w14:paraId="69DD0A15">
            <w:pPr>
              <w:keepNext w:val="0"/>
              <w:keepLines w:val="0"/>
              <w:widowControl/>
              <w:suppressLineNumbers w:val="0"/>
              <w:jc w:val="center"/>
              <w:textAlignment w:val="center"/>
              <w:rPr>
                <w:rFonts w:hint="default" w:ascii="Times New Roman" w:hAnsi="Times New Roman" w:cs="Times New Roman"/>
                <w:color w:val="auto"/>
                <w:kern w:val="0"/>
                <w:sz w:val="20"/>
                <w:szCs w:val="20"/>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0.6845 </w:t>
            </w:r>
          </w:p>
        </w:tc>
        <w:tc>
          <w:tcPr>
            <w:tcW w:w="730" w:type="dxa"/>
            <w:vAlign w:val="center"/>
          </w:tcPr>
          <w:p w14:paraId="3547A5B0">
            <w:pPr>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lang w:val="en-US" w:eastAsia="zh-CN"/>
              </w:rPr>
              <w:t>3</w:t>
            </w:r>
          </w:p>
        </w:tc>
        <w:tc>
          <w:tcPr>
            <w:tcW w:w="730" w:type="dxa"/>
            <w:vAlign w:val="center"/>
          </w:tcPr>
          <w:p w14:paraId="61224BDB">
            <w:pPr>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lang w:val="en-US" w:eastAsia="zh-CN"/>
              </w:rPr>
              <w:t>2</w:t>
            </w:r>
          </w:p>
        </w:tc>
        <w:tc>
          <w:tcPr>
            <w:tcW w:w="582" w:type="dxa"/>
            <w:vAlign w:val="center"/>
          </w:tcPr>
          <w:p w14:paraId="674A916C">
            <w:pPr>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1</w:t>
            </w:r>
          </w:p>
        </w:tc>
        <w:tc>
          <w:tcPr>
            <w:tcW w:w="3161" w:type="dxa"/>
            <w:vAlign w:val="center"/>
          </w:tcPr>
          <w:p w14:paraId="533C4FAF">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有效土层厚度、坡度、</w:t>
            </w:r>
            <w:r>
              <w:rPr>
                <w:rFonts w:hint="default" w:ascii="Times New Roman" w:hAnsi="Times New Roman" w:cs="Times New Roman"/>
                <w:color w:val="auto"/>
                <w:szCs w:val="21"/>
                <w:highlight w:val="none"/>
              </w:rPr>
              <w:t>土壤质地</w:t>
            </w:r>
          </w:p>
        </w:tc>
      </w:tr>
      <w:tr w14:paraId="023D4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vAlign w:val="center"/>
          </w:tcPr>
          <w:p w14:paraId="6AA747E8">
            <w:pPr>
              <w:jc w:val="center"/>
              <w:rPr>
                <w:rFonts w:hint="default" w:ascii="Times New Roman" w:hAnsi="Times New Roman" w:cs="Times New Roman"/>
                <w:color w:val="auto"/>
                <w:kern w:val="0"/>
                <w:sz w:val="20"/>
                <w:szCs w:val="20"/>
                <w:highlight w:val="none"/>
              </w:rPr>
            </w:pPr>
            <w:r>
              <w:rPr>
                <w:rFonts w:hint="default" w:ascii="Times New Roman" w:hAnsi="Times New Roman" w:eastAsia="宋体" w:cs="Times New Roman"/>
                <w:color w:val="auto"/>
                <w:kern w:val="0"/>
                <w:sz w:val="21"/>
                <w:szCs w:val="21"/>
                <w:highlight w:val="none"/>
                <w:lang w:val="en-US" w:eastAsia="zh-CN"/>
              </w:rPr>
              <w:t>5</w:t>
            </w:r>
          </w:p>
        </w:tc>
        <w:tc>
          <w:tcPr>
            <w:tcW w:w="1933" w:type="dxa"/>
            <w:gridSpan w:val="2"/>
            <w:vAlign w:val="center"/>
          </w:tcPr>
          <w:p w14:paraId="2D0ED9CA">
            <w:pPr>
              <w:keepNext w:val="0"/>
              <w:keepLines w:val="0"/>
              <w:widowControl/>
              <w:suppressLineNumbers w:val="0"/>
              <w:jc w:val="center"/>
              <w:textAlignment w:val="center"/>
              <w:rPr>
                <w:rFonts w:hint="default" w:ascii="Times New Roman" w:hAnsi="Times New Roman" w:cs="Times New Roman"/>
                <w:color w:val="auto"/>
                <w:kern w:val="0"/>
                <w:sz w:val="20"/>
                <w:szCs w:val="20"/>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办公生活区</w:t>
            </w:r>
          </w:p>
        </w:tc>
        <w:tc>
          <w:tcPr>
            <w:tcW w:w="1307" w:type="dxa"/>
            <w:vAlign w:val="center"/>
          </w:tcPr>
          <w:p w14:paraId="7ACB1BAE">
            <w:pPr>
              <w:keepNext w:val="0"/>
              <w:keepLines w:val="0"/>
              <w:widowControl/>
              <w:suppressLineNumbers w:val="0"/>
              <w:jc w:val="center"/>
              <w:textAlignment w:val="center"/>
              <w:rPr>
                <w:rFonts w:hint="default" w:ascii="Times New Roman" w:hAnsi="Times New Roman" w:cs="Times New Roman"/>
                <w:color w:val="auto"/>
                <w:kern w:val="0"/>
                <w:sz w:val="20"/>
                <w:szCs w:val="20"/>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0.2605 </w:t>
            </w:r>
          </w:p>
        </w:tc>
        <w:tc>
          <w:tcPr>
            <w:tcW w:w="730" w:type="dxa"/>
            <w:vAlign w:val="center"/>
          </w:tcPr>
          <w:p w14:paraId="75AE742E">
            <w:pPr>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lang w:val="en-US" w:eastAsia="zh-CN"/>
              </w:rPr>
              <w:t>3</w:t>
            </w:r>
          </w:p>
        </w:tc>
        <w:tc>
          <w:tcPr>
            <w:tcW w:w="730" w:type="dxa"/>
            <w:vAlign w:val="center"/>
          </w:tcPr>
          <w:p w14:paraId="2D764018">
            <w:pPr>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lang w:val="en-US" w:eastAsia="zh-CN"/>
              </w:rPr>
              <w:t>2</w:t>
            </w:r>
          </w:p>
        </w:tc>
        <w:tc>
          <w:tcPr>
            <w:tcW w:w="582" w:type="dxa"/>
            <w:vAlign w:val="center"/>
          </w:tcPr>
          <w:p w14:paraId="0FF0F70A">
            <w:pPr>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1</w:t>
            </w:r>
          </w:p>
        </w:tc>
        <w:tc>
          <w:tcPr>
            <w:tcW w:w="3161" w:type="dxa"/>
            <w:vAlign w:val="center"/>
          </w:tcPr>
          <w:p w14:paraId="7F3C9B29">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有效土层厚度、坡度、</w:t>
            </w:r>
            <w:r>
              <w:rPr>
                <w:rFonts w:hint="default" w:ascii="Times New Roman" w:hAnsi="Times New Roman" w:cs="Times New Roman"/>
                <w:color w:val="auto"/>
                <w:szCs w:val="21"/>
                <w:highlight w:val="none"/>
              </w:rPr>
              <w:t>土壤质地</w:t>
            </w:r>
          </w:p>
        </w:tc>
      </w:tr>
      <w:tr w14:paraId="4CB07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vAlign w:val="center"/>
          </w:tcPr>
          <w:p w14:paraId="2A0AAFF7">
            <w:pPr>
              <w:jc w:val="center"/>
              <w:rPr>
                <w:rFonts w:hint="default" w:ascii="Times New Roman" w:hAnsi="Times New Roman" w:cs="Times New Roman"/>
                <w:color w:val="auto"/>
                <w:kern w:val="0"/>
                <w:sz w:val="20"/>
                <w:szCs w:val="20"/>
                <w:highlight w:val="none"/>
              </w:rPr>
            </w:pPr>
            <w:r>
              <w:rPr>
                <w:rFonts w:hint="default" w:ascii="Times New Roman" w:hAnsi="Times New Roman" w:eastAsia="宋体" w:cs="Times New Roman"/>
                <w:color w:val="auto"/>
                <w:kern w:val="0"/>
                <w:sz w:val="21"/>
                <w:szCs w:val="21"/>
                <w:highlight w:val="none"/>
                <w:lang w:val="en-US" w:eastAsia="zh-CN"/>
              </w:rPr>
              <w:t>6</w:t>
            </w:r>
          </w:p>
        </w:tc>
        <w:tc>
          <w:tcPr>
            <w:tcW w:w="1933" w:type="dxa"/>
            <w:gridSpan w:val="2"/>
            <w:vAlign w:val="center"/>
          </w:tcPr>
          <w:p w14:paraId="3045C48F">
            <w:pPr>
              <w:keepNext w:val="0"/>
              <w:keepLines w:val="0"/>
              <w:widowControl/>
              <w:suppressLineNumbers w:val="0"/>
              <w:jc w:val="center"/>
              <w:textAlignment w:val="center"/>
              <w:rPr>
                <w:rFonts w:hint="default" w:ascii="Times New Roman" w:hAnsi="Times New Roman" w:cs="Times New Roman"/>
                <w:color w:val="auto"/>
                <w:kern w:val="0"/>
                <w:sz w:val="20"/>
                <w:szCs w:val="20"/>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原有办公室及临时堆料场</w:t>
            </w:r>
          </w:p>
        </w:tc>
        <w:tc>
          <w:tcPr>
            <w:tcW w:w="1307" w:type="dxa"/>
            <w:vAlign w:val="center"/>
          </w:tcPr>
          <w:p w14:paraId="678AD2F2">
            <w:pPr>
              <w:keepNext w:val="0"/>
              <w:keepLines w:val="0"/>
              <w:widowControl/>
              <w:suppressLineNumbers w:val="0"/>
              <w:jc w:val="center"/>
              <w:textAlignment w:val="center"/>
              <w:rPr>
                <w:rFonts w:hint="default" w:ascii="Times New Roman" w:hAnsi="Times New Roman" w:cs="Times New Roman"/>
                <w:color w:val="auto"/>
                <w:kern w:val="0"/>
                <w:sz w:val="20"/>
                <w:szCs w:val="20"/>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0.1178 </w:t>
            </w:r>
          </w:p>
        </w:tc>
        <w:tc>
          <w:tcPr>
            <w:tcW w:w="730" w:type="dxa"/>
            <w:vAlign w:val="center"/>
          </w:tcPr>
          <w:p w14:paraId="3159BA2B">
            <w:pPr>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lang w:val="en-US" w:eastAsia="zh-CN"/>
              </w:rPr>
              <w:t>3</w:t>
            </w:r>
          </w:p>
        </w:tc>
        <w:tc>
          <w:tcPr>
            <w:tcW w:w="730" w:type="dxa"/>
            <w:vAlign w:val="center"/>
          </w:tcPr>
          <w:p w14:paraId="02D95D47">
            <w:pPr>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lang w:val="en-US" w:eastAsia="zh-CN"/>
              </w:rPr>
              <w:t>2</w:t>
            </w:r>
          </w:p>
        </w:tc>
        <w:tc>
          <w:tcPr>
            <w:tcW w:w="582" w:type="dxa"/>
            <w:vAlign w:val="center"/>
          </w:tcPr>
          <w:p w14:paraId="2739E944">
            <w:pPr>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1</w:t>
            </w:r>
          </w:p>
        </w:tc>
        <w:tc>
          <w:tcPr>
            <w:tcW w:w="3161" w:type="dxa"/>
            <w:vAlign w:val="center"/>
          </w:tcPr>
          <w:p w14:paraId="4D298DF1">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有效土层厚度、坡度、</w:t>
            </w:r>
            <w:r>
              <w:rPr>
                <w:rFonts w:hint="default" w:ascii="Times New Roman" w:hAnsi="Times New Roman" w:cs="Times New Roman"/>
                <w:color w:val="auto"/>
                <w:szCs w:val="21"/>
                <w:highlight w:val="none"/>
              </w:rPr>
              <w:t>土壤质地</w:t>
            </w:r>
          </w:p>
        </w:tc>
      </w:tr>
      <w:tr w14:paraId="76410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vAlign w:val="center"/>
          </w:tcPr>
          <w:p w14:paraId="7DF78231">
            <w:pPr>
              <w:jc w:val="center"/>
              <w:rPr>
                <w:rFonts w:hint="default" w:ascii="Times New Roman" w:hAnsi="Times New Roman" w:cs="Times New Roman"/>
                <w:color w:val="auto"/>
                <w:kern w:val="0"/>
                <w:sz w:val="20"/>
                <w:szCs w:val="20"/>
                <w:highlight w:val="none"/>
              </w:rPr>
            </w:pPr>
            <w:r>
              <w:rPr>
                <w:rFonts w:hint="default" w:ascii="Times New Roman" w:hAnsi="Times New Roman" w:eastAsia="宋体" w:cs="Times New Roman"/>
                <w:color w:val="auto"/>
                <w:kern w:val="0"/>
                <w:sz w:val="21"/>
                <w:szCs w:val="21"/>
                <w:highlight w:val="none"/>
                <w:lang w:val="en-US" w:eastAsia="zh-CN"/>
              </w:rPr>
              <w:t>7</w:t>
            </w:r>
          </w:p>
        </w:tc>
        <w:tc>
          <w:tcPr>
            <w:tcW w:w="1933" w:type="dxa"/>
            <w:gridSpan w:val="2"/>
            <w:vAlign w:val="center"/>
          </w:tcPr>
          <w:p w14:paraId="1CF311E9">
            <w:pPr>
              <w:keepNext w:val="0"/>
              <w:keepLines w:val="0"/>
              <w:widowControl/>
              <w:suppressLineNumbers w:val="0"/>
              <w:jc w:val="center"/>
              <w:textAlignment w:val="center"/>
              <w:rPr>
                <w:rFonts w:hint="default" w:ascii="Times New Roman" w:hAnsi="Times New Roman" w:cs="Times New Roman"/>
                <w:color w:val="auto"/>
                <w:kern w:val="0"/>
                <w:sz w:val="20"/>
                <w:szCs w:val="20"/>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矿山道路</w:t>
            </w:r>
          </w:p>
        </w:tc>
        <w:tc>
          <w:tcPr>
            <w:tcW w:w="1307" w:type="dxa"/>
            <w:vAlign w:val="center"/>
          </w:tcPr>
          <w:p w14:paraId="644A42EC">
            <w:pPr>
              <w:keepNext w:val="0"/>
              <w:keepLines w:val="0"/>
              <w:widowControl/>
              <w:suppressLineNumbers w:val="0"/>
              <w:jc w:val="center"/>
              <w:textAlignment w:val="center"/>
              <w:rPr>
                <w:rFonts w:hint="default" w:ascii="Times New Roman" w:hAnsi="Times New Roman" w:cs="Times New Roman"/>
                <w:color w:val="auto"/>
                <w:kern w:val="0"/>
                <w:sz w:val="20"/>
                <w:szCs w:val="20"/>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0.1624 </w:t>
            </w:r>
          </w:p>
        </w:tc>
        <w:tc>
          <w:tcPr>
            <w:tcW w:w="730" w:type="dxa"/>
            <w:vAlign w:val="center"/>
          </w:tcPr>
          <w:p w14:paraId="703A2DCE">
            <w:pPr>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lang w:val="en-US" w:eastAsia="zh-CN"/>
              </w:rPr>
              <w:t>3</w:t>
            </w:r>
          </w:p>
        </w:tc>
        <w:tc>
          <w:tcPr>
            <w:tcW w:w="730" w:type="dxa"/>
            <w:vAlign w:val="center"/>
          </w:tcPr>
          <w:p w14:paraId="4A58FE42">
            <w:pPr>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lang w:val="en-US" w:eastAsia="zh-CN"/>
              </w:rPr>
              <w:t>2</w:t>
            </w:r>
          </w:p>
        </w:tc>
        <w:tc>
          <w:tcPr>
            <w:tcW w:w="582" w:type="dxa"/>
            <w:vAlign w:val="center"/>
          </w:tcPr>
          <w:p w14:paraId="781F01AD">
            <w:pPr>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1</w:t>
            </w:r>
          </w:p>
        </w:tc>
        <w:tc>
          <w:tcPr>
            <w:tcW w:w="3161" w:type="dxa"/>
            <w:vAlign w:val="center"/>
          </w:tcPr>
          <w:p w14:paraId="6DD92CB5">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有效土层厚度、坡度、</w:t>
            </w:r>
            <w:r>
              <w:rPr>
                <w:rFonts w:hint="default" w:ascii="Times New Roman" w:hAnsi="Times New Roman" w:cs="Times New Roman"/>
                <w:color w:val="auto"/>
                <w:szCs w:val="21"/>
                <w:highlight w:val="none"/>
              </w:rPr>
              <w:t>土壤质地</w:t>
            </w:r>
          </w:p>
        </w:tc>
      </w:tr>
      <w:tr w14:paraId="5C5A2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vAlign w:val="center"/>
          </w:tcPr>
          <w:p w14:paraId="56173EE8">
            <w:pPr>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8</w:t>
            </w:r>
          </w:p>
        </w:tc>
        <w:tc>
          <w:tcPr>
            <w:tcW w:w="1933" w:type="dxa"/>
            <w:gridSpan w:val="2"/>
            <w:vAlign w:val="center"/>
          </w:tcPr>
          <w:p w14:paraId="63BCFF69">
            <w:pPr>
              <w:keepNext w:val="0"/>
              <w:keepLines w:val="0"/>
              <w:widowControl/>
              <w:suppressLineNumbers w:val="0"/>
              <w:jc w:val="center"/>
              <w:textAlignment w:val="center"/>
              <w:rPr>
                <w:rFonts w:hint="default" w:ascii="Times New Roman" w:hAnsi="Times New Roman" w:cs="Times New Roman"/>
                <w:color w:val="auto"/>
                <w:kern w:val="0"/>
                <w:sz w:val="20"/>
                <w:szCs w:val="20"/>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表土堆场</w:t>
            </w:r>
          </w:p>
        </w:tc>
        <w:tc>
          <w:tcPr>
            <w:tcW w:w="1307" w:type="dxa"/>
            <w:vAlign w:val="center"/>
          </w:tcPr>
          <w:p w14:paraId="5CF5F741">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0.3093 </w:t>
            </w:r>
          </w:p>
        </w:tc>
        <w:tc>
          <w:tcPr>
            <w:tcW w:w="730" w:type="dxa"/>
            <w:vAlign w:val="center"/>
          </w:tcPr>
          <w:p w14:paraId="0F42202A">
            <w:pPr>
              <w:jc w:val="center"/>
              <w:rPr>
                <w:rFonts w:hint="default" w:ascii="Times New Roman" w:hAnsi="Times New Roman" w:cs="Times New Roman"/>
                <w:color w:val="auto"/>
                <w:sz w:val="20"/>
                <w:szCs w:val="20"/>
                <w:highlight w:val="none"/>
                <w:lang w:val="en-US" w:eastAsia="zh-CN"/>
              </w:rPr>
            </w:pPr>
            <w:r>
              <w:rPr>
                <w:rFonts w:hint="default" w:ascii="Times New Roman" w:hAnsi="Times New Roman" w:cs="Times New Roman"/>
                <w:color w:val="auto"/>
                <w:sz w:val="20"/>
                <w:szCs w:val="20"/>
                <w:highlight w:val="none"/>
                <w:lang w:val="en-US" w:eastAsia="zh-CN"/>
              </w:rPr>
              <w:t>3</w:t>
            </w:r>
          </w:p>
        </w:tc>
        <w:tc>
          <w:tcPr>
            <w:tcW w:w="730" w:type="dxa"/>
            <w:vAlign w:val="center"/>
          </w:tcPr>
          <w:p w14:paraId="2B07B7AB">
            <w:pPr>
              <w:jc w:val="center"/>
              <w:rPr>
                <w:rFonts w:hint="default" w:ascii="Times New Roman" w:hAnsi="Times New Roman" w:cs="Times New Roman"/>
                <w:color w:val="auto"/>
                <w:sz w:val="20"/>
                <w:szCs w:val="20"/>
                <w:highlight w:val="none"/>
                <w:lang w:val="en-US" w:eastAsia="zh-CN"/>
              </w:rPr>
            </w:pPr>
            <w:r>
              <w:rPr>
                <w:rFonts w:hint="default" w:ascii="Times New Roman" w:hAnsi="Times New Roman" w:cs="Times New Roman"/>
                <w:color w:val="auto"/>
                <w:sz w:val="20"/>
                <w:szCs w:val="20"/>
                <w:highlight w:val="none"/>
                <w:lang w:val="en-US" w:eastAsia="zh-CN"/>
              </w:rPr>
              <w:t>2</w:t>
            </w:r>
          </w:p>
        </w:tc>
        <w:tc>
          <w:tcPr>
            <w:tcW w:w="582" w:type="dxa"/>
            <w:vAlign w:val="center"/>
          </w:tcPr>
          <w:p w14:paraId="768D4257">
            <w:pPr>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1</w:t>
            </w:r>
          </w:p>
        </w:tc>
        <w:tc>
          <w:tcPr>
            <w:tcW w:w="3161" w:type="dxa"/>
            <w:vAlign w:val="center"/>
          </w:tcPr>
          <w:p w14:paraId="5ACF49F8">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有效土层厚度、坡度、</w:t>
            </w:r>
            <w:r>
              <w:rPr>
                <w:rFonts w:hint="default" w:ascii="Times New Roman" w:hAnsi="Times New Roman" w:cs="Times New Roman"/>
                <w:color w:val="auto"/>
                <w:szCs w:val="21"/>
                <w:highlight w:val="none"/>
              </w:rPr>
              <w:t>土壤质地</w:t>
            </w:r>
          </w:p>
        </w:tc>
      </w:tr>
      <w:tr w14:paraId="510AB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555" w:type="dxa"/>
            <w:gridSpan w:val="3"/>
            <w:vAlign w:val="center"/>
          </w:tcPr>
          <w:p w14:paraId="6D2822B7">
            <w:pPr>
              <w:jc w:val="center"/>
              <w:rPr>
                <w:rFonts w:hint="default" w:ascii="Times New Roman" w:hAnsi="Times New Roman" w:cs="Times New Roman"/>
                <w:color w:val="auto"/>
                <w:kern w:val="0"/>
                <w:sz w:val="20"/>
                <w:szCs w:val="20"/>
                <w:highlight w:val="none"/>
              </w:rPr>
            </w:pPr>
            <w:r>
              <w:rPr>
                <w:rFonts w:hint="default" w:ascii="Times New Roman" w:hAnsi="Times New Roman" w:eastAsia="宋体" w:cs="Times New Roman"/>
                <w:color w:val="auto"/>
                <w:kern w:val="0"/>
                <w:sz w:val="21"/>
                <w:szCs w:val="21"/>
                <w:highlight w:val="none"/>
              </w:rPr>
              <w:t>合计</w:t>
            </w:r>
          </w:p>
        </w:tc>
        <w:tc>
          <w:tcPr>
            <w:tcW w:w="1307" w:type="dxa"/>
            <w:vAlign w:val="center"/>
          </w:tcPr>
          <w:p w14:paraId="67B2CBCA">
            <w:pPr>
              <w:keepNext w:val="0"/>
              <w:keepLines w:val="0"/>
              <w:widowControl/>
              <w:suppressLineNumbers w:val="0"/>
              <w:jc w:val="center"/>
              <w:textAlignment w:val="center"/>
              <w:rPr>
                <w:rFonts w:hint="default" w:ascii="Times New Roman" w:hAnsi="Times New Roman" w:cs="Times New Roman"/>
                <w:color w:val="auto"/>
                <w:kern w:val="0"/>
                <w:sz w:val="20"/>
                <w:szCs w:val="20"/>
                <w:highlight w:val="none"/>
                <w:lang w:val="en-US"/>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4.0745 </w:t>
            </w:r>
          </w:p>
        </w:tc>
        <w:tc>
          <w:tcPr>
            <w:tcW w:w="730" w:type="dxa"/>
            <w:vAlign w:val="center"/>
          </w:tcPr>
          <w:p w14:paraId="75A2EDE8">
            <w:pPr>
              <w:jc w:val="center"/>
              <w:rPr>
                <w:rFonts w:hint="default" w:ascii="Times New Roman" w:hAnsi="Times New Roman" w:cs="Times New Roman"/>
                <w:color w:val="auto"/>
                <w:sz w:val="20"/>
                <w:szCs w:val="20"/>
                <w:highlight w:val="none"/>
              </w:rPr>
            </w:pPr>
          </w:p>
        </w:tc>
        <w:tc>
          <w:tcPr>
            <w:tcW w:w="730" w:type="dxa"/>
            <w:vAlign w:val="center"/>
          </w:tcPr>
          <w:p w14:paraId="4E7D4BB9">
            <w:pPr>
              <w:jc w:val="center"/>
              <w:rPr>
                <w:rFonts w:hint="default" w:ascii="Times New Roman" w:hAnsi="Times New Roman" w:cs="Times New Roman"/>
                <w:color w:val="auto"/>
                <w:sz w:val="20"/>
                <w:szCs w:val="20"/>
                <w:highlight w:val="none"/>
              </w:rPr>
            </w:pPr>
          </w:p>
        </w:tc>
        <w:tc>
          <w:tcPr>
            <w:tcW w:w="582" w:type="dxa"/>
            <w:vAlign w:val="center"/>
          </w:tcPr>
          <w:p w14:paraId="73FEAFB7">
            <w:pPr>
              <w:jc w:val="center"/>
              <w:rPr>
                <w:rFonts w:hint="default" w:ascii="Times New Roman" w:hAnsi="Times New Roman" w:cs="Times New Roman"/>
                <w:color w:val="auto"/>
                <w:sz w:val="20"/>
                <w:szCs w:val="20"/>
                <w:highlight w:val="none"/>
              </w:rPr>
            </w:pPr>
          </w:p>
        </w:tc>
        <w:tc>
          <w:tcPr>
            <w:tcW w:w="3161" w:type="dxa"/>
            <w:vAlign w:val="center"/>
          </w:tcPr>
          <w:p w14:paraId="4BE8E3B2">
            <w:pPr>
              <w:jc w:val="center"/>
              <w:rPr>
                <w:rFonts w:hint="default" w:ascii="Times New Roman" w:hAnsi="Times New Roman" w:cs="Times New Roman"/>
                <w:color w:val="auto"/>
                <w:sz w:val="20"/>
                <w:szCs w:val="20"/>
                <w:highlight w:val="none"/>
              </w:rPr>
            </w:pPr>
          </w:p>
        </w:tc>
      </w:tr>
    </w:tbl>
    <w:p w14:paraId="295258DF">
      <w:pPr>
        <w:keepNext w:val="0"/>
        <w:keepLines w:val="0"/>
        <w:pageBreakBefore w:val="0"/>
        <w:widowControl/>
        <w:kinsoku/>
        <w:wordWrap/>
        <w:overflowPunct/>
        <w:topLinePunct w:val="0"/>
        <w:autoSpaceDE/>
        <w:autoSpaceDN/>
        <w:bidi w:val="0"/>
        <w:adjustRightInd/>
        <w:snapToGrid/>
        <w:spacing w:before="157" w:beforeLines="50" w:line="360" w:lineRule="auto"/>
        <w:ind w:firstLine="482" w:firstLineChars="200"/>
        <w:textAlignment w:val="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9、确定最终复垦方向和划分复垦单元</w:t>
      </w:r>
    </w:p>
    <w:p w14:paraId="44BAE6B7">
      <w:pPr>
        <w:pStyle w:val="156"/>
        <w:tabs>
          <w:tab w:val="left" w:pos="3600"/>
        </w:tabs>
        <w:rPr>
          <w:rFonts w:hint="default" w:ascii="Times New Roman" w:hAnsi="Times New Roman" w:eastAsia="宋体" w:cs="Times New Roman"/>
          <w:bCs/>
          <w:color w:val="auto"/>
          <w:highlight w:val="none"/>
        </w:rPr>
      </w:pPr>
      <w:r>
        <w:rPr>
          <w:rFonts w:hint="default" w:ascii="Times New Roman" w:hAnsi="Times New Roman" w:eastAsia="宋体" w:cs="Times New Roman"/>
          <w:color w:val="auto"/>
          <w:highlight w:val="none"/>
        </w:rPr>
        <w:t>依据适宜性等级评定结果，结合现场调查，综合考虑</w:t>
      </w:r>
      <w:r>
        <w:rPr>
          <w:rFonts w:hint="default" w:ascii="Times New Roman" w:hAnsi="Times New Roman" w:eastAsia="宋体" w:cs="Times New Roman"/>
          <w:color w:val="auto"/>
          <w:highlight w:val="none"/>
          <w:lang w:val="en-US" w:eastAsia="zh-CN"/>
        </w:rPr>
        <w:t>当地国土空间</w:t>
      </w:r>
      <w:r>
        <w:rPr>
          <w:rFonts w:hint="default" w:ascii="Times New Roman" w:hAnsi="Times New Roman" w:eastAsia="宋体" w:cs="Times New Roman"/>
          <w:color w:val="auto"/>
          <w:highlight w:val="none"/>
        </w:rPr>
        <w:t>总体规划、复垦区土地权属人及当地村民的意见，并分析当地自然条件、社会条件和工程施工难易程度等情况，确定各区土地</w:t>
      </w:r>
      <w:r>
        <w:rPr>
          <w:rFonts w:hint="default" w:ascii="Times New Roman" w:hAnsi="Times New Roman" w:eastAsia="宋体" w:cs="Times New Roman"/>
          <w:bCs/>
          <w:color w:val="auto"/>
          <w:highlight w:val="none"/>
        </w:rPr>
        <w:t xml:space="preserve">复垦方向以及复垦土地面积。 </w:t>
      </w:r>
    </w:p>
    <w:p w14:paraId="4A56223E">
      <w:pPr>
        <w:pStyle w:val="156"/>
        <w:tabs>
          <w:tab w:val="left" w:pos="3600"/>
        </w:tabs>
        <w:rPr>
          <w:rFonts w:hint="default" w:ascii="Times New Roman" w:hAnsi="Times New Roman" w:eastAsia="宋体" w:cs="Times New Roman"/>
          <w:color w:val="auto"/>
          <w:highlight w:val="none"/>
        </w:rPr>
      </w:pPr>
      <w:r>
        <w:rPr>
          <w:rFonts w:hint="default" w:ascii="Times New Roman" w:hAnsi="Times New Roman" w:eastAsia="宋体" w:cs="Times New Roman"/>
          <w:bCs/>
          <w:color w:val="auto"/>
          <w:highlight w:val="none"/>
        </w:rPr>
        <w:t>土地复垦方向和复垦单元划分见</w:t>
      </w:r>
      <w:r>
        <w:rPr>
          <w:rFonts w:hint="default" w:ascii="Times New Roman" w:hAnsi="Times New Roman" w:eastAsia="宋体" w:cs="Times New Roman"/>
          <w:color w:val="auto"/>
          <w:highlight w:val="none"/>
        </w:rPr>
        <w:t>表4-5。</w:t>
      </w:r>
    </w:p>
    <w:p w14:paraId="61B9A379">
      <w:pPr>
        <w:pStyle w:val="156"/>
        <w:keepNext w:val="0"/>
        <w:keepLines w:val="0"/>
        <w:pageBreakBefore w:val="0"/>
        <w:widowControl w:val="0"/>
        <w:tabs>
          <w:tab w:val="left" w:pos="3600"/>
        </w:tabs>
        <w:kinsoku/>
        <w:wordWrap/>
        <w:overflowPunct/>
        <w:topLinePunct w:val="0"/>
        <w:autoSpaceDE/>
        <w:autoSpaceDN/>
        <w:bidi w:val="0"/>
        <w:adjustRightInd/>
        <w:snapToGrid/>
        <w:ind w:firstLine="0" w:firstLineChars="0"/>
        <w:jc w:val="center"/>
        <w:textAlignment w:val="auto"/>
        <w:rPr>
          <w:rFonts w:hint="default" w:ascii="Times New Roman" w:hAnsi="Times New Roman" w:eastAsia="黑体" w:cs="Times New Roman"/>
          <w:b w:val="0"/>
          <w:bCs/>
          <w:color w:val="auto"/>
          <w:sz w:val="21"/>
          <w:szCs w:val="21"/>
          <w:highlight w:val="none"/>
        </w:rPr>
      </w:pPr>
      <w:r>
        <w:rPr>
          <w:rFonts w:hint="default" w:ascii="Times New Roman" w:hAnsi="Times New Roman" w:eastAsia="黑体" w:cs="Times New Roman"/>
          <w:b w:val="0"/>
          <w:bCs/>
          <w:color w:val="auto"/>
          <w:sz w:val="21"/>
          <w:szCs w:val="21"/>
          <w:highlight w:val="none"/>
        </w:rPr>
        <w:t>表4-5 复垦单元和复垦方向表</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2"/>
        <w:gridCol w:w="789"/>
        <w:gridCol w:w="844"/>
        <w:gridCol w:w="1048"/>
        <w:gridCol w:w="1198"/>
        <w:gridCol w:w="1050"/>
        <w:gridCol w:w="997"/>
        <w:gridCol w:w="2071"/>
      </w:tblGrid>
      <w:tr w14:paraId="47960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6" w:type="pct"/>
            <w:vAlign w:val="center"/>
          </w:tcPr>
          <w:p w14:paraId="550217B5">
            <w:pPr>
              <w:jc w:val="center"/>
              <w:rPr>
                <w:rFonts w:hint="default" w:ascii="Times New Roman" w:hAnsi="Times New Roman" w:cs="Times New Roman"/>
                <w:color w:val="auto"/>
                <w:kern w:val="0"/>
                <w:sz w:val="20"/>
                <w:szCs w:val="20"/>
                <w:highlight w:val="none"/>
              </w:rPr>
            </w:pPr>
            <w:r>
              <w:rPr>
                <w:rFonts w:hint="default" w:ascii="Times New Roman" w:hAnsi="Times New Roman" w:cs="Times New Roman"/>
                <w:color w:val="auto"/>
                <w:kern w:val="0"/>
                <w:sz w:val="20"/>
                <w:szCs w:val="20"/>
                <w:highlight w:val="none"/>
              </w:rPr>
              <w:t>编号</w:t>
            </w:r>
          </w:p>
        </w:tc>
        <w:tc>
          <w:tcPr>
            <w:tcW w:w="958" w:type="pct"/>
            <w:gridSpan w:val="2"/>
            <w:vAlign w:val="center"/>
          </w:tcPr>
          <w:p w14:paraId="1FF805E6">
            <w:pPr>
              <w:jc w:val="center"/>
              <w:rPr>
                <w:rFonts w:hint="default" w:ascii="Times New Roman" w:hAnsi="Times New Roman" w:cs="Times New Roman"/>
                <w:color w:val="auto"/>
                <w:kern w:val="0"/>
                <w:sz w:val="20"/>
                <w:szCs w:val="20"/>
                <w:highlight w:val="none"/>
              </w:rPr>
            </w:pPr>
            <w:r>
              <w:rPr>
                <w:rFonts w:hint="default" w:ascii="Times New Roman" w:hAnsi="Times New Roman" w:cs="Times New Roman"/>
                <w:color w:val="auto"/>
                <w:kern w:val="0"/>
                <w:sz w:val="20"/>
                <w:szCs w:val="20"/>
                <w:highlight w:val="none"/>
              </w:rPr>
              <w:t>评价单元</w:t>
            </w:r>
          </w:p>
        </w:tc>
        <w:tc>
          <w:tcPr>
            <w:tcW w:w="615" w:type="pct"/>
            <w:vAlign w:val="center"/>
          </w:tcPr>
          <w:p w14:paraId="6900FC47">
            <w:pPr>
              <w:jc w:val="center"/>
              <w:rPr>
                <w:rFonts w:hint="default" w:ascii="Times New Roman" w:hAnsi="Times New Roman" w:cs="Times New Roman"/>
                <w:color w:val="auto"/>
                <w:kern w:val="0"/>
                <w:sz w:val="20"/>
                <w:szCs w:val="20"/>
                <w:highlight w:val="none"/>
              </w:rPr>
            </w:pPr>
            <w:r>
              <w:rPr>
                <w:rFonts w:hint="default" w:ascii="Times New Roman" w:hAnsi="Times New Roman" w:cs="Times New Roman"/>
                <w:color w:val="auto"/>
                <w:kern w:val="0"/>
                <w:sz w:val="20"/>
                <w:szCs w:val="20"/>
                <w:highlight w:val="none"/>
              </w:rPr>
              <w:t>评价面积（h</w:t>
            </w:r>
            <w:r>
              <w:rPr>
                <w:rFonts w:hint="default" w:ascii="Times New Roman" w:hAnsi="Times New Roman" w:cs="Times New Roman"/>
                <w:color w:val="auto"/>
                <w:kern w:val="0"/>
                <w:sz w:val="20"/>
                <w:szCs w:val="20"/>
                <w:highlight w:val="none"/>
                <w:lang w:eastAsia="zh-CN"/>
              </w:rPr>
              <w:t>m</w:t>
            </w:r>
            <w:r>
              <w:rPr>
                <w:rFonts w:hint="default" w:ascii="Times New Roman" w:hAnsi="Times New Roman" w:cs="Times New Roman"/>
                <w:color w:val="auto"/>
                <w:kern w:val="0"/>
                <w:sz w:val="20"/>
                <w:szCs w:val="20"/>
                <w:highlight w:val="none"/>
                <w:vertAlign w:val="superscript"/>
                <w:lang w:eastAsia="zh-CN"/>
              </w:rPr>
              <w:t>2</w:t>
            </w:r>
            <w:r>
              <w:rPr>
                <w:rFonts w:hint="default" w:ascii="Times New Roman" w:hAnsi="Times New Roman" w:cs="Times New Roman"/>
                <w:color w:val="auto"/>
                <w:kern w:val="0"/>
                <w:sz w:val="20"/>
                <w:szCs w:val="20"/>
                <w:highlight w:val="none"/>
              </w:rPr>
              <w:t>）</w:t>
            </w:r>
          </w:p>
        </w:tc>
        <w:tc>
          <w:tcPr>
            <w:tcW w:w="703" w:type="pct"/>
            <w:vAlign w:val="center"/>
          </w:tcPr>
          <w:p w14:paraId="429FEBD4">
            <w:pPr>
              <w:jc w:val="center"/>
              <w:rPr>
                <w:rFonts w:hint="default" w:ascii="Times New Roman" w:hAnsi="Times New Roman" w:cs="Times New Roman"/>
                <w:color w:val="auto"/>
                <w:kern w:val="0"/>
                <w:sz w:val="20"/>
                <w:szCs w:val="20"/>
                <w:highlight w:val="none"/>
              </w:rPr>
            </w:pPr>
            <w:r>
              <w:rPr>
                <w:rFonts w:hint="default" w:ascii="Times New Roman" w:hAnsi="Times New Roman" w:cs="Times New Roman"/>
                <w:color w:val="auto"/>
                <w:kern w:val="0"/>
                <w:sz w:val="20"/>
                <w:szCs w:val="20"/>
                <w:highlight w:val="none"/>
              </w:rPr>
              <w:t>原地类</w:t>
            </w:r>
          </w:p>
        </w:tc>
        <w:tc>
          <w:tcPr>
            <w:tcW w:w="616" w:type="pct"/>
            <w:vAlign w:val="center"/>
          </w:tcPr>
          <w:p w14:paraId="6DB16974">
            <w:pPr>
              <w:jc w:val="center"/>
              <w:rPr>
                <w:rFonts w:hint="default" w:ascii="Times New Roman" w:hAnsi="Times New Roman" w:cs="Times New Roman"/>
                <w:color w:val="auto"/>
                <w:kern w:val="0"/>
                <w:sz w:val="20"/>
                <w:szCs w:val="20"/>
                <w:highlight w:val="none"/>
              </w:rPr>
            </w:pPr>
            <w:r>
              <w:rPr>
                <w:rFonts w:hint="default" w:ascii="Times New Roman" w:hAnsi="Times New Roman" w:cs="Times New Roman"/>
                <w:color w:val="auto"/>
                <w:kern w:val="0"/>
                <w:sz w:val="20"/>
                <w:szCs w:val="20"/>
                <w:highlight w:val="none"/>
              </w:rPr>
              <w:t>复垦方向</w:t>
            </w:r>
          </w:p>
        </w:tc>
        <w:tc>
          <w:tcPr>
            <w:tcW w:w="585" w:type="pct"/>
            <w:vAlign w:val="center"/>
          </w:tcPr>
          <w:p w14:paraId="75EE145B">
            <w:pPr>
              <w:jc w:val="center"/>
              <w:rPr>
                <w:rFonts w:hint="default" w:ascii="Times New Roman" w:hAnsi="Times New Roman" w:cs="Times New Roman"/>
                <w:color w:val="auto"/>
                <w:kern w:val="0"/>
                <w:sz w:val="20"/>
                <w:szCs w:val="20"/>
                <w:highlight w:val="none"/>
              </w:rPr>
            </w:pPr>
            <w:r>
              <w:rPr>
                <w:rFonts w:hint="default" w:ascii="Times New Roman" w:hAnsi="Times New Roman" w:cs="Times New Roman"/>
                <w:color w:val="auto"/>
                <w:kern w:val="0"/>
                <w:sz w:val="20"/>
                <w:szCs w:val="20"/>
                <w:highlight w:val="none"/>
              </w:rPr>
              <w:t>复垦面积（h</w:t>
            </w:r>
            <w:r>
              <w:rPr>
                <w:rFonts w:hint="default" w:ascii="Times New Roman" w:hAnsi="Times New Roman" w:cs="Times New Roman"/>
                <w:color w:val="auto"/>
                <w:kern w:val="0"/>
                <w:sz w:val="20"/>
                <w:szCs w:val="20"/>
                <w:highlight w:val="none"/>
                <w:lang w:eastAsia="zh-CN"/>
              </w:rPr>
              <w:t>m</w:t>
            </w:r>
            <w:r>
              <w:rPr>
                <w:rFonts w:hint="default" w:ascii="Times New Roman" w:hAnsi="Times New Roman" w:cs="Times New Roman"/>
                <w:color w:val="auto"/>
                <w:kern w:val="0"/>
                <w:sz w:val="20"/>
                <w:szCs w:val="20"/>
                <w:highlight w:val="none"/>
                <w:vertAlign w:val="superscript"/>
                <w:lang w:eastAsia="zh-CN"/>
              </w:rPr>
              <w:t>2</w:t>
            </w:r>
            <w:r>
              <w:rPr>
                <w:rFonts w:hint="default" w:ascii="Times New Roman" w:hAnsi="Times New Roman" w:cs="Times New Roman"/>
                <w:color w:val="auto"/>
                <w:kern w:val="0"/>
                <w:sz w:val="20"/>
                <w:szCs w:val="20"/>
                <w:highlight w:val="none"/>
              </w:rPr>
              <w:t>）</w:t>
            </w:r>
          </w:p>
        </w:tc>
        <w:tc>
          <w:tcPr>
            <w:tcW w:w="1215" w:type="pct"/>
            <w:vAlign w:val="center"/>
          </w:tcPr>
          <w:p w14:paraId="5B27A08E">
            <w:pPr>
              <w:ind w:left="-139" w:leftChars="-66" w:right="-107" w:rightChars="-51"/>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备注</w:t>
            </w:r>
          </w:p>
        </w:tc>
      </w:tr>
      <w:tr w14:paraId="28E34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06" w:type="pct"/>
            <w:vAlign w:val="center"/>
          </w:tcPr>
          <w:p w14:paraId="2EB61FC9">
            <w:pPr>
              <w:jc w:val="center"/>
              <w:rPr>
                <w:rFonts w:hint="default" w:ascii="Times New Roman" w:hAnsi="Times New Roman" w:cs="Times New Roman"/>
                <w:color w:val="auto"/>
                <w:kern w:val="0"/>
                <w:sz w:val="20"/>
                <w:szCs w:val="20"/>
                <w:highlight w:val="none"/>
              </w:rPr>
            </w:pPr>
            <w:r>
              <w:rPr>
                <w:rFonts w:hint="default" w:ascii="Times New Roman" w:hAnsi="Times New Roman" w:eastAsia="宋体" w:cs="Times New Roman"/>
                <w:color w:val="auto"/>
                <w:kern w:val="0"/>
                <w:sz w:val="21"/>
                <w:szCs w:val="21"/>
                <w:highlight w:val="none"/>
              </w:rPr>
              <w:t>1</w:t>
            </w:r>
          </w:p>
        </w:tc>
        <w:tc>
          <w:tcPr>
            <w:tcW w:w="463" w:type="pct"/>
            <w:vMerge w:val="restart"/>
            <w:vAlign w:val="center"/>
          </w:tcPr>
          <w:p w14:paraId="1B5C9A81">
            <w:pPr>
              <w:jc w:val="center"/>
              <w:textAlignment w:val="center"/>
              <w:rPr>
                <w:rFonts w:hint="default" w:ascii="Times New Roman" w:hAnsi="Times New Roman" w:cs="Times New Roman"/>
                <w:color w:val="auto"/>
                <w:kern w:val="0"/>
                <w:sz w:val="20"/>
                <w:szCs w:val="20"/>
                <w:highlight w:val="none"/>
              </w:rPr>
            </w:pPr>
            <w:r>
              <w:rPr>
                <w:rFonts w:hint="eastAsia"/>
                <w:color w:val="auto"/>
                <w:kern w:val="0"/>
                <w:szCs w:val="21"/>
                <w:highlight w:val="none"/>
                <w:lang w:bidi="ar"/>
              </w:rPr>
              <w:t>露天采场</w:t>
            </w:r>
          </w:p>
        </w:tc>
        <w:tc>
          <w:tcPr>
            <w:tcW w:w="495" w:type="pct"/>
            <w:vAlign w:val="center"/>
          </w:tcPr>
          <w:p w14:paraId="34BAFBB7">
            <w:pPr>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olor w:val="auto"/>
                <w:kern w:val="0"/>
                <w:szCs w:val="21"/>
                <w:highlight w:val="none"/>
                <w:lang w:val="en-US" w:eastAsia="zh-CN" w:bidi="ar"/>
              </w:rPr>
              <w:t>坑底</w:t>
            </w:r>
          </w:p>
        </w:tc>
        <w:tc>
          <w:tcPr>
            <w:tcW w:w="615" w:type="pct"/>
            <w:vAlign w:val="center"/>
          </w:tcPr>
          <w:p w14:paraId="77A51614">
            <w:pPr>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lang w:val="en-US" w:eastAsia="zh-CN"/>
              </w:rPr>
              <w:t xml:space="preserve">1.3845 </w:t>
            </w:r>
          </w:p>
        </w:tc>
        <w:tc>
          <w:tcPr>
            <w:tcW w:w="703" w:type="pct"/>
            <w:vAlign w:val="center"/>
          </w:tcPr>
          <w:p w14:paraId="4A4B5BAF">
            <w:pPr>
              <w:jc w:val="center"/>
              <w:rPr>
                <w:rFonts w:hint="eastAsia" w:ascii="Times New Roman" w:hAnsi="Times New Roman" w:eastAsia="宋体" w:cs="Times New Roman"/>
                <w:color w:val="auto"/>
                <w:sz w:val="20"/>
                <w:szCs w:val="20"/>
                <w:highlight w:val="none"/>
                <w:lang w:eastAsia="zh-CN"/>
              </w:rPr>
            </w:pPr>
            <w:r>
              <w:rPr>
                <w:rFonts w:hint="default" w:ascii="Times New Roman" w:hAnsi="Times New Roman" w:eastAsia="宋体" w:cs="Times New Roman"/>
                <w:color w:val="auto"/>
                <w:sz w:val="20"/>
                <w:szCs w:val="20"/>
                <w:highlight w:val="none"/>
              </w:rPr>
              <w:t>采矿用地</w:t>
            </w:r>
            <w:r>
              <w:rPr>
                <w:rFonts w:hint="eastAsia" w:ascii="Times New Roman" w:hAnsi="Times New Roman" w:eastAsia="宋体" w:cs="Times New Roman"/>
                <w:color w:val="auto"/>
                <w:sz w:val="20"/>
                <w:szCs w:val="20"/>
                <w:highlight w:val="none"/>
                <w:lang w:eastAsia="zh-CN"/>
              </w:rPr>
              <w:t>、</w:t>
            </w:r>
            <w:r>
              <w:rPr>
                <w:rFonts w:hint="default" w:ascii="Times New Roman" w:hAnsi="Times New Roman" w:eastAsia="宋体" w:cs="Times New Roman"/>
                <w:color w:val="auto"/>
                <w:sz w:val="20"/>
                <w:szCs w:val="20"/>
                <w:highlight w:val="none"/>
              </w:rPr>
              <w:t>乔木林地</w:t>
            </w:r>
          </w:p>
        </w:tc>
        <w:tc>
          <w:tcPr>
            <w:tcW w:w="616" w:type="pct"/>
            <w:vAlign w:val="center"/>
          </w:tcPr>
          <w:p w14:paraId="3BFED4DF">
            <w:pPr>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乔木林地</w:t>
            </w:r>
          </w:p>
        </w:tc>
        <w:tc>
          <w:tcPr>
            <w:tcW w:w="585" w:type="pct"/>
            <w:vAlign w:val="center"/>
          </w:tcPr>
          <w:p w14:paraId="27C62024">
            <w:pPr>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lang w:val="en-US" w:eastAsia="zh-CN"/>
              </w:rPr>
              <w:t xml:space="preserve">1.3845 </w:t>
            </w:r>
          </w:p>
        </w:tc>
        <w:tc>
          <w:tcPr>
            <w:tcW w:w="1215" w:type="pct"/>
            <w:vAlign w:val="center"/>
          </w:tcPr>
          <w:p w14:paraId="177501A5">
            <w:pPr>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lang w:val="en-US" w:eastAsia="zh-CN"/>
              </w:rPr>
              <w:t>按周边地类复垦</w:t>
            </w:r>
          </w:p>
        </w:tc>
      </w:tr>
      <w:tr w14:paraId="5EF08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06" w:type="pct"/>
            <w:vAlign w:val="center"/>
          </w:tcPr>
          <w:p w14:paraId="1B93E559">
            <w:pPr>
              <w:jc w:val="center"/>
              <w:rPr>
                <w:rFonts w:hint="default" w:ascii="Times New Roman" w:hAnsi="Times New Roman" w:cs="Times New Roman"/>
                <w:color w:val="auto"/>
                <w:kern w:val="0"/>
                <w:sz w:val="20"/>
                <w:szCs w:val="20"/>
                <w:highlight w:val="none"/>
              </w:rPr>
            </w:pPr>
            <w:r>
              <w:rPr>
                <w:rFonts w:hint="default" w:ascii="Times New Roman" w:hAnsi="Times New Roman" w:eastAsia="宋体" w:cs="Times New Roman"/>
                <w:color w:val="auto"/>
                <w:kern w:val="0"/>
                <w:sz w:val="21"/>
                <w:szCs w:val="21"/>
                <w:highlight w:val="none"/>
              </w:rPr>
              <w:t>2</w:t>
            </w:r>
          </w:p>
        </w:tc>
        <w:tc>
          <w:tcPr>
            <w:tcW w:w="463" w:type="pct"/>
            <w:vMerge w:val="continue"/>
            <w:vAlign w:val="center"/>
          </w:tcPr>
          <w:p w14:paraId="687ED441">
            <w:pPr>
              <w:jc w:val="center"/>
              <w:textAlignment w:val="center"/>
              <w:rPr>
                <w:rFonts w:hint="default" w:ascii="Times New Roman" w:hAnsi="Times New Roman" w:cs="Times New Roman"/>
                <w:color w:val="auto"/>
                <w:kern w:val="0"/>
                <w:sz w:val="20"/>
                <w:szCs w:val="20"/>
                <w:highlight w:val="none"/>
              </w:rPr>
            </w:pPr>
          </w:p>
        </w:tc>
        <w:tc>
          <w:tcPr>
            <w:tcW w:w="495" w:type="pct"/>
            <w:vAlign w:val="center"/>
          </w:tcPr>
          <w:p w14:paraId="5AB5565E">
            <w:pPr>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olor w:val="auto"/>
                <w:kern w:val="0"/>
                <w:szCs w:val="21"/>
                <w:highlight w:val="none"/>
                <w:lang w:bidi="ar"/>
              </w:rPr>
              <w:t>平台</w:t>
            </w:r>
          </w:p>
        </w:tc>
        <w:tc>
          <w:tcPr>
            <w:tcW w:w="615" w:type="pct"/>
            <w:vAlign w:val="center"/>
          </w:tcPr>
          <w:p w14:paraId="751B2D98">
            <w:pPr>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lang w:val="en-US" w:eastAsia="zh-CN"/>
              </w:rPr>
              <w:t xml:space="preserve">0.2876 </w:t>
            </w:r>
          </w:p>
        </w:tc>
        <w:tc>
          <w:tcPr>
            <w:tcW w:w="703" w:type="pct"/>
            <w:vAlign w:val="center"/>
          </w:tcPr>
          <w:p w14:paraId="5709F067">
            <w:pPr>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采矿用地</w:t>
            </w:r>
            <w:r>
              <w:rPr>
                <w:rFonts w:hint="eastAsia" w:ascii="Times New Roman" w:hAnsi="Times New Roman" w:eastAsia="宋体" w:cs="Times New Roman"/>
                <w:color w:val="auto"/>
                <w:sz w:val="20"/>
                <w:szCs w:val="20"/>
                <w:highlight w:val="none"/>
                <w:lang w:eastAsia="zh-CN"/>
              </w:rPr>
              <w:t>、</w:t>
            </w:r>
            <w:r>
              <w:rPr>
                <w:rFonts w:hint="default" w:ascii="Times New Roman" w:hAnsi="Times New Roman" w:eastAsia="宋体" w:cs="Times New Roman"/>
                <w:color w:val="auto"/>
                <w:sz w:val="20"/>
                <w:szCs w:val="20"/>
                <w:highlight w:val="none"/>
              </w:rPr>
              <w:t>乔木林地</w:t>
            </w:r>
          </w:p>
        </w:tc>
        <w:tc>
          <w:tcPr>
            <w:tcW w:w="616" w:type="pct"/>
            <w:vAlign w:val="center"/>
          </w:tcPr>
          <w:p w14:paraId="5905A157">
            <w:pPr>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乔木林地</w:t>
            </w:r>
          </w:p>
        </w:tc>
        <w:tc>
          <w:tcPr>
            <w:tcW w:w="585" w:type="pct"/>
            <w:vAlign w:val="center"/>
          </w:tcPr>
          <w:p w14:paraId="5F6A012C">
            <w:pPr>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lang w:val="en-US" w:eastAsia="zh-CN"/>
              </w:rPr>
              <w:t xml:space="preserve">0.2876 </w:t>
            </w:r>
          </w:p>
        </w:tc>
        <w:tc>
          <w:tcPr>
            <w:tcW w:w="1215" w:type="pct"/>
            <w:vAlign w:val="center"/>
          </w:tcPr>
          <w:p w14:paraId="12B2084C">
            <w:pPr>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lang w:val="en-US" w:eastAsia="zh-CN"/>
              </w:rPr>
              <w:t>按周边地类复垦</w:t>
            </w:r>
          </w:p>
        </w:tc>
      </w:tr>
      <w:tr w14:paraId="3DB9F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06" w:type="pct"/>
            <w:vAlign w:val="center"/>
          </w:tcPr>
          <w:p w14:paraId="1AAD16AB">
            <w:pPr>
              <w:jc w:val="center"/>
              <w:rPr>
                <w:rFonts w:hint="default" w:ascii="Times New Roman" w:hAnsi="Times New Roman" w:cs="Times New Roman"/>
                <w:color w:val="auto"/>
                <w:kern w:val="0"/>
                <w:sz w:val="20"/>
                <w:szCs w:val="20"/>
                <w:highlight w:val="none"/>
              </w:rPr>
            </w:pPr>
            <w:r>
              <w:rPr>
                <w:rFonts w:hint="default" w:ascii="Times New Roman" w:hAnsi="Times New Roman" w:eastAsia="宋体" w:cs="Times New Roman"/>
                <w:color w:val="auto"/>
                <w:kern w:val="0"/>
                <w:sz w:val="21"/>
                <w:szCs w:val="21"/>
                <w:highlight w:val="none"/>
              </w:rPr>
              <w:t>3</w:t>
            </w:r>
          </w:p>
        </w:tc>
        <w:tc>
          <w:tcPr>
            <w:tcW w:w="463" w:type="pct"/>
            <w:vMerge w:val="continue"/>
            <w:vAlign w:val="center"/>
          </w:tcPr>
          <w:p w14:paraId="601449F0">
            <w:pPr>
              <w:jc w:val="center"/>
              <w:textAlignment w:val="center"/>
              <w:rPr>
                <w:rFonts w:hint="default" w:ascii="Times New Roman" w:hAnsi="Times New Roman" w:cs="Times New Roman"/>
                <w:color w:val="auto"/>
                <w:kern w:val="0"/>
                <w:sz w:val="20"/>
                <w:szCs w:val="20"/>
                <w:highlight w:val="none"/>
              </w:rPr>
            </w:pPr>
          </w:p>
        </w:tc>
        <w:tc>
          <w:tcPr>
            <w:tcW w:w="495" w:type="pct"/>
            <w:vAlign w:val="center"/>
          </w:tcPr>
          <w:p w14:paraId="4DC2E4CB">
            <w:pPr>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olor w:val="auto"/>
                <w:kern w:val="0"/>
                <w:szCs w:val="21"/>
                <w:highlight w:val="none"/>
                <w:lang w:bidi="ar"/>
              </w:rPr>
              <w:t>边坡</w:t>
            </w:r>
          </w:p>
        </w:tc>
        <w:tc>
          <w:tcPr>
            <w:tcW w:w="615" w:type="pct"/>
            <w:vAlign w:val="center"/>
          </w:tcPr>
          <w:p w14:paraId="1E66748D">
            <w:pPr>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lang w:val="en-US" w:eastAsia="zh-CN"/>
              </w:rPr>
              <w:t xml:space="preserve">0.8679 </w:t>
            </w:r>
          </w:p>
        </w:tc>
        <w:tc>
          <w:tcPr>
            <w:tcW w:w="703" w:type="pct"/>
            <w:vAlign w:val="center"/>
          </w:tcPr>
          <w:p w14:paraId="79A2729E">
            <w:pPr>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采矿用地</w:t>
            </w:r>
            <w:r>
              <w:rPr>
                <w:rFonts w:hint="eastAsia" w:ascii="Times New Roman" w:hAnsi="Times New Roman" w:eastAsia="宋体" w:cs="Times New Roman"/>
                <w:color w:val="auto"/>
                <w:sz w:val="20"/>
                <w:szCs w:val="20"/>
                <w:highlight w:val="none"/>
                <w:lang w:eastAsia="zh-CN"/>
              </w:rPr>
              <w:t>、</w:t>
            </w:r>
            <w:r>
              <w:rPr>
                <w:rFonts w:hint="default" w:ascii="Times New Roman" w:hAnsi="Times New Roman" w:eastAsia="宋体" w:cs="Times New Roman"/>
                <w:color w:val="auto"/>
                <w:sz w:val="20"/>
                <w:szCs w:val="20"/>
                <w:highlight w:val="none"/>
              </w:rPr>
              <w:t>乔木林地</w:t>
            </w:r>
          </w:p>
        </w:tc>
        <w:tc>
          <w:tcPr>
            <w:tcW w:w="616" w:type="pct"/>
            <w:vAlign w:val="center"/>
          </w:tcPr>
          <w:p w14:paraId="0D640CFE">
            <w:pPr>
              <w:jc w:val="center"/>
              <w:rPr>
                <w:rFonts w:hint="default" w:ascii="Times New Roman" w:hAnsi="Times New Roman" w:eastAsia="宋体" w:cs="Times New Roman"/>
                <w:color w:val="auto"/>
                <w:sz w:val="20"/>
                <w:szCs w:val="20"/>
                <w:highlight w:val="none"/>
                <w:lang w:val="en-US" w:eastAsia="zh-CN"/>
              </w:rPr>
            </w:pPr>
            <w:r>
              <w:rPr>
                <w:rFonts w:hint="eastAsia" w:ascii="Times New Roman" w:hAnsi="Times New Roman" w:eastAsia="宋体" w:cs="Times New Roman"/>
                <w:color w:val="auto"/>
                <w:sz w:val="20"/>
                <w:szCs w:val="20"/>
                <w:highlight w:val="none"/>
                <w:lang w:val="en-US" w:eastAsia="zh-CN"/>
              </w:rPr>
              <w:t>-</w:t>
            </w:r>
          </w:p>
        </w:tc>
        <w:tc>
          <w:tcPr>
            <w:tcW w:w="585" w:type="pct"/>
            <w:vAlign w:val="center"/>
          </w:tcPr>
          <w:p w14:paraId="0D3556EE">
            <w:pPr>
              <w:jc w:val="center"/>
              <w:rPr>
                <w:rFonts w:hint="default" w:ascii="Times New Roman" w:hAnsi="Times New Roman" w:eastAsia="宋体" w:cs="Times New Roman"/>
                <w:color w:val="auto"/>
                <w:sz w:val="20"/>
                <w:szCs w:val="20"/>
                <w:highlight w:val="none"/>
              </w:rPr>
            </w:pPr>
            <w:r>
              <w:rPr>
                <w:rFonts w:hint="eastAsia" w:ascii="Times New Roman" w:hAnsi="Times New Roman" w:eastAsia="宋体" w:cs="Times New Roman"/>
                <w:color w:val="auto"/>
                <w:sz w:val="20"/>
                <w:szCs w:val="20"/>
                <w:highlight w:val="none"/>
                <w:lang w:val="en-US" w:eastAsia="zh-CN"/>
              </w:rPr>
              <w:t>-</w:t>
            </w:r>
            <w:r>
              <w:rPr>
                <w:rFonts w:hint="default" w:ascii="Times New Roman" w:hAnsi="Times New Roman" w:eastAsia="宋体" w:cs="Times New Roman"/>
                <w:color w:val="auto"/>
                <w:sz w:val="20"/>
                <w:szCs w:val="20"/>
                <w:highlight w:val="none"/>
                <w:lang w:val="en-US" w:eastAsia="zh-CN"/>
              </w:rPr>
              <w:t xml:space="preserve"> </w:t>
            </w:r>
          </w:p>
        </w:tc>
        <w:tc>
          <w:tcPr>
            <w:tcW w:w="1215" w:type="pct"/>
            <w:vAlign w:val="center"/>
          </w:tcPr>
          <w:p w14:paraId="26534325">
            <w:pPr>
              <w:jc w:val="center"/>
              <w:rPr>
                <w:rFonts w:hint="default" w:ascii="Times New Roman" w:hAnsi="Times New Roman" w:cs="Times New Roman"/>
                <w:color w:val="auto"/>
                <w:sz w:val="20"/>
                <w:szCs w:val="20"/>
                <w:highlight w:val="none"/>
                <w:lang w:val="en-US"/>
              </w:rPr>
            </w:pPr>
            <w:r>
              <w:rPr>
                <w:rFonts w:hint="eastAsia" w:ascii="宋体" w:hAnsi="宋体" w:cs="宋体"/>
                <w:color w:val="auto"/>
                <w:kern w:val="0"/>
                <w:szCs w:val="21"/>
                <w:highlight w:val="none"/>
                <w:lang w:bidi="ar"/>
              </w:rPr>
              <w:t>边坡无法覆土复垦</w:t>
            </w:r>
          </w:p>
        </w:tc>
      </w:tr>
      <w:tr w14:paraId="1C640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06" w:type="pct"/>
            <w:vAlign w:val="center"/>
          </w:tcPr>
          <w:p w14:paraId="3CA6028C">
            <w:pPr>
              <w:jc w:val="center"/>
              <w:rPr>
                <w:rFonts w:hint="default" w:ascii="Times New Roman" w:hAnsi="Times New Roman" w:cs="Times New Roman"/>
                <w:color w:val="auto"/>
                <w:kern w:val="0"/>
                <w:sz w:val="20"/>
                <w:szCs w:val="20"/>
                <w:highlight w:val="none"/>
              </w:rPr>
            </w:pPr>
            <w:r>
              <w:rPr>
                <w:rFonts w:hint="default" w:ascii="Times New Roman" w:hAnsi="Times New Roman" w:eastAsia="宋体" w:cs="Times New Roman"/>
                <w:color w:val="auto"/>
                <w:kern w:val="0"/>
                <w:sz w:val="21"/>
                <w:szCs w:val="21"/>
                <w:highlight w:val="none"/>
              </w:rPr>
              <w:t>4</w:t>
            </w:r>
          </w:p>
        </w:tc>
        <w:tc>
          <w:tcPr>
            <w:tcW w:w="958" w:type="pct"/>
            <w:gridSpan w:val="2"/>
            <w:vAlign w:val="center"/>
          </w:tcPr>
          <w:p w14:paraId="0E099E1E">
            <w:pPr>
              <w:keepNext w:val="0"/>
              <w:keepLines w:val="0"/>
              <w:widowControl/>
              <w:suppressLineNumbers w:val="0"/>
              <w:jc w:val="center"/>
              <w:textAlignment w:val="center"/>
              <w:rPr>
                <w:rFonts w:hint="default" w:ascii="Times New Roman" w:hAnsi="Times New Roman" w:cs="Times New Roman"/>
                <w:color w:val="auto"/>
                <w:kern w:val="0"/>
                <w:sz w:val="20"/>
                <w:szCs w:val="20"/>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工业广场</w:t>
            </w:r>
          </w:p>
        </w:tc>
        <w:tc>
          <w:tcPr>
            <w:tcW w:w="615" w:type="pct"/>
            <w:vAlign w:val="center"/>
          </w:tcPr>
          <w:p w14:paraId="68ADDC8D">
            <w:pPr>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lang w:val="en-US" w:eastAsia="zh-CN"/>
              </w:rPr>
              <w:t xml:space="preserve">0.6845 </w:t>
            </w:r>
          </w:p>
        </w:tc>
        <w:tc>
          <w:tcPr>
            <w:tcW w:w="703" w:type="pct"/>
            <w:vAlign w:val="center"/>
          </w:tcPr>
          <w:p w14:paraId="0B47CCE4">
            <w:pPr>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采矿用地</w:t>
            </w:r>
          </w:p>
        </w:tc>
        <w:tc>
          <w:tcPr>
            <w:tcW w:w="616" w:type="pct"/>
            <w:vAlign w:val="center"/>
          </w:tcPr>
          <w:p w14:paraId="6CE1E78C">
            <w:pPr>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乔木林地</w:t>
            </w:r>
          </w:p>
        </w:tc>
        <w:tc>
          <w:tcPr>
            <w:tcW w:w="997" w:type="dxa"/>
            <w:vAlign w:val="center"/>
          </w:tcPr>
          <w:p w14:paraId="267F03EC">
            <w:pPr>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lang w:val="en-US" w:eastAsia="zh-CN"/>
              </w:rPr>
              <w:t xml:space="preserve">0.6845 </w:t>
            </w:r>
          </w:p>
        </w:tc>
        <w:tc>
          <w:tcPr>
            <w:tcW w:w="1215" w:type="pct"/>
            <w:vAlign w:val="center"/>
          </w:tcPr>
          <w:p w14:paraId="7C783E12">
            <w:pPr>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lang w:val="en-US" w:eastAsia="zh-CN"/>
              </w:rPr>
              <w:t>按原地类复垦</w:t>
            </w:r>
          </w:p>
        </w:tc>
      </w:tr>
      <w:tr w14:paraId="0102F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06" w:type="pct"/>
            <w:vAlign w:val="center"/>
          </w:tcPr>
          <w:p w14:paraId="722A9534">
            <w:pPr>
              <w:jc w:val="center"/>
              <w:rPr>
                <w:rFonts w:hint="default" w:ascii="Times New Roman" w:hAnsi="Times New Roman" w:cs="Times New Roman"/>
                <w:color w:val="auto"/>
                <w:kern w:val="0"/>
                <w:sz w:val="20"/>
                <w:szCs w:val="20"/>
                <w:highlight w:val="none"/>
              </w:rPr>
            </w:pPr>
            <w:r>
              <w:rPr>
                <w:rFonts w:hint="default" w:ascii="Times New Roman" w:hAnsi="Times New Roman" w:eastAsia="宋体" w:cs="Times New Roman"/>
                <w:color w:val="auto"/>
                <w:kern w:val="0"/>
                <w:sz w:val="21"/>
                <w:szCs w:val="21"/>
                <w:highlight w:val="none"/>
                <w:lang w:val="en-US" w:eastAsia="zh-CN"/>
              </w:rPr>
              <w:t>5</w:t>
            </w:r>
          </w:p>
        </w:tc>
        <w:tc>
          <w:tcPr>
            <w:tcW w:w="958" w:type="pct"/>
            <w:gridSpan w:val="2"/>
            <w:vAlign w:val="center"/>
          </w:tcPr>
          <w:p w14:paraId="4E9A13BD">
            <w:pPr>
              <w:keepNext w:val="0"/>
              <w:keepLines w:val="0"/>
              <w:widowControl/>
              <w:suppressLineNumbers w:val="0"/>
              <w:jc w:val="center"/>
              <w:textAlignment w:val="center"/>
              <w:rPr>
                <w:rFonts w:hint="default" w:ascii="Times New Roman" w:hAnsi="Times New Roman" w:cs="Times New Roman"/>
                <w:color w:val="auto"/>
                <w:kern w:val="0"/>
                <w:sz w:val="20"/>
                <w:szCs w:val="20"/>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办公生活区</w:t>
            </w:r>
          </w:p>
        </w:tc>
        <w:tc>
          <w:tcPr>
            <w:tcW w:w="615" w:type="pct"/>
            <w:vAlign w:val="center"/>
          </w:tcPr>
          <w:p w14:paraId="4B78FF01">
            <w:pPr>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lang w:val="en-US" w:eastAsia="zh-CN"/>
              </w:rPr>
              <w:t xml:space="preserve">0.2605 </w:t>
            </w:r>
          </w:p>
        </w:tc>
        <w:tc>
          <w:tcPr>
            <w:tcW w:w="703" w:type="pct"/>
            <w:vAlign w:val="center"/>
          </w:tcPr>
          <w:p w14:paraId="28243274">
            <w:pPr>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采矿用地</w:t>
            </w:r>
          </w:p>
        </w:tc>
        <w:tc>
          <w:tcPr>
            <w:tcW w:w="616" w:type="pct"/>
            <w:vAlign w:val="center"/>
          </w:tcPr>
          <w:p w14:paraId="547DE2D5">
            <w:pPr>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乔木林地</w:t>
            </w:r>
          </w:p>
        </w:tc>
        <w:tc>
          <w:tcPr>
            <w:tcW w:w="997" w:type="dxa"/>
            <w:vAlign w:val="center"/>
          </w:tcPr>
          <w:p w14:paraId="26F84E3B">
            <w:pPr>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lang w:val="en-US" w:eastAsia="zh-CN"/>
              </w:rPr>
              <w:t xml:space="preserve">0.2605 </w:t>
            </w:r>
          </w:p>
        </w:tc>
        <w:tc>
          <w:tcPr>
            <w:tcW w:w="1215" w:type="pct"/>
            <w:vAlign w:val="center"/>
          </w:tcPr>
          <w:p w14:paraId="792473CD">
            <w:pPr>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lang w:val="en-US" w:eastAsia="zh-CN"/>
              </w:rPr>
              <w:t>按原地类复垦</w:t>
            </w:r>
          </w:p>
        </w:tc>
      </w:tr>
      <w:tr w14:paraId="1783E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06" w:type="pct"/>
            <w:vAlign w:val="center"/>
          </w:tcPr>
          <w:p w14:paraId="61A5D583">
            <w:pPr>
              <w:jc w:val="center"/>
              <w:rPr>
                <w:rFonts w:hint="default" w:ascii="Times New Roman" w:hAnsi="Times New Roman" w:cs="Times New Roman"/>
                <w:color w:val="auto"/>
                <w:kern w:val="0"/>
                <w:sz w:val="20"/>
                <w:szCs w:val="20"/>
                <w:highlight w:val="none"/>
              </w:rPr>
            </w:pPr>
            <w:r>
              <w:rPr>
                <w:rFonts w:hint="default" w:ascii="Times New Roman" w:hAnsi="Times New Roman" w:eastAsia="宋体" w:cs="Times New Roman"/>
                <w:color w:val="auto"/>
                <w:kern w:val="0"/>
                <w:sz w:val="21"/>
                <w:szCs w:val="21"/>
                <w:highlight w:val="none"/>
                <w:lang w:val="en-US" w:eastAsia="zh-CN"/>
              </w:rPr>
              <w:t>6</w:t>
            </w:r>
          </w:p>
        </w:tc>
        <w:tc>
          <w:tcPr>
            <w:tcW w:w="958" w:type="pct"/>
            <w:gridSpan w:val="2"/>
            <w:vAlign w:val="center"/>
          </w:tcPr>
          <w:p w14:paraId="18C79384">
            <w:pPr>
              <w:keepNext w:val="0"/>
              <w:keepLines w:val="0"/>
              <w:widowControl/>
              <w:suppressLineNumbers w:val="0"/>
              <w:jc w:val="center"/>
              <w:textAlignment w:val="center"/>
              <w:rPr>
                <w:rFonts w:hint="default" w:ascii="Times New Roman" w:hAnsi="Times New Roman" w:cs="Times New Roman"/>
                <w:color w:val="auto"/>
                <w:kern w:val="0"/>
                <w:sz w:val="20"/>
                <w:szCs w:val="20"/>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原有办公室及临时堆料场</w:t>
            </w:r>
          </w:p>
        </w:tc>
        <w:tc>
          <w:tcPr>
            <w:tcW w:w="615" w:type="pct"/>
            <w:vAlign w:val="center"/>
          </w:tcPr>
          <w:p w14:paraId="4F873DA9">
            <w:pPr>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lang w:val="en-US" w:eastAsia="zh-CN"/>
              </w:rPr>
              <w:t xml:space="preserve">0.1178 </w:t>
            </w:r>
          </w:p>
        </w:tc>
        <w:tc>
          <w:tcPr>
            <w:tcW w:w="703" w:type="pct"/>
            <w:vAlign w:val="center"/>
          </w:tcPr>
          <w:p w14:paraId="2C903D41">
            <w:pPr>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采矿用地</w:t>
            </w:r>
          </w:p>
        </w:tc>
        <w:tc>
          <w:tcPr>
            <w:tcW w:w="616" w:type="pct"/>
            <w:vAlign w:val="center"/>
          </w:tcPr>
          <w:p w14:paraId="051881FB">
            <w:pPr>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乔木林地</w:t>
            </w:r>
          </w:p>
        </w:tc>
        <w:tc>
          <w:tcPr>
            <w:tcW w:w="997" w:type="dxa"/>
            <w:vAlign w:val="center"/>
          </w:tcPr>
          <w:p w14:paraId="1AE887FE">
            <w:pPr>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lang w:val="en-US" w:eastAsia="zh-CN"/>
              </w:rPr>
              <w:t xml:space="preserve">0.1178 </w:t>
            </w:r>
          </w:p>
        </w:tc>
        <w:tc>
          <w:tcPr>
            <w:tcW w:w="2071" w:type="dxa"/>
            <w:vAlign w:val="center"/>
          </w:tcPr>
          <w:p w14:paraId="2EB88ADB">
            <w:pPr>
              <w:jc w:val="center"/>
              <w:rPr>
                <w:rFonts w:hint="default" w:ascii="Times New Roman" w:hAnsi="Times New Roman" w:eastAsia="宋体" w:cs="Times New Roman"/>
                <w:color w:val="auto"/>
                <w:sz w:val="20"/>
                <w:szCs w:val="20"/>
                <w:highlight w:val="none"/>
                <w:lang w:val="en-US" w:eastAsia="zh-CN"/>
              </w:rPr>
            </w:pPr>
            <w:r>
              <w:rPr>
                <w:rFonts w:hint="default" w:ascii="Times New Roman" w:hAnsi="Times New Roman" w:cs="Times New Roman"/>
                <w:color w:val="auto"/>
                <w:sz w:val="20"/>
                <w:szCs w:val="20"/>
                <w:highlight w:val="none"/>
                <w:lang w:val="en-US" w:eastAsia="zh-CN"/>
              </w:rPr>
              <w:t>按周边地类复垦</w:t>
            </w:r>
          </w:p>
        </w:tc>
      </w:tr>
      <w:tr w14:paraId="7674A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306" w:type="pct"/>
            <w:vAlign w:val="center"/>
          </w:tcPr>
          <w:p w14:paraId="2EB44F6A">
            <w:pPr>
              <w:jc w:val="center"/>
              <w:rPr>
                <w:rFonts w:hint="default" w:ascii="Times New Roman" w:hAnsi="Times New Roman" w:cs="Times New Roman"/>
                <w:color w:val="auto"/>
                <w:kern w:val="0"/>
                <w:sz w:val="20"/>
                <w:szCs w:val="20"/>
                <w:highlight w:val="none"/>
              </w:rPr>
            </w:pPr>
            <w:r>
              <w:rPr>
                <w:rFonts w:hint="default" w:ascii="Times New Roman" w:hAnsi="Times New Roman" w:eastAsia="宋体" w:cs="Times New Roman"/>
                <w:color w:val="auto"/>
                <w:kern w:val="0"/>
                <w:sz w:val="21"/>
                <w:szCs w:val="21"/>
                <w:highlight w:val="none"/>
                <w:lang w:val="en-US" w:eastAsia="zh-CN"/>
              </w:rPr>
              <w:t>7</w:t>
            </w:r>
          </w:p>
        </w:tc>
        <w:tc>
          <w:tcPr>
            <w:tcW w:w="958" w:type="pct"/>
            <w:gridSpan w:val="2"/>
            <w:vAlign w:val="center"/>
          </w:tcPr>
          <w:p w14:paraId="63DCF3F6">
            <w:pPr>
              <w:keepNext w:val="0"/>
              <w:keepLines w:val="0"/>
              <w:widowControl/>
              <w:suppressLineNumbers w:val="0"/>
              <w:jc w:val="center"/>
              <w:textAlignment w:val="center"/>
              <w:rPr>
                <w:rFonts w:hint="default" w:ascii="Times New Roman" w:hAnsi="Times New Roman" w:cs="Times New Roman"/>
                <w:color w:val="auto"/>
                <w:sz w:val="20"/>
                <w:szCs w:val="20"/>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矿山道路</w:t>
            </w:r>
          </w:p>
        </w:tc>
        <w:tc>
          <w:tcPr>
            <w:tcW w:w="615" w:type="pct"/>
            <w:vAlign w:val="center"/>
          </w:tcPr>
          <w:p w14:paraId="22E197E9">
            <w:pPr>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lang w:val="en-US" w:eastAsia="zh-CN"/>
              </w:rPr>
              <w:t xml:space="preserve">0.1624 </w:t>
            </w:r>
          </w:p>
        </w:tc>
        <w:tc>
          <w:tcPr>
            <w:tcW w:w="703" w:type="pct"/>
            <w:vAlign w:val="center"/>
          </w:tcPr>
          <w:p w14:paraId="31134D97">
            <w:pPr>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采矿用地</w:t>
            </w:r>
          </w:p>
        </w:tc>
        <w:tc>
          <w:tcPr>
            <w:tcW w:w="616" w:type="pct"/>
            <w:vAlign w:val="center"/>
          </w:tcPr>
          <w:p w14:paraId="0AEA0BB2">
            <w:pPr>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乔木林地</w:t>
            </w:r>
          </w:p>
        </w:tc>
        <w:tc>
          <w:tcPr>
            <w:tcW w:w="997" w:type="dxa"/>
            <w:vAlign w:val="center"/>
          </w:tcPr>
          <w:p w14:paraId="00CB7F31">
            <w:pPr>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lang w:val="en-US" w:eastAsia="zh-CN"/>
              </w:rPr>
              <w:t xml:space="preserve">0.1624 </w:t>
            </w:r>
          </w:p>
        </w:tc>
        <w:tc>
          <w:tcPr>
            <w:tcW w:w="2071" w:type="dxa"/>
            <w:vAlign w:val="center"/>
          </w:tcPr>
          <w:p w14:paraId="3470B0BC">
            <w:pPr>
              <w:jc w:val="center"/>
              <w:rPr>
                <w:rFonts w:hint="default" w:ascii="Times New Roman" w:hAnsi="Times New Roman" w:cs="Times New Roman"/>
                <w:color w:val="auto"/>
                <w:sz w:val="20"/>
                <w:szCs w:val="20"/>
                <w:highlight w:val="none"/>
                <w:lang w:val="en-US"/>
              </w:rPr>
            </w:pPr>
            <w:r>
              <w:rPr>
                <w:rFonts w:hint="default" w:ascii="Times New Roman" w:hAnsi="Times New Roman" w:cs="Times New Roman"/>
                <w:color w:val="auto"/>
                <w:sz w:val="20"/>
                <w:szCs w:val="20"/>
                <w:highlight w:val="none"/>
                <w:lang w:val="en-US" w:eastAsia="zh-CN"/>
              </w:rPr>
              <w:t>按周边地类复垦</w:t>
            </w:r>
          </w:p>
        </w:tc>
      </w:tr>
      <w:tr w14:paraId="4E62A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306" w:type="pct"/>
            <w:vAlign w:val="center"/>
          </w:tcPr>
          <w:p w14:paraId="42070C68">
            <w:pPr>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8</w:t>
            </w:r>
          </w:p>
        </w:tc>
        <w:tc>
          <w:tcPr>
            <w:tcW w:w="958" w:type="pct"/>
            <w:gridSpan w:val="2"/>
            <w:vAlign w:val="center"/>
          </w:tcPr>
          <w:p w14:paraId="4DD4FEBD">
            <w:pPr>
              <w:keepNext w:val="0"/>
              <w:keepLines w:val="0"/>
              <w:widowControl/>
              <w:suppressLineNumbers w:val="0"/>
              <w:jc w:val="center"/>
              <w:textAlignment w:val="center"/>
              <w:rPr>
                <w:rFonts w:hint="default" w:ascii="Times New Roman" w:hAnsi="Times New Roman" w:cs="Times New Roman"/>
                <w:color w:val="auto"/>
                <w:sz w:val="20"/>
                <w:szCs w:val="20"/>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表土堆场</w:t>
            </w:r>
          </w:p>
        </w:tc>
        <w:tc>
          <w:tcPr>
            <w:tcW w:w="615" w:type="pct"/>
            <w:vAlign w:val="center"/>
          </w:tcPr>
          <w:p w14:paraId="7043CE61">
            <w:pPr>
              <w:jc w:val="center"/>
              <w:rPr>
                <w:rFonts w:hint="default" w:ascii="Times New Roman" w:hAnsi="Times New Roman" w:eastAsia="宋体" w:cs="Times New Roman"/>
                <w:color w:val="auto"/>
                <w:sz w:val="20"/>
                <w:szCs w:val="20"/>
                <w:highlight w:val="none"/>
                <w:lang w:val="en-US" w:eastAsia="zh-CN"/>
              </w:rPr>
            </w:pPr>
            <w:r>
              <w:rPr>
                <w:rFonts w:hint="eastAsia" w:ascii="Times New Roman" w:hAnsi="Times New Roman" w:eastAsia="宋体" w:cs="Times New Roman"/>
                <w:color w:val="auto"/>
                <w:sz w:val="20"/>
                <w:szCs w:val="20"/>
                <w:highlight w:val="none"/>
                <w:lang w:val="en-US" w:eastAsia="zh-CN"/>
              </w:rPr>
              <w:t>0.3093</w:t>
            </w:r>
          </w:p>
        </w:tc>
        <w:tc>
          <w:tcPr>
            <w:tcW w:w="703" w:type="pct"/>
            <w:vAlign w:val="center"/>
          </w:tcPr>
          <w:p w14:paraId="3C70B85C">
            <w:pPr>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采矿用地</w:t>
            </w:r>
          </w:p>
        </w:tc>
        <w:tc>
          <w:tcPr>
            <w:tcW w:w="616" w:type="pct"/>
            <w:vAlign w:val="center"/>
          </w:tcPr>
          <w:p w14:paraId="6600FD63">
            <w:pPr>
              <w:jc w:val="center"/>
              <w:rPr>
                <w:rFonts w:hint="default" w:ascii="Times New Roman" w:hAnsi="Times New Roman" w:eastAsia="宋体" w:cs="Times New Roman"/>
                <w:color w:val="auto"/>
                <w:sz w:val="20"/>
                <w:szCs w:val="20"/>
                <w:highlight w:val="none"/>
              </w:rPr>
            </w:pPr>
          </w:p>
        </w:tc>
        <w:tc>
          <w:tcPr>
            <w:tcW w:w="997" w:type="dxa"/>
            <w:vAlign w:val="center"/>
          </w:tcPr>
          <w:p w14:paraId="06D4C4F1">
            <w:pPr>
              <w:jc w:val="center"/>
              <w:rPr>
                <w:rFonts w:hint="eastAsia" w:ascii="Times New Roman" w:hAnsi="Times New Roman" w:eastAsia="宋体" w:cs="Times New Roman"/>
                <w:color w:val="auto"/>
                <w:sz w:val="20"/>
                <w:szCs w:val="20"/>
                <w:highlight w:val="none"/>
                <w:lang w:val="en-US" w:eastAsia="zh-CN"/>
              </w:rPr>
            </w:pPr>
            <w:r>
              <w:rPr>
                <w:rFonts w:hint="eastAsia" w:ascii="Times New Roman" w:hAnsi="Times New Roman" w:eastAsia="宋体" w:cs="Times New Roman"/>
                <w:color w:val="auto"/>
                <w:sz w:val="20"/>
                <w:szCs w:val="20"/>
                <w:highlight w:val="none"/>
                <w:lang w:val="en-US" w:eastAsia="zh-CN"/>
              </w:rPr>
              <w:t>0.3093</w:t>
            </w:r>
          </w:p>
        </w:tc>
        <w:tc>
          <w:tcPr>
            <w:tcW w:w="2071" w:type="dxa"/>
            <w:vAlign w:val="center"/>
          </w:tcPr>
          <w:p w14:paraId="53381FA0">
            <w:pPr>
              <w:jc w:val="center"/>
              <w:rPr>
                <w:rFonts w:hint="default" w:ascii="Times New Roman" w:hAnsi="Times New Roman" w:cs="Times New Roman"/>
                <w:color w:val="auto"/>
                <w:sz w:val="20"/>
                <w:szCs w:val="20"/>
                <w:highlight w:val="none"/>
                <w:lang w:val="en-US"/>
              </w:rPr>
            </w:pPr>
            <w:r>
              <w:rPr>
                <w:rFonts w:hint="default" w:ascii="Times New Roman" w:hAnsi="Times New Roman" w:cs="Times New Roman"/>
                <w:color w:val="auto"/>
                <w:sz w:val="20"/>
                <w:szCs w:val="20"/>
                <w:highlight w:val="none"/>
                <w:lang w:val="en-US" w:eastAsia="zh-CN"/>
              </w:rPr>
              <w:t>按周边地类复垦</w:t>
            </w:r>
          </w:p>
        </w:tc>
      </w:tr>
      <w:tr w14:paraId="0F8AE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64" w:type="pct"/>
            <w:gridSpan w:val="3"/>
            <w:vAlign w:val="center"/>
          </w:tcPr>
          <w:p w14:paraId="17F8EA95">
            <w:pPr>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合计</w:t>
            </w:r>
          </w:p>
        </w:tc>
        <w:tc>
          <w:tcPr>
            <w:tcW w:w="615" w:type="pct"/>
            <w:shd w:val="clear" w:color="auto" w:fill="auto"/>
            <w:vAlign w:val="center"/>
          </w:tcPr>
          <w:p w14:paraId="0D763D9E">
            <w:pPr>
              <w:jc w:val="center"/>
              <w:rPr>
                <w:rFonts w:hint="default" w:ascii="Times New Roman" w:hAnsi="Times New Roman" w:eastAsia="宋体" w:cs="Times New Roman"/>
                <w:color w:val="auto"/>
                <w:sz w:val="20"/>
                <w:szCs w:val="20"/>
                <w:highlight w:val="none"/>
                <w:lang w:val="en-US" w:eastAsia="zh-CN"/>
              </w:rPr>
            </w:pPr>
            <w:r>
              <w:rPr>
                <w:rFonts w:hint="eastAsia" w:ascii="Times New Roman" w:hAnsi="Times New Roman" w:eastAsia="宋体" w:cs="Times New Roman"/>
                <w:color w:val="auto"/>
                <w:sz w:val="20"/>
                <w:szCs w:val="20"/>
                <w:highlight w:val="none"/>
                <w:lang w:val="en-US" w:eastAsia="zh-CN"/>
              </w:rPr>
              <w:t xml:space="preserve">4.0745 </w:t>
            </w:r>
          </w:p>
        </w:tc>
        <w:tc>
          <w:tcPr>
            <w:tcW w:w="703" w:type="pct"/>
          </w:tcPr>
          <w:p w14:paraId="3EE6290F">
            <w:pPr>
              <w:jc w:val="center"/>
              <w:rPr>
                <w:rFonts w:hint="default" w:ascii="Times New Roman" w:hAnsi="Times New Roman" w:eastAsia="宋体" w:cs="Times New Roman"/>
                <w:color w:val="auto"/>
                <w:sz w:val="20"/>
                <w:szCs w:val="20"/>
                <w:highlight w:val="none"/>
              </w:rPr>
            </w:pPr>
          </w:p>
        </w:tc>
        <w:tc>
          <w:tcPr>
            <w:tcW w:w="616" w:type="pct"/>
          </w:tcPr>
          <w:p w14:paraId="1154A97A">
            <w:pPr>
              <w:jc w:val="center"/>
              <w:rPr>
                <w:rFonts w:hint="default" w:ascii="Times New Roman" w:hAnsi="Times New Roman" w:eastAsia="宋体" w:cs="Times New Roman"/>
                <w:color w:val="auto"/>
                <w:sz w:val="20"/>
                <w:szCs w:val="20"/>
                <w:highlight w:val="none"/>
              </w:rPr>
            </w:pPr>
          </w:p>
        </w:tc>
        <w:tc>
          <w:tcPr>
            <w:tcW w:w="585" w:type="pct"/>
            <w:vAlign w:val="center"/>
          </w:tcPr>
          <w:p w14:paraId="10BE14EF">
            <w:pPr>
              <w:jc w:val="center"/>
              <w:rPr>
                <w:rFonts w:hint="default" w:ascii="Times New Roman" w:hAnsi="Times New Roman" w:eastAsia="宋体" w:cs="Times New Roman"/>
                <w:color w:val="auto"/>
                <w:sz w:val="20"/>
                <w:szCs w:val="20"/>
                <w:highlight w:val="none"/>
                <w:lang w:val="en-US" w:eastAsia="zh-CN"/>
              </w:rPr>
            </w:pPr>
            <w:r>
              <w:rPr>
                <w:rFonts w:hint="eastAsia" w:ascii="Times New Roman" w:hAnsi="Times New Roman" w:eastAsia="宋体" w:cs="Times New Roman"/>
                <w:color w:val="auto"/>
                <w:sz w:val="20"/>
                <w:szCs w:val="20"/>
                <w:highlight w:val="none"/>
                <w:lang w:val="en-US" w:eastAsia="zh-CN"/>
              </w:rPr>
              <w:t>3.6474</w:t>
            </w:r>
          </w:p>
        </w:tc>
        <w:tc>
          <w:tcPr>
            <w:tcW w:w="1215" w:type="pct"/>
            <w:vAlign w:val="center"/>
          </w:tcPr>
          <w:p w14:paraId="59E2835F">
            <w:pPr>
              <w:jc w:val="center"/>
              <w:rPr>
                <w:rFonts w:hint="default" w:ascii="Times New Roman" w:hAnsi="Times New Roman" w:cs="Times New Roman"/>
                <w:color w:val="auto"/>
                <w:kern w:val="0"/>
                <w:sz w:val="20"/>
                <w:szCs w:val="20"/>
                <w:highlight w:val="none"/>
              </w:rPr>
            </w:pPr>
          </w:p>
        </w:tc>
      </w:tr>
      <w:bookmarkEnd w:id="175"/>
    </w:tbl>
    <w:p w14:paraId="08BA8A14">
      <w:pPr>
        <w:pStyle w:val="5"/>
        <w:rPr>
          <w:rFonts w:hint="default" w:ascii="Times New Roman" w:hAnsi="Times New Roman" w:eastAsia="黑体" w:cs="Times New Roman"/>
          <w:b w:val="0"/>
          <w:bCs w:val="0"/>
          <w:color w:val="auto"/>
          <w:szCs w:val="28"/>
          <w:highlight w:val="none"/>
        </w:rPr>
      </w:pPr>
      <w:bookmarkStart w:id="176" w:name="_Toc485629711"/>
      <w:r>
        <w:rPr>
          <w:rFonts w:hint="default" w:ascii="Times New Roman" w:hAnsi="Times New Roman" w:eastAsia="黑体" w:cs="Times New Roman"/>
          <w:b w:val="0"/>
          <w:bCs w:val="0"/>
          <w:color w:val="auto"/>
          <w:szCs w:val="28"/>
          <w:highlight w:val="none"/>
        </w:rPr>
        <w:t>（三）水土资源平衡分析</w:t>
      </w:r>
      <w:bookmarkEnd w:id="176"/>
    </w:p>
    <w:p w14:paraId="5A1EF42C">
      <w:pPr>
        <w:spacing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1、 水资源平衡分析</w:t>
      </w:r>
    </w:p>
    <w:p w14:paraId="3879F08C">
      <w:pPr>
        <w:spacing w:line="360" w:lineRule="auto"/>
        <w:ind w:firstLine="480" w:firstLineChars="200"/>
        <w:rPr>
          <w:rFonts w:hint="default" w:ascii="Times New Roman" w:hAnsi="Times New Roman" w:cs="Times New Roman"/>
          <w:color w:val="auto"/>
          <w:sz w:val="24"/>
          <w:highlight w:val="none"/>
        </w:rPr>
      </w:pPr>
      <w:bookmarkStart w:id="177" w:name="_Hlk26813024"/>
      <w:r>
        <w:rPr>
          <w:rFonts w:hint="default" w:ascii="Times New Roman" w:hAnsi="Times New Roman" w:cs="Times New Roman"/>
          <w:color w:val="auto"/>
          <w:sz w:val="24"/>
          <w:highlight w:val="none"/>
        </w:rPr>
        <w:t>本项目所在地多年平均降水量为</w:t>
      </w:r>
      <w:r>
        <w:rPr>
          <w:rFonts w:hint="eastAsia" w:cs="Times New Roman"/>
          <w:color w:val="auto"/>
          <w:sz w:val="24"/>
          <w:highlight w:val="none"/>
          <w:lang w:val="en-US" w:eastAsia="zh-CN"/>
        </w:rPr>
        <w:t>677.4</w:t>
      </w:r>
      <w:r>
        <w:rPr>
          <w:rFonts w:hint="default" w:ascii="Times New Roman" w:hAnsi="Times New Roman" w:cs="Times New Roman"/>
          <w:color w:val="auto"/>
          <w:sz w:val="24"/>
          <w:highlight w:val="none"/>
        </w:rPr>
        <w:t>mm；雨季（6～8月）降水量大而集中。据当地经验，自然降水能够满足植被生长需要，无需进行灌溉工程。</w:t>
      </w:r>
    </w:p>
    <w:p w14:paraId="3E7D9743">
      <w:pPr>
        <w:spacing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2、土资源平衡分析</w:t>
      </w:r>
    </w:p>
    <w:p w14:paraId="2A252F40">
      <w:pPr>
        <w:pStyle w:val="156"/>
        <w:tabs>
          <w:tab w:val="left" w:pos="3600"/>
        </w:tabs>
        <w:rPr>
          <w:rFonts w:hint="default" w:ascii="Times New Roman" w:hAnsi="Times New Roman" w:eastAsia="宋体" w:cs="Times New Roman"/>
          <w:color w:val="auto"/>
          <w:szCs w:val="24"/>
          <w:highlight w:val="none"/>
        </w:rPr>
      </w:pPr>
      <w:bookmarkStart w:id="178" w:name="_Hlk34375549"/>
      <w:r>
        <w:rPr>
          <w:rFonts w:hint="default"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szCs w:val="24"/>
          <w:highlight w:val="none"/>
          <w:lang w:val="en-US" w:eastAsia="zh-CN"/>
        </w:rPr>
        <w:t>1</w:t>
      </w:r>
      <w:r>
        <w:rPr>
          <w:rFonts w:hint="default"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szCs w:val="24"/>
          <w:highlight w:val="none"/>
        </w:rPr>
        <w:t>表土平衡</w:t>
      </w:r>
    </w:p>
    <w:bookmarkEnd w:id="177"/>
    <w:p w14:paraId="3BB988CC">
      <w:pPr>
        <w:pStyle w:val="156"/>
        <w:tabs>
          <w:tab w:val="left" w:pos="3600"/>
        </w:tabs>
        <w:rPr>
          <w:rFonts w:hint="default" w:ascii="Times New Roman" w:hAnsi="Times New Roman" w:eastAsia="宋体" w:cs="Times New Roman"/>
          <w:color w:val="auto"/>
          <w:szCs w:val="24"/>
          <w:highlight w:val="none"/>
          <w:lang w:eastAsia="zh-CN"/>
        </w:rPr>
      </w:pPr>
      <w:bookmarkStart w:id="179" w:name="_Toc485629712"/>
      <w:r>
        <w:rPr>
          <w:rFonts w:hint="default" w:ascii="Times New Roman" w:hAnsi="Times New Roman" w:eastAsia="宋体" w:cs="Times New Roman"/>
          <w:color w:val="auto"/>
          <w:szCs w:val="24"/>
          <w:highlight w:val="none"/>
          <w:lang w:val="en-US" w:eastAsia="zh-CN"/>
        </w:rPr>
        <w:t>1</w:t>
      </w:r>
      <w:r>
        <w:rPr>
          <w:rFonts w:hint="default" w:ascii="Times New Roman" w:hAnsi="Times New Roman" w:eastAsia="宋体" w:cs="Times New Roman"/>
          <w:color w:val="auto"/>
          <w:szCs w:val="24"/>
          <w:highlight w:val="none"/>
          <w:lang w:eastAsia="zh-CN"/>
        </w:rPr>
        <w:t>）供土</w:t>
      </w:r>
    </w:p>
    <w:p w14:paraId="0E20036F">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根据开发利用方案，露天采场开采前未损毁区域</w:t>
      </w:r>
      <w:r>
        <w:rPr>
          <w:rFonts w:hint="eastAsia" w:cs="Times New Roman"/>
          <w:color w:val="auto"/>
          <w:sz w:val="24"/>
          <w:highlight w:val="none"/>
          <w:lang w:val="en-US" w:eastAsia="zh-CN"/>
        </w:rPr>
        <w:t>继续开采前，将</w:t>
      </w:r>
      <w:r>
        <w:rPr>
          <w:rFonts w:hint="default" w:ascii="Times New Roman" w:hAnsi="Times New Roman" w:cs="Times New Roman"/>
          <w:color w:val="auto"/>
          <w:sz w:val="24"/>
          <w:highlight w:val="none"/>
        </w:rPr>
        <w:t>进行表土剥离，表土剥离面积</w:t>
      </w:r>
      <w:r>
        <w:rPr>
          <w:rFonts w:hint="eastAsia" w:cs="Times New Roman"/>
          <w:color w:val="auto"/>
          <w:sz w:val="24"/>
          <w:highlight w:val="none"/>
          <w:lang w:val="en-US" w:eastAsia="zh-CN"/>
        </w:rPr>
        <w:t>0.1810</w:t>
      </w:r>
      <w:r>
        <w:rPr>
          <w:rFonts w:hint="default" w:ascii="Times New Roman" w:hAnsi="Times New Roman" w:cs="Times New Roman"/>
          <w:color w:val="auto"/>
          <w:sz w:val="24"/>
          <w:highlight w:val="none"/>
        </w:rPr>
        <w:t>hm</w:t>
      </w:r>
      <w:r>
        <w:rPr>
          <w:rFonts w:hint="default" w:ascii="Times New Roman" w:hAnsi="Times New Roman" w:cs="Times New Roman"/>
          <w:color w:val="auto"/>
          <w:sz w:val="24"/>
          <w:highlight w:val="none"/>
          <w:vertAlign w:val="superscript"/>
        </w:rPr>
        <w:t>2</w:t>
      </w:r>
      <w:r>
        <w:rPr>
          <w:rFonts w:hint="default" w:ascii="Times New Roman" w:hAnsi="Times New Roman" w:cs="Times New Roman"/>
          <w:color w:val="auto"/>
          <w:sz w:val="24"/>
          <w:highlight w:val="none"/>
        </w:rPr>
        <w:t>，剥离厚度0.3m，表土剥离量</w:t>
      </w:r>
      <w:r>
        <w:rPr>
          <w:rFonts w:hint="eastAsia" w:cs="Times New Roman"/>
          <w:color w:val="auto"/>
          <w:sz w:val="24"/>
          <w:highlight w:val="none"/>
          <w:lang w:val="en-US" w:eastAsia="zh-CN"/>
        </w:rPr>
        <w:t>543</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，剥离的表土在</w:t>
      </w:r>
      <w:r>
        <w:rPr>
          <w:rFonts w:hint="eastAsia" w:cs="Times New Roman"/>
          <w:color w:val="auto"/>
          <w:sz w:val="24"/>
          <w:highlight w:val="none"/>
          <w:lang w:val="en-US" w:eastAsia="zh-CN"/>
        </w:rPr>
        <w:t>表土堆场</w:t>
      </w:r>
      <w:r>
        <w:rPr>
          <w:rFonts w:hint="default" w:ascii="Times New Roman" w:hAnsi="Times New Roman" w:cs="Times New Roman"/>
          <w:color w:val="auto"/>
          <w:sz w:val="24"/>
          <w:highlight w:val="none"/>
        </w:rPr>
        <w:t>进行集中堆放。</w:t>
      </w:r>
      <w:r>
        <w:rPr>
          <w:rFonts w:hint="eastAsia" w:cs="Times New Roman"/>
          <w:color w:val="auto"/>
          <w:sz w:val="24"/>
          <w:highlight w:val="none"/>
          <w:lang w:val="en-US" w:eastAsia="zh-CN"/>
        </w:rPr>
        <w:t>矿山以往堆存表土9200m</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，矿山现有表土堆场可满足堆放条件，不用新增占地。</w:t>
      </w:r>
      <w:r>
        <w:rPr>
          <w:rFonts w:hint="default" w:ascii="Times New Roman" w:hAnsi="Times New Roman" w:cs="Times New Roman"/>
          <w:color w:val="auto"/>
          <w:sz w:val="24"/>
          <w:highlight w:val="none"/>
        </w:rPr>
        <w:t>表土堆存时间较长，方案设计撒播草籽进行防护，草种选用紫花苜蓿，绿化苜蓿豆科苜蓿属多年生草本植物，是常用的绿肥，可提高土壤肥力，改善土壤环境。</w:t>
      </w:r>
    </w:p>
    <w:p w14:paraId="12733720">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2）需土</w:t>
      </w:r>
    </w:p>
    <w:p w14:paraId="2CE7F3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本项目</w:t>
      </w:r>
      <w:r>
        <w:rPr>
          <w:rFonts w:hint="default" w:ascii="Times New Roman" w:hAnsi="Times New Roman" w:cs="Times New Roman"/>
          <w:color w:val="auto"/>
          <w:sz w:val="24"/>
          <w:highlight w:val="none"/>
        </w:rPr>
        <w:t>复垦为乔木林地的单元，覆土标准为有效土层厚度0.3m。</w:t>
      </w:r>
      <w:r>
        <w:rPr>
          <w:rFonts w:hint="eastAsia" w:cs="Times New Roman"/>
          <w:color w:val="auto"/>
          <w:sz w:val="24"/>
          <w:highlight w:val="none"/>
          <w:lang w:val="en-US" w:eastAsia="zh-CN"/>
        </w:rPr>
        <w:t>乔木林地仍需覆土面积为3.2066hm</w:t>
      </w:r>
      <w:r>
        <w:rPr>
          <w:rFonts w:hint="eastAsia" w:cs="Times New Roman"/>
          <w:color w:val="auto"/>
          <w:sz w:val="24"/>
          <w:highlight w:val="none"/>
          <w:vertAlign w:val="superscript"/>
          <w:lang w:val="en-US" w:eastAsia="zh-CN"/>
        </w:rPr>
        <w:t>2</w:t>
      </w:r>
      <w:r>
        <w:rPr>
          <w:rFonts w:hint="eastAsia" w:cs="Times New Roman"/>
          <w:color w:val="auto"/>
          <w:sz w:val="24"/>
          <w:highlight w:val="none"/>
          <w:lang w:val="en-US" w:eastAsia="zh-CN"/>
        </w:rPr>
        <w:t>，覆土厚度0.30m，覆土量为9621m</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w:t>
      </w:r>
    </w:p>
    <w:p w14:paraId="09EFA9F8">
      <w:pPr>
        <w:spacing w:line="360" w:lineRule="auto"/>
        <w:ind w:firstLine="480" w:firstLineChars="200"/>
        <w:jc w:val="both"/>
        <w:rPr>
          <w:rFonts w:hint="default" w:ascii="Times New Roman" w:hAnsi="Times New Roman" w:cs="Times New Roman"/>
          <w:color w:val="auto"/>
          <w:sz w:val="24"/>
          <w:highlight w:val="none"/>
        </w:rPr>
      </w:pPr>
      <w:r>
        <w:rPr>
          <w:rFonts w:hint="eastAsia" w:cs="Times New Roman"/>
          <w:color w:val="auto"/>
          <w:sz w:val="24"/>
          <w:highlight w:val="none"/>
          <w:lang w:val="en-US" w:eastAsia="zh-CN"/>
        </w:rPr>
        <w:t>北大湖采石场现有表土9200m</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，继续开采剥离表土543m</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，总供土量9743m</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，供土量大于需土量，</w:t>
      </w:r>
      <w:r>
        <w:rPr>
          <w:rFonts w:hint="default" w:ascii="Times New Roman" w:hAnsi="Times New Roman" w:cs="Times New Roman"/>
          <w:color w:val="auto"/>
          <w:sz w:val="24"/>
          <w:highlight w:val="none"/>
        </w:rPr>
        <w:t>表土平衡详见表4-</w:t>
      </w:r>
      <w:r>
        <w:rPr>
          <w:rFonts w:hint="eastAsia" w:ascii="Times New Roman" w:hAnsi="Times New Roman" w:cs="Times New Roman"/>
          <w:color w:val="auto"/>
          <w:sz w:val="24"/>
          <w:highlight w:val="none"/>
          <w:lang w:val="en-US" w:eastAsia="zh-CN"/>
        </w:rPr>
        <w:t>6</w:t>
      </w:r>
      <w:r>
        <w:rPr>
          <w:rFonts w:hint="default" w:ascii="Times New Roman" w:hAnsi="Times New Roman" w:cs="Times New Roman"/>
          <w:color w:val="auto"/>
          <w:sz w:val="24"/>
          <w:highlight w:val="none"/>
        </w:rPr>
        <w:t>。</w:t>
      </w:r>
    </w:p>
    <w:p w14:paraId="26DE71D6">
      <w:pPr>
        <w:pStyle w:val="156"/>
        <w:keepNext w:val="0"/>
        <w:keepLines w:val="0"/>
        <w:pageBreakBefore w:val="0"/>
        <w:widowControl w:val="0"/>
        <w:tabs>
          <w:tab w:val="left" w:pos="3600"/>
        </w:tabs>
        <w:kinsoku/>
        <w:wordWrap/>
        <w:overflowPunct/>
        <w:topLinePunct w:val="0"/>
        <w:autoSpaceDE/>
        <w:autoSpaceDN/>
        <w:bidi w:val="0"/>
        <w:adjustRightInd/>
        <w:snapToGrid/>
        <w:spacing w:before="6241" w:beforeLines="2000" w:line="240" w:lineRule="auto"/>
        <w:ind w:firstLine="0" w:firstLineChars="0"/>
        <w:jc w:val="center"/>
        <w:textAlignment w:val="auto"/>
        <w:rPr>
          <w:rFonts w:hint="default" w:ascii="Times New Roman" w:hAnsi="Times New Roman" w:eastAsia="黑体" w:cs="Times New Roman"/>
          <w:b w:val="0"/>
          <w:bCs/>
          <w:color w:val="auto"/>
          <w:sz w:val="21"/>
          <w:szCs w:val="21"/>
          <w:highlight w:val="none"/>
          <w:lang w:val="en-US" w:eastAsia="zh-CN"/>
        </w:rPr>
      </w:pPr>
      <w:r>
        <w:rPr>
          <w:rFonts w:hint="default" w:ascii="Times New Roman" w:hAnsi="Times New Roman" w:eastAsia="黑体" w:cs="Times New Roman"/>
          <w:b w:val="0"/>
          <w:bCs/>
          <w:color w:val="auto"/>
          <w:sz w:val="21"/>
          <w:szCs w:val="21"/>
          <w:highlight w:val="none"/>
          <w:lang w:val="en-US" w:eastAsia="zh-CN"/>
        </w:rPr>
        <w:t xml:space="preserve">表4-6  </w:t>
      </w:r>
      <w:r>
        <w:rPr>
          <w:rFonts w:hint="default" w:ascii="Times New Roman" w:hAnsi="Times New Roman" w:eastAsia="黑体" w:cs="Times New Roman"/>
          <w:b w:val="0"/>
          <w:bCs/>
          <w:color w:val="auto"/>
          <w:sz w:val="21"/>
          <w:szCs w:val="21"/>
          <w:highlight w:val="none"/>
        </w:rPr>
        <w:t>表土平衡</w:t>
      </w:r>
      <w:r>
        <w:rPr>
          <w:rFonts w:hint="default" w:ascii="Times New Roman" w:hAnsi="Times New Roman" w:eastAsia="黑体" w:cs="Times New Roman"/>
          <w:b w:val="0"/>
          <w:bCs/>
          <w:color w:val="auto"/>
          <w:sz w:val="21"/>
          <w:szCs w:val="21"/>
          <w:highlight w:val="none"/>
          <w:lang w:val="en-US" w:eastAsia="zh-CN"/>
        </w:rPr>
        <w:t>分析表</w:t>
      </w:r>
    </w:p>
    <w:tbl>
      <w:tblPr>
        <w:tblStyle w:val="34"/>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99"/>
        <w:gridCol w:w="883"/>
        <w:gridCol w:w="1244"/>
        <w:gridCol w:w="975"/>
        <w:gridCol w:w="975"/>
        <w:gridCol w:w="1023"/>
        <w:gridCol w:w="1117"/>
        <w:gridCol w:w="1206"/>
      </w:tblGrid>
      <w:tr w14:paraId="57DA74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162" w:type="pct"/>
            <w:gridSpan w:val="2"/>
            <w:vMerge w:val="restart"/>
            <w:noWrap/>
            <w:vAlign w:val="center"/>
          </w:tcPr>
          <w:p w14:paraId="13E9E7B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损毁单元</w:t>
            </w:r>
          </w:p>
        </w:tc>
        <w:tc>
          <w:tcPr>
            <w:tcW w:w="729" w:type="pct"/>
            <w:noWrap w:val="0"/>
            <w:vAlign w:val="center"/>
          </w:tcPr>
          <w:p w14:paraId="6A29F23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损毁面积</w:t>
            </w:r>
          </w:p>
        </w:tc>
        <w:tc>
          <w:tcPr>
            <w:tcW w:w="572" w:type="pct"/>
            <w:noWrap/>
            <w:vAlign w:val="center"/>
          </w:tcPr>
          <w:p w14:paraId="4628F2C7">
            <w:pPr>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复垦面积</w:t>
            </w:r>
          </w:p>
        </w:tc>
        <w:tc>
          <w:tcPr>
            <w:tcW w:w="572" w:type="pct"/>
            <w:noWrap/>
            <w:vAlign w:val="center"/>
          </w:tcPr>
          <w:p w14:paraId="6ED15E1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覆土厚度</w:t>
            </w:r>
          </w:p>
        </w:tc>
        <w:tc>
          <w:tcPr>
            <w:tcW w:w="600" w:type="pct"/>
            <w:noWrap/>
            <w:vAlign w:val="center"/>
          </w:tcPr>
          <w:p w14:paraId="4F52D3A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覆土量</w:t>
            </w:r>
          </w:p>
        </w:tc>
        <w:tc>
          <w:tcPr>
            <w:tcW w:w="655" w:type="pct"/>
            <w:noWrap/>
            <w:vAlign w:val="center"/>
          </w:tcPr>
          <w:p w14:paraId="6C016F1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以往堆存</w:t>
            </w:r>
          </w:p>
        </w:tc>
        <w:tc>
          <w:tcPr>
            <w:tcW w:w="707" w:type="pct"/>
            <w:noWrap/>
            <w:vAlign w:val="center"/>
          </w:tcPr>
          <w:p w14:paraId="51528FB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表土剥离</w:t>
            </w:r>
          </w:p>
        </w:tc>
      </w:tr>
      <w:tr w14:paraId="0AB4E7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4" w:hRule="atLeast"/>
        </w:trPr>
        <w:tc>
          <w:tcPr>
            <w:tcW w:w="1162" w:type="pct"/>
            <w:gridSpan w:val="2"/>
            <w:vMerge w:val="continue"/>
            <w:noWrap/>
            <w:vAlign w:val="center"/>
          </w:tcPr>
          <w:p w14:paraId="37B3A522">
            <w:pPr>
              <w:jc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729" w:type="pct"/>
            <w:noWrap w:val="0"/>
            <w:vAlign w:val="center"/>
          </w:tcPr>
          <w:p w14:paraId="140D1E4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（hm</w:t>
            </w:r>
            <w:r>
              <w:rPr>
                <w:rFonts w:hint="default" w:ascii="Times New Roman" w:hAnsi="Times New Roman" w:eastAsia="宋体" w:cs="Times New Roman"/>
                <w:i w:val="0"/>
                <w:iCs w:val="0"/>
                <w:color w:val="auto"/>
                <w:kern w:val="0"/>
                <w:sz w:val="21"/>
                <w:szCs w:val="21"/>
                <w:u w:val="none"/>
                <w:vertAlign w:val="superscript"/>
                <w:lang w:val="en-US" w:eastAsia="zh-CN" w:bidi="ar"/>
              </w:rPr>
              <w:t>2</w:t>
            </w:r>
            <w:r>
              <w:rPr>
                <w:rFonts w:hint="default" w:ascii="Times New Roman" w:hAnsi="Times New Roman" w:eastAsia="宋体" w:cs="Times New Roman"/>
                <w:i w:val="0"/>
                <w:iCs w:val="0"/>
                <w:color w:val="auto"/>
                <w:kern w:val="0"/>
                <w:sz w:val="21"/>
                <w:szCs w:val="21"/>
                <w:u w:val="none"/>
                <w:lang w:val="en-US" w:eastAsia="zh-CN" w:bidi="ar"/>
              </w:rPr>
              <w:t>）</w:t>
            </w:r>
          </w:p>
        </w:tc>
        <w:tc>
          <w:tcPr>
            <w:tcW w:w="572" w:type="pct"/>
            <w:noWrap/>
            <w:vAlign w:val="center"/>
          </w:tcPr>
          <w:p w14:paraId="43A8437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（hm</w:t>
            </w:r>
            <w:r>
              <w:rPr>
                <w:rFonts w:hint="default" w:ascii="Times New Roman" w:hAnsi="Times New Roman" w:eastAsia="宋体" w:cs="Times New Roman"/>
                <w:i w:val="0"/>
                <w:iCs w:val="0"/>
                <w:color w:val="auto"/>
                <w:kern w:val="0"/>
                <w:sz w:val="21"/>
                <w:szCs w:val="21"/>
                <w:u w:val="none"/>
                <w:vertAlign w:val="superscript"/>
                <w:lang w:val="en-US" w:eastAsia="zh-CN" w:bidi="ar"/>
              </w:rPr>
              <w:t>2</w:t>
            </w:r>
            <w:r>
              <w:rPr>
                <w:rFonts w:hint="default" w:ascii="Times New Roman" w:hAnsi="Times New Roman" w:eastAsia="宋体" w:cs="Times New Roman"/>
                <w:i w:val="0"/>
                <w:iCs w:val="0"/>
                <w:color w:val="auto"/>
                <w:kern w:val="0"/>
                <w:sz w:val="21"/>
                <w:szCs w:val="21"/>
                <w:u w:val="none"/>
                <w:lang w:val="en-US" w:eastAsia="zh-CN" w:bidi="ar"/>
              </w:rPr>
              <w:t>）</w:t>
            </w:r>
          </w:p>
        </w:tc>
        <w:tc>
          <w:tcPr>
            <w:tcW w:w="572" w:type="pct"/>
            <w:noWrap/>
            <w:vAlign w:val="center"/>
          </w:tcPr>
          <w:p w14:paraId="6888709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（m）</w:t>
            </w:r>
          </w:p>
        </w:tc>
        <w:tc>
          <w:tcPr>
            <w:tcW w:w="600" w:type="pct"/>
            <w:noWrap/>
            <w:vAlign w:val="center"/>
          </w:tcPr>
          <w:p w14:paraId="1BA5195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w:t>
            </w:r>
          </w:p>
        </w:tc>
        <w:tc>
          <w:tcPr>
            <w:tcW w:w="655" w:type="pct"/>
            <w:noWrap/>
            <w:vAlign w:val="center"/>
          </w:tcPr>
          <w:p w14:paraId="75B9045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w:t>
            </w:r>
          </w:p>
        </w:tc>
        <w:tc>
          <w:tcPr>
            <w:tcW w:w="707" w:type="pct"/>
            <w:noWrap/>
            <w:vAlign w:val="center"/>
          </w:tcPr>
          <w:p w14:paraId="584A0B9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w:t>
            </w:r>
          </w:p>
        </w:tc>
      </w:tr>
      <w:tr w14:paraId="2332EE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4" w:hRule="atLeast"/>
        </w:trPr>
        <w:tc>
          <w:tcPr>
            <w:tcW w:w="644" w:type="pct"/>
            <w:vMerge w:val="restart"/>
            <w:noWrap/>
            <w:vAlign w:val="center"/>
          </w:tcPr>
          <w:p w14:paraId="4E371A7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露天采场</w:t>
            </w:r>
          </w:p>
        </w:tc>
        <w:tc>
          <w:tcPr>
            <w:tcW w:w="518" w:type="pct"/>
            <w:noWrap/>
            <w:vAlign w:val="center"/>
          </w:tcPr>
          <w:p w14:paraId="0574CD3E">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坑底</w:t>
            </w:r>
          </w:p>
        </w:tc>
        <w:tc>
          <w:tcPr>
            <w:tcW w:w="729" w:type="pct"/>
            <w:noWrap w:val="0"/>
            <w:vAlign w:val="center"/>
          </w:tcPr>
          <w:p w14:paraId="44C8DC8F">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1.3845 </w:t>
            </w:r>
          </w:p>
        </w:tc>
        <w:tc>
          <w:tcPr>
            <w:tcW w:w="572" w:type="pct"/>
            <w:noWrap/>
            <w:vAlign w:val="center"/>
          </w:tcPr>
          <w:p w14:paraId="1C4EC73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1.3845 </w:t>
            </w:r>
          </w:p>
        </w:tc>
        <w:tc>
          <w:tcPr>
            <w:tcW w:w="572" w:type="pct"/>
            <w:noWrap/>
            <w:vAlign w:val="center"/>
          </w:tcPr>
          <w:p w14:paraId="6B223B8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0.30</w:t>
            </w:r>
          </w:p>
        </w:tc>
        <w:tc>
          <w:tcPr>
            <w:tcW w:w="600" w:type="pct"/>
            <w:noWrap/>
            <w:vAlign w:val="center"/>
          </w:tcPr>
          <w:p w14:paraId="1F45B17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4154</w:t>
            </w:r>
          </w:p>
        </w:tc>
        <w:tc>
          <w:tcPr>
            <w:tcW w:w="655" w:type="pct"/>
            <w:vMerge w:val="restart"/>
            <w:noWrap/>
            <w:vAlign w:val="center"/>
          </w:tcPr>
          <w:p w14:paraId="6D7A71D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9200</w:t>
            </w:r>
          </w:p>
        </w:tc>
        <w:tc>
          <w:tcPr>
            <w:tcW w:w="707" w:type="pct"/>
            <w:vMerge w:val="restart"/>
            <w:noWrap/>
            <w:vAlign w:val="center"/>
          </w:tcPr>
          <w:p w14:paraId="5171964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543</w:t>
            </w:r>
          </w:p>
        </w:tc>
      </w:tr>
      <w:tr w14:paraId="64E60C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644" w:type="pct"/>
            <w:vMerge w:val="continue"/>
            <w:noWrap/>
            <w:vAlign w:val="center"/>
          </w:tcPr>
          <w:p w14:paraId="2FA99C5D">
            <w:pPr>
              <w:jc w:val="center"/>
              <w:rPr>
                <w:rFonts w:hint="default" w:ascii="Times New Roman" w:hAnsi="Times New Roman" w:eastAsia="宋体" w:cs="Times New Roman"/>
                <w:i w:val="0"/>
                <w:iCs w:val="0"/>
                <w:color w:val="auto"/>
                <w:sz w:val="21"/>
                <w:szCs w:val="21"/>
                <w:highlight w:val="none"/>
                <w:u w:val="none"/>
              </w:rPr>
            </w:pPr>
          </w:p>
        </w:tc>
        <w:tc>
          <w:tcPr>
            <w:tcW w:w="518" w:type="pct"/>
            <w:noWrap/>
            <w:vAlign w:val="center"/>
          </w:tcPr>
          <w:p w14:paraId="489D7A8A">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平台</w:t>
            </w:r>
          </w:p>
        </w:tc>
        <w:tc>
          <w:tcPr>
            <w:tcW w:w="729" w:type="pct"/>
            <w:noWrap w:val="0"/>
            <w:vAlign w:val="center"/>
          </w:tcPr>
          <w:p w14:paraId="30E8D9F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u w:val="none"/>
                <w:lang w:val="en-US" w:eastAsia="zh-CN" w:bidi="ar"/>
              </w:rPr>
              <w:t xml:space="preserve">0.2876 </w:t>
            </w:r>
          </w:p>
        </w:tc>
        <w:tc>
          <w:tcPr>
            <w:tcW w:w="572" w:type="pct"/>
            <w:noWrap/>
            <w:vAlign w:val="center"/>
          </w:tcPr>
          <w:p w14:paraId="3D9DDCB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0.2876 </w:t>
            </w:r>
          </w:p>
        </w:tc>
        <w:tc>
          <w:tcPr>
            <w:tcW w:w="572" w:type="pct"/>
            <w:noWrap w:val="0"/>
            <w:vAlign w:val="center"/>
          </w:tcPr>
          <w:p w14:paraId="200B491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0.30</w:t>
            </w:r>
          </w:p>
        </w:tc>
        <w:tc>
          <w:tcPr>
            <w:tcW w:w="600" w:type="pct"/>
            <w:noWrap w:val="0"/>
            <w:vAlign w:val="center"/>
          </w:tcPr>
          <w:p w14:paraId="74FDAB3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863</w:t>
            </w:r>
          </w:p>
        </w:tc>
        <w:tc>
          <w:tcPr>
            <w:tcW w:w="655" w:type="pct"/>
            <w:vMerge w:val="continue"/>
            <w:noWrap w:val="0"/>
            <w:vAlign w:val="center"/>
          </w:tcPr>
          <w:p w14:paraId="731D606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707" w:type="pct"/>
            <w:vMerge w:val="continue"/>
            <w:noWrap w:val="0"/>
            <w:vAlign w:val="center"/>
          </w:tcPr>
          <w:p w14:paraId="4110B16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75AB82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644" w:type="pct"/>
            <w:vMerge w:val="continue"/>
            <w:noWrap/>
            <w:vAlign w:val="center"/>
          </w:tcPr>
          <w:p w14:paraId="45001B82">
            <w:pPr>
              <w:jc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518" w:type="pct"/>
            <w:noWrap/>
            <w:vAlign w:val="center"/>
          </w:tcPr>
          <w:p w14:paraId="356FCE52">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边坡</w:t>
            </w:r>
          </w:p>
        </w:tc>
        <w:tc>
          <w:tcPr>
            <w:tcW w:w="729" w:type="pct"/>
            <w:noWrap w:val="0"/>
            <w:vAlign w:val="center"/>
          </w:tcPr>
          <w:p w14:paraId="419F505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0.8679 </w:t>
            </w:r>
          </w:p>
        </w:tc>
        <w:tc>
          <w:tcPr>
            <w:tcW w:w="572" w:type="pct"/>
            <w:noWrap/>
            <w:vAlign w:val="center"/>
          </w:tcPr>
          <w:p w14:paraId="0E62B67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572" w:type="pct"/>
            <w:noWrap w:val="0"/>
            <w:vAlign w:val="center"/>
          </w:tcPr>
          <w:p w14:paraId="68AE8CC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00" w:type="pct"/>
            <w:noWrap w:val="0"/>
            <w:vAlign w:val="center"/>
          </w:tcPr>
          <w:p w14:paraId="4D8942FA">
            <w:pPr>
              <w:jc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55" w:type="pct"/>
            <w:vMerge w:val="continue"/>
            <w:noWrap w:val="0"/>
            <w:vAlign w:val="center"/>
          </w:tcPr>
          <w:p w14:paraId="7A69809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707" w:type="pct"/>
            <w:vMerge w:val="continue"/>
            <w:noWrap w:val="0"/>
            <w:vAlign w:val="center"/>
          </w:tcPr>
          <w:p w14:paraId="0C85F31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24F897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162" w:type="pct"/>
            <w:gridSpan w:val="2"/>
            <w:noWrap/>
            <w:vAlign w:val="center"/>
          </w:tcPr>
          <w:p w14:paraId="7ACE141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工业广场</w:t>
            </w:r>
          </w:p>
        </w:tc>
        <w:tc>
          <w:tcPr>
            <w:tcW w:w="729" w:type="pct"/>
            <w:noWrap w:val="0"/>
            <w:vAlign w:val="center"/>
          </w:tcPr>
          <w:p w14:paraId="3E8937C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u w:val="none"/>
                <w:lang w:val="en-US" w:eastAsia="zh-CN" w:bidi="ar"/>
              </w:rPr>
              <w:t xml:space="preserve">0.6845 </w:t>
            </w:r>
          </w:p>
        </w:tc>
        <w:tc>
          <w:tcPr>
            <w:tcW w:w="572" w:type="pct"/>
            <w:noWrap/>
            <w:vAlign w:val="center"/>
          </w:tcPr>
          <w:p w14:paraId="6847D16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0.6845 </w:t>
            </w:r>
          </w:p>
        </w:tc>
        <w:tc>
          <w:tcPr>
            <w:tcW w:w="572" w:type="pct"/>
            <w:noWrap w:val="0"/>
            <w:vAlign w:val="center"/>
          </w:tcPr>
          <w:p w14:paraId="33AF8C3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0.30</w:t>
            </w:r>
          </w:p>
        </w:tc>
        <w:tc>
          <w:tcPr>
            <w:tcW w:w="600" w:type="pct"/>
            <w:noWrap w:val="0"/>
            <w:vAlign w:val="center"/>
          </w:tcPr>
          <w:p w14:paraId="3E44B58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2054</w:t>
            </w:r>
          </w:p>
        </w:tc>
        <w:tc>
          <w:tcPr>
            <w:tcW w:w="655" w:type="pct"/>
            <w:vMerge w:val="continue"/>
            <w:noWrap w:val="0"/>
            <w:vAlign w:val="center"/>
          </w:tcPr>
          <w:p w14:paraId="5663E56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707" w:type="pct"/>
            <w:noWrap w:val="0"/>
            <w:vAlign w:val="center"/>
          </w:tcPr>
          <w:p w14:paraId="038A78F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r w14:paraId="62DFF6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162" w:type="pct"/>
            <w:gridSpan w:val="2"/>
            <w:noWrap/>
            <w:vAlign w:val="center"/>
          </w:tcPr>
          <w:p w14:paraId="7F78232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办公生活区</w:t>
            </w:r>
          </w:p>
        </w:tc>
        <w:tc>
          <w:tcPr>
            <w:tcW w:w="729" w:type="pct"/>
            <w:noWrap/>
            <w:vAlign w:val="center"/>
          </w:tcPr>
          <w:p w14:paraId="54E754E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 xml:space="preserve">0.2605 </w:t>
            </w:r>
          </w:p>
        </w:tc>
        <w:tc>
          <w:tcPr>
            <w:tcW w:w="572" w:type="pct"/>
            <w:noWrap/>
            <w:vAlign w:val="center"/>
          </w:tcPr>
          <w:p w14:paraId="2186754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0.2605 </w:t>
            </w:r>
          </w:p>
        </w:tc>
        <w:tc>
          <w:tcPr>
            <w:tcW w:w="572" w:type="pct"/>
            <w:noWrap/>
            <w:vAlign w:val="center"/>
          </w:tcPr>
          <w:p w14:paraId="14E8184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0.30</w:t>
            </w:r>
          </w:p>
        </w:tc>
        <w:tc>
          <w:tcPr>
            <w:tcW w:w="600" w:type="pct"/>
            <w:noWrap/>
            <w:vAlign w:val="center"/>
          </w:tcPr>
          <w:p w14:paraId="35E55B7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782</w:t>
            </w:r>
          </w:p>
        </w:tc>
        <w:tc>
          <w:tcPr>
            <w:tcW w:w="655" w:type="pct"/>
            <w:vMerge w:val="continue"/>
            <w:noWrap/>
            <w:vAlign w:val="center"/>
          </w:tcPr>
          <w:p w14:paraId="64D211F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707" w:type="pct"/>
            <w:noWrap/>
            <w:vAlign w:val="center"/>
          </w:tcPr>
          <w:p w14:paraId="3752F59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r w14:paraId="4BE583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162" w:type="pct"/>
            <w:gridSpan w:val="2"/>
            <w:noWrap/>
            <w:vAlign w:val="center"/>
          </w:tcPr>
          <w:p w14:paraId="4F06F52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原有办公室及临时堆料场</w:t>
            </w:r>
          </w:p>
        </w:tc>
        <w:tc>
          <w:tcPr>
            <w:tcW w:w="729" w:type="pct"/>
            <w:noWrap/>
            <w:vAlign w:val="center"/>
          </w:tcPr>
          <w:p w14:paraId="41DBF06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 xml:space="preserve">0.1178 </w:t>
            </w:r>
          </w:p>
        </w:tc>
        <w:tc>
          <w:tcPr>
            <w:tcW w:w="572" w:type="pct"/>
            <w:noWrap/>
            <w:vAlign w:val="center"/>
          </w:tcPr>
          <w:p w14:paraId="160370F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0.1178 </w:t>
            </w:r>
          </w:p>
        </w:tc>
        <w:tc>
          <w:tcPr>
            <w:tcW w:w="572" w:type="pct"/>
            <w:noWrap/>
            <w:vAlign w:val="center"/>
          </w:tcPr>
          <w:p w14:paraId="270B4CF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0.30</w:t>
            </w:r>
          </w:p>
        </w:tc>
        <w:tc>
          <w:tcPr>
            <w:tcW w:w="600" w:type="pct"/>
            <w:noWrap/>
            <w:vAlign w:val="center"/>
          </w:tcPr>
          <w:p w14:paraId="3C63D05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353</w:t>
            </w:r>
          </w:p>
        </w:tc>
        <w:tc>
          <w:tcPr>
            <w:tcW w:w="655" w:type="pct"/>
            <w:vMerge w:val="continue"/>
            <w:noWrap/>
            <w:vAlign w:val="center"/>
          </w:tcPr>
          <w:p w14:paraId="2657450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707" w:type="pct"/>
            <w:noWrap/>
            <w:vAlign w:val="center"/>
          </w:tcPr>
          <w:p w14:paraId="613CB54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r w14:paraId="320AA4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162" w:type="pct"/>
            <w:gridSpan w:val="2"/>
            <w:noWrap/>
            <w:vAlign w:val="center"/>
          </w:tcPr>
          <w:p w14:paraId="71ECED6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矿山道路</w:t>
            </w:r>
          </w:p>
        </w:tc>
        <w:tc>
          <w:tcPr>
            <w:tcW w:w="729" w:type="pct"/>
            <w:noWrap/>
            <w:vAlign w:val="center"/>
          </w:tcPr>
          <w:p w14:paraId="3525469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 xml:space="preserve">0.1624 </w:t>
            </w:r>
          </w:p>
        </w:tc>
        <w:tc>
          <w:tcPr>
            <w:tcW w:w="572" w:type="pct"/>
            <w:noWrap/>
            <w:vAlign w:val="center"/>
          </w:tcPr>
          <w:p w14:paraId="0BFE849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0.1624 </w:t>
            </w:r>
          </w:p>
        </w:tc>
        <w:tc>
          <w:tcPr>
            <w:tcW w:w="572" w:type="pct"/>
            <w:noWrap/>
            <w:vAlign w:val="center"/>
          </w:tcPr>
          <w:p w14:paraId="58365B4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0.30</w:t>
            </w:r>
          </w:p>
        </w:tc>
        <w:tc>
          <w:tcPr>
            <w:tcW w:w="600" w:type="pct"/>
            <w:noWrap/>
            <w:vAlign w:val="center"/>
          </w:tcPr>
          <w:p w14:paraId="5EBE6BA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487</w:t>
            </w:r>
          </w:p>
        </w:tc>
        <w:tc>
          <w:tcPr>
            <w:tcW w:w="655" w:type="pct"/>
            <w:vMerge w:val="continue"/>
            <w:noWrap/>
            <w:vAlign w:val="center"/>
          </w:tcPr>
          <w:p w14:paraId="0CE4479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707" w:type="pct"/>
            <w:noWrap/>
            <w:vAlign w:val="center"/>
          </w:tcPr>
          <w:p w14:paraId="43005AC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r w14:paraId="38A76B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162" w:type="pct"/>
            <w:gridSpan w:val="2"/>
            <w:noWrap/>
            <w:vAlign w:val="center"/>
          </w:tcPr>
          <w:p w14:paraId="1937FD5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表土堆场</w:t>
            </w:r>
          </w:p>
        </w:tc>
        <w:tc>
          <w:tcPr>
            <w:tcW w:w="729" w:type="pct"/>
            <w:noWrap/>
            <w:vAlign w:val="center"/>
          </w:tcPr>
          <w:p w14:paraId="54B0EE6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 xml:space="preserve">0.3093 </w:t>
            </w:r>
          </w:p>
        </w:tc>
        <w:tc>
          <w:tcPr>
            <w:tcW w:w="572" w:type="pct"/>
            <w:noWrap/>
            <w:vAlign w:val="center"/>
          </w:tcPr>
          <w:p w14:paraId="7FFC573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0.3093 </w:t>
            </w:r>
          </w:p>
        </w:tc>
        <w:tc>
          <w:tcPr>
            <w:tcW w:w="572" w:type="pct"/>
            <w:noWrap/>
            <w:vAlign w:val="center"/>
          </w:tcPr>
          <w:p w14:paraId="2A6156A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0.30</w:t>
            </w:r>
          </w:p>
        </w:tc>
        <w:tc>
          <w:tcPr>
            <w:tcW w:w="600" w:type="pct"/>
            <w:noWrap/>
            <w:vAlign w:val="center"/>
          </w:tcPr>
          <w:p w14:paraId="0280B7E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928</w:t>
            </w:r>
          </w:p>
        </w:tc>
        <w:tc>
          <w:tcPr>
            <w:tcW w:w="655" w:type="pct"/>
            <w:vMerge w:val="continue"/>
            <w:noWrap/>
            <w:vAlign w:val="center"/>
          </w:tcPr>
          <w:p w14:paraId="66BCEFC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707" w:type="pct"/>
            <w:noWrap/>
            <w:vAlign w:val="center"/>
          </w:tcPr>
          <w:p w14:paraId="6CFC7F8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r w14:paraId="1A351F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162" w:type="pct"/>
            <w:gridSpan w:val="2"/>
            <w:noWrap/>
            <w:vAlign w:val="center"/>
          </w:tcPr>
          <w:p w14:paraId="7E86408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合     计</w:t>
            </w:r>
          </w:p>
        </w:tc>
        <w:tc>
          <w:tcPr>
            <w:tcW w:w="729" w:type="pct"/>
            <w:noWrap/>
            <w:vAlign w:val="center"/>
          </w:tcPr>
          <w:p w14:paraId="669F836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4.0745 </w:t>
            </w:r>
          </w:p>
        </w:tc>
        <w:tc>
          <w:tcPr>
            <w:tcW w:w="572" w:type="pct"/>
            <w:noWrap/>
            <w:vAlign w:val="center"/>
          </w:tcPr>
          <w:p w14:paraId="2DB25A1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 3.2066</w:t>
            </w:r>
          </w:p>
        </w:tc>
        <w:tc>
          <w:tcPr>
            <w:tcW w:w="572" w:type="pct"/>
            <w:noWrap/>
            <w:vAlign w:val="center"/>
          </w:tcPr>
          <w:p w14:paraId="70F29AA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00" w:type="pct"/>
            <w:noWrap/>
            <w:vAlign w:val="center"/>
          </w:tcPr>
          <w:p w14:paraId="087E4A0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9621</w:t>
            </w:r>
          </w:p>
        </w:tc>
        <w:tc>
          <w:tcPr>
            <w:tcW w:w="655" w:type="pct"/>
            <w:noWrap/>
            <w:vAlign w:val="center"/>
          </w:tcPr>
          <w:p w14:paraId="016C574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9200</w:t>
            </w:r>
          </w:p>
        </w:tc>
        <w:tc>
          <w:tcPr>
            <w:tcW w:w="707" w:type="pct"/>
            <w:noWrap/>
            <w:vAlign w:val="center"/>
          </w:tcPr>
          <w:p w14:paraId="2E5529D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543</w:t>
            </w:r>
          </w:p>
        </w:tc>
      </w:tr>
      <w:bookmarkEnd w:id="178"/>
    </w:tbl>
    <w:p w14:paraId="05842AB7">
      <w:pPr>
        <w:pStyle w:val="5"/>
        <w:rPr>
          <w:rFonts w:hint="default" w:ascii="Times New Roman" w:hAnsi="Times New Roman" w:eastAsia="黑体" w:cs="Times New Roman"/>
          <w:b w:val="0"/>
          <w:bCs w:val="0"/>
          <w:color w:val="auto"/>
          <w:szCs w:val="28"/>
          <w:highlight w:val="none"/>
        </w:rPr>
      </w:pPr>
      <w:r>
        <w:rPr>
          <w:rFonts w:hint="default" w:ascii="Times New Roman" w:hAnsi="Times New Roman" w:eastAsia="黑体" w:cs="Times New Roman"/>
          <w:b w:val="0"/>
          <w:bCs w:val="0"/>
          <w:color w:val="auto"/>
          <w:szCs w:val="28"/>
          <w:highlight w:val="none"/>
        </w:rPr>
        <w:t>（四）土地复垦质量要求</w:t>
      </w:r>
      <w:bookmarkEnd w:id="179"/>
    </w:p>
    <w:p w14:paraId="490CFAED">
      <w:pPr>
        <w:keepNext w:val="0"/>
        <w:keepLines w:val="0"/>
        <w:pageBreakBefore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依据《土地复垦质量控制标准》（TD/T</w:t>
      </w:r>
      <w:r>
        <w:rPr>
          <w:rFonts w:hint="eastAsia" w:ascii="Times New Roman" w:hAnsi="Times New Roman" w:cs="Times New Roman"/>
          <w:color w:val="auto"/>
          <w:sz w:val="24"/>
          <w:highlight w:val="none"/>
          <w:lang w:val="en-US" w:eastAsia="zh-CN"/>
        </w:rPr>
        <w:t xml:space="preserve"> </w:t>
      </w:r>
      <w:r>
        <w:rPr>
          <w:rFonts w:hint="default" w:ascii="Times New Roman" w:hAnsi="Times New Roman" w:cs="Times New Roman"/>
          <w:color w:val="auto"/>
          <w:sz w:val="24"/>
          <w:highlight w:val="none"/>
        </w:rPr>
        <w:t>1036-2013），结合复垦责任区实际情况，针对各复垦单元复垦方向为乔木林地，制定以下复垦标准。</w:t>
      </w:r>
    </w:p>
    <w:p w14:paraId="66B2DFF4">
      <w:pPr>
        <w:pStyle w:val="156"/>
        <w:keepNext w:val="0"/>
        <w:keepLines w:val="0"/>
        <w:pageBreakBefore w:val="0"/>
        <w:kinsoku/>
        <w:wordWrap/>
        <w:overflowPunct/>
        <w:topLinePunct w:val="0"/>
        <w:autoSpaceDE/>
        <w:autoSpaceDN/>
        <w:bidi w:val="0"/>
        <w:adjustRightInd/>
        <w:snapToGrid/>
        <w:ind w:firstLine="479" w:firstLineChars="199"/>
        <w:textAlignment w:val="auto"/>
        <w:rPr>
          <w:rFonts w:hint="default" w:ascii="Times New Roman" w:hAnsi="Times New Roman" w:eastAsia="宋体" w:cs="Times New Roman"/>
          <w:b/>
          <w:color w:val="auto"/>
          <w:szCs w:val="24"/>
          <w:highlight w:val="none"/>
        </w:rPr>
      </w:pPr>
      <w:r>
        <w:rPr>
          <w:rFonts w:hint="default" w:ascii="Times New Roman" w:hAnsi="Times New Roman" w:eastAsia="宋体" w:cs="Times New Roman"/>
          <w:b/>
          <w:color w:val="auto"/>
          <w:highlight w:val="none"/>
        </w:rPr>
        <w:t>复垦为</w:t>
      </w:r>
      <w:r>
        <w:rPr>
          <w:rFonts w:hint="eastAsia" w:eastAsia="宋体" w:cs="Times New Roman"/>
          <w:b/>
          <w:color w:val="auto"/>
          <w:highlight w:val="none"/>
          <w:lang w:val="en-US" w:eastAsia="zh-CN"/>
        </w:rPr>
        <w:t>乔木</w:t>
      </w:r>
      <w:r>
        <w:rPr>
          <w:rFonts w:hint="default" w:ascii="Times New Roman" w:hAnsi="Times New Roman" w:eastAsia="宋体" w:cs="Times New Roman"/>
          <w:b/>
          <w:color w:val="auto"/>
          <w:highlight w:val="none"/>
        </w:rPr>
        <w:t>林地的</w:t>
      </w:r>
      <w:r>
        <w:rPr>
          <w:rFonts w:hint="default" w:ascii="Times New Roman" w:hAnsi="Times New Roman" w:eastAsia="宋体" w:cs="Times New Roman"/>
          <w:b/>
          <w:color w:val="auto"/>
          <w:szCs w:val="24"/>
          <w:highlight w:val="none"/>
        </w:rPr>
        <w:t>工程标准和生态恢复标准：</w:t>
      </w:r>
    </w:p>
    <w:p w14:paraId="723FA0C3">
      <w:pPr>
        <w:pStyle w:val="156"/>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1）复垦的场地及边坡稳定性可靠；</w:t>
      </w:r>
    </w:p>
    <w:p w14:paraId="700E00CC">
      <w:pPr>
        <w:pStyle w:val="156"/>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2）复垦为乔木林地平整地面坡度不大于15°；</w:t>
      </w:r>
    </w:p>
    <w:p w14:paraId="02357852">
      <w:pPr>
        <w:pStyle w:val="156"/>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3）</w:t>
      </w:r>
      <w:r>
        <w:rPr>
          <w:rFonts w:hint="default" w:ascii="Times New Roman" w:hAnsi="Times New Roman" w:eastAsia="宋体" w:cs="Times New Roman"/>
          <w:color w:val="auto"/>
          <w:szCs w:val="24"/>
          <w:highlight w:val="none"/>
          <w:lang w:eastAsia="zh-CN"/>
        </w:rPr>
        <w:t>复垦</w:t>
      </w:r>
      <w:r>
        <w:rPr>
          <w:rFonts w:hint="default" w:ascii="Times New Roman" w:hAnsi="Times New Roman" w:eastAsia="宋体" w:cs="Times New Roman"/>
          <w:color w:val="auto"/>
          <w:szCs w:val="24"/>
          <w:highlight w:val="none"/>
        </w:rPr>
        <w:t>后的复垦场地规范；</w:t>
      </w:r>
    </w:p>
    <w:p w14:paraId="5D458E7C">
      <w:pPr>
        <w:pStyle w:val="156"/>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 xml:space="preserve">4）复垦场地可满足当地排水要求；  </w:t>
      </w:r>
    </w:p>
    <w:p w14:paraId="4297A949">
      <w:pPr>
        <w:pStyle w:val="156"/>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5）复垦场地后有预防水土流失措施；</w:t>
      </w:r>
    </w:p>
    <w:p w14:paraId="433D7E93">
      <w:pPr>
        <w:pStyle w:val="156"/>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6）复垦乔木林地场地的有效土层厚度不小于0.3m；</w:t>
      </w:r>
    </w:p>
    <w:p w14:paraId="7B7505ED">
      <w:pPr>
        <w:pStyle w:val="156"/>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7）选择适宜树种，特别是乡土树种和抗逆性能好的树种；</w:t>
      </w:r>
    </w:p>
    <w:p w14:paraId="37E2CD7C">
      <w:pPr>
        <w:pStyle w:val="156"/>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color w:val="auto"/>
          <w:szCs w:val="24"/>
          <w:highlight w:val="none"/>
        </w:rPr>
      </w:pPr>
      <w:r>
        <w:rPr>
          <w:rFonts w:hint="eastAsia" w:eastAsia="宋体" w:cs="Times New Roman"/>
          <w:color w:val="auto"/>
          <w:szCs w:val="24"/>
          <w:highlight w:val="none"/>
          <w:lang w:val="en-US" w:eastAsia="zh-CN"/>
        </w:rPr>
        <w:t>8</w:t>
      </w:r>
      <w:r>
        <w:rPr>
          <w:rFonts w:hint="default" w:ascii="Times New Roman" w:hAnsi="Times New Roman" w:eastAsia="宋体" w:cs="Times New Roman"/>
          <w:color w:val="auto"/>
          <w:szCs w:val="24"/>
          <w:highlight w:val="none"/>
        </w:rPr>
        <w:t>）3年后树木郁闭度不小于0.3，保存率大于80%。</w:t>
      </w:r>
    </w:p>
    <w:bookmarkEnd w:id="120"/>
    <w:bookmarkEnd w:id="121"/>
    <w:p w14:paraId="50899020">
      <w:pPr>
        <w:pStyle w:val="3"/>
        <w:jc w:val="center"/>
        <w:rPr>
          <w:rFonts w:hint="default" w:ascii="Times New Roman" w:hAnsi="Times New Roman" w:cs="Times New Roman"/>
          <w:bCs w:val="0"/>
          <w:color w:val="auto"/>
          <w:sz w:val="32"/>
          <w:szCs w:val="32"/>
          <w:highlight w:val="none"/>
        </w:rPr>
      </w:pPr>
      <w:bookmarkStart w:id="180" w:name="_Toc508869984"/>
      <w:bookmarkStart w:id="181" w:name="_Toc23855649"/>
      <w:bookmarkStart w:id="182" w:name="_Toc485629713"/>
      <w:r>
        <w:rPr>
          <w:rFonts w:hint="default" w:ascii="Times New Roman" w:hAnsi="Times New Roman" w:cs="Times New Roman"/>
          <w:bCs w:val="0"/>
          <w:color w:val="auto"/>
          <w:sz w:val="32"/>
          <w:szCs w:val="32"/>
          <w:highlight w:val="none"/>
        </w:rPr>
        <w:br w:type="page"/>
      </w:r>
      <w:bookmarkStart w:id="183" w:name="_Toc27631"/>
      <w:r>
        <w:rPr>
          <w:rFonts w:hint="default" w:ascii="Times New Roman" w:hAnsi="Times New Roman" w:cs="Times New Roman"/>
          <w:bCs w:val="0"/>
          <w:color w:val="auto"/>
          <w:sz w:val="32"/>
          <w:szCs w:val="32"/>
          <w:highlight w:val="none"/>
        </w:rPr>
        <w:t>第五章  矿山地质环境治理与土地复垦工程</w:t>
      </w:r>
      <w:bookmarkEnd w:id="180"/>
      <w:bookmarkEnd w:id="181"/>
      <w:bookmarkEnd w:id="182"/>
      <w:bookmarkEnd w:id="183"/>
    </w:p>
    <w:p w14:paraId="0E542D56">
      <w:pPr>
        <w:keepNext/>
        <w:keepLines/>
        <w:widowControl w:val="0"/>
        <w:spacing w:before="260" w:after="260" w:line="415" w:lineRule="auto"/>
        <w:outlineLvl w:val="1"/>
        <w:rPr>
          <w:rFonts w:hint="default" w:ascii="Times New Roman" w:hAnsi="Times New Roman" w:eastAsia="黑体" w:cs="Times New Roman"/>
          <w:bCs/>
          <w:color w:val="auto"/>
          <w:sz w:val="30"/>
          <w:szCs w:val="30"/>
          <w:highlight w:val="none"/>
        </w:rPr>
      </w:pPr>
      <w:bookmarkStart w:id="184" w:name="_Toc1737"/>
      <w:bookmarkStart w:id="185" w:name="_Toc23855650"/>
      <w:bookmarkStart w:id="186" w:name="_Toc485629714"/>
      <w:bookmarkStart w:id="187" w:name="_Toc508869985"/>
      <w:r>
        <w:rPr>
          <w:rFonts w:hint="default" w:ascii="Times New Roman" w:hAnsi="Times New Roman" w:eastAsia="黑体" w:cs="Times New Roman"/>
          <w:bCs/>
          <w:color w:val="auto"/>
          <w:sz w:val="30"/>
          <w:szCs w:val="30"/>
          <w:highlight w:val="none"/>
        </w:rPr>
        <w:t>一、矿山地质环境保护与土地复垦预防</w:t>
      </w:r>
      <w:bookmarkEnd w:id="184"/>
      <w:bookmarkEnd w:id="185"/>
      <w:bookmarkEnd w:id="186"/>
      <w:bookmarkEnd w:id="187"/>
    </w:p>
    <w:p w14:paraId="727C69A8">
      <w:pPr>
        <w:pStyle w:val="5"/>
        <w:rPr>
          <w:rFonts w:hint="default" w:ascii="Times New Roman" w:hAnsi="Times New Roman" w:eastAsia="黑体" w:cs="Times New Roman"/>
          <w:b w:val="0"/>
          <w:bCs w:val="0"/>
          <w:color w:val="auto"/>
          <w:szCs w:val="28"/>
          <w:highlight w:val="none"/>
        </w:rPr>
      </w:pPr>
      <w:bookmarkStart w:id="188" w:name="_Toc4925"/>
      <w:bookmarkStart w:id="189" w:name="_Toc485629718"/>
      <w:r>
        <w:rPr>
          <w:rFonts w:hint="default" w:ascii="Times New Roman" w:hAnsi="Times New Roman" w:eastAsia="黑体" w:cs="Times New Roman"/>
          <w:b w:val="0"/>
          <w:bCs w:val="0"/>
          <w:color w:val="auto"/>
          <w:szCs w:val="28"/>
          <w:highlight w:val="none"/>
        </w:rPr>
        <w:t>（一）目标任务</w:t>
      </w:r>
      <w:bookmarkEnd w:id="188"/>
    </w:p>
    <w:p w14:paraId="77490708">
      <w:pPr>
        <w:spacing w:line="360" w:lineRule="auto"/>
        <w:ind w:firstLine="480" w:firstLineChars="200"/>
        <w:rPr>
          <w:rFonts w:hint="default" w:ascii="Times New Roman" w:hAnsi="Times New Roman" w:cs="Times New Roman"/>
          <w:color w:val="auto"/>
          <w:sz w:val="24"/>
          <w:highlight w:val="none"/>
        </w:rPr>
      </w:pPr>
      <w:bookmarkStart w:id="190" w:name="_Toc16513"/>
      <w:r>
        <w:rPr>
          <w:rFonts w:hint="eastAsia" w:cs="Times New Roman"/>
          <w:color w:val="auto"/>
          <w:sz w:val="24"/>
          <w:highlight w:val="none"/>
          <w:lang w:eastAsia="zh-CN"/>
        </w:rPr>
        <w:t>北大湖采石场</w:t>
      </w:r>
      <w:r>
        <w:rPr>
          <w:rFonts w:hint="default" w:ascii="Times New Roman" w:hAnsi="Times New Roman" w:cs="Times New Roman"/>
          <w:color w:val="auto"/>
          <w:sz w:val="24"/>
          <w:highlight w:val="none"/>
        </w:rPr>
        <w:t>矿山地质环境治理与土地复垦工程，应贯彻</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以防为主，防治结合</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在保护中开发，在开发中保护</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依靠科技进步，发展循环经济，建设绿色矿业</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因地制宜，边开采边治理</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的原则，以达到保护地质环境、避免和减少采矿引起的损失，恢复地貌景观的目的。</w:t>
      </w:r>
    </w:p>
    <w:p w14:paraId="6654E685">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根据矿山地质环境影响和土地复垦评估，</w:t>
      </w:r>
      <w:r>
        <w:rPr>
          <w:rFonts w:hint="eastAsia" w:cs="Times New Roman"/>
          <w:color w:val="auto"/>
          <w:sz w:val="24"/>
          <w:highlight w:val="none"/>
          <w:lang w:eastAsia="zh-CN"/>
        </w:rPr>
        <w:t>北大湖采石场</w:t>
      </w:r>
      <w:r>
        <w:rPr>
          <w:rFonts w:hint="default" w:ascii="Times New Roman" w:hAnsi="Times New Roman" w:cs="Times New Roman"/>
          <w:color w:val="auto"/>
          <w:sz w:val="24"/>
          <w:highlight w:val="none"/>
        </w:rPr>
        <w:t>存在的矿山地质环境问题主要是开采对地形地貌景观的损毁、对土地资源的压占以及水土污染。</w:t>
      </w:r>
    </w:p>
    <w:p w14:paraId="6B3F15CA">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为了减少矿区内因采矿活动对地形地貌景观及土地资源造成的破坏，避免或减缓矿山地质灾害与土地破坏的发生，提高生态环境为主，注重减轻地质灾害与周围环境协调原则，需采取必要的矿山地质环境保护与土地复垦预防措施。预防措施应</w:t>
      </w:r>
      <w:r>
        <w:rPr>
          <w:rFonts w:hint="default" w:ascii="Times New Roman" w:hAnsi="Times New Roman" w:cs="Times New Roman"/>
          <w:color w:val="auto"/>
          <w:sz w:val="24"/>
          <w:highlight w:val="none"/>
          <w:lang w:eastAsia="zh-CN"/>
        </w:rPr>
        <w:t>遵循以下原则</w:t>
      </w:r>
      <w:r>
        <w:rPr>
          <w:rFonts w:hint="default" w:ascii="Times New Roman" w:hAnsi="Times New Roman" w:cs="Times New Roman"/>
          <w:color w:val="auto"/>
          <w:sz w:val="24"/>
          <w:highlight w:val="none"/>
        </w:rPr>
        <w:t>：</w:t>
      </w:r>
    </w:p>
    <w:p w14:paraId="42CA6560">
      <w:pPr>
        <w:spacing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1、与</w:t>
      </w:r>
      <w:r>
        <w:rPr>
          <w:rFonts w:hint="eastAsia" w:cs="Times New Roman"/>
          <w:b/>
          <w:bCs/>
          <w:color w:val="auto"/>
          <w:sz w:val="24"/>
          <w:highlight w:val="none"/>
          <w:lang w:eastAsia="zh-CN"/>
        </w:rPr>
        <w:t>北大湖采石场</w:t>
      </w:r>
      <w:r>
        <w:rPr>
          <w:rFonts w:hint="default" w:ascii="Times New Roman" w:hAnsi="Times New Roman" w:cs="Times New Roman"/>
          <w:b/>
          <w:bCs/>
          <w:color w:val="auto"/>
          <w:sz w:val="24"/>
          <w:highlight w:val="none"/>
        </w:rPr>
        <w:t>开采统一规划原则</w:t>
      </w:r>
    </w:p>
    <w:p w14:paraId="38F6FE9B">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将矿山地质环境保护与土地复垦方案纳入</w:t>
      </w:r>
      <w:r>
        <w:rPr>
          <w:rFonts w:hint="eastAsia" w:cs="Times New Roman"/>
          <w:color w:val="auto"/>
          <w:sz w:val="24"/>
          <w:highlight w:val="none"/>
          <w:lang w:eastAsia="zh-CN"/>
        </w:rPr>
        <w:t>北大湖采石场</w:t>
      </w:r>
      <w:r>
        <w:rPr>
          <w:rFonts w:hint="default" w:ascii="Times New Roman" w:hAnsi="Times New Roman" w:cs="Times New Roman"/>
          <w:color w:val="auto"/>
          <w:sz w:val="24"/>
          <w:highlight w:val="none"/>
        </w:rPr>
        <w:t>开采生产计划，环境保护土地复垦应当和</w:t>
      </w:r>
      <w:r>
        <w:rPr>
          <w:rFonts w:hint="eastAsia" w:cs="Times New Roman"/>
          <w:color w:val="auto"/>
          <w:sz w:val="24"/>
          <w:highlight w:val="none"/>
          <w:lang w:eastAsia="zh-CN"/>
        </w:rPr>
        <w:t>北大湖采石场</w:t>
      </w:r>
      <w:r>
        <w:rPr>
          <w:rFonts w:hint="default" w:ascii="Times New Roman" w:hAnsi="Times New Roman" w:cs="Times New Roman"/>
          <w:color w:val="auto"/>
          <w:sz w:val="24"/>
          <w:highlight w:val="none"/>
        </w:rPr>
        <w:t>开采生产同步设计。</w:t>
      </w:r>
    </w:p>
    <w:p w14:paraId="173B27C1">
      <w:pPr>
        <w:spacing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2、源头控制、防治结合原则</w:t>
      </w:r>
    </w:p>
    <w:p w14:paraId="126F00F7">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从源头采取控制措施，尽量减少对环境和土地造成不必要的损毁。坚持预防为主、防治结合原则，使矿山地质环境与土地资源损毁面积和程度控制在最小范围和最低限度。</w:t>
      </w:r>
    </w:p>
    <w:p w14:paraId="3CF1D919">
      <w:pPr>
        <w:spacing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3、坚持经济可行原则</w:t>
      </w:r>
    </w:p>
    <w:p w14:paraId="1B587E5D">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在矿山地质环境保护与土地复垦方案的设计中，从实际出发，充分考虑其合理性，避免重复投资，以较少的投入争取最大的效益。</w:t>
      </w:r>
    </w:p>
    <w:p w14:paraId="22AA5FA8">
      <w:pPr>
        <w:spacing w:line="360" w:lineRule="auto"/>
        <w:ind w:firstLine="480" w:firstLineChars="200"/>
        <w:rPr>
          <w:rFonts w:hint="default" w:ascii="Times New Roman" w:hAnsi="Times New Roman" w:cs="Times New Roman"/>
          <w:color w:val="auto"/>
          <w:sz w:val="24"/>
          <w:highlight w:val="none"/>
        </w:rPr>
      </w:pPr>
    </w:p>
    <w:bookmarkEnd w:id="189"/>
    <w:bookmarkEnd w:id="190"/>
    <w:p w14:paraId="19E4CD4F">
      <w:pPr>
        <w:pStyle w:val="5"/>
        <w:rPr>
          <w:rFonts w:hint="default" w:ascii="Times New Roman" w:hAnsi="Times New Roman" w:eastAsia="黑体" w:cs="Times New Roman"/>
          <w:b w:val="0"/>
          <w:bCs w:val="0"/>
          <w:color w:val="auto"/>
          <w:szCs w:val="28"/>
          <w:highlight w:val="none"/>
        </w:rPr>
      </w:pPr>
      <w:r>
        <w:rPr>
          <w:rFonts w:hint="default" w:ascii="Times New Roman" w:hAnsi="Times New Roman" w:eastAsia="黑体" w:cs="Times New Roman"/>
          <w:b w:val="0"/>
          <w:bCs w:val="0"/>
          <w:color w:val="auto"/>
          <w:szCs w:val="28"/>
          <w:highlight w:val="none"/>
          <w:lang w:eastAsia="zh-CN"/>
        </w:rPr>
        <w:t>（</w:t>
      </w:r>
      <w:r>
        <w:rPr>
          <w:rFonts w:hint="default" w:ascii="Times New Roman" w:hAnsi="Times New Roman" w:eastAsia="黑体" w:cs="Times New Roman"/>
          <w:b w:val="0"/>
          <w:bCs w:val="0"/>
          <w:color w:val="auto"/>
          <w:szCs w:val="28"/>
          <w:highlight w:val="none"/>
        </w:rPr>
        <w:t>二）主要技术措施</w:t>
      </w:r>
    </w:p>
    <w:p w14:paraId="56DEBE7A">
      <w:pPr>
        <w:spacing w:line="360" w:lineRule="auto"/>
        <w:ind w:firstLine="482" w:firstLineChars="200"/>
        <w:rPr>
          <w:rFonts w:hint="default" w:ascii="Times New Roman" w:hAnsi="Times New Roman" w:cs="Times New Roman"/>
          <w:b/>
          <w:bCs w:val="0"/>
          <w:color w:val="auto"/>
          <w:sz w:val="24"/>
          <w:highlight w:val="none"/>
        </w:rPr>
      </w:pPr>
      <w:r>
        <w:rPr>
          <w:rFonts w:hint="default" w:ascii="Times New Roman" w:hAnsi="Times New Roman" w:cs="Times New Roman"/>
          <w:b/>
          <w:bCs w:val="0"/>
          <w:color w:val="auto"/>
          <w:sz w:val="24"/>
          <w:highlight w:val="none"/>
        </w:rPr>
        <w:t>1、</w:t>
      </w:r>
      <w:bookmarkStart w:id="191" w:name="_Hlk34302291"/>
      <w:r>
        <w:rPr>
          <w:rFonts w:hint="default" w:ascii="Times New Roman" w:hAnsi="Times New Roman" w:cs="Times New Roman"/>
          <w:b/>
          <w:bCs w:val="0"/>
          <w:color w:val="auto"/>
          <w:sz w:val="24"/>
          <w:highlight w:val="none"/>
        </w:rPr>
        <w:t>矿山地质灾害预防措施</w:t>
      </w:r>
      <w:bookmarkEnd w:id="191"/>
    </w:p>
    <w:p w14:paraId="7EFBE570">
      <w:pPr>
        <w:spacing w:line="360" w:lineRule="auto"/>
        <w:ind w:firstLine="480" w:firstLineChars="200"/>
        <w:rPr>
          <w:rFonts w:hint="default" w:ascii="Times New Roman" w:hAnsi="Times New Roman" w:cs="Times New Roman"/>
          <w:b w:val="0"/>
          <w:bCs/>
          <w:color w:val="auto"/>
          <w:sz w:val="24"/>
          <w:highlight w:val="none"/>
        </w:rPr>
      </w:pPr>
      <w:r>
        <w:rPr>
          <w:rFonts w:hint="default" w:ascii="Times New Roman" w:hAnsi="Times New Roman" w:cs="Times New Roman"/>
          <w:b w:val="0"/>
          <w:bCs/>
          <w:color w:val="auto"/>
          <w:sz w:val="24"/>
          <w:highlight w:val="none"/>
          <w:lang w:val="en-US" w:eastAsia="zh-CN"/>
        </w:rPr>
        <w:t>矿山为露天</w:t>
      </w:r>
      <w:r>
        <w:rPr>
          <w:rFonts w:hint="eastAsia" w:cs="Times New Roman"/>
          <w:b w:val="0"/>
          <w:bCs/>
          <w:color w:val="auto"/>
          <w:sz w:val="24"/>
          <w:highlight w:val="none"/>
          <w:lang w:eastAsia="zh-CN"/>
        </w:rPr>
        <w:t>开采</w:t>
      </w:r>
      <w:r>
        <w:rPr>
          <w:rFonts w:hint="default" w:ascii="Times New Roman" w:hAnsi="Times New Roman" w:cs="Times New Roman"/>
          <w:b w:val="0"/>
          <w:bCs/>
          <w:color w:val="auto"/>
          <w:sz w:val="24"/>
          <w:highlight w:val="none"/>
        </w:rPr>
        <w:t>矿山，预测开采引发地质灾害</w:t>
      </w:r>
      <w:r>
        <w:rPr>
          <w:rFonts w:hint="default" w:ascii="Times New Roman" w:hAnsi="Times New Roman" w:cs="Times New Roman"/>
          <w:b w:val="0"/>
          <w:bCs/>
          <w:color w:val="auto"/>
          <w:sz w:val="24"/>
          <w:highlight w:val="none"/>
          <w:lang w:val="en-US" w:eastAsia="zh-CN"/>
        </w:rPr>
        <w:t>的可能性小</w:t>
      </w:r>
      <w:r>
        <w:rPr>
          <w:rFonts w:hint="default" w:ascii="Times New Roman" w:hAnsi="Times New Roman" w:cs="Times New Roman"/>
          <w:b w:val="0"/>
          <w:bCs/>
          <w:color w:val="auto"/>
          <w:sz w:val="24"/>
          <w:highlight w:val="none"/>
        </w:rPr>
        <w:t>。</w:t>
      </w:r>
      <w:r>
        <w:rPr>
          <w:rFonts w:hint="default" w:ascii="Times New Roman" w:hAnsi="Times New Roman" w:cs="Times New Roman"/>
          <w:b w:val="0"/>
          <w:bCs/>
          <w:color w:val="auto"/>
          <w:sz w:val="24"/>
          <w:highlight w:val="none"/>
          <w:lang w:val="en-US" w:eastAsia="zh-CN"/>
        </w:rPr>
        <w:t>矿山以往露天开采形成</w:t>
      </w:r>
      <w:r>
        <w:rPr>
          <w:rFonts w:hint="eastAsia" w:cs="Times New Roman"/>
          <w:b w:val="0"/>
          <w:bCs/>
          <w:color w:val="auto"/>
          <w:sz w:val="24"/>
          <w:highlight w:val="none"/>
          <w:lang w:val="en-US" w:eastAsia="zh-CN"/>
        </w:rPr>
        <w:t>一</w:t>
      </w:r>
      <w:r>
        <w:rPr>
          <w:rFonts w:hint="default" w:ascii="Times New Roman" w:hAnsi="Times New Roman" w:cs="Times New Roman"/>
          <w:b w:val="0"/>
          <w:bCs/>
          <w:color w:val="auto"/>
          <w:sz w:val="24"/>
          <w:highlight w:val="none"/>
          <w:lang w:val="en-US" w:eastAsia="zh-CN"/>
        </w:rPr>
        <w:t>个露天采坑。根据开发方案，主体工程</w:t>
      </w:r>
      <w:r>
        <w:rPr>
          <w:rFonts w:hint="eastAsia" w:cs="Times New Roman"/>
          <w:b w:val="0"/>
          <w:bCs/>
          <w:color w:val="auto"/>
          <w:sz w:val="24"/>
          <w:highlight w:val="none"/>
          <w:lang w:val="en-US" w:eastAsia="zh-CN"/>
        </w:rPr>
        <w:t>已</w:t>
      </w:r>
      <w:r>
        <w:rPr>
          <w:rFonts w:hint="default" w:ascii="Times New Roman" w:hAnsi="Times New Roman" w:cs="Times New Roman"/>
          <w:b w:val="0"/>
          <w:bCs/>
          <w:color w:val="auto"/>
          <w:sz w:val="24"/>
          <w:highlight w:val="none"/>
          <w:lang w:val="en-US" w:eastAsia="zh-CN"/>
        </w:rPr>
        <w:t>在露天采坑境界外设置截洪沟，</w:t>
      </w:r>
      <w:r>
        <w:rPr>
          <w:rFonts w:hint="default" w:ascii="Times New Roman" w:hAnsi="Times New Roman" w:cs="Times New Roman"/>
          <w:b w:val="0"/>
          <w:bCs/>
          <w:color w:val="auto"/>
          <w:sz w:val="24"/>
          <w:highlight w:val="none"/>
        </w:rPr>
        <w:t>减少雨水对场地及填方边坡的冲刷，达到防治的目的。</w:t>
      </w:r>
    </w:p>
    <w:p w14:paraId="1A2496F5">
      <w:pPr>
        <w:spacing w:line="360" w:lineRule="auto"/>
        <w:ind w:firstLine="480" w:firstLineChars="200"/>
        <w:rPr>
          <w:rFonts w:hint="default" w:ascii="Times New Roman" w:hAnsi="Times New Roman" w:cs="Times New Roman"/>
          <w:b w:val="0"/>
          <w:bCs/>
          <w:color w:val="auto"/>
          <w:sz w:val="24"/>
          <w:highlight w:val="none"/>
        </w:rPr>
      </w:pPr>
      <w:r>
        <w:rPr>
          <w:rFonts w:hint="default" w:ascii="Times New Roman" w:hAnsi="Times New Roman" w:cs="Times New Roman"/>
          <w:b w:val="0"/>
          <w:bCs/>
          <w:color w:val="auto"/>
          <w:sz w:val="24"/>
          <w:highlight w:val="none"/>
        </w:rPr>
        <w:t>结合以上特点，制定以下地质灾害预防措施：</w:t>
      </w:r>
    </w:p>
    <w:p w14:paraId="0AEEA584">
      <w:pPr>
        <w:spacing w:line="360" w:lineRule="auto"/>
        <w:ind w:firstLine="480" w:firstLineChars="200"/>
        <w:rPr>
          <w:rFonts w:hint="default" w:ascii="Times New Roman" w:hAnsi="Times New Roman" w:cs="Times New Roman"/>
          <w:b w:val="0"/>
          <w:bCs/>
          <w:color w:val="auto"/>
          <w:sz w:val="24"/>
          <w:highlight w:val="none"/>
        </w:rPr>
      </w:pPr>
      <w:r>
        <w:rPr>
          <w:rFonts w:hint="default" w:ascii="Times New Roman" w:hAnsi="Times New Roman" w:cs="Times New Roman"/>
          <w:b w:val="0"/>
          <w:bCs/>
          <w:color w:val="auto"/>
          <w:sz w:val="24"/>
          <w:highlight w:val="none"/>
        </w:rPr>
        <w:t>1）管理宣传</w:t>
      </w:r>
    </w:p>
    <w:p w14:paraId="731804F4">
      <w:pPr>
        <w:spacing w:line="360" w:lineRule="auto"/>
        <w:ind w:firstLine="480" w:firstLineChars="200"/>
        <w:rPr>
          <w:rFonts w:hint="default" w:ascii="Times New Roman" w:hAnsi="Times New Roman" w:cs="Times New Roman"/>
          <w:b w:val="0"/>
          <w:bCs/>
          <w:color w:val="auto"/>
          <w:sz w:val="24"/>
          <w:highlight w:val="none"/>
        </w:rPr>
      </w:pPr>
      <w:r>
        <w:rPr>
          <w:rFonts w:hint="default" w:ascii="Times New Roman" w:hAnsi="Times New Roman" w:cs="Times New Roman"/>
          <w:b w:val="0"/>
          <w:bCs/>
          <w:color w:val="auto"/>
          <w:sz w:val="24"/>
          <w:highlight w:val="none"/>
        </w:rPr>
        <w:t>a）坚持预防为主，防治结合的方针，严把矿山生态地质环境准入关，大力宣传</w:t>
      </w:r>
      <w:r>
        <w:rPr>
          <w:rFonts w:hint="eastAsia" w:ascii="Times New Roman" w:hAnsi="Times New Roman" w:cs="Times New Roman"/>
          <w:b w:val="0"/>
          <w:bCs/>
          <w:color w:val="auto"/>
          <w:sz w:val="24"/>
          <w:highlight w:val="none"/>
          <w:lang w:eastAsia="zh-CN"/>
        </w:rPr>
        <w:t>“</w:t>
      </w:r>
      <w:r>
        <w:rPr>
          <w:rFonts w:hint="default" w:ascii="Times New Roman" w:hAnsi="Times New Roman" w:cs="Times New Roman"/>
          <w:b w:val="0"/>
          <w:bCs/>
          <w:color w:val="auto"/>
          <w:sz w:val="24"/>
          <w:highlight w:val="none"/>
        </w:rPr>
        <w:t>合理开发矿产资源，有效保护生态环境</w:t>
      </w:r>
      <w:r>
        <w:rPr>
          <w:rFonts w:hint="eastAsia" w:ascii="Times New Roman" w:hAnsi="Times New Roman" w:cs="Times New Roman"/>
          <w:b w:val="0"/>
          <w:bCs/>
          <w:color w:val="auto"/>
          <w:sz w:val="24"/>
          <w:highlight w:val="none"/>
          <w:lang w:eastAsia="zh-CN"/>
        </w:rPr>
        <w:t>”</w:t>
      </w:r>
      <w:r>
        <w:rPr>
          <w:rFonts w:hint="default" w:ascii="Times New Roman" w:hAnsi="Times New Roman" w:cs="Times New Roman"/>
          <w:b w:val="0"/>
          <w:bCs/>
          <w:color w:val="auto"/>
          <w:sz w:val="24"/>
          <w:highlight w:val="none"/>
        </w:rPr>
        <w:t>；</w:t>
      </w:r>
    </w:p>
    <w:p w14:paraId="7E3BF1DD">
      <w:pPr>
        <w:spacing w:line="360" w:lineRule="auto"/>
        <w:ind w:firstLine="480" w:firstLineChars="200"/>
        <w:rPr>
          <w:rFonts w:hint="default" w:ascii="Times New Roman" w:hAnsi="Times New Roman" w:cs="Times New Roman"/>
          <w:b w:val="0"/>
          <w:bCs/>
          <w:color w:val="auto"/>
          <w:sz w:val="24"/>
          <w:highlight w:val="none"/>
        </w:rPr>
      </w:pPr>
      <w:r>
        <w:rPr>
          <w:rFonts w:hint="default" w:ascii="Times New Roman" w:hAnsi="Times New Roman" w:cs="Times New Roman"/>
          <w:b w:val="0"/>
          <w:bCs/>
          <w:color w:val="auto"/>
          <w:sz w:val="24"/>
          <w:highlight w:val="none"/>
        </w:rPr>
        <w:t>b）坚持</w:t>
      </w:r>
      <w:r>
        <w:rPr>
          <w:rFonts w:hint="eastAsia" w:ascii="Times New Roman" w:hAnsi="Times New Roman" w:cs="Times New Roman"/>
          <w:b w:val="0"/>
          <w:bCs/>
          <w:color w:val="auto"/>
          <w:sz w:val="24"/>
          <w:highlight w:val="none"/>
          <w:lang w:eastAsia="zh-CN"/>
        </w:rPr>
        <w:t>“</w:t>
      </w:r>
      <w:r>
        <w:rPr>
          <w:rFonts w:hint="default" w:ascii="Times New Roman" w:hAnsi="Times New Roman" w:cs="Times New Roman"/>
          <w:b w:val="0"/>
          <w:bCs/>
          <w:color w:val="auto"/>
          <w:sz w:val="24"/>
          <w:highlight w:val="none"/>
        </w:rPr>
        <w:t>边生产、边治理</w:t>
      </w:r>
      <w:r>
        <w:rPr>
          <w:rFonts w:hint="eastAsia" w:ascii="Times New Roman" w:hAnsi="Times New Roman" w:cs="Times New Roman"/>
          <w:b w:val="0"/>
          <w:bCs/>
          <w:color w:val="auto"/>
          <w:sz w:val="24"/>
          <w:highlight w:val="none"/>
          <w:lang w:eastAsia="zh-CN"/>
        </w:rPr>
        <w:t>”</w:t>
      </w:r>
      <w:r>
        <w:rPr>
          <w:rFonts w:hint="default" w:ascii="Times New Roman" w:hAnsi="Times New Roman" w:cs="Times New Roman"/>
          <w:b w:val="0"/>
          <w:bCs/>
          <w:color w:val="auto"/>
          <w:sz w:val="24"/>
          <w:highlight w:val="none"/>
        </w:rPr>
        <w:t>的原则，最大限度地避免和减轻矿山生态环境问题及矿山地质灾害的发生，促进资源开发与环境保护协调发展；</w:t>
      </w:r>
    </w:p>
    <w:p w14:paraId="534566C7">
      <w:pPr>
        <w:spacing w:line="360" w:lineRule="auto"/>
        <w:ind w:firstLine="480" w:firstLineChars="200"/>
        <w:rPr>
          <w:rFonts w:hint="default" w:ascii="Times New Roman" w:hAnsi="Times New Roman" w:cs="Times New Roman"/>
          <w:b w:val="0"/>
          <w:bCs/>
          <w:color w:val="auto"/>
          <w:sz w:val="24"/>
          <w:highlight w:val="none"/>
        </w:rPr>
      </w:pPr>
      <w:r>
        <w:rPr>
          <w:rFonts w:hint="default" w:ascii="Times New Roman" w:hAnsi="Times New Roman" w:cs="Times New Roman"/>
          <w:b w:val="0"/>
          <w:bCs/>
          <w:color w:val="auto"/>
          <w:sz w:val="24"/>
          <w:highlight w:val="none"/>
        </w:rPr>
        <w:t>c）加大宣传力度，</w:t>
      </w:r>
      <w:r>
        <w:rPr>
          <w:rFonts w:hint="default" w:ascii="Times New Roman" w:hAnsi="Times New Roman" w:cs="Times New Roman"/>
          <w:b w:val="0"/>
          <w:bCs/>
          <w:color w:val="auto"/>
          <w:sz w:val="24"/>
          <w:highlight w:val="none"/>
          <w:lang w:eastAsia="zh-CN"/>
        </w:rPr>
        <w:t>增强</w:t>
      </w:r>
      <w:r>
        <w:rPr>
          <w:rFonts w:hint="default" w:ascii="Times New Roman" w:hAnsi="Times New Roman" w:cs="Times New Roman"/>
          <w:b w:val="0"/>
          <w:bCs/>
          <w:color w:val="auto"/>
          <w:sz w:val="24"/>
          <w:highlight w:val="none"/>
        </w:rPr>
        <w:t>忧患意识。加大对企业员工与矿区周围人民群众的宣传力度，</w:t>
      </w:r>
      <w:r>
        <w:rPr>
          <w:rFonts w:hint="default" w:ascii="Times New Roman" w:hAnsi="Times New Roman" w:cs="Times New Roman"/>
          <w:b w:val="0"/>
          <w:bCs/>
          <w:color w:val="auto"/>
          <w:sz w:val="24"/>
          <w:highlight w:val="none"/>
          <w:lang w:eastAsia="zh-CN"/>
        </w:rPr>
        <w:t>增强</w:t>
      </w:r>
      <w:r>
        <w:rPr>
          <w:rFonts w:hint="default" w:ascii="Times New Roman" w:hAnsi="Times New Roman" w:cs="Times New Roman"/>
          <w:b w:val="0"/>
          <w:bCs/>
          <w:color w:val="auto"/>
          <w:sz w:val="24"/>
          <w:highlight w:val="none"/>
        </w:rPr>
        <w:t>全民的防灾意识，掌握预防灾害的一些有效办法及遇险撤离等常识，避免或减轻灾害造成的损失。</w:t>
      </w:r>
    </w:p>
    <w:p w14:paraId="098A23EA">
      <w:pPr>
        <w:spacing w:line="360" w:lineRule="auto"/>
        <w:ind w:firstLine="480" w:firstLineChars="200"/>
        <w:rPr>
          <w:rFonts w:hint="default" w:ascii="Times New Roman" w:hAnsi="Times New Roman" w:cs="Times New Roman"/>
          <w:b w:val="0"/>
          <w:bCs/>
          <w:color w:val="auto"/>
          <w:sz w:val="24"/>
          <w:highlight w:val="none"/>
        </w:rPr>
      </w:pPr>
      <w:r>
        <w:rPr>
          <w:rFonts w:hint="default" w:ascii="Times New Roman" w:hAnsi="Times New Roman" w:cs="Times New Roman"/>
          <w:b w:val="0"/>
          <w:bCs/>
          <w:color w:val="auto"/>
          <w:sz w:val="24"/>
          <w:highlight w:val="none"/>
        </w:rPr>
        <w:t>2）设立警示牌工程</w:t>
      </w:r>
    </w:p>
    <w:p w14:paraId="19C8B28A">
      <w:pPr>
        <w:spacing w:line="360" w:lineRule="auto"/>
        <w:ind w:firstLine="480" w:firstLineChars="200"/>
        <w:rPr>
          <w:rFonts w:hint="default" w:ascii="Times New Roman" w:hAnsi="Times New Roman" w:cs="Times New Roman"/>
          <w:b w:val="0"/>
          <w:bCs/>
          <w:color w:val="auto"/>
          <w:sz w:val="24"/>
          <w:highlight w:val="none"/>
        </w:rPr>
      </w:pPr>
      <w:r>
        <w:rPr>
          <w:rFonts w:hint="default" w:ascii="Times New Roman" w:hAnsi="Times New Roman" w:cs="Times New Roman"/>
          <w:b w:val="0"/>
          <w:bCs/>
          <w:color w:val="auto"/>
          <w:sz w:val="24"/>
          <w:highlight w:val="none"/>
        </w:rPr>
        <w:t>在</w:t>
      </w:r>
      <w:r>
        <w:rPr>
          <w:rFonts w:hint="default" w:ascii="Times New Roman" w:hAnsi="Times New Roman" w:cs="Times New Roman"/>
          <w:b w:val="0"/>
          <w:bCs/>
          <w:color w:val="auto"/>
          <w:sz w:val="24"/>
          <w:highlight w:val="none"/>
          <w:lang w:val="en-US" w:eastAsia="zh-CN"/>
        </w:rPr>
        <w:t>以往露天采场周边</w:t>
      </w:r>
      <w:r>
        <w:rPr>
          <w:rFonts w:hint="eastAsia" w:cs="Times New Roman"/>
          <w:b w:val="0"/>
          <w:bCs/>
          <w:color w:val="auto"/>
          <w:sz w:val="24"/>
          <w:highlight w:val="none"/>
          <w:lang w:val="en-US" w:eastAsia="zh-CN"/>
        </w:rPr>
        <w:t>、</w:t>
      </w:r>
      <w:r>
        <w:rPr>
          <w:rFonts w:hint="default" w:ascii="Times New Roman" w:hAnsi="Times New Roman" w:cs="Times New Roman"/>
          <w:color w:val="auto"/>
          <w:sz w:val="24"/>
          <w:highlight w:val="none"/>
          <w:lang w:val="en-US" w:eastAsia="zh-CN"/>
        </w:rPr>
        <w:t>在</w:t>
      </w:r>
      <w:r>
        <w:rPr>
          <w:rFonts w:hint="default" w:ascii="Times New Roman" w:hAnsi="Times New Roman" w:cs="Times New Roman"/>
          <w:color w:val="auto"/>
          <w:sz w:val="24"/>
          <w:highlight w:val="none"/>
        </w:rPr>
        <w:t>地裂缝可能发育的区域周围</w:t>
      </w:r>
      <w:r>
        <w:rPr>
          <w:rFonts w:hint="default" w:ascii="Times New Roman" w:hAnsi="Times New Roman" w:cs="Times New Roman"/>
          <w:b w:val="0"/>
          <w:bCs/>
          <w:color w:val="auto"/>
          <w:sz w:val="24"/>
          <w:highlight w:val="none"/>
          <w:lang w:val="en-US" w:eastAsia="zh-CN"/>
        </w:rPr>
        <w:t>设置</w:t>
      </w:r>
      <w:r>
        <w:rPr>
          <w:rFonts w:hint="eastAsia" w:cs="Times New Roman"/>
          <w:b w:val="0"/>
          <w:bCs/>
          <w:color w:val="auto"/>
          <w:sz w:val="24"/>
          <w:highlight w:val="none"/>
          <w:lang w:val="en-US" w:eastAsia="zh-CN"/>
        </w:rPr>
        <w:t>10</w:t>
      </w:r>
      <w:r>
        <w:rPr>
          <w:rFonts w:hint="default" w:ascii="Times New Roman" w:hAnsi="Times New Roman" w:cs="Times New Roman"/>
          <w:b w:val="0"/>
          <w:bCs/>
          <w:color w:val="auto"/>
          <w:sz w:val="24"/>
          <w:highlight w:val="none"/>
          <w:lang w:val="en-US" w:eastAsia="zh-CN"/>
        </w:rPr>
        <w:t>个警示牌</w:t>
      </w:r>
      <w:r>
        <w:rPr>
          <w:rFonts w:hint="default" w:ascii="Times New Roman" w:hAnsi="Times New Roman" w:cs="Times New Roman"/>
          <w:b w:val="0"/>
          <w:bCs/>
          <w:color w:val="auto"/>
          <w:sz w:val="24"/>
          <w:highlight w:val="none"/>
        </w:rPr>
        <w:t>，</w:t>
      </w:r>
      <w:r>
        <w:rPr>
          <w:rFonts w:hint="default" w:ascii="Times New Roman" w:hAnsi="Times New Roman" w:cs="Times New Roman"/>
          <w:b w:val="0"/>
          <w:bCs/>
          <w:color w:val="auto"/>
          <w:sz w:val="24"/>
          <w:highlight w:val="none"/>
          <w:lang w:val="en-US" w:eastAsia="zh-CN"/>
        </w:rPr>
        <w:t>注意避让</w:t>
      </w:r>
      <w:r>
        <w:rPr>
          <w:rFonts w:hint="default" w:ascii="Times New Roman" w:hAnsi="Times New Roman" w:cs="Times New Roman"/>
          <w:b w:val="0"/>
          <w:bCs/>
          <w:color w:val="auto"/>
          <w:sz w:val="24"/>
          <w:highlight w:val="none"/>
        </w:rPr>
        <w:t>。警示牌</w:t>
      </w:r>
      <w:r>
        <w:rPr>
          <w:rFonts w:hint="default" w:ascii="Times New Roman" w:hAnsi="Times New Roman" w:cs="Times New Roman"/>
          <w:b w:val="0"/>
          <w:bCs/>
          <w:color w:val="auto"/>
          <w:sz w:val="24"/>
          <w:highlight w:val="none"/>
          <w:lang w:val="en-US" w:eastAsia="zh-CN"/>
        </w:rPr>
        <w:t>为铝制警示牌</w:t>
      </w:r>
      <w:r>
        <w:rPr>
          <w:rFonts w:hint="default" w:ascii="Times New Roman" w:hAnsi="Times New Roman" w:cs="Times New Roman"/>
          <w:b w:val="0"/>
          <w:bCs/>
          <w:color w:val="auto"/>
          <w:sz w:val="24"/>
          <w:highlight w:val="none"/>
        </w:rPr>
        <w:t>，</w:t>
      </w:r>
      <w:r>
        <w:rPr>
          <w:rFonts w:hint="default" w:ascii="Times New Roman" w:hAnsi="Times New Roman" w:cs="Times New Roman"/>
          <w:b w:val="0"/>
          <w:bCs/>
          <w:color w:val="auto"/>
          <w:sz w:val="24"/>
          <w:highlight w:val="none"/>
          <w:lang w:val="en-US" w:eastAsia="zh-CN"/>
        </w:rPr>
        <w:t>长0.6m，</w:t>
      </w:r>
      <w:r>
        <w:rPr>
          <w:rFonts w:hint="default" w:ascii="Times New Roman" w:hAnsi="Times New Roman" w:cs="Times New Roman"/>
          <w:b w:val="0"/>
          <w:bCs/>
          <w:color w:val="auto"/>
          <w:sz w:val="24"/>
          <w:highlight w:val="none"/>
        </w:rPr>
        <w:t>宽0.</w:t>
      </w:r>
      <w:r>
        <w:rPr>
          <w:rFonts w:hint="default" w:ascii="Times New Roman" w:hAnsi="Times New Roman" w:cs="Times New Roman"/>
          <w:b w:val="0"/>
          <w:bCs/>
          <w:color w:val="auto"/>
          <w:sz w:val="24"/>
          <w:highlight w:val="none"/>
          <w:lang w:val="en-US" w:eastAsia="zh-CN"/>
        </w:rPr>
        <w:t>4</w:t>
      </w:r>
      <w:r>
        <w:rPr>
          <w:rFonts w:hint="default" w:ascii="Times New Roman" w:hAnsi="Times New Roman" w:cs="Times New Roman"/>
          <w:b w:val="0"/>
          <w:bCs/>
          <w:color w:val="auto"/>
          <w:sz w:val="24"/>
          <w:highlight w:val="none"/>
        </w:rPr>
        <w:t>m，双侧1.5m高角钢支立。</w:t>
      </w:r>
    </w:p>
    <w:p w14:paraId="01B93A72">
      <w:pPr>
        <w:spacing w:line="360" w:lineRule="auto"/>
        <w:ind w:firstLine="480" w:firstLineChars="200"/>
        <w:rPr>
          <w:rFonts w:hint="default" w:ascii="Times New Roman" w:hAnsi="Times New Roman" w:cs="Times New Roman"/>
          <w:b w:val="0"/>
          <w:bCs/>
          <w:color w:val="auto"/>
          <w:sz w:val="24"/>
          <w:highlight w:val="none"/>
        </w:rPr>
      </w:pPr>
      <w:r>
        <w:rPr>
          <w:rFonts w:hint="default" w:ascii="Times New Roman" w:hAnsi="Times New Roman" w:cs="Times New Roman"/>
          <w:b w:val="0"/>
          <w:bCs/>
          <w:color w:val="auto"/>
          <w:sz w:val="24"/>
          <w:highlight w:val="none"/>
        </w:rPr>
        <w:t>工作量：设立警示牌</w:t>
      </w:r>
      <w:r>
        <w:rPr>
          <w:rFonts w:hint="eastAsia" w:cs="Times New Roman"/>
          <w:b w:val="0"/>
          <w:bCs/>
          <w:color w:val="auto"/>
          <w:sz w:val="24"/>
          <w:highlight w:val="none"/>
          <w:lang w:val="en-US" w:eastAsia="zh-CN"/>
        </w:rPr>
        <w:t>10</w:t>
      </w:r>
      <w:r>
        <w:rPr>
          <w:rFonts w:hint="default" w:ascii="Times New Roman" w:hAnsi="Times New Roman" w:cs="Times New Roman"/>
          <w:b w:val="0"/>
          <w:bCs/>
          <w:color w:val="auto"/>
          <w:sz w:val="24"/>
          <w:highlight w:val="none"/>
        </w:rPr>
        <w:t>个。</w:t>
      </w:r>
    </w:p>
    <w:p w14:paraId="7D3ED090">
      <w:pPr>
        <w:spacing w:line="360" w:lineRule="auto"/>
        <w:ind w:firstLine="480" w:firstLineChars="200"/>
        <w:rPr>
          <w:rFonts w:hint="default" w:ascii="Times New Roman" w:hAnsi="Times New Roman" w:eastAsia="宋体" w:cs="Times New Roman"/>
          <w:b w:val="0"/>
          <w:bCs/>
          <w:color w:val="auto"/>
          <w:sz w:val="24"/>
          <w:highlight w:val="none"/>
          <w:lang w:val="en-US" w:eastAsia="zh-CN"/>
        </w:rPr>
      </w:pPr>
      <w:r>
        <w:rPr>
          <w:rFonts w:hint="default" w:ascii="Times New Roman" w:hAnsi="Times New Roman" w:cs="Times New Roman"/>
          <w:b w:val="0"/>
          <w:bCs/>
          <w:color w:val="auto"/>
          <w:sz w:val="24"/>
          <w:highlight w:val="none"/>
        </w:rPr>
        <w:t>3）截洪沟</w:t>
      </w:r>
    </w:p>
    <w:p w14:paraId="06196EEA">
      <w:pPr>
        <w:widowControl w:val="0"/>
        <w:spacing w:line="360" w:lineRule="auto"/>
        <w:ind w:firstLine="560"/>
        <w:jc w:val="both"/>
        <w:rPr>
          <w:rFonts w:hint="default" w:ascii="Times New Roman" w:hAnsi="Times New Roman" w:cs="Times New Roman"/>
          <w:b w:val="0"/>
          <w:bCs/>
          <w:color w:val="auto"/>
          <w:sz w:val="24"/>
          <w:highlight w:val="none"/>
        </w:rPr>
      </w:pPr>
      <w:r>
        <w:rPr>
          <w:rFonts w:hint="default" w:ascii="Times New Roman" w:hAnsi="Times New Roman" w:cs="Times New Roman"/>
          <w:b w:val="0"/>
          <w:bCs/>
          <w:color w:val="auto"/>
          <w:sz w:val="24"/>
          <w:highlight w:val="none"/>
        </w:rPr>
        <w:t>在露天采坑境界外设置截洪沟，减少雨水对场地及填方边坡的冲刷，达到防治的目的。由于是开发利用方案确定的工程，属于生产辅助设施，建造成本</w:t>
      </w:r>
      <w:r>
        <w:rPr>
          <w:rFonts w:hint="eastAsia" w:cs="Times New Roman"/>
          <w:b w:val="0"/>
          <w:bCs/>
          <w:color w:val="auto"/>
          <w:sz w:val="24"/>
          <w:highlight w:val="none"/>
          <w:lang w:val="en-US" w:eastAsia="zh-CN"/>
        </w:rPr>
        <w:t>已</w:t>
      </w:r>
      <w:r>
        <w:rPr>
          <w:rFonts w:hint="default" w:ascii="Times New Roman" w:hAnsi="Times New Roman" w:cs="Times New Roman"/>
          <w:b w:val="0"/>
          <w:bCs/>
          <w:color w:val="auto"/>
          <w:sz w:val="24"/>
          <w:highlight w:val="none"/>
        </w:rPr>
        <w:t>计入</w:t>
      </w:r>
      <w:r>
        <w:rPr>
          <w:rFonts w:hint="default" w:ascii="Times New Roman" w:hAnsi="Times New Roman" w:cs="Times New Roman"/>
          <w:b w:val="0"/>
          <w:bCs/>
          <w:color w:val="auto"/>
          <w:sz w:val="24"/>
          <w:highlight w:val="none"/>
          <w:lang w:eastAsia="zh-CN"/>
        </w:rPr>
        <w:t>生产</w:t>
      </w:r>
      <w:r>
        <w:rPr>
          <w:rFonts w:hint="default" w:ascii="Times New Roman" w:hAnsi="Times New Roman" w:cs="Times New Roman"/>
          <w:b w:val="0"/>
          <w:bCs/>
          <w:color w:val="auto"/>
          <w:sz w:val="24"/>
          <w:highlight w:val="none"/>
        </w:rPr>
        <w:t>，不计入本方案内</w:t>
      </w:r>
      <w:r>
        <w:rPr>
          <w:rFonts w:hint="eastAsia" w:cs="Times New Roman"/>
          <w:b w:val="0"/>
          <w:bCs/>
          <w:color w:val="auto"/>
          <w:sz w:val="24"/>
          <w:highlight w:val="none"/>
          <w:lang w:eastAsia="zh-CN"/>
        </w:rPr>
        <w:t>，</w:t>
      </w:r>
      <w:r>
        <w:rPr>
          <w:rFonts w:hint="eastAsia" w:cs="Times New Roman"/>
          <w:b w:val="0"/>
          <w:bCs/>
          <w:color w:val="auto"/>
          <w:sz w:val="24"/>
          <w:highlight w:val="none"/>
          <w:lang w:val="en-US" w:eastAsia="zh-CN"/>
        </w:rPr>
        <w:t>本次不重复设计</w:t>
      </w:r>
      <w:r>
        <w:rPr>
          <w:rFonts w:hint="default" w:ascii="Times New Roman" w:hAnsi="Times New Roman" w:cs="Times New Roman"/>
          <w:b w:val="0"/>
          <w:bCs/>
          <w:color w:val="auto"/>
          <w:sz w:val="24"/>
          <w:highlight w:val="none"/>
        </w:rPr>
        <w:t>。</w:t>
      </w:r>
    </w:p>
    <w:p w14:paraId="50B7874A">
      <w:pPr>
        <w:spacing w:line="360" w:lineRule="auto"/>
        <w:ind w:firstLine="480" w:firstLineChars="200"/>
        <w:rPr>
          <w:rFonts w:hint="default" w:ascii="Times New Roman" w:hAnsi="Times New Roman" w:eastAsia="宋体" w:cs="Times New Roman"/>
          <w:b w:val="0"/>
          <w:bCs/>
          <w:color w:val="auto"/>
          <w:sz w:val="24"/>
          <w:highlight w:val="none"/>
          <w:lang w:val="en-US" w:eastAsia="zh-CN"/>
        </w:rPr>
      </w:pPr>
      <w:r>
        <w:rPr>
          <w:rFonts w:hint="default" w:ascii="Times New Roman" w:hAnsi="Times New Roman" w:eastAsia="宋体" w:cs="Times New Roman"/>
          <w:b w:val="0"/>
          <w:bCs/>
          <w:color w:val="auto"/>
          <w:sz w:val="24"/>
          <w:highlight w:val="none"/>
          <w:lang w:val="en-US" w:eastAsia="zh-CN"/>
        </w:rPr>
        <w:t>4）网围栏</w:t>
      </w:r>
    </w:p>
    <w:p w14:paraId="4D4C2344">
      <w:pPr>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color w:val="auto"/>
          <w:sz w:val="24"/>
          <w:highlight w:val="none"/>
          <w:lang w:val="en-US" w:eastAsia="zh-CN"/>
        </w:rPr>
        <w:t>为防止地质灾害对周围</w:t>
      </w:r>
      <w:r>
        <w:rPr>
          <w:rFonts w:hint="default" w:ascii="Times New Roman" w:hAnsi="Times New Roman" w:eastAsia="宋体" w:cs="Times New Roman"/>
          <w:b w:val="0"/>
          <w:bCs w:val="0"/>
          <w:color w:val="auto"/>
          <w:sz w:val="24"/>
          <w:highlight w:val="none"/>
          <w:lang w:val="en-US" w:eastAsia="zh-CN"/>
        </w:rPr>
        <w:t>居民的人身财产安全造成危害，</w:t>
      </w:r>
      <w:r>
        <w:rPr>
          <w:rFonts w:hint="default" w:ascii="Times New Roman" w:hAnsi="Times New Roman" w:cs="Times New Roman"/>
          <w:b w:val="0"/>
          <w:bCs w:val="0"/>
          <w:color w:val="auto"/>
          <w:sz w:val="24"/>
          <w:highlight w:val="none"/>
          <w:lang w:val="en-US" w:eastAsia="zh-CN"/>
        </w:rPr>
        <w:t>应在露天采场</w:t>
      </w:r>
      <w:r>
        <w:rPr>
          <w:rFonts w:hint="default" w:ascii="Times New Roman" w:hAnsi="Times New Roman" w:eastAsia="宋体" w:cs="Times New Roman"/>
          <w:b w:val="0"/>
          <w:bCs w:val="0"/>
          <w:color w:val="auto"/>
          <w:sz w:val="24"/>
          <w:highlight w:val="none"/>
          <w:lang w:val="en-US" w:eastAsia="zh-CN"/>
        </w:rPr>
        <w:t>周围布设网围栏进行边缘封闭，避免人员、动物进入造成意外的损伤。</w:t>
      </w:r>
      <w:r>
        <w:rPr>
          <w:rFonts w:hint="eastAsia" w:cs="Times New Roman"/>
          <w:b w:val="0"/>
          <w:bCs w:val="0"/>
          <w:color w:val="auto"/>
          <w:sz w:val="24"/>
          <w:highlight w:val="none"/>
          <w:lang w:val="en-US" w:eastAsia="zh-CN"/>
        </w:rPr>
        <w:t>露天采场边界外3m处设置网围栏，</w:t>
      </w:r>
      <w:r>
        <w:rPr>
          <w:rFonts w:hint="default" w:ascii="Times New Roman" w:hAnsi="Times New Roman" w:cs="Times New Roman"/>
          <w:b w:val="0"/>
          <w:bCs w:val="0"/>
          <w:color w:val="auto"/>
          <w:sz w:val="24"/>
          <w:highlight w:val="none"/>
          <w:lang w:val="en-US" w:eastAsia="zh-CN"/>
        </w:rPr>
        <w:t>设置</w:t>
      </w:r>
      <w:r>
        <w:rPr>
          <w:rFonts w:hint="default" w:ascii="Times New Roman" w:hAnsi="Times New Roman" w:eastAsia="宋体" w:cs="Times New Roman"/>
          <w:b w:val="0"/>
          <w:bCs w:val="0"/>
          <w:color w:val="auto"/>
          <w:sz w:val="24"/>
          <w:highlight w:val="none"/>
          <w:lang w:val="en-US" w:eastAsia="zh-CN"/>
        </w:rPr>
        <w:t>网围栏长度</w:t>
      </w:r>
      <w:r>
        <w:rPr>
          <w:rFonts w:hint="eastAsia" w:cs="Times New Roman"/>
          <w:b w:val="0"/>
          <w:bCs w:val="0"/>
          <w:color w:val="auto"/>
          <w:sz w:val="24"/>
          <w:highlight w:val="none"/>
          <w:lang w:val="en-US" w:eastAsia="zh-CN"/>
        </w:rPr>
        <w:t>780</w:t>
      </w:r>
      <w:r>
        <w:rPr>
          <w:rFonts w:hint="default" w:ascii="Times New Roman" w:hAnsi="Times New Roman" w:eastAsia="宋体" w:cs="Times New Roman"/>
          <w:b w:val="0"/>
          <w:bCs w:val="0"/>
          <w:color w:val="auto"/>
          <w:sz w:val="24"/>
          <w:highlight w:val="none"/>
          <w:lang w:val="en-US" w:eastAsia="zh-CN"/>
        </w:rPr>
        <w:t>m。围网采用混凝土立柱，混凝土立柱高2.00m，地面以下埋深0.5m，埋深达到总管长的1/4，钢管立柱采用锤击方式砸入地下，基础周边土层未破坏，故钢管基础稳定性可以满足支撑要求，地面以上外露1.50m。如图5-1所示。</w:t>
      </w:r>
    </w:p>
    <w:p w14:paraId="18D38BE2">
      <w:pPr>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主要工作量：架设网围栏</w:t>
      </w:r>
      <w:r>
        <w:rPr>
          <w:rFonts w:hint="eastAsia" w:cs="Times New Roman"/>
          <w:b w:val="0"/>
          <w:bCs w:val="0"/>
          <w:color w:val="auto"/>
          <w:sz w:val="24"/>
          <w:highlight w:val="none"/>
          <w:lang w:val="en-US" w:eastAsia="zh-CN"/>
        </w:rPr>
        <w:t>780</w:t>
      </w:r>
      <w:r>
        <w:rPr>
          <w:rFonts w:hint="default" w:ascii="Times New Roman" w:hAnsi="Times New Roman" w:eastAsia="宋体" w:cs="Times New Roman"/>
          <w:b w:val="0"/>
          <w:bCs w:val="0"/>
          <w:color w:val="auto"/>
          <w:sz w:val="24"/>
          <w:highlight w:val="none"/>
          <w:lang w:val="en-US" w:eastAsia="zh-CN"/>
        </w:rPr>
        <w:t>m。</w:t>
      </w:r>
    </w:p>
    <w:p w14:paraId="1DDB82EE">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5324475" cy="1885950"/>
            <wp:effectExtent l="0" t="0" r="9525" b="0"/>
            <wp:docPr id="55" name="图片 9" descr="P%3A$@S`%](EA0VZ~I(FV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9" descr="P%3A$@S`%](EA0VZ~I(FVP7"/>
                    <pic:cNvPicPr>
                      <a:picLocks noChangeAspect="1"/>
                    </pic:cNvPicPr>
                  </pic:nvPicPr>
                  <pic:blipFill>
                    <a:blip r:embed="rId28"/>
                    <a:stretch>
                      <a:fillRect/>
                    </a:stretch>
                  </pic:blipFill>
                  <pic:spPr>
                    <a:xfrm>
                      <a:off x="0" y="0"/>
                      <a:ext cx="5324475" cy="1885950"/>
                    </a:xfrm>
                    <a:prstGeom prst="rect">
                      <a:avLst/>
                    </a:prstGeom>
                    <a:noFill/>
                    <a:ln>
                      <a:noFill/>
                    </a:ln>
                  </pic:spPr>
                </pic:pic>
              </a:graphicData>
            </a:graphic>
          </wp:inline>
        </w:drawing>
      </w:r>
    </w:p>
    <w:p w14:paraId="71C4F226">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图5-</w:t>
      </w:r>
      <w:r>
        <w:rPr>
          <w:rFonts w:hint="default" w:ascii="Times New Roman" w:hAnsi="Times New Roman" w:eastAsia="黑体" w:cs="Times New Roman"/>
          <w:color w:val="auto"/>
          <w:szCs w:val="21"/>
          <w:highlight w:val="none"/>
          <w:lang w:val="en-US" w:eastAsia="zh-CN"/>
        </w:rPr>
        <w:t>1</w:t>
      </w:r>
      <w:r>
        <w:rPr>
          <w:rFonts w:hint="default" w:ascii="Times New Roman" w:hAnsi="Times New Roman" w:eastAsia="黑体" w:cs="Times New Roman"/>
          <w:color w:val="auto"/>
          <w:szCs w:val="21"/>
          <w:highlight w:val="none"/>
        </w:rPr>
        <w:t xml:space="preserve">  网围栏布设示意图</w:t>
      </w:r>
    </w:p>
    <w:p w14:paraId="774178A9">
      <w:pPr>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eastAsia="宋体" w:cs="Times New Roman"/>
          <w:b/>
          <w:bCs/>
          <w:color w:val="auto"/>
          <w:sz w:val="24"/>
          <w:highlight w:val="none"/>
        </w:rPr>
        <w:t>2、</w:t>
      </w:r>
      <w:r>
        <w:rPr>
          <w:rFonts w:hint="default" w:ascii="Times New Roman" w:hAnsi="Times New Roman" w:cs="Times New Roman"/>
          <w:b/>
          <w:color w:val="auto"/>
          <w:sz w:val="24"/>
          <w:highlight w:val="none"/>
        </w:rPr>
        <w:t>含水层保护措施</w:t>
      </w:r>
    </w:p>
    <w:p w14:paraId="0154FF3B">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1）矿山采出水、废水及污水均应实现资源化管理，确保矿山废水、污水回用，并尽可能的少取新鲜地下水。</w:t>
      </w:r>
    </w:p>
    <w:p w14:paraId="73088048">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2）矿山应制定地下水环境、跟踪监测方案，布设地下水观测井，加强对地下水的跟踪监测，严格控制排水避免污染含水层。</w:t>
      </w:r>
    </w:p>
    <w:p w14:paraId="17D5B3BE">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3）针对应急工作需要，参照</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场地环境保护标准体系</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的相关技术导则，结合地下水污染治理的技术特点，制定地下水污染应急治理程序见图5-</w:t>
      </w:r>
      <w:r>
        <w:rPr>
          <w:rFonts w:hint="default"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rPr>
        <w:t>。</w:t>
      </w:r>
    </w:p>
    <w:p w14:paraId="54138848">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drawing>
          <wp:inline distT="0" distB="0" distL="114300" distR="114300">
            <wp:extent cx="2999105" cy="4319905"/>
            <wp:effectExtent l="0" t="0" r="10795" b="4445"/>
            <wp:docPr id="45" name="图片 2" descr="1545730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 descr="1545730160(1)"/>
                    <pic:cNvPicPr>
                      <a:picLocks noChangeAspect="1"/>
                    </pic:cNvPicPr>
                  </pic:nvPicPr>
                  <pic:blipFill>
                    <a:blip r:embed="rId29"/>
                    <a:stretch>
                      <a:fillRect/>
                    </a:stretch>
                  </pic:blipFill>
                  <pic:spPr>
                    <a:xfrm>
                      <a:off x="0" y="0"/>
                      <a:ext cx="2999105" cy="4319905"/>
                    </a:xfrm>
                    <a:prstGeom prst="rect">
                      <a:avLst/>
                    </a:prstGeom>
                    <a:noFill/>
                    <a:ln>
                      <a:noFill/>
                    </a:ln>
                  </pic:spPr>
                </pic:pic>
              </a:graphicData>
            </a:graphic>
          </wp:inline>
        </w:drawing>
      </w:r>
    </w:p>
    <w:p w14:paraId="6E5374BD">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图 5-</w:t>
      </w:r>
      <w:r>
        <w:rPr>
          <w:rFonts w:hint="default" w:ascii="Times New Roman" w:hAnsi="Times New Roman" w:eastAsia="黑体" w:cs="Times New Roman"/>
          <w:color w:val="auto"/>
          <w:szCs w:val="21"/>
          <w:highlight w:val="none"/>
          <w:lang w:val="en-US" w:eastAsia="zh-CN"/>
        </w:rPr>
        <w:t>2</w:t>
      </w:r>
      <w:r>
        <w:rPr>
          <w:rFonts w:hint="default" w:ascii="Times New Roman" w:hAnsi="Times New Roman" w:eastAsia="黑体" w:cs="Times New Roman"/>
          <w:color w:val="auto"/>
          <w:szCs w:val="21"/>
          <w:highlight w:val="none"/>
        </w:rPr>
        <w:t xml:space="preserve">   地下水污染应急治理程序框图</w:t>
      </w:r>
    </w:p>
    <w:p w14:paraId="14D69715">
      <w:pPr>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3、地形地貌景观和土地资源的保护措施</w:t>
      </w:r>
    </w:p>
    <w:p w14:paraId="4A789C24">
      <w:pPr>
        <w:spacing w:line="360" w:lineRule="auto"/>
        <w:ind w:firstLine="480" w:firstLineChars="200"/>
        <w:rPr>
          <w:rFonts w:hint="default" w:ascii="Times New Roman" w:hAnsi="Times New Roman" w:cs="Times New Roman"/>
          <w:color w:val="auto"/>
          <w:sz w:val="24"/>
          <w:highlight w:val="none"/>
        </w:rPr>
      </w:pPr>
      <w:r>
        <w:rPr>
          <w:rFonts w:hint="eastAsia" w:cs="Times New Roman"/>
          <w:color w:val="auto"/>
          <w:sz w:val="24"/>
          <w:highlight w:val="none"/>
          <w:lang w:eastAsia="zh-CN"/>
        </w:rPr>
        <w:t>北大湖采石场</w:t>
      </w:r>
      <w:r>
        <w:rPr>
          <w:rFonts w:hint="default" w:ascii="Times New Roman" w:hAnsi="Times New Roman" w:cs="Times New Roman"/>
          <w:color w:val="auto"/>
          <w:sz w:val="24"/>
          <w:highlight w:val="none"/>
        </w:rPr>
        <w:t>开采造成破坏的地形地貌景观和土地资源主要表现在</w:t>
      </w:r>
      <w:r>
        <w:rPr>
          <w:rFonts w:hint="eastAsia" w:cs="Times New Roman"/>
          <w:color w:val="auto"/>
          <w:sz w:val="24"/>
          <w:highlight w:val="none"/>
          <w:lang w:val="en-US" w:eastAsia="zh-CN"/>
        </w:rPr>
        <w:t>露天采场、</w:t>
      </w:r>
      <w:r>
        <w:rPr>
          <w:rFonts w:hint="default" w:ascii="Times New Roman" w:hAnsi="Times New Roman" w:cs="Times New Roman"/>
          <w:color w:val="auto"/>
          <w:sz w:val="24"/>
          <w:highlight w:val="none"/>
          <w:lang w:val="en-US" w:eastAsia="zh-CN"/>
        </w:rPr>
        <w:t>工业广场、</w:t>
      </w:r>
      <w:r>
        <w:rPr>
          <w:rFonts w:hint="default" w:ascii="Times New Roman" w:hAnsi="Times New Roman" w:cs="Times New Roman"/>
          <w:color w:val="auto"/>
          <w:sz w:val="24"/>
          <w:highlight w:val="none"/>
        </w:rPr>
        <w:t>公辅设施等建设、</w:t>
      </w:r>
      <w:r>
        <w:rPr>
          <w:rFonts w:hint="eastAsia" w:cs="Times New Roman"/>
          <w:color w:val="auto"/>
          <w:sz w:val="24"/>
          <w:highlight w:val="none"/>
          <w:lang w:val="en-US" w:eastAsia="zh-CN"/>
        </w:rPr>
        <w:t>料堆</w:t>
      </w:r>
      <w:r>
        <w:rPr>
          <w:rFonts w:hint="default" w:ascii="Times New Roman" w:hAnsi="Times New Roman" w:cs="Times New Roman"/>
          <w:color w:val="auto"/>
          <w:sz w:val="24"/>
          <w:highlight w:val="none"/>
          <w:lang w:val="en-US" w:eastAsia="zh-CN"/>
        </w:rPr>
        <w:t>等</w:t>
      </w:r>
      <w:r>
        <w:rPr>
          <w:rFonts w:hint="default" w:ascii="Times New Roman" w:hAnsi="Times New Roman" w:cs="Times New Roman"/>
          <w:color w:val="auto"/>
          <w:sz w:val="24"/>
          <w:highlight w:val="none"/>
        </w:rPr>
        <w:t>对地貌与土地的破坏。为了避免或减少采矿活动对区内地形地貌景观和土地资源的破坏，应从源头采取预防、控制措施，尽量减少对土地不必要的破坏。优化相关方案在尽量减少成本的前提下以最小的占地面积提供尽可能大的容积，使土地资源破坏面积和程度控制在最小范围和最低限度。及时对生产过程中不再利用的土地进行修复工作，恢复植被，真正做到边开采边治理。做好水土保持工作，对生产过程中产生的土石方做好临时防雨遮挡。</w:t>
      </w:r>
    </w:p>
    <w:p w14:paraId="4BD16660">
      <w:pPr>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4、水土环境污染防护措施</w:t>
      </w:r>
    </w:p>
    <w:p w14:paraId="198E6C0F">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1）及时清运生活垃圾等，送到指定地点，防止污染地表水。</w:t>
      </w:r>
    </w:p>
    <w:p w14:paraId="51BFC641">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2）生产生活中的废水经过处理后，确定达标</w:t>
      </w:r>
      <w:r>
        <w:rPr>
          <w:rFonts w:hint="default" w:ascii="Times New Roman" w:hAnsi="Times New Roman" w:cs="Times New Roman"/>
          <w:color w:val="auto"/>
          <w:sz w:val="24"/>
          <w:highlight w:val="none"/>
          <w:lang w:val="en-US" w:eastAsia="zh-CN"/>
        </w:rPr>
        <w:t>后</w:t>
      </w:r>
      <w:r>
        <w:rPr>
          <w:rFonts w:hint="default" w:ascii="Times New Roman" w:hAnsi="Times New Roman" w:cs="Times New Roman"/>
          <w:color w:val="auto"/>
          <w:sz w:val="24"/>
          <w:highlight w:val="none"/>
        </w:rPr>
        <w:t>使用。</w:t>
      </w:r>
    </w:p>
    <w:p w14:paraId="00CC4315">
      <w:pPr>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5、土地复垦预防控制措施</w:t>
      </w:r>
    </w:p>
    <w:p w14:paraId="5531FED1">
      <w:pPr>
        <w:spacing w:line="360" w:lineRule="auto"/>
        <w:ind w:firstLine="480" w:firstLineChars="200"/>
        <w:rPr>
          <w:rFonts w:hint="eastAsia" w:ascii="Times New Roman" w:hAnsi="Times New Roman" w:eastAsia="宋体" w:cs="Times New Roman"/>
          <w:color w:val="auto"/>
          <w:sz w:val="24"/>
          <w:highlight w:val="none"/>
          <w:lang w:eastAsia="zh-CN"/>
        </w:rPr>
      </w:pPr>
      <w:r>
        <w:rPr>
          <w:rFonts w:hint="eastAsia" w:cs="Times New Roman"/>
          <w:color w:val="auto"/>
          <w:sz w:val="24"/>
          <w:highlight w:val="none"/>
          <w:lang w:val="en-US" w:eastAsia="zh-CN"/>
        </w:rPr>
        <w:t>1</w:t>
      </w:r>
      <w:r>
        <w:rPr>
          <w:rFonts w:hint="default" w:ascii="Times New Roman" w:hAnsi="Times New Roman" w:cs="Times New Roman"/>
          <w:color w:val="auto"/>
          <w:sz w:val="24"/>
          <w:highlight w:val="none"/>
        </w:rPr>
        <w:t>）在管理上更新观念，寻求生产与环保之间协调统一的新途径，提高管理技巧，加强人员培训，确定合理的管理目标，加强宣传，与地方有关部门通力协作，确保</w:t>
      </w:r>
      <w:r>
        <w:rPr>
          <w:rFonts w:hint="default" w:ascii="Times New Roman" w:hAnsi="Times New Roman" w:cs="Times New Roman"/>
          <w:color w:val="auto"/>
          <w:sz w:val="24"/>
          <w:highlight w:val="none"/>
          <w:lang w:eastAsia="zh-CN"/>
        </w:rPr>
        <w:t>铁矿</w:t>
      </w:r>
      <w:r>
        <w:rPr>
          <w:rFonts w:hint="default" w:ascii="Times New Roman" w:hAnsi="Times New Roman" w:cs="Times New Roman"/>
          <w:color w:val="auto"/>
          <w:sz w:val="24"/>
          <w:highlight w:val="none"/>
        </w:rPr>
        <w:t>的安全运行</w:t>
      </w:r>
      <w:r>
        <w:rPr>
          <w:rFonts w:hint="eastAsia" w:cs="Times New Roman"/>
          <w:color w:val="auto"/>
          <w:sz w:val="24"/>
          <w:highlight w:val="none"/>
          <w:lang w:val="en-US" w:eastAsia="zh-CN"/>
        </w:rPr>
        <w:t>。</w:t>
      </w:r>
    </w:p>
    <w:p w14:paraId="261B0847">
      <w:pPr>
        <w:spacing w:line="360" w:lineRule="auto"/>
        <w:ind w:firstLine="480" w:firstLineChars="200"/>
        <w:rPr>
          <w:rFonts w:hint="eastAsia" w:ascii="Times New Roman" w:hAnsi="Times New Roman" w:eastAsia="宋体" w:cs="Times New Roman"/>
          <w:color w:val="auto"/>
          <w:sz w:val="24"/>
          <w:highlight w:val="none"/>
          <w:lang w:eastAsia="zh-CN"/>
        </w:rPr>
      </w:pPr>
      <w:r>
        <w:rPr>
          <w:rFonts w:hint="eastAsia" w:cs="Times New Roman"/>
          <w:color w:val="auto"/>
          <w:sz w:val="24"/>
          <w:highlight w:val="none"/>
          <w:lang w:val="en-US" w:eastAsia="zh-CN"/>
        </w:rPr>
        <w:t>2</w:t>
      </w:r>
      <w:r>
        <w:rPr>
          <w:rFonts w:hint="default" w:ascii="Times New Roman" w:hAnsi="Times New Roman" w:cs="Times New Roman"/>
          <w:color w:val="auto"/>
          <w:sz w:val="24"/>
          <w:highlight w:val="none"/>
        </w:rPr>
        <w:t>）优化设计，减少临时用地面积</w:t>
      </w:r>
      <w:r>
        <w:rPr>
          <w:rFonts w:hint="eastAsia" w:cs="Times New Roman"/>
          <w:color w:val="auto"/>
          <w:sz w:val="24"/>
          <w:highlight w:val="none"/>
          <w:lang w:eastAsia="zh-CN"/>
        </w:rPr>
        <w:t>。</w:t>
      </w:r>
    </w:p>
    <w:p w14:paraId="5C2C153C">
      <w:pPr>
        <w:spacing w:line="360" w:lineRule="auto"/>
        <w:ind w:firstLine="480" w:firstLineChars="200"/>
        <w:rPr>
          <w:rFonts w:hint="default" w:ascii="Times New Roman" w:hAnsi="Times New Roman" w:cs="Times New Roman"/>
          <w:color w:val="auto"/>
          <w:sz w:val="24"/>
          <w:highlight w:val="none"/>
        </w:rPr>
      </w:pPr>
      <w:r>
        <w:rPr>
          <w:rFonts w:hint="eastAsia" w:cs="Times New Roman"/>
          <w:color w:val="auto"/>
          <w:sz w:val="24"/>
          <w:highlight w:val="none"/>
          <w:lang w:val="en-US" w:eastAsia="zh-CN"/>
        </w:rPr>
        <w:t>3</w:t>
      </w:r>
      <w:r>
        <w:rPr>
          <w:rFonts w:hint="default" w:ascii="Times New Roman" w:hAnsi="Times New Roman" w:cs="Times New Roman"/>
          <w:color w:val="auto"/>
          <w:sz w:val="24"/>
          <w:highlight w:val="none"/>
        </w:rPr>
        <w:t>）及时采取复垦措施，减轻对地表和植被的损毁。</w:t>
      </w:r>
    </w:p>
    <w:p w14:paraId="6803178C">
      <w:pPr>
        <w:pStyle w:val="5"/>
        <w:rPr>
          <w:rFonts w:hint="default" w:ascii="Times New Roman" w:hAnsi="Times New Roman" w:eastAsia="黑体" w:cs="Times New Roman"/>
          <w:b w:val="0"/>
          <w:bCs w:val="0"/>
          <w:color w:val="auto"/>
          <w:szCs w:val="28"/>
          <w:highlight w:val="none"/>
        </w:rPr>
      </w:pPr>
      <w:r>
        <w:rPr>
          <w:rFonts w:hint="default" w:ascii="Times New Roman" w:hAnsi="Times New Roman" w:eastAsia="黑体" w:cs="Times New Roman"/>
          <w:b w:val="0"/>
          <w:bCs w:val="0"/>
          <w:color w:val="auto"/>
          <w:szCs w:val="28"/>
          <w:highlight w:val="none"/>
          <w:lang w:eastAsia="zh-CN"/>
        </w:rPr>
        <w:t>（</w:t>
      </w:r>
      <w:r>
        <w:rPr>
          <w:rFonts w:hint="default" w:ascii="Times New Roman" w:hAnsi="Times New Roman" w:eastAsia="黑体" w:cs="Times New Roman"/>
          <w:b w:val="0"/>
          <w:bCs w:val="0"/>
          <w:color w:val="auto"/>
          <w:szCs w:val="28"/>
          <w:highlight w:val="none"/>
        </w:rPr>
        <w:t>三）主要工程量</w:t>
      </w:r>
    </w:p>
    <w:p w14:paraId="4EA91D26">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矿山地质环境保护与土地复垦预防主要工程量：设立警示牌</w:t>
      </w:r>
      <w:r>
        <w:rPr>
          <w:rFonts w:hint="eastAsia" w:cs="Times New Roman"/>
          <w:color w:val="auto"/>
          <w:sz w:val="24"/>
          <w:highlight w:val="none"/>
          <w:lang w:val="en-US" w:eastAsia="zh-CN"/>
        </w:rPr>
        <w:t>10</w:t>
      </w:r>
      <w:r>
        <w:rPr>
          <w:rFonts w:hint="default" w:ascii="Times New Roman" w:hAnsi="Times New Roman" w:cs="Times New Roman"/>
          <w:color w:val="auto"/>
          <w:sz w:val="24"/>
          <w:highlight w:val="none"/>
          <w:lang w:val="en-US" w:eastAsia="zh-CN"/>
        </w:rPr>
        <w:t>个</w:t>
      </w:r>
      <w:r>
        <w:rPr>
          <w:rFonts w:hint="eastAsia" w:ascii="Times New Roman" w:hAnsi="Times New Roman" w:cs="Times New Roman"/>
          <w:color w:val="auto"/>
          <w:sz w:val="24"/>
          <w:highlight w:val="none"/>
          <w:lang w:val="en-US" w:eastAsia="zh-CN"/>
        </w:rPr>
        <w:t>，网围栏</w:t>
      </w:r>
      <w:r>
        <w:rPr>
          <w:rFonts w:hint="eastAsia" w:cs="Times New Roman"/>
          <w:color w:val="auto"/>
          <w:sz w:val="24"/>
          <w:highlight w:val="none"/>
          <w:lang w:val="en-US" w:eastAsia="zh-CN"/>
        </w:rPr>
        <w:t>780</w:t>
      </w:r>
      <w:r>
        <w:rPr>
          <w:rFonts w:hint="eastAsia" w:ascii="Times New Roman" w:hAnsi="Times New Roman" w:cs="Times New Roman"/>
          <w:color w:val="auto"/>
          <w:sz w:val="24"/>
          <w:highlight w:val="none"/>
          <w:lang w:val="en-US" w:eastAsia="zh-CN"/>
        </w:rPr>
        <w:t>m</w:t>
      </w:r>
      <w:r>
        <w:rPr>
          <w:rFonts w:hint="default" w:ascii="Times New Roman" w:hAnsi="Times New Roman" w:cs="Times New Roman"/>
          <w:color w:val="auto"/>
          <w:sz w:val="24"/>
          <w:highlight w:val="none"/>
        </w:rPr>
        <w:t>。</w:t>
      </w:r>
    </w:p>
    <w:p w14:paraId="686A8F96">
      <w:pPr>
        <w:spacing w:line="360" w:lineRule="auto"/>
        <w:ind w:firstLine="420" w:firstLineChars="200"/>
        <w:jc w:val="center"/>
        <w:rPr>
          <w:rFonts w:hint="default" w:ascii="Times New Roman" w:hAnsi="Times New Roman" w:eastAsia="黑体" w:cs="Times New Roman"/>
          <w:bCs/>
          <w:color w:val="auto"/>
          <w:szCs w:val="21"/>
          <w:highlight w:val="none"/>
          <w:lang w:val="en-US" w:eastAsia="zh-CN"/>
        </w:rPr>
      </w:pPr>
      <w:r>
        <w:rPr>
          <w:rFonts w:hint="default" w:ascii="Times New Roman" w:hAnsi="Times New Roman" w:eastAsia="黑体" w:cs="Times New Roman"/>
          <w:bCs/>
          <w:color w:val="auto"/>
          <w:szCs w:val="21"/>
          <w:highlight w:val="none"/>
        </w:rPr>
        <w:t>表5-1  矿山地质环境保护与土地复垦预防主要工程量</w:t>
      </w:r>
      <w:r>
        <w:rPr>
          <w:rFonts w:hint="default" w:ascii="Times New Roman" w:hAnsi="Times New Roman" w:eastAsia="黑体" w:cs="Times New Roman"/>
          <w:bCs/>
          <w:color w:val="auto"/>
          <w:szCs w:val="21"/>
          <w:highlight w:val="none"/>
          <w:lang w:val="en-US" w:eastAsia="zh-CN"/>
        </w:rPr>
        <w:t>表</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0"/>
        <w:gridCol w:w="3444"/>
        <w:gridCol w:w="1812"/>
        <w:gridCol w:w="2013"/>
      </w:tblGrid>
      <w:tr w14:paraId="7D3B9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2755" w:type="pct"/>
            <w:gridSpan w:val="2"/>
            <w:noWrap w:val="0"/>
            <w:vAlign w:val="center"/>
          </w:tcPr>
          <w:p w14:paraId="12902369">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矿山地质环境保护预防工程</w:t>
            </w:r>
          </w:p>
        </w:tc>
        <w:tc>
          <w:tcPr>
            <w:tcW w:w="1063" w:type="pct"/>
            <w:noWrap w:val="0"/>
            <w:vAlign w:val="center"/>
          </w:tcPr>
          <w:p w14:paraId="6FF4AA54">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计量单位</w:t>
            </w:r>
          </w:p>
        </w:tc>
        <w:tc>
          <w:tcPr>
            <w:tcW w:w="1181" w:type="pct"/>
            <w:noWrap w:val="0"/>
            <w:vAlign w:val="center"/>
          </w:tcPr>
          <w:p w14:paraId="15FF04CD">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工程量</w:t>
            </w:r>
          </w:p>
        </w:tc>
      </w:tr>
      <w:tr w14:paraId="130D2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34" w:type="pct"/>
            <w:noWrap w:val="0"/>
            <w:vAlign w:val="center"/>
          </w:tcPr>
          <w:p w14:paraId="3B54C020">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2020" w:type="pct"/>
            <w:noWrap w:val="0"/>
            <w:vAlign w:val="bottom"/>
          </w:tcPr>
          <w:p w14:paraId="17601ACE">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设立警示牌</w:t>
            </w:r>
          </w:p>
        </w:tc>
        <w:tc>
          <w:tcPr>
            <w:tcW w:w="1063" w:type="pct"/>
            <w:noWrap w:val="0"/>
            <w:vAlign w:val="bottom"/>
          </w:tcPr>
          <w:p w14:paraId="6A712C25">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个</w:t>
            </w:r>
          </w:p>
        </w:tc>
        <w:tc>
          <w:tcPr>
            <w:tcW w:w="1181" w:type="pct"/>
            <w:noWrap/>
            <w:vAlign w:val="bottom"/>
          </w:tcPr>
          <w:p w14:paraId="3AA46C7B">
            <w:pPr>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r>
      <w:tr w14:paraId="48EE7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34" w:type="pct"/>
            <w:noWrap w:val="0"/>
            <w:vAlign w:val="center"/>
          </w:tcPr>
          <w:p w14:paraId="0F7989D7">
            <w:pPr>
              <w:jc w:val="center"/>
              <w:rPr>
                <w:rFonts w:hint="default" w:ascii="Times New Roman" w:hAnsi="Times New Roman" w:eastAsia="宋体" w:cs="Times New Roman"/>
                <w:color w:val="auto"/>
                <w:sz w:val="21"/>
                <w:szCs w:val="21"/>
                <w:highlight w:val="none"/>
                <w:lang w:val="en-US" w:eastAsia="zh-CN"/>
              </w:rPr>
            </w:pPr>
            <w:bookmarkStart w:id="192" w:name="_Toc2479"/>
            <w:bookmarkStart w:id="193" w:name="_Toc508869986"/>
            <w:bookmarkStart w:id="194" w:name="_Toc23855651"/>
            <w:r>
              <w:rPr>
                <w:rFonts w:hint="default" w:ascii="Times New Roman" w:hAnsi="Times New Roman" w:cs="Times New Roman"/>
                <w:color w:val="auto"/>
                <w:sz w:val="21"/>
                <w:szCs w:val="21"/>
                <w:highlight w:val="none"/>
                <w:lang w:val="en-US" w:eastAsia="zh-CN"/>
              </w:rPr>
              <w:t>2</w:t>
            </w:r>
          </w:p>
        </w:tc>
        <w:tc>
          <w:tcPr>
            <w:tcW w:w="2020" w:type="pct"/>
            <w:noWrap w:val="0"/>
            <w:vAlign w:val="bottom"/>
          </w:tcPr>
          <w:p w14:paraId="0BD1A4DE">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网围栏</w:t>
            </w:r>
          </w:p>
        </w:tc>
        <w:tc>
          <w:tcPr>
            <w:tcW w:w="1063" w:type="pct"/>
            <w:noWrap w:val="0"/>
            <w:vAlign w:val="bottom"/>
          </w:tcPr>
          <w:p w14:paraId="6620986C">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m</w:t>
            </w:r>
          </w:p>
        </w:tc>
        <w:tc>
          <w:tcPr>
            <w:tcW w:w="1181" w:type="pct"/>
            <w:noWrap/>
            <w:vAlign w:val="bottom"/>
          </w:tcPr>
          <w:p w14:paraId="768DBEF5">
            <w:pPr>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780</w:t>
            </w:r>
          </w:p>
        </w:tc>
      </w:tr>
    </w:tbl>
    <w:p w14:paraId="3E94B4F7">
      <w:pPr>
        <w:keepNext/>
        <w:keepLines/>
        <w:widowControl w:val="0"/>
        <w:spacing w:before="260" w:after="260" w:line="415" w:lineRule="auto"/>
        <w:outlineLvl w:val="1"/>
        <w:rPr>
          <w:rFonts w:hint="default" w:ascii="Times New Roman" w:hAnsi="Times New Roman" w:eastAsia="黑体" w:cs="Times New Roman"/>
          <w:bCs/>
          <w:color w:val="auto"/>
          <w:sz w:val="30"/>
          <w:szCs w:val="30"/>
          <w:highlight w:val="none"/>
        </w:rPr>
      </w:pPr>
      <w:bookmarkStart w:id="195" w:name="_Toc7338"/>
      <w:r>
        <w:rPr>
          <w:rFonts w:hint="default" w:ascii="Times New Roman" w:hAnsi="Times New Roman" w:eastAsia="黑体" w:cs="Times New Roman"/>
          <w:bCs/>
          <w:color w:val="auto"/>
          <w:sz w:val="30"/>
          <w:szCs w:val="30"/>
          <w:highlight w:val="none"/>
        </w:rPr>
        <w:t>二、矿山地质灾害治理</w:t>
      </w:r>
      <w:bookmarkEnd w:id="192"/>
      <w:bookmarkEnd w:id="193"/>
      <w:bookmarkEnd w:id="194"/>
      <w:bookmarkEnd w:id="195"/>
    </w:p>
    <w:p w14:paraId="0F22EB9E">
      <w:pPr>
        <w:pStyle w:val="5"/>
        <w:rPr>
          <w:rFonts w:hint="default" w:ascii="Times New Roman" w:hAnsi="Times New Roman" w:eastAsia="黑体" w:cs="Times New Roman"/>
          <w:b w:val="0"/>
          <w:bCs w:val="0"/>
          <w:color w:val="auto"/>
          <w:szCs w:val="28"/>
          <w:highlight w:val="none"/>
        </w:rPr>
      </w:pPr>
      <w:bookmarkStart w:id="196" w:name="_Toc485629719"/>
      <w:r>
        <w:rPr>
          <w:rFonts w:hint="default" w:ascii="Times New Roman" w:hAnsi="Times New Roman" w:eastAsia="黑体" w:cs="Times New Roman"/>
          <w:b w:val="0"/>
          <w:bCs w:val="0"/>
          <w:color w:val="auto"/>
          <w:szCs w:val="28"/>
          <w:highlight w:val="none"/>
          <w:lang w:eastAsia="zh-CN"/>
        </w:rPr>
        <w:t>（</w:t>
      </w:r>
      <w:r>
        <w:rPr>
          <w:rFonts w:hint="default" w:ascii="Times New Roman" w:hAnsi="Times New Roman" w:eastAsia="黑体" w:cs="Times New Roman"/>
          <w:b w:val="0"/>
          <w:bCs w:val="0"/>
          <w:color w:val="auto"/>
          <w:szCs w:val="28"/>
          <w:highlight w:val="none"/>
        </w:rPr>
        <w:t>一）目标任务</w:t>
      </w:r>
      <w:bookmarkEnd w:id="196"/>
    </w:p>
    <w:p w14:paraId="3340EF75">
      <w:pPr>
        <w:spacing w:line="360" w:lineRule="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根据</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以人为本、防治并重、全面规划、综合治理、因地制宜、重点防治</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的原则，对人民生命财产威胁较大的地质灾害等矿山地质问题进行治理，从根本上消除、减轻其危害。</w:t>
      </w:r>
    </w:p>
    <w:p w14:paraId="1A1FD13A">
      <w:pPr>
        <w:pStyle w:val="5"/>
        <w:rPr>
          <w:rFonts w:hint="default" w:ascii="Times New Roman" w:hAnsi="Times New Roman" w:eastAsia="黑体" w:cs="Times New Roman"/>
          <w:b w:val="0"/>
          <w:bCs w:val="0"/>
          <w:color w:val="auto"/>
          <w:szCs w:val="28"/>
          <w:highlight w:val="none"/>
        </w:rPr>
      </w:pPr>
      <w:bookmarkStart w:id="197" w:name="_Toc485629720"/>
      <w:r>
        <w:rPr>
          <w:rFonts w:hint="default" w:ascii="Times New Roman" w:hAnsi="Times New Roman" w:eastAsia="黑体" w:cs="Times New Roman"/>
          <w:b w:val="0"/>
          <w:bCs w:val="0"/>
          <w:color w:val="auto"/>
          <w:szCs w:val="28"/>
          <w:highlight w:val="none"/>
          <w:lang w:eastAsia="zh-CN"/>
        </w:rPr>
        <w:t>（</w:t>
      </w:r>
      <w:r>
        <w:rPr>
          <w:rFonts w:hint="default" w:ascii="Times New Roman" w:hAnsi="Times New Roman" w:eastAsia="黑体" w:cs="Times New Roman"/>
          <w:b w:val="0"/>
          <w:bCs w:val="0"/>
          <w:color w:val="auto"/>
          <w:szCs w:val="28"/>
          <w:highlight w:val="none"/>
        </w:rPr>
        <w:t>二）工程设计</w:t>
      </w:r>
      <w:bookmarkEnd w:id="197"/>
    </w:p>
    <w:p w14:paraId="0169DEFC">
      <w:pPr>
        <w:autoSpaceDE w:val="0"/>
        <w:autoSpaceDN w:val="0"/>
        <w:spacing w:line="360" w:lineRule="auto"/>
        <w:ind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本次工程设计针对</w:t>
      </w:r>
      <w:r>
        <w:rPr>
          <w:rFonts w:hint="eastAsia" w:cs="Times New Roman"/>
          <w:color w:val="auto"/>
          <w:sz w:val="24"/>
          <w:highlight w:val="none"/>
          <w:lang w:val="en-US" w:eastAsia="zh-CN"/>
        </w:rPr>
        <w:t>露天采场、</w:t>
      </w:r>
      <w:r>
        <w:rPr>
          <w:rFonts w:hint="default" w:ascii="Times New Roman" w:hAnsi="Times New Roman" w:cs="Times New Roman"/>
          <w:color w:val="auto"/>
          <w:sz w:val="24"/>
          <w:highlight w:val="none"/>
          <w:lang w:val="en-US" w:eastAsia="zh-CN"/>
        </w:rPr>
        <w:t>工业广场</w:t>
      </w:r>
      <w:r>
        <w:rPr>
          <w:rFonts w:hint="eastAsia"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生产生活区</w:t>
      </w:r>
      <w:r>
        <w:rPr>
          <w:rFonts w:hint="eastAsia"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原有办公室及临时堆料场</w:t>
      </w:r>
      <w:r>
        <w:rPr>
          <w:rFonts w:hint="eastAsia"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矿山道路</w:t>
      </w:r>
      <w:r>
        <w:rPr>
          <w:rFonts w:hint="eastAsia"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表土堆场</w:t>
      </w:r>
      <w:r>
        <w:rPr>
          <w:rFonts w:hint="eastAsia" w:cs="Times New Roman"/>
          <w:color w:val="auto"/>
          <w:sz w:val="24"/>
          <w:highlight w:val="none"/>
          <w:lang w:val="en-US" w:eastAsia="zh-CN"/>
        </w:rPr>
        <w:t>等单元</w:t>
      </w:r>
      <w:r>
        <w:rPr>
          <w:rFonts w:hint="default" w:ascii="Times New Roman" w:hAnsi="Times New Roman" w:cs="Times New Roman"/>
          <w:color w:val="auto"/>
          <w:sz w:val="24"/>
          <w:highlight w:val="none"/>
          <w:lang w:val="en-US" w:eastAsia="zh-CN"/>
        </w:rPr>
        <w:t>。</w:t>
      </w:r>
    </w:p>
    <w:p w14:paraId="433B0542">
      <w:pPr>
        <w:spacing w:line="360" w:lineRule="auto"/>
        <w:ind w:firstLine="482" w:firstLineChars="200"/>
        <w:rPr>
          <w:rFonts w:hint="default" w:ascii="Times New Roman" w:hAnsi="Times New Roman" w:cs="Times New Roman"/>
          <w:b/>
          <w:bCs/>
          <w:color w:val="auto"/>
          <w:sz w:val="24"/>
          <w:highlight w:val="none"/>
          <w:lang w:val="en-US" w:eastAsia="zh-CN"/>
        </w:rPr>
      </w:pPr>
      <w:r>
        <w:rPr>
          <w:rFonts w:hint="default" w:ascii="Times New Roman" w:hAnsi="Times New Roman" w:cs="Times New Roman"/>
          <w:b/>
          <w:bCs/>
          <w:color w:val="auto"/>
          <w:sz w:val="24"/>
          <w:highlight w:val="none"/>
          <w:lang w:val="en-US" w:eastAsia="zh-CN"/>
        </w:rPr>
        <w:t>1、边坡清理</w:t>
      </w:r>
    </w:p>
    <w:p w14:paraId="3791C8D5">
      <w:pPr>
        <w:autoSpaceDE w:val="0"/>
        <w:autoSpaceDN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对露天采坑</w:t>
      </w:r>
      <w:r>
        <w:rPr>
          <w:rFonts w:hint="default" w:ascii="Times New Roman" w:hAnsi="Times New Roman" w:cs="Times New Roman"/>
          <w:color w:val="auto"/>
          <w:sz w:val="24"/>
          <w:highlight w:val="none"/>
        </w:rPr>
        <w:t>边坡</w:t>
      </w:r>
      <w:r>
        <w:rPr>
          <w:rFonts w:hint="default" w:ascii="Times New Roman" w:hAnsi="Times New Roman" w:cs="Times New Roman"/>
          <w:color w:val="auto"/>
          <w:sz w:val="24"/>
          <w:highlight w:val="none"/>
          <w:lang w:val="en-US" w:eastAsia="zh-CN"/>
        </w:rPr>
        <w:t>进行清理</w:t>
      </w:r>
      <w:r>
        <w:rPr>
          <w:rFonts w:hint="default" w:ascii="Times New Roman" w:hAnsi="Times New Roman" w:cs="Times New Roman"/>
          <w:color w:val="auto"/>
          <w:sz w:val="24"/>
          <w:highlight w:val="none"/>
        </w:rPr>
        <w:t>。</w:t>
      </w:r>
    </w:p>
    <w:p w14:paraId="3E1F5666">
      <w:pPr>
        <w:spacing w:line="360" w:lineRule="auto"/>
        <w:ind w:firstLine="482" w:firstLineChars="200"/>
        <w:rPr>
          <w:rFonts w:hint="default" w:ascii="Times New Roman" w:hAnsi="Times New Roman" w:cs="Times New Roman"/>
          <w:b/>
          <w:bCs/>
          <w:color w:val="auto"/>
          <w:sz w:val="24"/>
          <w:highlight w:val="none"/>
          <w:lang w:val="en-US" w:eastAsia="zh-CN"/>
        </w:rPr>
      </w:pPr>
      <w:r>
        <w:rPr>
          <w:rFonts w:hint="default" w:ascii="Times New Roman" w:hAnsi="Times New Roman" w:cs="Times New Roman"/>
          <w:b/>
          <w:bCs/>
          <w:color w:val="auto"/>
          <w:sz w:val="24"/>
          <w:highlight w:val="none"/>
          <w:lang w:val="en-US" w:eastAsia="zh-CN"/>
        </w:rPr>
        <w:t>2、拆除构筑物工程</w:t>
      </w:r>
    </w:p>
    <w:p w14:paraId="307E6944">
      <w:pPr>
        <w:autoSpaceDE w:val="0"/>
        <w:autoSpaceDN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矿山闭矿后期，对废弃构筑物进行拆除，恢复地形地貌景观。</w:t>
      </w:r>
    </w:p>
    <w:p w14:paraId="559B3B2D">
      <w:pPr>
        <w:spacing w:line="360" w:lineRule="auto"/>
        <w:ind w:firstLine="482" w:firstLineChars="200"/>
        <w:rPr>
          <w:rFonts w:hint="default" w:ascii="Times New Roman" w:hAnsi="Times New Roman" w:cs="Times New Roman"/>
          <w:b/>
          <w:bCs/>
          <w:color w:val="auto"/>
          <w:sz w:val="24"/>
          <w:highlight w:val="none"/>
          <w:lang w:val="en-US" w:eastAsia="zh-CN"/>
        </w:rPr>
      </w:pPr>
      <w:r>
        <w:rPr>
          <w:rFonts w:hint="default" w:ascii="Times New Roman" w:hAnsi="Times New Roman" w:cs="Times New Roman"/>
          <w:b/>
          <w:bCs/>
          <w:color w:val="auto"/>
          <w:sz w:val="24"/>
          <w:highlight w:val="none"/>
          <w:lang w:val="en-US" w:eastAsia="zh-CN"/>
        </w:rPr>
        <w:t>3、清理硬覆盖工程</w:t>
      </w:r>
    </w:p>
    <w:p w14:paraId="216A3BF4">
      <w:pPr>
        <w:autoSpaceDE w:val="0"/>
        <w:autoSpaceDN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闭矿后期需对场地进行清理硬覆盖，恢复土地</w:t>
      </w:r>
      <w:r>
        <w:rPr>
          <w:rFonts w:hint="default" w:ascii="Times New Roman" w:hAnsi="Times New Roman" w:cs="Times New Roman"/>
          <w:color w:val="auto"/>
          <w:sz w:val="24"/>
          <w:highlight w:val="none"/>
          <w:lang w:val="en-US" w:eastAsia="zh-CN"/>
        </w:rPr>
        <w:t>用途</w:t>
      </w:r>
      <w:r>
        <w:rPr>
          <w:rFonts w:hint="default" w:ascii="Times New Roman" w:hAnsi="Times New Roman" w:cs="Times New Roman"/>
          <w:color w:val="auto"/>
          <w:sz w:val="24"/>
          <w:highlight w:val="none"/>
        </w:rPr>
        <w:t>。</w:t>
      </w:r>
    </w:p>
    <w:p w14:paraId="1025D721">
      <w:pPr>
        <w:spacing w:line="360" w:lineRule="auto"/>
        <w:ind w:firstLine="482" w:firstLineChars="200"/>
        <w:rPr>
          <w:rFonts w:hint="eastAsia" w:ascii="Times New Roman" w:hAnsi="Times New Roman" w:eastAsia="宋体" w:cs="Times New Roman"/>
          <w:b/>
          <w:bCs/>
          <w:color w:val="auto"/>
          <w:sz w:val="24"/>
          <w:highlight w:val="none"/>
          <w:lang w:val="en-US" w:eastAsia="zh-CN"/>
        </w:rPr>
      </w:pPr>
      <w:bookmarkStart w:id="198" w:name="_Toc485629721"/>
      <w:r>
        <w:rPr>
          <w:rFonts w:hint="eastAsia" w:ascii="Times New Roman" w:hAnsi="Times New Roman" w:eastAsia="宋体" w:cs="Times New Roman"/>
          <w:b/>
          <w:bCs/>
          <w:color w:val="auto"/>
          <w:sz w:val="24"/>
          <w:highlight w:val="none"/>
          <w:lang w:val="en-US" w:eastAsia="zh-CN"/>
        </w:rPr>
        <w:t>4、废渣回填采坑</w:t>
      </w:r>
    </w:p>
    <w:p w14:paraId="40114375">
      <w:pPr>
        <w:autoSpaceDE w:val="0"/>
        <w:autoSpaceDN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露天采场坑底和平台为石质地面，无法直接开挖种植穴，表土回覆前，平台回填0.7m废渣。</w:t>
      </w:r>
    </w:p>
    <w:p w14:paraId="1FAF9C2A">
      <w:pPr>
        <w:spacing w:line="360" w:lineRule="auto"/>
        <w:ind w:firstLine="482" w:firstLineChars="200"/>
        <w:rPr>
          <w:rFonts w:hint="default" w:ascii="Times New Roman" w:hAnsi="Times New Roman" w:cs="Times New Roman"/>
          <w:b/>
          <w:bCs/>
          <w:color w:val="auto"/>
          <w:sz w:val="24"/>
          <w:highlight w:val="none"/>
          <w:lang w:val="en-US" w:eastAsia="zh-CN"/>
        </w:rPr>
      </w:pPr>
      <w:r>
        <w:rPr>
          <w:rFonts w:hint="eastAsia" w:cs="Times New Roman"/>
          <w:b/>
          <w:bCs/>
          <w:color w:val="auto"/>
          <w:sz w:val="24"/>
          <w:highlight w:val="none"/>
          <w:lang w:val="en-US" w:eastAsia="zh-CN"/>
        </w:rPr>
        <w:t>5</w:t>
      </w:r>
      <w:r>
        <w:rPr>
          <w:rFonts w:hint="default" w:ascii="Times New Roman" w:hAnsi="Times New Roman" w:cs="Times New Roman"/>
          <w:b/>
          <w:bCs/>
          <w:color w:val="auto"/>
          <w:sz w:val="24"/>
          <w:highlight w:val="none"/>
          <w:lang w:val="en-US" w:eastAsia="zh-CN"/>
        </w:rPr>
        <w:t>、场地平整工程</w:t>
      </w:r>
    </w:p>
    <w:p w14:paraId="66024E57">
      <w:pPr>
        <w:autoSpaceDE w:val="0"/>
        <w:autoSpaceDN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在拆除构筑物、清理硬覆盖等工程完成后，对场地进行平整。</w:t>
      </w:r>
    </w:p>
    <w:p w14:paraId="71BEE79C">
      <w:pPr>
        <w:spacing w:line="360" w:lineRule="auto"/>
        <w:ind w:firstLine="482" w:firstLineChars="200"/>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6、排水涵管钻设</w:t>
      </w:r>
    </w:p>
    <w:p w14:paraId="5BE403C5">
      <w:pPr>
        <w:autoSpaceDE w:val="0"/>
        <w:autoSpaceDN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矿山终采后涉及凹陷开采，从北侧边界范围钻设排水涵管用于底部积水的排泄。</w:t>
      </w:r>
    </w:p>
    <w:p w14:paraId="74EBE786">
      <w:pPr>
        <w:pStyle w:val="5"/>
        <w:rPr>
          <w:rFonts w:hint="default" w:ascii="Times New Roman" w:hAnsi="Times New Roman" w:eastAsia="黑体" w:cs="Times New Roman"/>
          <w:b w:val="0"/>
          <w:bCs w:val="0"/>
          <w:color w:val="auto"/>
          <w:szCs w:val="28"/>
          <w:highlight w:val="none"/>
        </w:rPr>
      </w:pPr>
      <w:r>
        <w:rPr>
          <w:rFonts w:hint="default" w:ascii="Times New Roman" w:hAnsi="Times New Roman" w:eastAsia="黑体" w:cs="Times New Roman"/>
          <w:b w:val="0"/>
          <w:bCs w:val="0"/>
          <w:color w:val="auto"/>
          <w:szCs w:val="28"/>
          <w:highlight w:val="none"/>
          <w:lang w:eastAsia="zh-CN"/>
        </w:rPr>
        <w:t>（</w:t>
      </w:r>
      <w:r>
        <w:rPr>
          <w:rFonts w:hint="default" w:ascii="Times New Roman" w:hAnsi="Times New Roman" w:eastAsia="黑体" w:cs="Times New Roman"/>
          <w:b w:val="0"/>
          <w:bCs w:val="0"/>
          <w:color w:val="auto"/>
          <w:szCs w:val="28"/>
          <w:highlight w:val="none"/>
        </w:rPr>
        <w:t>三）技术措施</w:t>
      </w:r>
      <w:bookmarkEnd w:id="198"/>
    </w:p>
    <w:p w14:paraId="63EED772">
      <w:pPr>
        <w:spacing w:line="360" w:lineRule="auto"/>
        <w:ind w:firstLine="482" w:firstLineChars="200"/>
        <w:rPr>
          <w:rFonts w:hint="default" w:ascii="Times New Roman" w:hAnsi="Times New Roman" w:eastAsia="宋体" w:cs="Times New Roman"/>
          <w:b/>
          <w:bCs/>
          <w:color w:val="auto"/>
          <w:sz w:val="24"/>
          <w:highlight w:val="none"/>
          <w:lang w:val="en-US" w:eastAsia="zh-CN"/>
        </w:rPr>
      </w:pPr>
      <w:r>
        <w:rPr>
          <w:rFonts w:hint="default" w:ascii="Times New Roman" w:hAnsi="Times New Roman" w:cs="Times New Roman"/>
          <w:b/>
          <w:bCs/>
          <w:color w:val="auto"/>
          <w:sz w:val="24"/>
          <w:highlight w:val="none"/>
          <w:lang w:val="en-US" w:eastAsia="zh-CN"/>
        </w:rPr>
        <w:t>1、边坡清理</w:t>
      </w:r>
    </w:p>
    <w:p w14:paraId="21D4E09A">
      <w:pPr>
        <w:autoSpaceDE w:val="0"/>
        <w:autoSpaceDN w:val="0"/>
        <w:spacing w:line="360" w:lineRule="auto"/>
        <w:ind w:firstLine="480" w:firstLineChars="200"/>
        <w:jc w:val="both"/>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对露天采坑</w:t>
      </w:r>
      <w:r>
        <w:rPr>
          <w:rFonts w:hint="default" w:ascii="Times New Roman" w:hAnsi="Times New Roman" w:cs="Times New Roman"/>
          <w:color w:val="auto"/>
          <w:sz w:val="24"/>
          <w:highlight w:val="none"/>
        </w:rPr>
        <w:t>边坡</w:t>
      </w:r>
      <w:r>
        <w:rPr>
          <w:rFonts w:hint="default" w:ascii="Times New Roman" w:hAnsi="Times New Roman" w:cs="Times New Roman"/>
          <w:color w:val="auto"/>
          <w:sz w:val="24"/>
          <w:highlight w:val="none"/>
          <w:lang w:val="en-US" w:eastAsia="zh-CN"/>
        </w:rPr>
        <w:t>进行清理</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须清理面积为</w:t>
      </w:r>
      <w:r>
        <w:rPr>
          <w:rFonts w:hint="eastAsia" w:cs="Times New Roman"/>
          <w:color w:val="auto"/>
          <w:sz w:val="24"/>
          <w:highlight w:val="none"/>
          <w:lang w:val="en-US" w:eastAsia="zh-CN"/>
        </w:rPr>
        <w:t>1.1717</w:t>
      </w:r>
      <w:r>
        <w:rPr>
          <w:rFonts w:hint="default" w:ascii="Times New Roman" w:hAnsi="Times New Roman" w:cs="Times New Roman"/>
          <w:color w:val="auto"/>
          <w:sz w:val="24"/>
          <w:highlight w:val="none"/>
        </w:rPr>
        <w:t>hm²</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斜面积）</w:t>
      </w:r>
      <w:r>
        <w:rPr>
          <w:rFonts w:hint="default" w:ascii="Times New Roman" w:hAnsi="Times New Roman" w:cs="Times New Roman"/>
          <w:color w:val="auto"/>
          <w:sz w:val="24"/>
          <w:highlight w:val="none"/>
          <w:lang w:eastAsia="zh-CN"/>
        </w:rPr>
        <w:t>，</w:t>
      </w:r>
      <w:r>
        <w:rPr>
          <w:rFonts w:hint="eastAsia" w:cs="Times New Roman"/>
          <w:color w:val="auto"/>
          <w:sz w:val="24"/>
          <w:highlight w:val="none"/>
          <w:lang w:val="en-US" w:eastAsia="zh-CN"/>
        </w:rPr>
        <w:t>根据同类矿山清理经验，约有25%需要清理，清理的</w:t>
      </w:r>
      <w:r>
        <w:rPr>
          <w:rFonts w:hint="default" w:ascii="Times New Roman" w:hAnsi="Times New Roman" w:cs="Times New Roman"/>
          <w:color w:val="auto"/>
          <w:sz w:val="24"/>
          <w:highlight w:val="none"/>
        </w:rPr>
        <w:t>平均清理厚度0.</w:t>
      </w:r>
      <w:r>
        <w:rPr>
          <w:rFonts w:hint="eastAsia" w:cs="Times New Roman"/>
          <w:color w:val="auto"/>
          <w:sz w:val="24"/>
          <w:highlight w:val="none"/>
          <w:lang w:val="en-US" w:eastAsia="zh-CN"/>
        </w:rPr>
        <w:t>20</w:t>
      </w:r>
      <w:r>
        <w:rPr>
          <w:rFonts w:hint="default" w:ascii="Times New Roman" w:hAnsi="Times New Roman" w:cs="Times New Roman"/>
          <w:color w:val="auto"/>
          <w:sz w:val="24"/>
          <w:highlight w:val="none"/>
        </w:rPr>
        <w:t>m，危岩清理工作量</w:t>
      </w:r>
      <w:r>
        <w:rPr>
          <w:rFonts w:hint="default" w:ascii="Times New Roman" w:hAnsi="Times New Roman" w:cs="Times New Roman"/>
          <w:color w:val="auto"/>
          <w:sz w:val="24"/>
          <w:highlight w:val="none"/>
          <w:lang w:val="en-US" w:eastAsia="zh-CN"/>
        </w:rPr>
        <w:t>为</w:t>
      </w:r>
      <w:r>
        <w:rPr>
          <w:rFonts w:hint="eastAsia" w:cs="Times New Roman"/>
          <w:color w:val="auto"/>
          <w:sz w:val="24"/>
          <w:highlight w:val="none"/>
          <w:lang w:val="en-US" w:eastAsia="zh-CN"/>
        </w:rPr>
        <w:t>586</w:t>
      </w:r>
      <w:r>
        <w:rPr>
          <w:rFonts w:hint="default" w:ascii="Times New Roman" w:hAnsi="Times New Roman" w:cs="Times New Roman"/>
          <w:color w:val="auto"/>
          <w:sz w:val="24"/>
          <w:highlight w:val="none"/>
          <w:lang w:eastAsia="zh-CN"/>
        </w:rPr>
        <w:t>m</w:t>
      </w:r>
      <w:r>
        <w:rPr>
          <w:rFonts w:hint="default" w:ascii="Times New Roman" w:hAnsi="Times New Roman" w:cs="Times New Roman"/>
          <w:color w:val="auto"/>
          <w:sz w:val="24"/>
          <w:highlight w:val="none"/>
          <w:vertAlign w:val="superscript"/>
          <w:lang w:eastAsia="zh-CN"/>
        </w:rPr>
        <w:t>3</w:t>
      </w:r>
      <w:r>
        <w:rPr>
          <w:rFonts w:hint="default" w:ascii="Times New Roman" w:hAnsi="Times New Roman" w:cs="Times New Roman"/>
          <w:color w:val="auto"/>
          <w:sz w:val="24"/>
          <w:highlight w:val="none"/>
        </w:rPr>
        <w:t>，清理碎石</w:t>
      </w:r>
      <w:r>
        <w:rPr>
          <w:rFonts w:hint="eastAsia" w:cs="Times New Roman"/>
          <w:color w:val="auto"/>
          <w:sz w:val="24"/>
          <w:highlight w:val="none"/>
          <w:lang w:val="en-US" w:eastAsia="zh-CN"/>
        </w:rPr>
        <w:t>回填采坑底部</w:t>
      </w:r>
      <w:r>
        <w:rPr>
          <w:rFonts w:hint="default" w:ascii="Times New Roman" w:hAnsi="Times New Roman" w:cs="Times New Roman"/>
          <w:color w:val="auto"/>
          <w:sz w:val="24"/>
          <w:highlight w:val="none"/>
          <w:lang w:val="en-US" w:eastAsia="zh-CN"/>
        </w:rPr>
        <w:t>。</w:t>
      </w:r>
    </w:p>
    <w:p w14:paraId="7C77F1D5">
      <w:pPr>
        <w:spacing w:line="360" w:lineRule="auto"/>
        <w:ind w:firstLine="482" w:firstLineChars="200"/>
        <w:jc w:val="both"/>
        <w:rPr>
          <w:rFonts w:hint="default" w:ascii="Times New Roman" w:hAnsi="Times New Roman" w:cs="Times New Roman"/>
          <w:b/>
          <w:color w:val="auto"/>
          <w:sz w:val="24"/>
          <w:highlight w:val="none"/>
        </w:rPr>
      </w:pPr>
      <w:r>
        <w:rPr>
          <w:rFonts w:hint="eastAsia" w:cs="Times New Roman"/>
          <w:b/>
          <w:color w:val="auto"/>
          <w:sz w:val="24"/>
          <w:highlight w:val="none"/>
          <w:lang w:val="en-US" w:eastAsia="zh-CN"/>
        </w:rPr>
        <w:t>2</w:t>
      </w:r>
      <w:r>
        <w:rPr>
          <w:rFonts w:hint="default" w:ascii="Times New Roman" w:hAnsi="Times New Roman" w:cs="Times New Roman"/>
          <w:b/>
          <w:color w:val="auto"/>
          <w:sz w:val="24"/>
          <w:highlight w:val="none"/>
          <w:lang w:val="en-US" w:eastAsia="zh-CN"/>
        </w:rPr>
        <w:t>、</w:t>
      </w:r>
      <w:r>
        <w:rPr>
          <w:rFonts w:hint="default" w:ascii="Times New Roman" w:hAnsi="Times New Roman" w:cs="Times New Roman"/>
          <w:b/>
          <w:color w:val="auto"/>
          <w:sz w:val="24"/>
          <w:highlight w:val="none"/>
        </w:rPr>
        <w:t>拆除构筑物工程</w:t>
      </w:r>
    </w:p>
    <w:p w14:paraId="578A031B">
      <w:pPr>
        <w:spacing w:line="360" w:lineRule="auto"/>
        <w:ind w:firstLine="480" w:firstLineChars="200"/>
        <w:rPr>
          <w:rFonts w:hint="default" w:ascii="Times New Roman" w:hAnsi="Times New Roman" w:cs="Times New Roman"/>
          <w:color w:val="auto"/>
          <w:sz w:val="24"/>
          <w:highlight w:val="none"/>
          <w:lang w:val="en-US" w:eastAsia="zh-CN"/>
        </w:rPr>
      </w:pPr>
      <w:bookmarkStart w:id="199" w:name="_Hlk36571935"/>
      <w:r>
        <w:rPr>
          <w:rFonts w:hint="default" w:ascii="Times New Roman" w:hAnsi="Times New Roman" w:cs="Times New Roman"/>
          <w:color w:val="auto"/>
          <w:sz w:val="24"/>
          <w:highlight w:val="none"/>
          <w:lang w:val="en-US" w:eastAsia="zh-CN"/>
        </w:rPr>
        <w:t>项目建筑物所在的场地主要为工业广场</w:t>
      </w:r>
      <w:r>
        <w:rPr>
          <w:rFonts w:hint="eastAsia"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办公生活区</w:t>
      </w:r>
      <w:r>
        <w:rPr>
          <w:rFonts w:hint="eastAsia"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原有办公室及临时堆料场，</w:t>
      </w:r>
      <w:r>
        <w:rPr>
          <w:rFonts w:hint="eastAsia" w:cs="Times New Roman"/>
          <w:color w:val="auto"/>
          <w:sz w:val="24"/>
          <w:highlight w:val="none"/>
          <w:lang w:val="en-US" w:eastAsia="zh-CN"/>
        </w:rPr>
        <w:t>结构为彩钢结构和砖混</w:t>
      </w:r>
      <w:r>
        <w:rPr>
          <w:rFonts w:hint="default" w:ascii="Times New Roman" w:hAnsi="Times New Roman" w:cs="Times New Roman"/>
          <w:color w:val="auto"/>
          <w:sz w:val="24"/>
          <w:highlight w:val="none"/>
          <w:lang w:val="en-US" w:eastAsia="zh-CN"/>
        </w:rPr>
        <w:t>，按照场地内各建筑物实际结构计算，需拆除</w:t>
      </w:r>
      <w:r>
        <w:rPr>
          <w:rFonts w:hint="eastAsia" w:cs="Times New Roman"/>
          <w:color w:val="auto"/>
          <w:sz w:val="24"/>
          <w:highlight w:val="none"/>
          <w:lang w:val="en-US" w:eastAsia="zh-CN"/>
        </w:rPr>
        <w:t>建筑物434</w:t>
      </w:r>
      <w:r>
        <w:rPr>
          <w:rFonts w:hint="default" w:ascii="Times New Roman" w:hAnsi="Times New Roman" w:cs="Times New Roman"/>
          <w:color w:val="auto"/>
          <w:sz w:val="24"/>
          <w:highlight w:val="none"/>
          <w:lang w:val="en-US" w:eastAsia="zh-CN"/>
        </w:rPr>
        <w:t>m</w:t>
      </w:r>
      <w:r>
        <w:rPr>
          <w:rFonts w:hint="default" w:ascii="Times New Roman" w:hAnsi="Times New Roman" w:cs="Times New Roman"/>
          <w:color w:val="auto"/>
          <w:sz w:val="24"/>
          <w:highlight w:val="none"/>
          <w:vertAlign w:val="superscript"/>
          <w:lang w:val="en-US" w:eastAsia="zh-CN"/>
        </w:rPr>
        <w:t>3</w:t>
      </w:r>
      <w:r>
        <w:rPr>
          <w:rFonts w:hint="default" w:ascii="Times New Roman" w:hAnsi="Times New Roman" w:cs="Times New Roman"/>
          <w:color w:val="auto"/>
          <w:sz w:val="24"/>
          <w:highlight w:val="none"/>
          <w:lang w:val="en-US" w:eastAsia="zh-CN"/>
        </w:rPr>
        <w:t>，拆除后的建筑垃圾</w:t>
      </w:r>
      <w:r>
        <w:rPr>
          <w:rFonts w:hint="eastAsia" w:cs="Times New Roman"/>
          <w:color w:val="auto"/>
          <w:sz w:val="24"/>
          <w:highlight w:val="none"/>
          <w:lang w:val="en-US" w:eastAsia="zh-CN"/>
        </w:rPr>
        <w:t>砖混建筑物</w:t>
      </w:r>
      <w:r>
        <w:rPr>
          <w:rFonts w:hint="default" w:ascii="Times New Roman" w:hAnsi="Times New Roman" w:cs="Times New Roman"/>
          <w:color w:val="auto"/>
          <w:sz w:val="24"/>
          <w:highlight w:val="none"/>
          <w:lang w:val="en-US" w:eastAsia="zh-CN"/>
        </w:rPr>
        <w:t>运送至</w:t>
      </w:r>
      <w:r>
        <w:rPr>
          <w:rFonts w:hint="eastAsia" w:cs="Times New Roman"/>
          <w:color w:val="auto"/>
          <w:sz w:val="24"/>
          <w:highlight w:val="none"/>
          <w:lang w:val="en-US" w:eastAsia="zh-CN"/>
        </w:rPr>
        <w:t>采坑底部，其余回收利用</w:t>
      </w:r>
      <w:r>
        <w:rPr>
          <w:rFonts w:hint="default" w:ascii="Times New Roman" w:hAnsi="Times New Roman" w:cs="Times New Roman"/>
          <w:color w:val="auto"/>
          <w:sz w:val="24"/>
          <w:highlight w:val="none"/>
          <w:lang w:val="en-US" w:eastAsia="zh-CN"/>
        </w:rPr>
        <w:t>。</w:t>
      </w:r>
    </w:p>
    <w:bookmarkEnd w:id="199"/>
    <w:p w14:paraId="260C1A2C">
      <w:pPr>
        <w:spacing w:line="360" w:lineRule="auto"/>
        <w:ind w:firstLine="482" w:firstLineChars="200"/>
        <w:rPr>
          <w:rFonts w:hint="default" w:ascii="Times New Roman" w:hAnsi="Times New Roman" w:cs="Times New Roman"/>
          <w:b/>
          <w:color w:val="auto"/>
          <w:sz w:val="24"/>
          <w:highlight w:val="none"/>
        </w:rPr>
      </w:pPr>
      <w:bookmarkStart w:id="200" w:name="_Hlk44266418"/>
      <w:r>
        <w:rPr>
          <w:rFonts w:hint="eastAsia" w:cs="Times New Roman"/>
          <w:b/>
          <w:color w:val="auto"/>
          <w:sz w:val="24"/>
          <w:highlight w:val="none"/>
          <w:lang w:val="en-US" w:eastAsia="zh-CN"/>
        </w:rPr>
        <w:t>3</w:t>
      </w:r>
      <w:r>
        <w:rPr>
          <w:rFonts w:hint="default" w:ascii="Times New Roman" w:hAnsi="Times New Roman" w:cs="Times New Roman"/>
          <w:b/>
          <w:color w:val="auto"/>
          <w:sz w:val="24"/>
          <w:highlight w:val="none"/>
          <w:lang w:val="en-US" w:eastAsia="zh-CN"/>
        </w:rPr>
        <w:t>、</w:t>
      </w:r>
      <w:r>
        <w:rPr>
          <w:rFonts w:hint="default" w:ascii="Times New Roman" w:hAnsi="Times New Roman" w:cs="Times New Roman"/>
          <w:b/>
          <w:color w:val="auto"/>
          <w:sz w:val="24"/>
          <w:highlight w:val="none"/>
        </w:rPr>
        <w:t>清理硬覆盖</w:t>
      </w:r>
    </w:p>
    <w:p w14:paraId="7EBD7067">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rPr>
        <w:t>对地表硬化过的场地清除硬覆盖，以恢复地表透水性，涉及清理硬覆盖的单元</w:t>
      </w:r>
      <w:r>
        <w:rPr>
          <w:rFonts w:hint="eastAsia" w:cs="Times New Roman"/>
          <w:color w:val="auto"/>
          <w:sz w:val="24"/>
          <w:highlight w:val="none"/>
          <w:lang w:val="en-US" w:eastAsia="zh-CN"/>
        </w:rPr>
        <w:t>为</w:t>
      </w:r>
      <w:r>
        <w:rPr>
          <w:rFonts w:hint="default" w:ascii="Times New Roman" w:hAnsi="Times New Roman" w:cs="Times New Roman"/>
          <w:color w:val="auto"/>
          <w:sz w:val="24"/>
          <w:highlight w:val="none"/>
        </w:rPr>
        <w:t>原有办公室及临时堆料场</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矿山道路</w:t>
      </w:r>
      <w:r>
        <w:rPr>
          <w:rFonts w:hint="default" w:ascii="Times New Roman" w:hAnsi="Times New Roman" w:cs="Times New Roman"/>
          <w:color w:val="auto"/>
          <w:sz w:val="24"/>
          <w:highlight w:val="none"/>
          <w:lang w:val="en-US" w:eastAsia="zh-CN"/>
        </w:rPr>
        <w:t>，因此硬覆盖清理面积为</w:t>
      </w:r>
      <w:r>
        <w:rPr>
          <w:rFonts w:hint="eastAsia" w:cs="Times New Roman"/>
          <w:color w:val="auto"/>
          <w:sz w:val="24"/>
          <w:highlight w:val="none"/>
          <w:lang w:val="en-US" w:eastAsia="zh-CN"/>
        </w:rPr>
        <w:t>0.2802</w:t>
      </w:r>
      <w:r>
        <w:rPr>
          <w:rFonts w:hint="default" w:ascii="Times New Roman" w:hAnsi="Times New Roman" w:cs="Times New Roman"/>
          <w:color w:val="auto"/>
          <w:sz w:val="24"/>
          <w:highlight w:val="none"/>
          <w:lang w:val="en-US" w:eastAsia="zh-CN"/>
        </w:rPr>
        <w:t>hm</w:t>
      </w:r>
      <w:r>
        <w:rPr>
          <w:rFonts w:hint="default" w:ascii="Times New Roman" w:hAnsi="Times New Roman" w:cs="Times New Roman"/>
          <w:color w:val="auto"/>
          <w:sz w:val="24"/>
          <w:highlight w:val="none"/>
          <w:vertAlign w:val="superscript"/>
          <w:lang w:val="en-US" w:eastAsia="zh-CN"/>
        </w:rPr>
        <w:t>2</w:t>
      </w:r>
      <w:r>
        <w:rPr>
          <w:rFonts w:hint="default"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rPr>
        <w:t>清理厚度0.</w:t>
      </w:r>
      <w:r>
        <w:rPr>
          <w:rFonts w:hint="eastAsia" w:cs="Times New Roman"/>
          <w:color w:val="auto"/>
          <w:sz w:val="24"/>
          <w:highlight w:val="none"/>
          <w:lang w:val="en-US" w:eastAsia="zh-CN"/>
        </w:rPr>
        <w:t>2</w:t>
      </w:r>
      <w:r>
        <w:rPr>
          <w:rFonts w:hint="default" w:ascii="Times New Roman" w:hAnsi="Times New Roman" w:cs="Times New Roman"/>
          <w:color w:val="auto"/>
          <w:sz w:val="24"/>
          <w:highlight w:val="none"/>
        </w:rPr>
        <w:t>m，清理硬覆盖总体积为</w:t>
      </w:r>
      <w:r>
        <w:rPr>
          <w:rFonts w:hint="eastAsia" w:cs="Times New Roman"/>
          <w:color w:val="auto"/>
          <w:sz w:val="24"/>
          <w:highlight w:val="none"/>
          <w:lang w:val="en-US" w:eastAsia="zh-CN"/>
        </w:rPr>
        <w:t>561</w:t>
      </w:r>
      <w:r>
        <w:rPr>
          <w:rFonts w:hint="default" w:ascii="Times New Roman" w:hAnsi="Times New Roman" w:cs="Times New Roman"/>
          <w:color w:val="auto"/>
          <w:sz w:val="24"/>
          <w:highlight w:val="none"/>
          <w:lang w:eastAsia="zh-CN"/>
        </w:rPr>
        <w:t>m</w:t>
      </w:r>
      <w:r>
        <w:rPr>
          <w:rFonts w:hint="default" w:ascii="Times New Roman" w:hAnsi="Times New Roman" w:cs="Times New Roman"/>
          <w:color w:val="auto"/>
          <w:sz w:val="24"/>
          <w:highlight w:val="none"/>
          <w:vertAlign w:val="superscript"/>
          <w:lang w:eastAsia="zh-CN"/>
        </w:rPr>
        <w:t>3</w:t>
      </w:r>
      <w:r>
        <w:rPr>
          <w:rFonts w:hint="default" w:ascii="Times New Roman" w:hAnsi="Times New Roman" w:cs="Times New Roman"/>
          <w:color w:val="auto"/>
          <w:sz w:val="24"/>
          <w:highlight w:val="none"/>
        </w:rPr>
        <w:t>。清理后的硬覆盖</w:t>
      </w:r>
      <w:r>
        <w:rPr>
          <w:rFonts w:hint="default" w:ascii="Times New Roman" w:hAnsi="Times New Roman" w:cs="Times New Roman"/>
          <w:color w:val="auto"/>
          <w:sz w:val="24"/>
          <w:highlight w:val="none"/>
          <w:lang w:eastAsia="zh-CN"/>
        </w:rPr>
        <w:t>运输至</w:t>
      </w:r>
      <w:r>
        <w:rPr>
          <w:rFonts w:hint="eastAsia" w:cs="Times New Roman"/>
          <w:color w:val="auto"/>
          <w:sz w:val="24"/>
          <w:highlight w:val="none"/>
          <w:lang w:val="en-US" w:eastAsia="zh-CN"/>
        </w:rPr>
        <w:t>采坑底部</w:t>
      </w:r>
      <w:r>
        <w:rPr>
          <w:rFonts w:hint="default" w:ascii="Times New Roman" w:hAnsi="Times New Roman" w:cs="Times New Roman"/>
          <w:color w:val="auto"/>
          <w:sz w:val="24"/>
          <w:highlight w:val="none"/>
        </w:rPr>
        <w:t>。</w:t>
      </w:r>
      <w:r>
        <w:rPr>
          <w:rFonts w:hint="default" w:ascii="Times New Roman" w:hAnsi="Times New Roman" w:cs="Times New Roman"/>
          <w:bCs/>
          <w:color w:val="auto"/>
          <w:sz w:val="24"/>
          <w:highlight w:val="none"/>
          <w:lang w:val="en-US" w:eastAsia="zh-CN"/>
        </w:rPr>
        <w:t>清理选用74</w:t>
      </w:r>
      <w:r>
        <w:rPr>
          <w:rFonts w:hint="eastAsia" w:ascii="Times New Roman" w:hAnsi="Times New Roman" w:cs="Times New Roman"/>
          <w:bCs/>
          <w:color w:val="auto"/>
          <w:sz w:val="24"/>
          <w:highlight w:val="none"/>
          <w:lang w:val="en-US" w:eastAsia="zh-CN"/>
        </w:rPr>
        <w:t>kW</w:t>
      </w:r>
      <w:r>
        <w:rPr>
          <w:rFonts w:hint="default" w:ascii="Times New Roman" w:hAnsi="Times New Roman" w:cs="Times New Roman"/>
          <w:bCs/>
          <w:color w:val="auto"/>
          <w:sz w:val="24"/>
          <w:highlight w:val="none"/>
          <w:lang w:val="en-US" w:eastAsia="zh-CN"/>
        </w:rPr>
        <w:t>推土机直接清理，运输采用挖掘机油动1m</w:t>
      </w:r>
      <w:r>
        <w:rPr>
          <w:rFonts w:hint="default" w:ascii="Times New Roman" w:hAnsi="Times New Roman" w:cs="Times New Roman"/>
          <w:bCs/>
          <w:color w:val="auto"/>
          <w:sz w:val="24"/>
          <w:highlight w:val="none"/>
          <w:vertAlign w:val="superscript"/>
          <w:lang w:val="en-US" w:eastAsia="zh-CN"/>
        </w:rPr>
        <w:t>3</w:t>
      </w:r>
      <w:r>
        <w:rPr>
          <w:rFonts w:hint="default" w:ascii="Times New Roman" w:hAnsi="Times New Roman" w:cs="Times New Roman"/>
          <w:bCs/>
          <w:color w:val="auto"/>
          <w:sz w:val="24"/>
          <w:highlight w:val="none"/>
          <w:lang w:val="en-US" w:eastAsia="zh-CN"/>
        </w:rPr>
        <w:t>搭配推土机59</w:t>
      </w:r>
      <w:r>
        <w:rPr>
          <w:rFonts w:hint="eastAsia" w:ascii="Times New Roman" w:hAnsi="Times New Roman" w:cs="Times New Roman"/>
          <w:bCs/>
          <w:color w:val="auto"/>
          <w:sz w:val="24"/>
          <w:highlight w:val="none"/>
          <w:lang w:val="en-US" w:eastAsia="zh-CN"/>
        </w:rPr>
        <w:t>kW</w:t>
      </w:r>
      <w:r>
        <w:rPr>
          <w:rFonts w:hint="default" w:ascii="Times New Roman" w:hAnsi="Times New Roman" w:cs="Times New Roman"/>
          <w:bCs/>
          <w:color w:val="auto"/>
          <w:sz w:val="24"/>
          <w:highlight w:val="none"/>
          <w:lang w:val="en-US" w:eastAsia="zh-CN"/>
        </w:rPr>
        <w:t>和自卸汽车10t运输。运输距离0-0.5km。</w:t>
      </w:r>
    </w:p>
    <w:bookmarkEnd w:id="200"/>
    <w:p w14:paraId="2A1E8B83">
      <w:pPr>
        <w:spacing w:line="360" w:lineRule="auto"/>
        <w:ind w:firstLine="482" w:firstLineChars="200"/>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4、废渣回填采坑</w:t>
      </w:r>
    </w:p>
    <w:p w14:paraId="01937034">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露天采场平台为石质地面，无法直接开挖种植穴，表土回覆前，坑底及平台回填0.7m废渣，回填废渣面积1.6721hm</w:t>
      </w:r>
      <w:r>
        <w:rPr>
          <w:rFonts w:hint="eastAsia" w:ascii="Times New Roman" w:hAnsi="Times New Roman" w:eastAsia="宋体" w:cs="Times New Roman"/>
          <w:color w:val="auto"/>
          <w:sz w:val="24"/>
          <w:highlight w:val="none"/>
          <w:vertAlign w:val="superscript"/>
          <w:lang w:val="en-US" w:eastAsia="zh-CN"/>
        </w:rPr>
        <w:t>2</w:t>
      </w:r>
      <w:r>
        <w:rPr>
          <w:rFonts w:hint="eastAsia" w:ascii="Times New Roman" w:hAnsi="Times New Roman" w:eastAsia="宋体" w:cs="Times New Roman"/>
          <w:color w:val="auto"/>
          <w:sz w:val="24"/>
          <w:highlight w:val="none"/>
          <w:lang w:val="en-US" w:eastAsia="zh-CN"/>
        </w:rPr>
        <w:t>，回填废渣量11705m</w:t>
      </w:r>
      <w:r>
        <w:rPr>
          <w:rFonts w:hint="eastAsia" w:ascii="Times New Roman" w:hAnsi="Times New Roman" w:eastAsia="宋体" w:cs="Times New Roman"/>
          <w:color w:val="auto"/>
          <w:sz w:val="24"/>
          <w:highlight w:val="none"/>
          <w:vertAlign w:val="superscript"/>
          <w:lang w:val="en-US" w:eastAsia="zh-CN"/>
        </w:rPr>
        <w:t>3</w:t>
      </w:r>
      <w:r>
        <w:rPr>
          <w:rFonts w:hint="eastAsia" w:ascii="Times New Roman" w:hAnsi="Times New Roman" w:eastAsia="宋体" w:cs="Times New Roman"/>
          <w:color w:val="auto"/>
          <w:sz w:val="24"/>
          <w:highlight w:val="none"/>
          <w:lang w:val="en-US" w:eastAsia="zh-CN"/>
        </w:rPr>
        <w:t>。废渣源于矿山开采产生。</w:t>
      </w:r>
    </w:p>
    <w:p w14:paraId="6C4911DD">
      <w:pPr>
        <w:spacing w:line="360" w:lineRule="auto"/>
        <w:ind w:firstLine="482" w:firstLineChars="200"/>
        <w:jc w:val="both"/>
        <w:rPr>
          <w:rFonts w:hint="default" w:ascii="Times New Roman" w:hAnsi="Times New Roman" w:cs="Times New Roman"/>
          <w:b/>
          <w:color w:val="auto"/>
          <w:sz w:val="24"/>
          <w:highlight w:val="none"/>
        </w:rPr>
      </w:pPr>
      <w:r>
        <w:rPr>
          <w:rFonts w:hint="eastAsia" w:cs="Times New Roman"/>
          <w:b/>
          <w:color w:val="auto"/>
          <w:sz w:val="24"/>
          <w:highlight w:val="none"/>
          <w:lang w:val="en-US" w:eastAsia="zh-CN"/>
        </w:rPr>
        <w:t>5</w:t>
      </w:r>
      <w:r>
        <w:rPr>
          <w:rFonts w:hint="default" w:ascii="Times New Roman" w:hAnsi="Times New Roman" w:cs="Times New Roman"/>
          <w:b/>
          <w:color w:val="auto"/>
          <w:sz w:val="24"/>
          <w:highlight w:val="none"/>
          <w:lang w:val="en-US" w:eastAsia="zh-CN"/>
        </w:rPr>
        <w:t>、</w:t>
      </w:r>
      <w:r>
        <w:rPr>
          <w:rFonts w:hint="default" w:ascii="Times New Roman" w:hAnsi="Times New Roman" w:cs="Times New Roman"/>
          <w:b/>
          <w:color w:val="auto"/>
          <w:sz w:val="24"/>
          <w:highlight w:val="none"/>
        </w:rPr>
        <w:t>平整土地</w:t>
      </w:r>
    </w:p>
    <w:p w14:paraId="51CB793D">
      <w:pPr>
        <w:spacing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各个复垦单元覆土前，要对待复垦的场地进行平整，采用推土机</w:t>
      </w:r>
      <w:r>
        <w:rPr>
          <w:rFonts w:hint="default" w:ascii="Times New Roman" w:hAnsi="Times New Roman" w:cs="Times New Roman"/>
          <w:color w:val="auto"/>
          <w:sz w:val="24"/>
          <w:highlight w:val="none"/>
          <w:lang w:eastAsia="zh-CN"/>
        </w:rPr>
        <w:t>74</w:t>
      </w:r>
      <w:r>
        <w:rPr>
          <w:rFonts w:hint="eastAsia" w:ascii="Times New Roman" w:hAnsi="Times New Roman" w:cs="Times New Roman"/>
          <w:color w:val="auto"/>
          <w:sz w:val="24"/>
          <w:highlight w:val="none"/>
          <w:lang w:eastAsia="zh-CN"/>
        </w:rPr>
        <w:t>kW</w:t>
      </w:r>
      <w:r>
        <w:rPr>
          <w:rFonts w:hint="default" w:ascii="Times New Roman" w:hAnsi="Times New Roman" w:cs="Times New Roman"/>
          <w:color w:val="auto"/>
          <w:sz w:val="24"/>
          <w:highlight w:val="none"/>
        </w:rPr>
        <w:t>进行场地平整使场地满足治理复垦要求。涉及场地平整的单元有露天采场坑底</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平台</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工业广场</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办公生活区</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原有办公室及临时堆料场</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矿山道路</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表土堆场</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总面积为</w:t>
      </w:r>
      <w:r>
        <w:rPr>
          <w:rFonts w:hint="eastAsia" w:cs="Times New Roman"/>
          <w:color w:val="auto"/>
          <w:sz w:val="24"/>
          <w:highlight w:val="none"/>
          <w:lang w:val="en-US" w:eastAsia="zh-CN"/>
        </w:rPr>
        <w:t>3.2066</w:t>
      </w:r>
      <w:r>
        <w:rPr>
          <w:rFonts w:hint="default" w:ascii="Times New Roman" w:hAnsi="Times New Roman" w:cs="Times New Roman"/>
          <w:color w:val="auto"/>
          <w:sz w:val="24"/>
          <w:highlight w:val="none"/>
        </w:rPr>
        <w:t>h</w:t>
      </w:r>
      <w:r>
        <w:rPr>
          <w:rFonts w:hint="default" w:ascii="Times New Roman" w:hAnsi="Times New Roman" w:cs="Times New Roman"/>
          <w:color w:val="auto"/>
          <w:sz w:val="24"/>
          <w:highlight w:val="none"/>
          <w:lang w:eastAsia="zh-CN"/>
        </w:rPr>
        <w:t>m</w:t>
      </w:r>
      <w:r>
        <w:rPr>
          <w:rFonts w:hint="default" w:ascii="Times New Roman" w:hAnsi="Times New Roman" w:cs="Times New Roman"/>
          <w:color w:val="auto"/>
          <w:sz w:val="24"/>
          <w:highlight w:val="none"/>
          <w:vertAlign w:val="superscript"/>
          <w:lang w:eastAsia="zh-CN"/>
        </w:rPr>
        <w:t>2</w:t>
      </w:r>
      <w:r>
        <w:rPr>
          <w:rFonts w:hint="default" w:ascii="Times New Roman" w:hAnsi="Times New Roman" w:cs="Times New Roman"/>
          <w:color w:val="auto"/>
          <w:sz w:val="24"/>
          <w:highlight w:val="none"/>
        </w:rPr>
        <w:t>。平均平整厚度0.</w:t>
      </w:r>
      <w:r>
        <w:rPr>
          <w:rFonts w:hint="eastAsia" w:cs="Times New Roman"/>
          <w:color w:val="auto"/>
          <w:sz w:val="24"/>
          <w:highlight w:val="none"/>
          <w:lang w:val="en-US" w:eastAsia="zh-CN"/>
        </w:rPr>
        <w:t>15</w:t>
      </w:r>
      <w:r>
        <w:rPr>
          <w:rFonts w:hint="default" w:ascii="Times New Roman" w:hAnsi="Times New Roman" w:cs="Times New Roman"/>
          <w:color w:val="auto"/>
          <w:sz w:val="24"/>
          <w:highlight w:val="none"/>
        </w:rPr>
        <w:t>m，平整体积</w:t>
      </w:r>
      <w:r>
        <w:rPr>
          <w:rFonts w:hint="eastAsia" w:cs="Times New Roman"/>
          <w:color w:val="auto"/>
          <w:sz w:val="24"/>
          <w:highlight w:val="none"/>
          <w:lang w:val="en-US" w:eastAsia="zh-CN"/>
        </w:rPr>
        <w:t>约4811</w:t>
      </w:r>
      <w:r>
        <w:rPr>
          <w:rFonts w:hint="default" w:ascii="Times New Roman" w:hAnsi="Times New Roman" w:cs="Times New Roman"/>
          <w:color w:val="auto"/>
          <w:sz w:val="24"/>
          <w:highlight w:val="none"/>
          <w:lang w:eastAsia="zh-CN"/>
        </w:rPr>
        <w:t>m</w:t>
      </w:r>
      <w:r>
        <w:rPr>
          <w:rFonts w:hint="default" w:ascii="Times New Roman" w:hAnsi="Times New Roman" w:cs="Times New Roman"/>
          <w:color w:val="auto"/>
          <w:sz w:val="24"/>
          <w:highlight w:val="none"/>
          <w:vertAlign w:val="superscript"/>
          <w:lang w:eastAsia="zh-CN"/>
        </w:rPr>
        <w:t>3</w:t>
      </w:r>
      <w:r>
        <w:rPr>
          <w:rFonts w:hint="default" w:ascii="Times New Roman" w:hAnsi="Times New Roman" w:cs="Times New Roman"/>
          <w:color w:val="auto"/>
          <w:sz w:val="24"/>
          <w:highlight w:val="none"/>
        </w:rPr>
        <w:t>。</w:t>
      </w:r>
    </w:p>
    <w:p w14:paraId="17B3ED5F">
      <w:pPr>
        <w:spacing w:line="360" w:lineRule="auto"/>
        <w:ind w:firstLine="482"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6、排水涵管钻设</w:t>
      </w:r>
    </w:p>
    <w:p w14:paraId="0D45F128">
      <w:pPr>
        <w:spacing w:line="360" w:lineRule="auto"/>
        <w:ind w:firstLine="480" w:firstLineChars="200"/>
        <w:jc w:val="both"/>
        <w:rPr>
          <w:rFonts w:hint="eastAsia"/>
          <w:color w:val="auto"/>
          <w:lang w:val="en-US" w:eastAsia="zh-CN"/>
        </w:rPr>
      </w:pPr>
      <w:r>
        <w:rPr>
          <w:rFonts w:hint="eastAsia" w:ascii="Times New Roman" w:hAnsi="Times New Roman" w:eastAsia="宋体" w:cs="Times New Roman"/>
          <w:color w:val="auto"/>
          <w:sz w:val="24"/>
          <w:highlight w:val="none"/>
          <w:lang w:val="en-US" w:eastAsia="zh-CN"/>
        </w:rPr>
        <w:t>考虑到未来露天采坑会形成凹陷开采，为了避免凹陷采坑积水无法排出，设计在露天采坑坑底钻设排水涵管措施，将露天采坑积水排出，便于露天采坑复垦。根据露天采坑坑底深度及采坑外地形情况，设计在露天采坑坑底东北角位置约+457m标高处钻设排水涵管，排水涵管设计直径200mm，露天采坑需钻设约36m。</w:t>
      </w:r>
    </w:p>
    <w:p w14:paraId="055D1F88">
      <w:pPr>
        <w:pStyle w:val="5"/>
        <w:rPr>
          <w:rFonts w:hint="default" w:ascii="Times New Roman" w:hAnsi="Times New Roman" w:eastAsia="黑体" w:cs="Times New Roman"/>
          <w:b w:val="0"/>
          <w:bCs w:val="0"/>
          <w:color w:val="auto"/>
          <w:szCs w:val="28"/>
          <w:highlight w:val="none"/>
        </w:rPr>
      </w:pPr>
      <w:bookmarkStart w:id="201" w:name="_Toc485629722"/>
      <w:r>
        <w:rPr>
          <w:rFonts w:hint="default" w:ascii="Times New Roman" w:hAnsi="Times New Roman" w:eastAsia="黑体" w:cs="Times New Roman"/>
          <w:b w:val="0"/>
          <w:bCs w:val="0"/>
          <w:color w:val="auto"/>
          <w:szCs w:val="28"/>
          <w:highlight w:val="none"/>
          <w:lang w:eastAsia="zh-CN"/>
        </w:rPr>
        <w:t>（</w:t>
      </w:r>
      <w:r>
        <w:rPr>
          <w:rFonts w:hint="default" w:ascii="Times New Roman" w:hAnsi="Times New Roman" w:eastAsia="黑体" w:cs="Times New Roman"/>
          <w:b w:val="0"/>
          <w:bCs w:val="0"/>
          <w:color w:val="auto"/>
          <w:szCs w:val="28"/>
          <w:highlight w:val="none"/>
        </w:rPr>
        <w:t>四）主要工程量</w:t>
      </w:r>
      <w:bookmarkEnd w:id="201"/>
    </w:p>
    <w:p w14:paraId="53EBE03F">
      <w:pPr>
        <w:spacing w:line="360" w:lineRule="auto"/>
        <w:ind w:firstLine="480" w:firstLineChars="200"/>
        <w:jc w:val="both"/>
        <w:rPr>
          <w:rFonts w:hint="default" w:ascii="Times New Roman" w:hAnsi="Times New Roman" w:eastAsia="宋体" w:cs="Times New Roman"/>
          <w:bCs/>
          <w:color w:val="auto"/>
          <w:sz w:val="24"/>
          <w:highlight w:val="none"/>
          <w:lang w:val="en-US" w:eastAsia="zh-CN"/>
        </w:rPr>
        <w:sectPr>
          <w:pgSz w:w="11906" w:h="16838"/>
          <w:pgMar w:top="1440" w:right="1800" w:bottom="1440" w:left="1800" w:header="851" w:footer="992" w:gutter="0"/>
          <w:pgBorders w:offsetFrom="page">
            <w:top w:val="none" w:sz="0" w:space="0"/>
            <w:left w:val="none" w:sz="0" w:space="0"/>
            <w:bottom w:val="none" w:sz="0" w:space="0"/>
            <w:right w:val="none" w:sz="0" w:space="0"/>
          </w:pgBorders>
          <w:pgNumType w:fmt="decimal"/>
          <w:cols w:space="720" w:num="1"/>
          <w:docGrid w:type="lines" w:linePitch="312" w:charSpace="0"/>
        </w:sectPr>
      </w:pPr>
      <w:bookmarkStart w:id="202" w:name="_Toc485629723"/>
      <w:bookmarkStart w:id="203" w:name="_Toc23855652"/>
      <w:bookmarkStart w:id="204" w:name="_Toc508869987"/>
      <w:r>
        <w:rPr>
          <w:rFonts w:hint="default" w:ascii="Times New Roman" w:hAnsi="Times New Roman" w:cs="Times New Roman"/>
          <w:color w:val="auto"/>
          <w:sz w:val="24"/>
          <w:highlight w:val="none"/>
        </w:rPr>
        <w:t>矿山环境恢复治理主要工程量：</w:t>
      </w:r>
      <w:r>
        <w:rPr>
          <w:rFonts w:hint="default" w:ascii="Times New Roman" w:hAnsi="Times New Roman" w:cs="Times New Roman"/>
          <w:bCs/>
          <w:color w:val="auto"/>
          <w:sz w:val="24"/>
          <w:highlight w:val="none"/>
          <w:lang w:val="en-US" w:eastAsia="zh-CN"/>
        </w:rPr>
        <w:t>边坡清理</w:t>
      </w:r>
      <w:r>
        <w:rPr>
          <w:rFonts w:hint="eastAsia" w:cs="Times New Roman"/>
          <w:bCs/>
          <w:color w:val="auto"/>
          <w:sz w:val="24"/>
          <w:highlight w:val="none"/>
          <w:lang w:val="en-US" w:eastAsia="zh-CN"/>
        </w:rPr>
        <w:t>586</w:t>
      </w:r>
      <w:r>
        <w:rPr>
          <w:rFonts w:hint="default" w:ascii="Times New Roman" w:hAnsi="Times New Roman" w:cs="Times New Roman"/>
          <w:bCs/>
          <w:color w:val="auto"/>
          <w:sz w:val="24"/>
          <w:highlight w:val="none"/>
          <w:lang w:val="en-US" w:eastAsia="zh-CN"/>
        </w:rPr>
        <w:t>m</w:t>
      </w:r>
      <w:r>
        <w:rPr>
          <w:rFonts w:hint="default" w:ascii="Times New Roman" w:hAnsi="Times New Roman" w:cs="Times New Roman"/>
          <w:bCs/>
          <w:color w:val="auto"/>
          <w:sz w:val="24"/>
          <w:highlight w:val="none"/>
          <w:vertAlign w:val="superscript"/>
          <w:lang w:val="en-US" w:eastAsia="zh-CN"/>
        </w:rPr>
        <w:t>3</w:t>
      </w:r>
      <w:r>
        <w:rPr>
          <w:rFonts w:hint="default" w:ascii="Times New Roman" w:hAnsi="Times New Roman" w:cs="Times New Roman"/>
          <w:bCs/>
          <w:color w:val="auto"/>
          <w:sz w:val="24"/>
          <w:highlight w:val="none"/>
          <w:lang w:val="en-US" w:eastAsia="zh-CN"/>
        </w:rPr>
        <w:t>，</w:t>
      </w:r>
      <w:r>
        <w:rPr>
          <w:rFonts w:hint="default" w:ascii="Times New Roman" w:hAnsi="Times New Roman" w:cs="Times New Roman"/>
          <w:color w:val="auto"/>
          <w:sz w:val="24"/>
          <w:highlight w:val="none"/>
          <w:lang w:val="en-US" w:eastAsia="zh-CN"/>
        </w:rPr>
        <w:t>拆除</w:t>
      </w:r>
      <w:r>
        <w:rPr>
          <w:rFonts w:hint="eastAsia" w:cs="Times New Roman"/>
          <w:color w:val="auto"/>
          <w:sz w:val="24"/>
          <w:highlight w:val="none"/>
          <w:lang w:val="en-US" w:eastAsia="zh-CN"/>
        </w:rPr>
        <w:t>建筑物434</w:t>
      </w:r>
      <w:r>
        <w:rPr>
          <w:rFonts w:hint="default" w:ascii="Times New Roman" w:hAnsi="Times New Roman" w:cs="Times New Roman"/>
          <w:color w:val="auto"/>
          <w:sz w:val="24"/>
          <w:highlight w:val="none"/>
          <w:lang w:val="en-US" w:eastAsia="zh-CN"/>
        </w:rPr>
        <w:t>m</w:t>
      </w:r>
      <w:r>
        <w:rPr>
          <w:rFonts w:hint="default" w:ascii="Times New Roman" w:hAnsi="Times New Roman" w:cs="Times New Roman"/>
          <w:color w:val="auto"/>
          <w:sz w:val="24"/>
          <w:highlight w:val="none"/>
          <w:vertAlign w:val="superscript"/>
          <w:lang w:val="en-US" w:eastAsia="zh-CN"/>
        </w:rPr>
        <w:t>3</w:t>
      </w:r>
      <w:r>
        <w:rPr>
          <w:rFonts w:hint="default" w:ascii="Times New Roman" w:hAnsi="Times New Roman" w:cs="Times New Roman"/>
          <w:color w:val="auto"/>
          <w:sz w:val="24"/>
          <w:highlight w:val="none"/>
          <w:lang w:val="en-US" w:eastAsia="zh-CN"/>
        </w:rPr>
        <w:t>，</w:t>
      </w:r>
      <w:r>
        <w:rPr>
          <w:rFonts w:hint="eastAsia" w:cs="Times New Roman"/>
          <w:color w:val="auto"/>
          <w:sz w:val="24"/>
          <w:highlight w:val="none"/>
          <w:lang w:val="en-US" w:eastAsia="zh-CN"/>
        </w:rPr>
        <w:t>清除硬覆盖561m</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w:t>
      </w:r>
      <w:r>
        <w:rPr>
          <w:rFonts w:hint="default" w:ascii="Times New Roman" w:hAnsi="Times New Roman" w:cs="Times New Roman"/>
          <w:color w:val="auto"/>
          <w:sz w:val="24"/>
          <w:highlight w:val="none"/>
          <w:vertAlign w:val="baseline"/>
          <w:lang w:val="en-US" w:eastAsia="zh-CN"/>
        </w:rPr>
        <w:t>运输建筑垃圾</w:t>
      </w:r>
      <w:r>
        <w:rPr>
          <w:rFonts w:hint="eastAsia" w:cs="Times New Roman"/>
          <w:color w:val="auto"/>
          <w:sz w:val="24"/>
          <w:highlight w:val="none"/>
          <w:vertAlign w:val="baseline"/>
          <w:lang w:val="en-US" w:eastAsia="zh-CN"/>
        </w:rPr>
        <w:t>及硬覆盖995</w:t>
      </w:r>
      <w:r>
        <w:rPr>
          <w:rFonts w:hint="default" w:ascii="Times New Roman" w:hAnsi="Times New Roman" w:cs="Times New Roman"/>
          <w:color w:val="auto"/>
          <w:sz w:val="24"/>
          <w:highlight w:val="none"/>
          <w:vertAlign w:val="baseline"/>
          <w:lang w:val="en-US" w:eastAsia="zh-CN"/>
        </w:rPr>
        <w:t>m</w:t>
      </w:r>
      <w:r>
        <w:rPr>
          <w:rFonts w:hint="default" w:ascii="Times New Roman" w:hAnsi="Times New Roman" w:cs="Times New Roman"/>
          <w:color w:val="auto"/>
          <w:sz w:val="24"/>
          <w:highlight w:val="none"/>
          <w:vertAlign w:val="superscript"/>
          <w:lang w:val="en-US" w:eastAsia="zh-CN"/>
        </w:rPr>
        <w:t>3</w:t>
      </w:r>
      <w:r>
        <w:rPr>
          <w:rFonts w:hint="eastAsia" w:cs="Times New Roman"/>
          <w:bCs/>
          <w:color w:val="auto"/>
          <w:sz w:val="24"/>
          <w:highlight w:val="none"/>
          <w:lang w:eastAsia="zh-CN"/>
        </w:rPr>
        <w:t>、</w:t>
      </w:r>
      <w:r>
        <w:rPr>
          <w:rFonts w:hint="eastAsia" w:cs="Times New Roman"/>
          <w:bCs/>
          <w:color w:val="auto"/>
          <w:sz w:val="24"/>
          <w:highlight w:val="none"/>
          <w:lang w:val="en-US" w:eastAsia="zh-CN"/>
        </w:rPr>
        <w:t>废渣回填11705m</w:t>
      </w:r>
      <w:r>
        <w:rPr>
          <w:rFonts w:hint="eastAsia" w:cs="Times New Roman"/>
          <w:bCs/>
          <w:color w:val="auto"/>
          <w:sz w:val="24"/>
          <w:highlight w:val="none"/>
          <w:vertAlign w:val="superscript"/>
          <w:lang w:val="en-US" w:eastAsia="zh-CN"/>
        </w:rPr>
        <w:t>3</w:t>
      </w:r>
      <w:r>
        <w:rPr>
          <w:rFonts w:hint="eastAsia" w:cs="Times New Roman"/>
          <w:bCs/>
          <w:color w:val="auto"/>
          <w:sz w:val="24"/>
          <w:highlight w:val="none"/>
          <w:lang w:val="en-US" w:eastAsia="zh-CN"/>
        </w:rPr>
        <w:t>、</w:t>
      </w:r>
      <w:r>
        <w:rPr>
          <w:rFonts w:hint="default" w:ascii="Times New Roman" w:hAnsi="Times New Roman" w:cs="Times New Roman"/>
          <w:bCs/>
          <w:color w:val="auto"/>
          <w:sz w:val="24"/>
          <w:highlight w:val="none"/>
        </w:rPr>
        <w:t>场地平整</w:t>
      </w:r>
      <w:r>
        <w:rPr>
          <w:rFonts w:hint="eastAsia" w:cs="Times New Roman"/>
          <w:bCs/>
          <w:color w:val="auto"/>
          <w:sz w:val="24"/>
          <w:highlight w:val="none"/>
          <w:lang w:val="en-US" w:eastAsia="zh-CN"/>
        </w:rPr>
        <w:t>4811</w:t>
      </w:r>
      <w:r>
        <w:rPr>
          <w:rFonts w:hint="default" w:ascii="Times New Roman" w:hAnsi="Times New Roman" w:cs="Times New Roman"/>
          <w:bCs/>
          <w:color w:val="auto"/>
          <w:sz w:val="24"/>
          <w:highlight w:val="none"/>
          <w:lang w:eastAsia="zh-CN"/>
        </w:rPr>
        <w:t>m</w:t>
      </w:r>
      <w:r>
        <w:rPr>
          <w:rFonts w:hint="default" w:ascii="Times New Roman" w:hAnsi="Times New Roman" w:cs="Times New Roman"/>
          <w:bCs/>
          <w:color w:val="auto"/>
          <w:sz w:val="24"/>
          <w:highlight w:val="none"/>
          <w:vertAlign w:val="superscript"/>
          <w:lang w:eastAsia="zh-CN"/>
        </w:rPr>
        <w:t>3</w:t>
      </w:r>
      <w:r>
        <w:rPr>
          <w:rFonts w:hint="eastAsia" w:cs="Times New Roman"/>
          <w:bCs/>
          <w:color w:val="auto"/>
          <w:sz w:val="24"/>
          <w:highlight w:val="none"/>
          <w:lang w:eastAsia="zh-CN"/>
        </w:rPr>
        <w:t>、排水涵管钻设</w:t>
      </w:r>
      <w:r>
        <w:rPr>
          <w:rFonts w:hint="eastAsia" w:cs="Times New Roman"/>
          <w:bCs/>
          <w:color w:val="auto"/>
          <w:sz w:val="24"/>
          <w:highlight w:val="none"/>
          <w:lang w:val="en-US" w:eastAsia="zh-CN"/>
        </w:rPr>
        <w:t>36m。</w:t>
      </w:r>
    </w:p>
    <w:p w14:paraId="2A8F8C8E">
      <w:pPr>
        <w:keepNext w:val="0"/>
        <w:keepLines w:val="0"/>
        <w:pageBreakBefore w:val="0"/>
        <w:widowControl/>
        <w:kinsoku/>
        <w:wordWrap/>
        <w:overflowPunct/>
        <w:topLinePunct w:val="0"/>
        <w:autoSpaceDE/>
        <w:autoSpaceDN/>
        <w:bidi w:val="0"/>
        <w:adjustRightInd/>
        <w:snapToGrid/>
        <w:spacing w:before="313" w:beforeLines="100" w:line="360" w:lineRule="auto"/>
        <w:ind w:firstLine="420" w:firstLineChars="200"/>
        <w:jc w:val="center"/>
        <w:textAlignment w:val="auto"/>
        <w:rPr>
          <w:rFonts w:hint="default" w:ascii="Times New Roman" w:hAnsi="Times New Roman" w:eastAsia="黑体" w:cs="Times New Roman"/>
          <w:bCs/>
          <w:color w:val="auto"/>
          <w:szCs w:val="21"/>
          <w:highlight w:val="none"/>
          <w:lang w:val="en-US" w:eastAsia="zh-CN"/>
        </w:rPr>
      </w:pPr>
      <w:r>
        <w:rPr>
          <w:rFonts w:hint="default" w:ascii="Times New Roman" w:hAnsi="Times New Roman" w:eastAsia="黑体" w:cs="Times New Roman"/>
          <w:bCs/>
          <w:color w:val="auto"/>
          <w:szCs w:val="21"/>
          <w:highlight w:val="none"/>
        </w:rPr>
        <w:t>表5-</w:t>
      </w:r>
      <w:r>
        <w:rPr>
          <w:rFonts w:hint="eastAsia" w:eastAsia="黑体" w:cs="Times New Roman"/>
          <w:bCs/>
          <w:color w:val="auto"/>
          <w:szCs w:val="21"/>
          <w:highlight w:val="none"/>
          <w:lang w:val="en-US" w:eastAsia="zh-CN"/>
        </w:rPr>
        <w:t>2</w:t>
      </w:r>
      <w:r>
        <w:rPr>
          <w:rFonts w:hint="default" w:ascii="Times New Roman" w:hAnsi="Times New Roman" w:eastAsia="黑体" w:cs="Times New Roman"/>
          <w:bCs/>
          <w:color w:val="auto"/>
          <w:szCs w:val="21"/>
          <w:highlight w:val="none"/>
        </w:rPr>
        <w:t xml:space="preserve">  矿山环境恢复治理主要工程量</w:t>
      </w:r>
      <w:r>
        <w:rPr>
          <w:rFonts w:hint="default" w:ascii="Times New Roman" w:hAnsi="Times New Roman" w:eastAsia="黑体" w:cs="Times New Roman"/>
          <w:bCs/>
          <w:color w:val="auto"/>
          <w:szCs w:val="21"/>
          <w:highlight w:val="none"/>
          <w:lang w:val="en-US" w:eastAsia="zh-CN"/>
        </w:rPr>
        <w:t>表</w:t>
      </w:r>
    </w:p>
    <w:tbl>
      <w:tblPr>
        <w:tblStyle w:val="34"/>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997"/>
        <w:gridCol w:w="1490"/>
        <w:gridCol w:w="1359"/>
        <w:gridCol w:w="1246"/>
        <w:gridCol w:w="1288"/>
        <w:gridCol w:w="1288"/>
        <w:gridCol w:w="2316"/>
        <w:gridCol w:w="1059"/>
        <w:gridCol w:w="1060"/>
        <w:gridCol w:w="1060"/>
      </w:tblGrid>
      <w:tr w14:paraId="65F160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1819" w:type="pct"/>
            <w:gridSpan w:val="3"/>
            <w:vMerge w:val="restart"/>
            <w:tcBorders>
              <w:top w:val="single" w:color="000000" w:sz="4" w:space="0"/>
              <w:left w:val="single" w:color="000000" w:sz="4" w:space="0"/>
              <w:right w:val="single" w:color="auto" w:sz="4" w:space="0"/>
            </w:tcBorders>
            <w:shd w:val="clear" w:color="auto" w:fill="auto"/>
            <w:noWrap/>
            <w:vAlign w:val="center"/>
          </w:tcPr>
          <w:p w14:paraId="0CB7F25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治理</w:t>
            </w:r>
            <w:r>
              <w:rPr>
                <w:rFonts w:hint="default" w:ascii="Times New Roman" w:hAnsi="Times New Roman" w:eastAsia="宋体" w:cs="Times New Roman"/>
                <w:i w:val="0"/>
                <w:iCs w:val="0"/>
                <w:color w:val="auto"/>
                <w:kern w:val="0"/>
                <w:sz w:val="21"/>
                <w:szCs w:val="21"/>
                <w:u w:val="none"/>
                <w:lang w:val="en-US" w:eastAsia="zh-CN" w:bidi="ar"/>
              </w:rPr>
              <w:t>单元</w:t>
            </w:r>
            <w:r>
              <w:rPr>
                <w:rFonts w:hint="eastAsia" w:ascii="Times New Roman" w:hAnsi="Times New Roman" w:eastAsia="宋体" w:cs="Times New Roman"/>
                <w:i w:val="0"/>
                <w:iCs w:val="0"/>
                <w:color w:val="auto"/>
                <w:kern w:val="0"/>
                <w:sz w:val="21"/>
                <w:szCs w:val="21"/>
                <w:u w:val="none"/>
                <w:lang w:val="en-US" w:eastAsia="zh-CN" w:bidi="ar"/>
              </w:rPr>
              <w:t>及</w:t>
            </w:r>
            <w:r>
              <w:rPr>
                <w:rFonts w:hint="default" w:ascii="Times New Roman" w:hAnsi="Times New Roman" w:eastAsia="宋体" w:cs="Times New Roman"/>
                <w:i w:val="0"/>
                <w:iCs w:val="0"/>
                <w:color w:val="auto"/>
                <w:kern w:val="0"/>
                <w:sz w:val="21"/>
                <w:szCs w:val="21"/>
                <w:u w:val="none"/>
                <w:lang w:val="en-US" w:eastAsia="zh-CN" w:bidi="ar"/>
              </w:rPr>
              <w:t>面积（hm</w:t>
            </w:r>
            <w:r>
              <w:rPr>
                <w:rFonts w:hint="default" w:ascii="Times New Roman" w:hAnsi="Times New Roman" w:eastAsia="宋体" w:cs="Times New Roman"/>
                <w:i w:val="0"/>
                <w:iCs w:val="0"/>
                <w:color w:val="auto"/>
                <w:kern w:val="0"/>
                <w:sz w:val="21"/>
                <w:szCs w:val="21"/>
                <w:u w:val="none"/>
                <w:vertAlign w:val="superscript"/>
                <w:lang w:val="en-US" w:eastAsia="zh-CN" w:bidi="ar"/>
              </w:rPr>
              <w:t>2</w:t>
            </w:r>
            <w:r>
              <w:rPr>
                <w:rFonts w:hint="default" w:ascii="Times New Roman" w:hAnsi="Times New Roman" w:eastAsia="宋体" w:cs="Times New Roman"/>
                <w:i w:val="0"/>
                <w:iCs w:val="0"/>
                <w:color w:val="auto"/>
                <w:kern w:val="0"/>
                <w:sz w:val="21"/>
                <w:szCs w:val="21"/>
                <w:u w:val="none"/>
                <w:lang w:val="en-US" w:eastAsia="zh-CN" w:bidi="ar"/>
              </w:rPr>
              <w:t>）</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458C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边坡清理</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863A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建筑物拆除</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9233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清理硬覆盖</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5EC4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运输</w:t>
            </w:r>
            <w:r>
              <w:rPr>
                <w:rFonts w:hint="eastAsia" w:ascii="Times New Roman" w:hAnsi="Times New Roman" w:eastAsia="宋体" w:cs="Times New Roman"/>
                <w:i w:val="0"/>
                <w:iCs w:val="0"/>
                <w:color w:val="auto"/>
                <w:kern w:val="0"/>
                <w:sz w:val="21"/>
                <w:szCs w:val="21"/>
                <w:u w:val="none"/>
                <w:lang w:val="en-US" w:eastAsia="zh-CN" w:bidi="ar"/>
              </w:rPr>
              <w:t>建筑垃圾及</w:t>
            </w:r>
            <w:r>
              <w:rPr>
                <w:rFonts w:hint="default" w:ascii="Times New Roman" w:hAnsi="Times New Roman" w:eastAsia="宋体" w:cs="Times New Roman"/>
                <w:i w:val="0"/>
                <w:iCs w:val="0"/>
                <w:color w:val="auto"/>
                <w:kern w:val="0"/>
                <w:sz w:val="21"/>
                <w:szCs w:val="21"/>
                <w:u w:val="none"/>
                <w:lang w:val="en-US" w:eastAsia="zh-CN" w:bidi="ar"/>
              </w:rPr>
              <w:t>硬覆盖</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EA4C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平整土地</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D17D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废渣回填</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99F4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涵管钻设</w:t>
            </w:r>
          </w:p>
        </w:tc>
      </w:tr>
      <w:tr w14:paraId="5682C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819" w:type="pct"/>
            <w:gridSpan w:val="3"/>
            <w:vMerge w:val="continue"/>
            <w:tcBorders>
              <w:left w:val="single" w:color="000000" w:sz="4" w:space="0"/>
              <w:bottom w:val="single" w:color="000000" w:sz="4" w:space="0"/>
              <w:right w:val="single" w:color="auto" w:sz="4" w:space="0"/>
            </w:tcBorders>
            <w:shd w:val="clear" w:color="auto" w:fill="auto"/>
            <w:vAlign w:val="center"/>
          </w:tcPr>
          <w:p w14:paraId="0216E78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6F2DB">
            <w:pPr>
              <w:jc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sz w:val="21"/>
                <w:szCs w:val="21"/>
                <w:u w:val="none"/>
                <w:lang w:val="en-US" w:eastAsia="zh-CN"/>
              </w:rPr>
              <w:t>m</w:t>
            </w:r>
            <w:r>
              <w:rPr>
                <w:rFonts w:hint="eastAsia" w:ascii="Times New Roman" w:hAnsi="Times New Roman" w:eastAsia="宋体" w:cs="Times New Roman"/>
                <w:i w:val="0"/>
                <w:iCs w:val="0"/>
                <w:color w:val="auto"/>
                <w:sz w:val="21"/>
                <w:szCs w:val="21"/>
                <w:u w:val="none"/>
                <w:vertAlign w:val="superscript"/>
                <w:lang w:val="en-US" w:eastAsia="zh-CN"/>
              </w:rPr>
              <w:t>3</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80FD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sz w:val="21"/>
                <w:szCs w:val="21"/>
                <w:u w:val="none"/>
                <w:lang w:val="en-US" w:eastAsia="zh-CN"/>
              </w:rPr>
              <w:t>m</w:t>
            </w:r>
            <w:r>
              <w:rPr>
                <w:rFonts w:hint="eastAsia" w:ascii="Times New Roman" w:hAnsi="Times New Roman" w:eastAsia="宋体" w:cs="Times New Roman"/>
                <w:i w:val="0"/>
                <w:iCs w:val="0"/>
                <w:color w:val="auto"/>
                <w:sz w:val="21"/>
                <w:szCs w:val="21"/>
                <w:u w:val="none"/>
                <w:vertAlign w:val="superscript"/>
                <w:lang w:val="en-US" w:eastAsia="zh-CN"/>
              </w:rPr>
              <w:t>3</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78B70">
            <w:pPr>
              <w:jc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sz w:val="21"/>
                <w:szCs w:val="21"/>
                <w:u w:val="none"/>
                <w:lang w:val="en-US" w:eastAsia="zh-CN"/>
              </w:rPr>
              <w:t>m</w:t>
            </w:r>
            <w:r>
              <w:rPr>
                <w:rFonts w:hint="eastAsia" w:ascii="Times New Roman" w:hAnsi="Times New Roman" w:eastAsia="宋体" w:cs="Times New Roman"/>
                <w:i w:val="0"/>
                <w:iCs w:val="0"/>
                <w:color w:val="auto"/>
                <w:sz w:val="21"/>
                <w:szCs w:val="21"/>
                <w:u w:val="none"/>
                <w:vertAlign w:val="superscript"/>
                <w:lang w:val="en-US" w:eastAsia="zh-CN"/>
              </w:rPr>
              <w:t>3</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C63A4">
            <w:pPr>
              <w:jc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sz w:val="21"/>
                <w:szCs w:val="21"/>
                <w:u w:val="none"/>
                <w:lang w:val="en-US" w:eastAsia="zh-CN"/>
              </w:rPr>
              <w:t>m</w:t>
            </w:r>
            <w:r>
              <w:rPr>
                <w:rFonts w:hint="eastAsia" w:ascii="Times New Roman" w:hAnsi="Times New Roman" w:eastAsia="宋体" w:cs="Times New Roman"/>
                <w:i w:val="0"/>
                <w:iCs w:val="0"/>
                <w:color w:val="auto"/>
                <w:sz w:val="21"/>
                <w:szCs w:val="21"/>
                <w:u w:val="none"/>
                <w:vertAlign w:val="superscript"/>
                <w:lang w:val="en-US" w:eastAsia="zh-CN"/>
              </w:rPr>
              <w:t>3</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20D46">
            <w:pPr>
              <w:jc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sz w:val="21"/>
                <w:szCs w:val="21"/>
                <w:u w:val="none"/>
                <w:lang w:val="en-US" w:eastAsia="zh-CN"/>
              </w:rPr>
              <w:t>m</w:t>
            </w:r>
            <w:r>
              <w:rPr>
                <w:rFonts w:hint="eastAsia" w:ascii="Times New Roman" w:hAnsi="Times New Roman" w:eastAsia="宋体" w:cs="Times New Roman"/>
                <w:i w:val="0"/>
                <w:iCs w:val="0"/>
                <w:color w:val="auto"/>
                <w:sz w:val="21"/>
                <w:szCs w:val="21"/>
                <w:u w:val="none"/>
                <w:vertAlign w:val="superscript"/>
                <w:lang w:val="en-US" w:eastAsia="zh-CN"/>
              </w:rPr>
              <w:t>3</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D36B2">
            <w:pPr>
              <w:jc w:val="center"/>
              <w:rPr>
                <w:rFonts w:hint="eastAsia"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m</w:t>
            </w:r>
            <w:r>
              <w:rPr>
                <w:rFonts w:hint="eastAsia" w:ascii="Times New Roman" w:hAnsi="Times New Roman" w:eastAsia="宋体" w:cs="Times New Roman"/>
                <w:i w:val="0"/>
                <w:iCs w:val="0"/>
                <w:color w:val="auto"/>
                <w:sz w:val="21"/>
                <w:szCs w:val="21"/>
                <w:u w:val="none"/>
                <w:vertAlign w:val="superscript"/>
                <w:lang w:val="en-US" w:eastAsia="zh-CN"/>
              </w:rPr>
              <w:t>3</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C655E">
            <w:pPr>
              <w:jc w:val="center"/>
              <w:rPr>
                <w:rFonts w:hint="eastAsia"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m</w:t>
            </w:r>
          </w:p>
        </w:tc>
      </w:tr>
      <w:tr w14:paraId="536BCB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7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89644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露天采场</w:t>
            </w:r>
          </w:p>
        </w:tc>
        <w:tc>
          <w:tcPr>
            <w:tcW w:w="5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A3DB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坑底</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1BDFC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1.3845</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BC7BC">
            <w:pPr>
              <w:jc w:val="center"/>
              <w:rPr>
                <w:rFonts w:hint="default" w:ascii="Times New Roman" w:hAnsi="Times New Roman" w:eastAsia="宋体" w:cs="Times New Roman"/>
                <w:i w:val="0"/>
                <w:iCs w:val="0"/>
                <w:color w:val="auto"/>
                <w:sz w:val="21"/>
                <w:szCs w:val="21"/>
                <w:u w:val="none"/>
              </w:rPr>
            </w:pP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5A6A5">
            <w:pPr>
              <w:jc w:val="center"/>
              <w:rPr>
                <w:rFonts w:hint="default" w:ascii="Times New Roman" w:hAnsi="Times New Roman" w:eastAsia="宋体" w:cs="Times New Roman"/>
                <w:i w:val="0"/>
                <w:iCs w:val="0"/>
                <w:color w:val="auto"/>
                <w:sz w:val="21"/>
                <w:szCs w:val="21"/>
                <w:u w:val="none"/>
              </w:rPr>
            </w:pP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4666C">
            <w:pPr>
              <w:jc w:val="center"/>
              <w:rPr>
                <w:rFonts w:hint="default" w:ascii="Times New Roman" w:hAnsi="Times New Roman" w:eastAsia="宋体" w:cs="Times New Roman"/>
                <w:i w:val="0"/>
                <w:iCs w:val="0"/>
                <w:color w:val="auto"/>
                <w:sz w:val="21"/>
                <w:szCs w:val="21"/>
                <w:u w:val="none"/>
              </w:rPr>
            </w:pP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2957D">
            <w:pPr>
              <w:jc w:val="center"/>
              <w:rPr>
                <w:rFonts w:hint="default" w:ascii="Times New Roman" w:hAnsi="Times New Roman" w:eastAsia="宋体" w:cs="Times New Roman"/>
                <w:i w:val="0"/>
                <w:iCs w:val="0"/>
                <w:color w:val="auto"/>
                <w:sz w:val="21"/>
                <w:szCs w:val="21"/>
                <w:u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5860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2077</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2D93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9692</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596C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36</w:t>
            </w:r>
          </w:p>
        </w:tc>
      </w:tr>
      <w:tr w14:paraId="1F16EC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7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0C9135">
            <w:pPr>
              <w:jc w:val="center"/>
              <w:rPr>
                <w:rFonts w:hint="default" w:ascii="Times New Roman" w:hAnsi="Times New Roman" w:eastAsia="宋体" w:cs="Times New Roman"/>
                <w:i w:val="0"/>
                <w:iCs w:val="0"/>
                <w:color w:val="auto"/>
                <w:sz w:val="21"/>
                <w:szCs w:val="21"/>
                <w:u w:val="none"/>
              </w:rPr>
            </w:pPr>
          </w:p>
        </w:tc>
        <w:tc>
          <w:tcPr>
            <w:tcW w:w="5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2E80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平台</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30DA6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0.2876</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16B9E">
            <w:pPr>
              <w:jc w:val="center"/>
              <w:rPr>
                <w:rFonts w:hint="default" w:ascii="Times New Roman" w:hAnsi="Times New Roman" w:eastAsia="宋体" w:cs="Times New Roman"/>
                <w:i w:val="0"/>
                <w:iCs w:val="0"/>
                <w:color w:val="auto"/>
                <w:sz w:val="21"/>
                <w:szCs w:val="21"/>
                <w:u w:val="none"/>
              </w:rPr>
            </w:pP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F4231">
            <w:pPr>
              <w:jc w:val="center"/>
              <w:rPr>
                <w:rFonts w:hint="default" w:ascii="Times New Roman" w:hAnsi="Times New Roman" w:eastAsia="宋体" w:cs="Times New Roman"/>
                <w:i w:val="0"/>
                <w:iCs w:val="0"/>
                <w:color w:val="auto"/>
                <w:sz w:val="21"/>
                <w:szCs w:val="21"/>
                <w:u w:val="none"/>
              </w:rPr>
            </w:pP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7A4C1">
            <w:pPr>
              <w:jc w:val="center"/>
              <w:rPr>
                <w:rFonts w:hint="default" w:ascii="Times New Roman" w:hAnsi="Times New Roman" w:eastAsia="宋体" w:cs="Times New Roman"/>
                <w:i w:val="0"/>
                <w:iCs w:val="0"/>
                <w:color w:val="auto"/>
                <w:sz w:val="21"/>
                <w:szCs w:val="21"/>
                <w:u w:val="none"/>
              </w:rPr>
            </w:pP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F8FF8">
            <w:pPr>
              <w:jc w:val="center"/>
              <w:rPr>
                <w:rFonts w:hint="default" w:ascii="Times New Roman" w:hAnsi="Times New Roman" w:eastAsia="宋体" w:cs="Times New Roman"/>
                <w:i w:val="0"/>
                <w:iCs w:val="0"/>
                <w:color w:val="auto"/>
                <w:sz w:val="21"/>
                <w:szCs w:val="21"/>
                <w:u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3E34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431</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BF9A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2013</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2405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7C7CF5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7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0815E8">
            <w:pPr>
              <w:jc w:val="center"/>
              <w:rPr>
                <w:rFonts w:hint="default" w:ascii="Times New Roman" w:hAnsi="Times New Roman" w:eastAsia="宋体" w:cs="Times New Roman"/>
                <w:i w:val="0"/>
                <w:iCs w:val="0"/>
                <w:color w:val="auto"/>
                <w:sz w:val="21"/>
                <w:szCs w:val="21"/>
                <w:u w:val="none"/>
              </w:rPr>
            </w:pPr>
          </w:p>
        </w:tc>
        <w:tc>
          <w:tcPr>
            <w:tcW w:w="5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E441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边坡</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2BE38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0.8679</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EA62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586</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A906A">
            <w:pPr>
              <w:jc w:val="center"/>
              <w:rPr>
                <w:rFonts w:hint="default" w:ascii="Times New Roman" w:hAnsi="Times New Roman" w:eastAsia="宋体" w:cs="Times New Roman"/>
                <w:i w:val="0"/>
                <w:iCs w:val="0"/>
                <w:color w:val="auto"/>
                <w:sz w:val="21"/>
                <w:szCs w:val="21"/>
                <w:u w:val="none"/>
              </w:rPr>
            </w:pP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D05FE">
            <w:pPr>
              <w:jc w:val="center"/>
              <w:rPr>
                <w:rFonts w:hint="default" w:ascii="Times New Roman" w:hAnsi="Times New Roman" w:eastAsia="宋体" w:cs="Times New Roman"/>
                <w:i w:val="0"/>
                <w:iCs w:val="0"/>
                <w:color w:val="auto"/>
                <w:sz w:val="21"/>
                <w:szCs w:val="21"/>
                <w:u w:val="none"/>
              </w:rPr>
            </w:pP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E613D">
            <w:pPr>
              <w:jc w:val="center"/>
              <w:rPr>
                <w:rFonts w:hint="default" w:ascii="Times New Roman" w:hAnsi="Times New Roman" w:eastAsia="宋体" w:cs="Times New Roman"/>
                <w:i w:val="0"/>
                <w:iCs w:val="0"/>
                <w:color w:val="auto"/>
                <w:sz w:val="21"/>
                <w:szCs w:val="21"/>
                <w:u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E4496">
            <w:pPr>
              <w:jc w:val="center"/>
              <w:rPr>
                <w:rFonts w:hint="default" w:ascii="Times New Roman" w:hAnsi="Times New Roman" w:eastAsia="宋体" w:cs="Times New Roman"/>
                <w:i w:val="0"/>
                <w:iCs w:val="0"/>
                <w:color w:val="auto"/>
                <w:sz w:val="21"/>
                <w:szCs w:val="21"/>
                <w:u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472BD">
            <w:pPr>
              <w:jc w:val="center"/>
              <w:rPr>
                <w:rFonts w:hint="default" w:ascii="Times New Roman" w:hAnsi="Times New Roman" w:eastAsia="宋体" w:cs="Times New Roman"/>
                <w:i w:val="0"/>
                <w:iCs w:val="0"/>
                <w:color w:val="auto"/>
                <w:sz w:val="21"/>
                <w:szCs w:val="21"/>
                <w:u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4B681">
            <w:pPr>
              <w:jc w:val="center"/>
              <w:rPr>
                <w:rFonts w:hint="default" w:ascii="Times New Roman" w:hAnsi="Times New Roman" w:eastAsia="宋体" w:cs="Times New Roman"/>
                <w:i w:val="0"/>
                <w:iCs w:val="0"/>
                <w:color w:val="auto"/>
                <w:sz w:val="21"/>
                <w:szCs w:val="21"/>
                <w:u w:val="none"/>
              </w:rPr>
            </w:pPr>
          </w:p>
        </w:tc>
      </w:tr>
      <w:tr w14:paraId="4F0614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13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F8F8C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工业广场</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2B822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0.6845</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4934A">
            <w:pPr>
              <w:jc w:val="center"/>
              <w:rPr>
                <w:rFonts w:hint="default" w:ascii="Times New Roman" w:hAnsi="Times New Roman" w:eastAsia="宋体" w:cs="Times New Roman"/>
                <w:i w:val="0"/>
                <w:iCs w:val="0"/>
                <w:color w:val="auto"/>
                <w:sz w:val="21"/>
                <w:szCs w:val="21"/>
                <w:u w:val="none"/>
              </w:rPr>
            </w:pP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7BA4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128</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1091F">
            <w:pPr>
              <w:jc w:val="center"/>
              <w:rPr>
                <w:rFonts w:hint="default" w:ascii="Times New Roman" w:hAnsi="Times New Roman" w:eastAsia="宋体" w:cs="Times New Roman"/>
                <w:i w:val="0"/>
                <w:iCs w:val="0"/>
                <w:color w:val="auto"/>
                <w:sz w:val="21"/>
                <w:szCs w:val="21"/>
                <w:u w:val="none"/>
              </w:rPr>
            </w:pP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8C8B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128</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A463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1027</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18894">
            <w:pPr>
              <w:jc w:val="center"/>
              <w:rPr>
                <w:rFonts w:hint="default" w:ascii="Times New Roman" w:hAnsi="Times New Roman" w:eastAsia="宋体" w:cs="Times New Roman"/>
                <w:i w:val="0"/>
                <w:iCs w:val="0"/>
                <w:color w:val="auto"/>
                <w:sz w:val="21"/>
                <w:szCs w:val="21"/>
                <w:u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C07B2">
            <w:pPr>
              <w:jc w:val="center"/>
              <w:rPr>
                <w:rFonts w:hint="default" w:ascii="Times New Roman" w:hAnsi="Times New Roman" w:eastAsia="宋体" w:cs="Times New Roman"/>
                <w:i w:val="0"/>
                <w:iCs w:val="0"/>
                <w:color w:val="auto"/>
                <w:sz w:val="21"/>
                <w:szCs w:val="21"/>
                <w:u w:val="none"/>
              </w:rPr>
            </w:pPr>
          </w:p>
        </w:tc>
      </w:tr>
      <w:tr w14:paraId="302C87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13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F0F3D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办公生活区</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42DFD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0.2605</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E899C">
            <w:pPr>
              <w:jc w:val="center"/>
              <w:rPr>
                <w:rFonts w:hint="default" w:ascii="Times New Roman" w:hAnsi="Times New Roman" w:eastAsia="宋体" w:cs="Times New Roman"/>
                <w:i w:val="0"/>
                <w:iCs w:val="0"/>
                <w:color w:val="auto"/>
                <w:sz w:val="21"/>
                <w:szCs w:val="21"/>
                <w:u w:val="none"/>
              </w:rPr>
            </w:pP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6180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214</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9C137">
            <w:pPr>
              <w:jc w:val="center"/>
              <w:rPr>
                <w:rFonts w:hint="default" w:ascii="Times New Roman" w:hAnsi="Times New Roman" w:eastAsia="宋体" w:cs="Times New Roman"/>
                <w:i w:val="0"/>
                <w:iCs w:val="0"/>
                <w:color w:val="auto"/>
                <w:sz w:val="21"/>
                <w:szCs w:val="21"/>
                <w:u w:val="none"/>
              </w:rPr>
            </w:pP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C351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214</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53D7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391</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583F0">
            <w:pPr>
              <w:jc w:val="center"/>
              <w:rPr>
                <w:rFonts w:hint="default" w:ascii="Times New Roman" w:hAnsi="Times New Roman" w:eastAsia="宋体" w:cs="Times New Roman"/>
                <w:i w:val="0"/>
                <w:iCs w:val="0"/>
                <w:color w:val="auto"/>
                <w:sz w:val="21"/>
                <w:szCs w:val="21"/>
                <w:u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4D5B9">
            <w:pPr>
              <w:jc w:val="center"/>
              <w:rPr>
                <w:rFonts w:hint="default" w:ascii="Times New Roman" w:hAnsi="Times New Roman" w:eastAsia="宋体" w:cs="Times New Roman"/>
                <w:i w:val="0"/>
                <w:iCs w:val="0"/>
                <w:color w:val="auto"/>
                <w:sz w:val="21"/>
                <w:szCs w:val="21"/>
                <w:u w:val="none"/>
              </w:rPr>
            </w:pPr>
          </w:p>
        </w:tc>
      </w:tr>
      <w:tr w14:paraId="78210F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303" w:type="pct"/>
            <w:gridSpan w:val="2"/>
            <w:tcBorders>
              <w:top w:val="single" w:color="000000" w:sz="4" w:space="0"/>
              <w:left w:val="single" w:color="000000" w:sz="4" w:space="0"/>
              <w:bottom w:val="single" w:color="000000" w:sz="4" w:space="0"/>
              <w:right w:val="nil"/>
            </w:tcBorders>
            <w:shd w:val="clear" w:color="auto" w:fill="auto"/>
            <w:vAlign w:val="center"/>
          </w:tcPr>
          <w:p w14:paraId="7704FEC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原有办公室及临时堆料场</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A6C3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0.1178</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73DC5">
            <w:pPr>
              <w:jc w:val="center"/>
              <w:rPr>
                <w:rFonts w:hint="default" w:ascii="Times New Roman" w:hAnsi="Times New Roman" w:eastAsia="宋体" w:cs="Times New Roman"/>
                <w:i w:val="0"/>
                <w:iCs w:val="0"/>
                <w:color w:val="auto"/>
                <w:sz w:val="21"/>
                <w:szCs w:val="21"/>
                <w:u w:val="none"/>
              </w:rPr>
            </w:pP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E291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92</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E1B3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236</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DC7D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eastAsia="宋体" w:cs="Times New Roman"/>
                <w:i w:val="0"/>
                <w:iCs w:val="0"/>
                <w:color w:val="auto"/>
                <w:kern w:val="0"/>
                <w:sz w:val="21"/>
                <w:szCs w:val="21"/>
                <w:u w:val="none"/>
                <w:lang w:val="en-US" w:eastAsia="zh-CN" w:bidi="ar"/>
              </w:rPr>
              <w:t>328</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44C9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177</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6F707">
            <w:pPr>
              <w:jc w:val="center"/>
              <w:rPr>
                <w:rFonts w:hint="default" w:ascii="Times New Roman" w:hAnsi="Times New Roman" w:eastAsia="宋体" w:cs="Times New Roman"/>
                <w:i w:val="0"/>
                <w:iCs w:val="0"/>
                <w:color w:val="auto"/>
                <w:sz w:val="21"/>
                <w:szCs w:val="21"/>
                <w:u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70D4B">
            <w:pPr>
              <w:jc w:val="center"/>
              <w:rPr>
                <w:rFonts w:hint="default" w:ascii="Times New Roman" w:hAnsi="Times New Roman" w:eastAsia="宋体" w:cs="Times New Roman"/>
                <w:i w:val="0"/>
                <w:iCs w:val="0"/>
                <w:color w:val="auto"/>
                <w:sz w:val="21"/>
                <w:szCs w:val="21"/>
                <w:u w:val="none"/>
              </w:rPr>
            </w:pPr>
          </w:p>
        </w:tc>
      </w:tr>
      <w:tr w14:paraId="60314F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13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F0189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矿山道路</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66741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0.1624</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8E2B0">
            <w:pPr>
              <w:jc w:val="center"/>
              <w:rPr>
                <w:rFonts w:hint="default" w:ascii="Times New Roman" w:hAnsi="Times New Roman" w:eastAsia="宋体" w:cs="Times New Roman"/>
                <w:i w:val="0"/>
                <w:iCs w:val="0"/>
                <w:color w:val="auto"/>
                <w:sz w:val="21"/>
                <w:szCs w:val="21"/>
                <w:u w:val="none"/>
              </w:rPr>
            </w:pP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924F2">
            <w:pPr>
              <w:jc w:val="center"/>
              <w:rPr>
                <w:rFonts w:hint="default" w:ascii="Times New Roman" w:hAnsi="Times New Roman" w:eastAsia="宋体" w:cs="Times New Roman"/>
                <w:i w:val="0"/>
                <w:iCs w:val="0"/>
                <w:color w:val="auto"/>
                <w:sz w:val="21"/>
                <w:szCs w:val="21"/>
                <w:u w:val="none"/>
              </w:rPr>
            </w:pP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DF76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325</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EFB8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325</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17F9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244</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9F1B2">
            <w:pPr>
              <w:jc w:val="center"/>
              <w:rPr>
                <w:rFonts w:hint="default" w:ascii="Times New Roman" w:hAnsi="Times New Roman" w:eastAsia="宋体" w:cs="Times New Roman"/>
                <w:i w:val="0"/>
                <w:iCs w:val="0"/>
                <w:color w:val="auto"/>
                <w:sz w:val="21"/>
                <w:szCs w:val="21"/>
                <w:u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091ED">
            <w:pPr>
              <w:jc w:val="center"/>
              <w:rPr>
                <w:rFonts w:hint="default" w:ascii="Times New Roman" w:hAnsi="Times New Roman" w:eastAsia="宋体" w:cs="Times New Roman"/>
                <w:i w:val="0"/>
                <w:iCs w:val="0"/>
                <w:color w:val="auto"/>
                <w:sz w:val="21"/>
                <w:szCs w:val="21"/>
                <w:u w:val="none"/>
              </w:rPr>
            </w:pPr>
          </w:p>
        </w:tc>
      </w:tr>
      <w:tr w14:paraId="505FD2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303" w:type="pct"/>
            <w:gridSpan w:val="2"/>
            <w:tcBorders>
              <w:top w:val="single" w:color="000000" w:sz="4" w:space="0"/>
              <w:left w:val="single" w:color="000000" w:sz="4" w:space="0"/>
              <w:bottom w:val="single" w:color="000000" w:sz="4" w:space="0"/>
              <w:right w:val="nil"/>
            </w:tcBorders>
            <w:shd w:val="clear" w:color="auto" w:fill="auto"/>
            <w:vAlign w:val="center"/>
          </w:tcPr>
          <w:p w14:paraId="21481F6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表土堆场</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9644A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0.3093</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BA845">
            <w:pPr>
              <w:jc w:val="center"/>
              <w:rPr>
                <w:rFonts w:hint="default" w:ascii="Times New Roman" w:hAnsi="Times New Roman" w:eastAsia="宋体" w:cs="Times New Roman"/>
                <w:i w:val="0"/>
                <w:iCs w:val="0"/>
                <w:color w:val="auto"/>
                <w:sz w:val="21"/>
                <w:szCs w:val="21"/>
                <w:u w:val="none"/>
              </w:rPr>
            </w:pP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64795">
            <w:pPr>
              <w:jc w:val="center"/>
              <w:rPr>
                <w:rFonts w:hint="default" w:ascii="Times New Roman" w:hAnsi="Times New Roman" w:eastAsia="宋体" w:cs="Times New Roman"/>
                <w:i w:val="0"/>
                <w:iCs w:val="0"/>
                <w:color w:val="auto"/>
                <w:sz w:val="21"/>
                <w:szCs w:val="21"/>
                <w:u w:val="none"/>
              </w:rPr>
            </w:pP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5EFD6">
            <w:pPr>
              <w:jc w:val="center"/>
              <w:rPr>
                <w:rFonts w:hint="default" w:ascii="Times New Roman" w:hAnsi="Times New Roman" w:eastAsia="宋体" w:cs="Times New Roman"/>
                <w:i w:val="0"/>
                <w:iCs w:val="0"/>
                <w:color w:val="auto"/>
                <w:sz w:val="21"/>
                <w:szCs w:val="21"/>
                <w:u w:val="none"/>
              </w:rPr>
            </w:pP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55C5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91D8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464</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6AF61">
            <w:pPr>
              <w:jc w:val="center"/>
              <w:rPr>
                <w:rFonts w:hint="default" w:ascii="Times New Roman" w:hAnsi="Times New Roman" w:eastAsia="宋体" w:cs="Times New Roman"/>
                <w:i w:val="0"/>
                <w:iCs w:val="0"/>
                <w:color w:val="auto"/>
                <w:sz w:val="21"/>
                <w:szCs w:val="21"/>
                <w:u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AFAF3">
            <w:pPr>
              <w:jc w:val="center"/>
              <w:rPr>
                <w:rFonts w:hint="default" w:ascii="Times New Roman" w:hAnsi="Times New Roman" w:eastAsia="宋体" w:cs="Times New Roman"/>
                <w:i w:val="0"/>
                <w:iCs w:val="0"/>
                <w:color w:val="auto"/>
                <w:sz w:val="21"/>
                <w:szCs w:val="21"/>
                <w:u w:val="none"/>
              </w:rPr>
            </w:pPr>
          </w:p>
        </w:tc>
      </w:tr>
      <w:tr w14:paraId="002C35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1303" w:type="pct"/>
            <w:gridSpan w:val="2"/>
            <w:tcBorders>
              <w:top w:val="single" w:color="000000" w:sz="4" w:space="0"/>
              <w:left w:val="single" w:color="000000" w:sz="4" w:space="0"/>
              <w:bottom w:val="single" w:color="000000" w:sz="4" w:space="0"/>
              <w:right w:val="nil"/>
            </w:tcBorders>
            <w:shd w:val="clear" w:color="auto" w:fill="auto"/>
            <w:vAlign w:val="center"/>
          </w:tcPr>
          <w:p w14:paraId="463AD4D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合     计</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85441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4.0745</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E2AC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586</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FBB2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434</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420D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561</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6489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eastAsia="宋体" w:cs="Times New Roman"/>
                <w:i w:val="0"/>
                <w:iCs w:val="0"/>
                <w:color w:val="auto"/>
                <w:kern w:val="0"/>
                <w:sz w:val="21"/>
                <w:szCs w:val="21"/>
                <w:u w:val="none"/>
                <w:lang w:val="en-US" w:eastAsia="zh-CN" w:bidi="ar"/>
              </w:rPr>
              <w:t>995</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D185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4811</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8DFB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11705</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FFC5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36</w:t>
            </w:r>
          </w:p>
        </w:tc>
      </w:tr>
    </w:tbl>
    <w:p w14:paraId="506298F4">
      <w:pPr>
        <w:rPr>
          <w:rFonts w:hint="default"/>
          <w:color w:val="auto"/>
        </w:rPr>
        <w:sectPr>
          <w:pgSz w:w="16838" w:h="11906" w:orient="landscape"/>
          <w:pgMar w:top="1417" w:right="1440" w:bottom="1417" w:left="1440" w:header="851" w:footer="992" w:gutter="0"/>
          <w:pgBorders w:offsetFrom="page">
            <w:top w:val="none" w:sz="0" w:space="0"/>
            <w:left w:val="none" w:sz="0" w:space="0"/>
            <w:bottom w:val="none" w:sz="0" w:space="0"/>
            <w:right w:val="none" w:sz="0" w:space="0"/>
          </w:pgBorders>
          <w:pgNumType w:fmt="decimal"/>
          <w:cols w:space="720" w:num="1"/>
          <w:docGrid w:type="lines" w:linePitch="312" w:charSpace="0"/>
        </w:sectPr>
      </w:pPr>
    </w:p>
    <w:p w14:paraId="5EB1C559">
      <w:pPr>
        <w:keepNext/>
        <w:keepLines/>
        <w:widowControl w:val="0"/>
        <w:spacing w:before="260" w:after="260" w:line="415" w:lineRule="auto"/>
        <w:outlineLvl w:val="1"/>
        <w:rPr>
          <w:rFonts w:hint="default" w:ascii="Times New Roman" w:hAnsi="Times New Roman" w:eastAsia="黑体" w:cs="Times New Roman"/>
          <w:bCs/>
          <w:color w:val="auto"/>
          <w:sz w:val="30"/>
          <w:szCs w:val="30"/>
          <w:highlight w:val="none"/>
        </w:rPr>
      </w:pPr>
      <w:bookmarkStart w:id="205" w:name="_Toc19177"/>
      <w:bookmarkStart w:id="206" w:name="_Toc28606"/>
      <w:r>
        <w:rPr>
          <w:rFonts w:hint="default" w:ascii="Times New Roman" w:hAnsi="Times New Roman" w:eastAsia="黑体" w:cs="Times New Roman"/>
          <w:bCs/>
          <w:color w:val="auto"/>
          <w:sz w:val="30"/>
          <w:szCs w:val="30"/>
          <w:highlight w:val="none"/>
        </w:rPr>
        <w:t>三、矿区土地复垦</w:t>
      </w:r>
      <w:bookmarkEnd w:id="202"/>
      <w:bookmarkEnd w:id="203"/>
      <w:bookmarkEnd w:id="204"/>
      <w:bookmarkEnd w:id="205"/>
      <w:bookmarkEnd w:id="206"/>
    </w:p>
    <w:p w14:paraId="45DBFA2B">
      <w:pPr>
        <w:pStyle w:val="5"/>
        <w:rPr>
          <w:rFonts w:hint="default" w:ascii="Times New Roman" w:hAnsi="Times New Roman" w:eastAsia="黑体" w:cs="Times New Roman"/>
          <w:b w:val="0"/>
          <w:bCs w:val="0"/>
          <w:color w:val="auto"/>
          <w:szCs w:val="28"/>
          <w:highlight w:val="none"/>
        </w:rPr>
      </w:pPr>
      <w:bookmarkStart w:id="207" w:name="_Toc485629724"/>
      <w:r>
        <w:rPr>
          <w:rFonts w:hint="default" w:ascii="Times New Roman" w:hAnsi="Times New Roman" w:eastAsia="黑体" w:cs="Times New Roman"/>
          <w:b w:val="0"/>
          <w:bCs w:val="0"/>
          <w:color w:val="auto"/>
          <w:szCs w:val="28"/>
          <w:highlight w:val="none"/>
          <w:lang w:eastAsia="zh-CN"/>
        </w:rPr>
        <w:t>（</w:t>
      </w:r>
      <w:r>
        <w:rPr>
          <w:rFonts w:hint="default" w:ascii="Times New Roman" w:hAnsi="Times New Roman" w:eastAsia="黑体" w:cs="Times New Roman"/>
          <w:b w:val="0"/>
          <w:bCs w:val="0"/>
          <w:color w:val="auto"/>
          <w:szCs w:val="28"/>
          <w:highlight w:val="none"/>
        </w:rPr>
        <w:t>一）目标任务</w:t>
      </w:r>
      <w:bookmarkEnd w:id="207"/>
    </w:p>
    <w:p w14:paraId="5D1FBF48">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矿区土地复垦目标是：通过土地复垦，对损毁的</w:t>
      </w:r>
      <w:r>
        <w:rPr>
          <w:rFonts w:hint="default" w:ascii="Times New Roman" w:hAnsi="Times New Roman" w:cs="Times New Roman"/>
          <w:color w:val="auto"/>
          <w:sz w:val="24"/>
          <w:highlight w:val="none"/>
          <w:lang w:val="en-US" w:eastAsia="zh-CN"/>
        </w:rPr>
        <w:t>地类进行</w:t>
      </w:r>
      <w:r>
        <w:rPr>
          <w:rFonts w:hint="default" w:ascii="Times New Roman" w:hAnsi="Times New Roman" w:cs="Times New Roman"/>
          <w:color w:val="auto"/>
          <w:sz w:val="24"/>
          <w:highlight w:val="none"/>
        </w:rPr>
        <w:t>整理，恢复其土地功能，恢复地形地貌景观、提高土地资源利用率，以简单的工程措施和防治费用获得最大的防治效果，使土地复垦与社会效益、环境效益、经济效益及资源的合理开发利用密切结合，达到统一。</w:t>
      </w:r>
    </w:p>
    <w:p w14:paraId="64C2F521">
      <w:pPr>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复垦责任范围面积</w:t>
      </w:r>
      <w:r>
        <w:rPr>
          <w:rFonts w:hint="eastAsia" w:cs="Times New Roman"/>
          <w:color w:val="auto"/>
          <w:sz w:val="24"/>
          <w:highlight w:val="none"/>
          <w:lang w:val="en-US" w:eastAsia="zh-CN"/>
        </w:rPr>
        <w:t>4.0745</w:t>
      </w:r>
      <w:r>
        <w:rPr>
          <w:rFonts w:hint="default" w:ascii="Times New Roman" w:hAnsi="Times New Roman" w:cs="Times New Roman"/>
          <w:color w:val="auto"/>
          <w:sz w:val="24"/>
          <w:highlight w:val="none"/>
        </w:rPr>
        <w:t>hm²。本项目实施后，土地复垦面积</w:t>
      </w:r>
      <w:r>
        <w:rPr>
          <w:rFonts w:hint="eastAsia" w:cs="Times New Roman"/>
          <w:color w:val="auto"/>
          <w:sz w:val="24"/>
          <w:highlight w:val="none"/>
          <w:lang w:val="en-US" w:eastAsia="zh-CN"/>
        </w:rPr>
        <w:t>3.2066</w:t>
      </w:r>
      <w:r>
        <w:rPr>
          <w:rFonts w:hint="default" w:ascii="Times New Roman" w:hAnsi="Times New Roman" w:cs="Times New Roman"/>
          <w:color w:val="auto"/>
          <w:sz w:val="24"/>
          <w:highlight w:val="none"/>
        </w:rPr>
        <w:t>hm²，土地复垦方向为</w:t>
      </w:r>
      <w:r>
        <w:rPr>
          <w:rFonts w:hint="default" w:ascii="Times New Roman" w:hAnsi="Times New Roman" w:cs="Times New Roman"/>
          <w:bCs/>
          <w:color w:val="auto"/>
          <w:sz w:val="24"/>
          <w:highlight w:val="none"/>
        </w:rPr>
        <w:t>乔木林地</w:t>
      </w:r>
      <w:r>
        <w:rPr>
          <w:rFonts w:hint="default" w:ascii="Times New Roman" w:hAnsi="Times New Roman" w:cs="Times New Roman"/>
          <w:bCs/>
          <w:color w:val="auto"/>
          <w:sz w:val="24"/>
          <w:highlight w:val="none"/>
          <w:lang w:val="en-US" w:eastAsia="zh-CN"/>
        </w:rPr>
        <w:t>。</w:t>
      </w:r>
      <w:r>
        <w:rPr>
          <w:rFonts w:hint="default" w:ascii="Times New Roman" w:hAnsi="Times New Roman" w:cs="Times New Roman"/>
          <w:color w:val="auto"/>
          <w:sz w:val="24"/>
          <w:highlight w:val="none"/>
        </w:rPr>
        <w:t>土地复垦率为</w:t>
      </w:r>
      <w:r>
        <w:rPr>
          <w:rFonts w:hint="eastAsia" w:cs="Times New Roman"/>
          <w:color w:val="auto"/>
          <w:sz w:val="24"/>
          <w:highlight w:val="none"/>
          <w:lang w:val="en-US" w:eastAsia="zh-CN"/>
        </w:rPr>
        <w:t>78.70</w:t>
      </w:r>
      <w:r>
        <w:rPr>
          <w:rFonts w:hint="default"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rPr>
        <w:t>。</w:t>
      </w:r>
    </w:p>
    <w:p w14:paraId="044DCCF2">
      <w:pPr>
        <w:autoSpaceDE w:val="0"/>
        <w:autoSpaceDN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复垦前后土地利用结构调整见表5-</w:t>
      </w:r>
      <w:r>
        <w:rPr>
          <w:rFonts w:hint="eastAsia" w:cs="Times New Roman"/>
          <w:color w:val="auto"/>
          <w:sz w:val="24"/>
          <w:highlight w:val="none"/>
          <w:lang w:val="en-US" w:eastAsia="zh-CN"/>
        </w:rPr>
        <w:t>3</w:t>
      </w:r>
      <w:r>
        <w:rPr>
          <w:rFonts w:hint="default" w:ascii="Times New Roman" w:hAnsi="Times New Roman" w:cs="Times New Roman"/>
          <w:color w:val="auto"/>
          <w:sz w:val="24"/>
          <w:highlight w:val="none"/>
        </w:rPr>
        <w:t>。</w:t>
      </w:r>
    </w:p>
    <w:p w14:paraId="4A6CDE52">
      <w:pPr>
        <w:keepNext w:val="0"/>
        <w:keepLines w:val="0"/>
        <w:pageBreakBefore w:val="0"/>
        <w:widowControl/>
        <w:kinsoku/>
        <w:wordWrap/>
        <w:overflowPunct/>
        <w:topLinePunct w:val="0"/>
        <w:autoSpaceDE/>
        <w:autoSpaceDN/>
        <w:bidi w:val="0"/>
        <w:adjustRightInd/>
        <w:snapToGrid/>
        <w:spacing w:before="157" w:beforeLines="50" w:line="240" w:lineRule="auto"/>
        <w:ind w:firstLine="0" w:firstLineChars="0"/>
        <w:jc w:val="center"/>
        <w:textAlignment w:val="auto"/>
        <w:rPr>
          <w:rFonts w:hint="default" w:ascii="Times New Roman" w:hAnsi="Times New Roman" w:eastAsia="黑体" w:cs="Times New Roman"/>
          <w:bCs/>
          <w:color w:val="auto"/>
          <w:szCs w:val="21"/>
          <w:highlight w:val="none"/>
          <w:vertAlign w:val="superscript"/>
          <w:lang w:eastAsia="zh-CN"/>
        </w:rPr>
      </w:pPr>
      <w:r>
        <w:rPr>
          <w:rFonts w:hint="default" w:ascii="Times New Roman" w:hAnsi="Times New Roman" w:eastAsia="黑体" w:cs="Times New Roman"/>
          <w:bCs/>
          <w:color w:val="auto"/>
          <w:szCs w:val="21"/>
          <w:highlight w:val="none"/>
        </w:rPr>
        <w:t>表5-</w:t>
      </w:r>
      <w:r>
        <w:rPr>
          <w:rFonts w:hint="eastAsia" w:eastAsia="黑体" w:cs="Times New Roman"/>
          <w:bCs/>
          <w:color w:val="auto"/>
          <w:szCs w:val="21"/>
          <w:highlight w:val="none"/>
          <w:lang w:val="en-US" w:eastAsia="zh-CN"/>
        </w:rPr>
        <w:t>3</w:t>
      </w:r>
      <w:r>
        <w:rPr>
          <w:rFonts w:hint="default" w:ascii="Times New Roman" w:hAnsi="Times New Roman" w:eastAsia="黑体" w:cs="Times New Roman"/>
          <w:bCs/>
          <w:color w:val="auto"/>
          <w:szCs w:val="21"/>
          <w:highlight w:val="none"/>
        </w:rPr>
        <w:t xml:space="preserve">    复垦前后土地利用结构调整表   单位：h</w:t>
      </w:r>
      <w:r>
        <w:rPr>
          <w:rFonts w:hint="default" w:ascii="Times New Roman" w:hAnsi="Times New Roman" w:eastAsia="黑体" w:cs="Times New Roman"/>
          <w:bCs/>
          <w:color w:val="auto"/>
          <w:szCs w:val="21"/>
          <w:highlight w:val="none"/>
          <w:lang w:eastAsia="zh-CN"/>
        </w:rPr>
        <w:t>m</w:t>
      </w:r>
      <w:r>
        <w:rPr>
          <w:rFonts w:hint="default" w:ascii="Times New Roman" w:hAnsi="Times New Roman" w:eastAsia="黑体" w:cs="Times New Roman"/>
          <w:bCs/>
          <w:color w:val="auto"/>
          <w:szCs w:val="21"/>
          <w:highlight w:val="none"/>
          <w:vertAlign w:val="superscript"/>
          <w:lang w:eastAsia="zh-CN"/>
        </w:rPr>
        <w:t>2</w:t>
      </w:r>
    </w:p>
    <w:tbl>
      <w:tblPr>
        <w:tblStyle w:val="34"/>
        <w:tblW w:w="83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51"/>
        <w:gridCol w:w="1495"/>
        <w:gridCol w:w="1122"/>
        <w:gridCol w:w="1433"/>
        <w:gridCol w:w="1034"/>
        <w:gridCol w:w="1166"/>
        <w:gridCol w:w="939"/>
      </w:tblGrid>
      <w:tr w14:paraId="5A8338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6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C0814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bookmarkStart w:id="208" w:name="_Toc485629725"/>
            <w:r>
              <w:rPr>
                <w:rFonts w:hint="default" w:ascii="Times New Roman" w:hAnsi="Times New Roman" w:eastAsia="宋体" w:cs="Times New Roman"/>
                <w:i w:val="0"/>
                <w:iCs w:val="0"/>
                <w:color w:val="auto"/>
                <w:kern w:val="0"/>
                <w:sz w:val="21"/>
                <w:szCs w:val="21"/>
                <w:u w:val="none"/>
                <w:lang w:val="en-US" w:eastAsia="zh-CN" w:bidi="ar"/>
              </w:rPr>
              <w:t>一级地类</w:t>
            </w:r>
          </w:p>
        </w:tc>
        <w:tc>
          <w:tcPr>
            <w:tcW w:w="25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75DE4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二级地类</w:t>
            </w:r>
          </w:p>
        </w:tc>
        <w:tc>
          <w:tcPr>
            <w:tcW w:w="22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67E70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面积hm</w:t>
            </w:r>
            <w:r>
              <w:rPr>
                <w:rFonts w:hint="default" w:ascii="Times New Roman" w:hAnsi="Times New Roman" w:eastAsia="宋体" w:cs="Times New Roman"/>
                <w:i w:val="0"/>
                <w:iCs w:val="0"/>
                <w:color w:val="auto"/>
                <w:kern w:val="0"/>
                <w:sz w:val="21"/>
                <w:szCs w:val="21"/>
                <w:u w:val="none"/>
                <w:vertAlign w:val="superscript"/>
                <w:lang w:val="en-US" w:eastAsia="zh-CN" w:bidi="ar"/>
              </w:rPr>
              <w:t>2</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3199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变幅</w:t>
            </w:r>
          </w:p>
        </w:tc>
      </w:tr>
      <w:tr w14:paraId="2FD699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11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8946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类别编码</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4733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地类名称</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C6CC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类别编码</w:t>
            </w:r>
          </w:p>
        </w:tc>
        <w:tc>
          <w:tcPr>
            <w:tcW w:w="1433" w:type="dxa"/>
            <w:tcBorders>
              <w:top w:val="single" w:color="000000" w:sz="4" w:space="0"/>
              <w:left w:val="single" w:color="000000" w:sz="4" w:space="0"/>
              <w:bottom w:val="single" w:color="000000" w:sz="4" w:space="0"/>
              <w:right w:val="nil"/>
            </w:tcBorders>
            <w:shd w:val="clear" w:color="auto" w:fill="auto"/>
            <w:vAlign w:val="center"/>
          </w:tcPr>
          <w:p w14:paraId="3E0E49E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地类名称</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DA8E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复垦前</w:t>
            </w: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2171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复垦后</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1831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14:paraId="04195E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1151" w:type="dxa"/>
            <w:tcBorders>
              <w:top w:val="single" w:color="000000" w:sz="4" w:space="0"/>
              <w:left w:val="single" w:color="000000" w:sz="4" w:space="0"/>
              <w:bottom w:val="nil"/>
              <w:right w:val="single" w:color="000000" w:sz="4" w:space="0"/>
            </w:tcBorders>
            <w:shd w:val="clear" w:color="auto" w:fill="auto"/>
            <w:vAlign w:val="center"/>
          </w:tcPr>
          <w:p w14:paraId="514D317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03</w:t>
            </w:r>
          </w:p>
        </w:tc>
        <w:tc>
          <w:tcPr>
            <w:tcW w:w="1495" w:type="dxa"/>
            <w:tcBorders>
              <w:top w:val="single" w:color="000000" w:sz="4" w:space="0"/>
              <w:left w:val="single" w:color="000000" w:sz="4" w:space="0"/>
              <w:bottom w:val="nil"/>
              <w:right w:val="single" w:color="000000" w:sz="4" w:space="0"/>
            </w:tcBorders>
            <w:shd w:val="clear" w:color="auto" w:fill="auto"/>
            <w:vAlign w:val="center"/>
          </w:tcPr>
          <w:p w14:paraId="4DB6F35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林地</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29F0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0301</w:t>
            </w:r>
          </w:p>
        </w:tc>
        <w:tc>
          <w:tcPr>
            <w:tcW w:w="1433" w:type="dxa"/>
            <w:tcBorders>
              <w:top w:val="single" w:color="000000" w:sz="4" w:space="0"/>
              <w:left w:val="single" w:color="000000" w:sz="4" w:space="0"/>
              <w:bottom w:val="single" w:color="000000" w:sz="4" w:space="0"/>
              <w:right w:val="nil"/>
            </w:tcBorders>
            <w:shd w:val="clear" w:color="auto" w:fill="auto"/>
            <w:vAlign w:val="center"/>
          </w:tcPr>
          <w:p w14:paraId="6EAE62A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乔木林地</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25BF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0.181</w:t>
            </w:r>
            <w:r>
              <w:rPr>
                <w:rFonts w:hint="eastAsia" w:ascii="Times New Roman" w:hAnsi="Times New Roman" w:eastAsia="宋体" w:cs="Times New Roman"/>
                <w:i w:val="0"/>
                <w:iCs w:val="0"/>
                <w:color w:val="auto"/>
                <w:kern w:val="0"/>
                <w:sz w:val="21"/>
                <w:szCs w:val="21"/>
                <w:u w:val="none"/>
                <w:lang w:val="en-US" w:eastAsia="zh-CN" w:bidi="ar"/>
              </w:rPr>
              <w:t>0</w:t>
            </w: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2265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3.2066 </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4317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74.26 </w:t>
            </w:r>
          </w:p>
        </w:tc>
      </w:tr>
      <w:tr w14:paraId="5E8E68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11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E3EB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06</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893A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工矿仓储用地</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CACB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0602</w:t>
            </w:r>
          </w:p>
        </w:tc>
        <w:tc>
          <w:tcPr>
            <w:tcW w:w="1433" w:type="dxa"/>
            <w:tcBorders>
              <w:top w:val="single" w:color="000000" w:sz="4" w:space="0"/>
              <w:left w:val="single" w:color="000000" w:sz="4" w:space="0"/>
              <w:bottom w:val="single" w:color="000000" w:sz="4" w:space="0"/>
              <w:right w:val="nil"/>
            </w:tcBorders>
            <w:shd w:val="clear" w:color="auto" w:fill="auto"/>
            <w:vAlign w:val="center"/>
          </w:tcPr>
          <w:p w14:paraId="532F467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采矿用地</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5758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3.8935</w:t>
            </w:r>
          </w:p>
        </w:tc>
        <w:tc>
          <w:tcPr>
            <w:tcW w:w="11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4666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0.0000 </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34C2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-95.56 </w:t>
            </w:r>
          </w:p>
        </w:tc>
      </w:tr>
      <w:tr w14:paraId="3E69D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11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563F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75A3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其他土地</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0D4C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1207</w:t>
            </w:r>
          </w:p>
        </w:tc>
        <w:tc>
          <w:tcPr>
            <w:tcW w:w="1433" w:type="dxa"/>
            <w:tcBorders>
              <w:top w:val="single" w:color="000000" w:sz="4" w:space="0"/>
              <w:left w:val="single" w:color="000000" w:sz="4" w:space="0"/>
              <w:bottom w:val="single" w:color="000000" w:sz="4" w:space="0"/>
              <w:right w:val="nil"/>
            </w:tcBorders>
            <w:shd w:val="clear" w:color="auto" w:fill="auto"/>
            <w:vAlign w:val="center"/>
          </w:tcPr>
          <w:p w14:paraId="1B80C79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裸岩石砾地</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D8DB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11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C07B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0.8679 </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AB9B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21.30 </w:t>
            </w:r>
          </w:p>
        </w:tc>
      </w:tr>
      <w:tr w14:paraId="4803F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5201"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1CD1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合计</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A91A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4.0745</w:t>
            </w:r>
          </w:p>
        </w:tc>
        <w:tc>
          <w:tcPr>
            <w:tcW w:w="11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7400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4.0745</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B09A9">
            <w:pPr>
              <w:jc w:val="center"/>
              <w:rPr>
                <w:rFonts w:hint="default" w:ascii="Times New Roman" w:hAnsi="Times New Roman" w:eastAsia="宋体" w:cs="Times New Roman"/>
                <w:i w:val="0"/>
                <w:iCs w:val="0"/>
                <w:color w:val="auto"/>
                <w:sz w:val="21"/>
                <w:szCs w:val="21"/>
                <w:u w:val="none"/>
              </w:rPr>
            </w:pPr>
          </w:p>
        </w:tc>
      </w:tr>
    </w:tbl>
    <w:p w14:paraId="13F908CA">
      <w:pPr>
        <w:pStyle w:val="5"/>
        <w:rPr>
          <w:rFonts w:hint="default" w:ascii="Times New Roman" w:hAnsi="Times New Roman" w:eastAsia="黑体" w:cs="Times New Roman"/>
          <w:b w:val="0"/>
          <w:bCs w:val="0"/>
          <w:color w:val="auto"/>
          <w:szCs w:val="28"/>
          <w:highlight w:val="none"/>
        </w:rPr>
      </w:pPr>
      <w:r>
        <w:rPr>
          <w:rFonts w:hint="default" w:ascii="Times New Roman" w:hAnsi="Times New Roman" w:eastAsia="黑体" w:cs="Times New Roman"/>
          <w:b w:val="0"/>
          <w:bCs w:val="0"/>
          <w:color w:val="auto"/>
          <w:szCs w:val="28"/>
          <w:highlight w:val="none"/>
          <w:lang w:eastAsia="zh-CN"/>
        </w:rPr>
        <w:t>（</w:t>
      </w:r>
      <w:r>
        <w:rPr>
          <w:rFonts w:hint="default" w:ascii="Times New Roman" w:hAnsi="Times New Roman" w:eastAsia="黑体" w:cs="Times New Roman"/>
          <w:b w:val="0"/>
          <w:bCs w:val="0"/>
          <w:color w:val="auto"/>
          <w:szCs w:val="28"/>
          <w:highlight w:val="none"/>
        </w:rPr>
        <w:t>二）工程设计</w:t>
      </w:r>
      <w:bookmarkEnd w:id="208"/>
    </w:p>
    <w:p w14:paraId="6923B3E9">
      <w:pPr>
        <w:autoSpaceDE w:val="0"/>
        <w:autoSpaceDN w:val="0"/>
        <w:spacing w:line="360" w:lineRule="auto"/>
        <w:ind w:firstLine="482" w:firstLineChars="200"/>
        <w:rPr>
          <w:rFonts w:hint="default" w:cs="Times New Roman"/>
          <w:b/>
          <w:bCs/>
          <w:color w:val="auto"/>
          <w:sz w:val="24"/>
          <w:highlight w:val="none"/>
          <w:lang w:val="en-US" w:eastAsia="zh-CN"/>
        </w:rPr>
      </w:pPr>
      <w:bookmarkStart w:id="209" w:name="_Toc485629726"/>
      <w:r>
        <w:rPr>
          <w:rFonts w:hint="eastAsia" w:cs="Times New Roman"/>
          <w:b/>
          <w:bCs/>
          <w:color w:val="auto"/>
          <w:sz w:val="24"/>
          <w:highlight w:val="none"/>
          <w:lang w:val="en-US" w:eastAsia="zh-CN"/>
        </w:rPr>
        <w:t>1、表土剥离工程</w:t>
      </w:r>
    </w:p>
    <w:p w14:paraId="5F456896">
      <w:pPr>
        <w:spacing w:line="360" w:lineRule="auto"/>
        <w:ind w:firstLine="480" w:firstLineChars="200"/>
        <w:rPr>
          <w:bCs/>
          <w:color w:val="auto"/>
          <w:sz w:val="24"/>
          <w:highlight w:val="none"/>
        </w:rPr>
      </w:pPr>
      <w:r>
        <w:rPr>
          <w:rFonts w:hint="eastAsia"/>
          <w:bCs/>
          <w:color w:val="auto"/>
          <w:sz w:val="24"/>
          <w:highlight w:val="none"/>
        </w:rPr>
        <w:t>（1）表土剥离</w:t>
      </w:r>
    </w:p>
    <w:p w14:paraId="04CA1BF6">
      <w:pPr>
        <w:spacing w:line="360" w:lineRule="auto"/>
        <w:ind w:firstLine="480"/>
        <w:jc w:val="both"/>
        <w:rPr>
          <w:rFonts w:hint="default" w:eastAsia="宋体"/>
          <w:color w:val="auto"/>
          <w:sz w:val="24"/>
          <w:highlight w:val="none"/>
          <w:lang w:val="en-US" w:eastAsia="zh-CN"/>
        </w:rPr>
      </w:pPr>
      <w:r>
        <w:rPr>
          <w:rFonts w:hint="eastAsia"/>
          <w:color w:val="auto"/>
          <w:sz w:val="24"/>
          <w:highlight w:val="none"/>
        </w:rPr>
        <w:t>根据开发利用方案，露天采场开采前未损毁区域进行表土剥离，表土剥离面积</w:t>
      </w:r>
      <w:r>
        <w:rPr>
          <w:rFonts w:hint="eastAsia"/>
          <w:color w:val="auto"/>
          <w:sz w:val="24"/>
          <w:highlight w:val="none"/>
          <w:lang w:val="en-US" w:eastAsia="zh-CN"/>
        </w:rPr>
        <w:t>0.1810</w:t>
      </w:r>
      <w:r>
        <w:rPr>
          <w:rFonts w:hint="eastAsia"/>
          <w:color w:val="auto"/>
          <w:sz w:val="24"/>
          <w:highlight w:val="none"/>
        </w:rPr>
        <w:t>hm</w:t>
      </w:r>
      <w:r>
        <w:rPr>
          <w:rFonts w:hint="eastAsia"/>
          <w:color w:val="auto"/>
          <w:sz w:val="24"/>
          <w:highlight w:val="none"/>
          <w:vertAlign w:val="superscript"/>
        </w:rPr>
        <w:t>2</w:t>
      </w:r>
      <w:r>
        <w:rPr>
          <w:rFonts w:hint="eastAsia"/>
          <w:color w:val="auto"/>
          <w:sz w:val="24"/>
          <w:highlight w:val="none"/>
        </w:rPr>
        <w:t>，剥离厚度0.3m，表土剥离量</w:t>
      </w:r>
      <w:r>
        <w:rPr>
          <w:rFonts w:hint="eastAsia"/>
          <w:color w:val="auto"/>
          <w:sz w:val="24"/>
          <w:highlight w:val="none"/>
          <w:lang w:val="en-US" w:eastAsia="zh-CN"/>
        </w:rPr>
        <w:t>543</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，剥离的表土在</w:t>
      </w:r>
      <w:r>
        <w:rPr>
          <w:rFonts w:hint="eastAsia"/>
          <w:color w:val="auto"/>
          <w:sz w:val="24"/>
          <w:highlight w:val="none"/>
          <w:lang w:val="en-US" w:eastAsia="zh-CN"/>
        </w:rPr>
        <w:t>原有表土堆场</w:t>
      </w:r>
      <w:r>
        <w:rPr>
          <w:rFonts w:hint="eastAsia"/>
          <w:color w:val="auto"/>
          <w:sz w:val="24"/>
          <w:highlight w:val="none"/>
        </w:rPr>
        <w:t>进行集中堆放。</w:t>
      </w:r>
      <w:r>
        <w:rPr>
          <w:rFonts w:hint="eastAsia"/>
          <w:color w:val="auto"/>
          <w:sz w:val="24"/>
          <w:highlight w:val="none"/>
          <w:lang w:val="en-US" w:eastAsia="zh-CN"/>
        </w:rPr>
        <w:t>原有堆场位于办公生活区北部，占地面积0.3093hm</w:t>
      </w:r>
      <w:r>
        <w:rPr>
          <w:rFonts w:hint="eastAsia"/>
          <w:color w:val="auto"/>
          <w:sz w:val="24"/>
          <w:highlight w:val="none"/>
          <w:vertAlign w:val="superscript"/>
          <w:lang w:val="en-US" w:eastAsia="zh-CN"/>
        </w:rPr>
        <w:t>2</w:t>
      </w:r>
      <w:r>
        <w:rPr>
          <w:rFonts w:hint="eastAsia"/>
          <w:color w:val="auto"/>
          <w:sz w:val="24"/>
          <w:highlight w:val="none"/>
          <w:lang w:val="en-US" w:eastAsia="zh-CN"/>
        </w:rPr>
        <w:t>，表土堆放高度小于4.5m，表土堆放量约为9200m</w:t>
      </w:r>
      <w:r>
        <w:rPr>
          <w:rFonts w:hint="eastAsia"/>
          <w:color w:val="auto"/>
          <w:sz w:val="24"/>
          <w:highlight w:val="none"/>
          <w:vertAlign w:val="superscript"/>
          <w:lang w:val="en-US" w:eastAsia="zh-CN"/>
        </w:rPr>
        <w:t>3</w:t>
      </w:r>
      <w:r>
        <w:rPr>
          <w:rFonts w:hint="eastAsia"/>
          <w:color w:val="auto"/>
          <w:sz w:val="24"/>
          <w:highlight w:val="none"/>
          <w:lang w:val="en-US" w:eastAsia="zh-CN"/>
        </w:rPr>
        <w:t>。</w:t>
      </w:r>
    </w:p>
    <w:p w14:paraId="589F5B32">
      <w:pPr>
        <w:spacing w:line="360" w:lineRule="auto"/>
        <w:ind w:firstLine="480" w:firstLineChars="200"/>
        <w:rPr>
          <w:color w:val="auto"/>
          <w:sz w:val="24"/>
          <w:highlight w:val="none"/>
        </w:rPr>
      </w:pPr>
      <w:r>
        <w:rPr>
          <w:color w:val="auto"/>
          <w:sz w:val="24"/>
          <w:highlight w:val="none"/>
        </w:rPr>
        <w:t>主要工作量：</w:t>
      </w:r>
      <w:r>
        <w:rPr>
          <w:rFonts w:hint="eastAsia"/>
          <w:color w:val="auto"/>
          <w:sz w:val="24"/>
          <w:highlight w:val="none"/>
        </w:rPr>
        <w:t>表土剥离</w:t>
      </w:r>
      <w:r>
        <w:rPr>
          <w:rFonts w:hint="eastAsia"/>
          <w:color w:val="auto"/>
          <w:sz w:val="24"/>
          <w:highlight w:val="none"/>
          <w:lang w:val="en-US" w:eastAsia="zh-CN"/>
        </w:rPr>
        <w:t>543</w:t>
      </w:r>
      <w:r>
        <w:rPr>
          <w:color w:val="auto"/>
          <w:sz w:val="24"/>
          <w:highlight w:val="none"/>
        </w:rPr>
        <w:t>m</w:t>
      </w:r>
      <w:r>
        <w:rPr>
          <w:rFonts w:hint="eastAsia"/>
          <w:color w:val="auto"/>
          <w:sz w:val="24"/>
          <w:highlight w:val="none"/>
          <w:vertAlign w:val="superscript"/>
        </w:rPr>
        <w:t>3</w:t>
      </w:r>
      <w:r>
        <w:rPr>
          <w:color w:val="auto"/>
          <w:sz w:val="24"/>
          <w:highlight w:val="none"/>
        </w:rPr>
        <w:t>。</w:t>
      </w:r>
    </w:p>
    <w:p w14:paraId="747A7B28">
      <w:pPr>
        <w:pStyle w:val="9"/>
        <w:spacing w:line="360" w:lineRule="auto"/>
        <w:ind w:firstLine="480"/>
        <w:rPr>
          <w:color w:val="auto"/>
          <w:highlight w:val="none"/>
        </w:rPr>
      </w:pPr>
      <w:r>
        <w:rPr>
          <w:rFonts w:hint="eastAsia"/>
          <w:color w:val="auto"/>
          <w:highlight w:val="none"/>
        </w:rPr>
        <w:t>（2）表土防护</w:t>
      </w:r>
    </w:p>
    <w:p w14:paraId="6F007B20">
      <w:pPr>
        <w:spacing w:line="360" w:lineRule="auto"/>
        <w:ind w:firstLine="480"/>
        <w:jc w:val="both"/>
        <w:rPr>
          <w:rFonts w:hint="default" w:ascii="Times New Roman" w:hAnsi="Times New Roman" w:eastAsia="宋体" w:cs="Times New Roman"/>
          <w:color w:val="auto"/>
          <w:sz w:val="24"/>
          <w:highlight w:val="none"/>
        </w:rPr>
      </w:pPr>
      <w:r>
        <w:rPr>
          <w:rFonts w:hint="eastAsia"/>
          <w:color w:val="auto"/>
          <w:sz w:val="24"/>
          <w:highlight w:val="none"/>
        </w:rPr>
        <w:t>表土堆放区域占地面积</w:t>
      </w:r>
      <w:r>
        <w:rPr>
          <w:rFonts w:hint="eastAsia"/>
          <w:color w:val="auto"/>
          <w:sz w:val="24"/>
          <w:highlight w:val="none"/>
          <w:lang w:val="en-US" w:eastAsia="zh-CN"/>
        </w:rPr>
        <w:t>0.3093</w:t>
      </w:r>
      <w:r>
        <w:rPr>
          <w:rFonts w:hint="eastAsia"/>
          <w:color w:val="auto"/>
          <w:sz w:val="24"/>
          <w:highlight w:val="none"/>
        </w:rPr>
        <w:t>hm</w:t>
      </w:r>
      <w:r>
        <w:rPr>
          <w:rFonts w:hint="eastAsia"/>
          <w:color w:val="auto"/>
          <w:sz w:val="24"/>
          <w:highlight w:val="none"/>
          <w:vertAlign w:val="superscript"/>
        </w:rPr>
        <w:t>2</w:t>
      </w:r>
      <w:r>
        <w:rPr>
          <w:rFonts w:hint="eastAsia"/>
          <w:color w:val="auto"/>
          <w:sz w:val="24"/>
          <w:highlight w:val="none"/>
        </w:rPr>
        <w:t>，表土堆表层</w:t>
      </w:r>
      <w:r>
        <w:rPr>
          <w:rFonts w:hint="eastAsia"/>
          <w:color w:val="auto"/>
          <w:sz w:val="24"/>
          <w:highlight w:val="none"/>
          <w:lang w:val="en-US" w:eastAsia="zh-CN"/>
        </w:rPr>
        <w:t>部分植被已</w:t>
      </w:r>
      <w:r>
        <w:rPr>
          <w:rFonts w:hint="eastAsia"/>
          <w:color w:val="auto"/>
          <w:sz w:val="24"/>
          <w:highlight w:val="none"/>
        </w:rPr>
        <w:t>覆盖，</w:t>
      </w:r>
      <w:r>
        <w:rPr>
          <w:rFonts w:hint="default" w:ascii="Times New Roman" w:hAnsi="Times New Roman" w:eastAsia="宋体" w:cs="Times New Roman"/>
          <w:color w:val="auto"/>
          <w:sz w:val="24"/>
          <w:highlight w:val="none"/>
        </w:rPr>
        <w:t>本项目需加强对表土的管理</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以</w:t>
      </w:r>
      <w:r>
        <w:rPr>
          <w:rFonts w:hint="default" w:ascii="Times New Roman" w:hAnsi="Times New Roman" w:eastAsia="宋体" w:cs="Times New Roman"/>
          <w:color w:val="auto"/>
          <w:sz w:val="24"/>
          <w:highlight w:val="none"/>
          <w:lang w:eastAsia="zh-CN"/>
        </w:rPr>
        <w:t>防止</w:t>
      </w:r>
      <w:r>
        <w:rPr>
          <w:rFonts w:hint="default" w:ascii="Times New Roman" w:hAnsi="Times New Roman" w:eastAsia="宋体" w:cs="Times New Roman"/>
          <w:color w:val="auto"/>
          <w:sz w:val="24"/>
          <w:highlight w:val="none"/>
        </w:rPr>
        <w:t>雨水、大风等自然因素造成严重的水土流失以及表土肥力的流失。设计在表土堆场周围修建</w:t>
      </w:r>
      <w:r>
        <w:rPr>
          <w:rFonts w:hint="eastAsia" w:ascii="Times New Roman" w:hAnsi="Times New Roman" w:eastAsia="宋体" w:cs="Times New Roman"/>
          <w:color w:val="auto"/>
          <w:sz w:val="24"/>
          <w:highlight w:val="none"/>
          <w:lang w:val="en-US" w:eastAsia="zh-CN"/>
        </w:rPr>
        <w:t>编织袋</w:t>
      </w:r>
      <w:r>
        <w:rPr>
          <w:rFonts w:hint="default" w:ascii="Times New Roman" w:hAnsi="Times New Roman" w:eastAsia="宋体" w:cs="Times New Roman"/>
          <w:color w:val="auto"/>
          <w:sz w:val="24"/>
          <w:highlight w:val="none"/>
        </w:rPr>
        <w:t>挡土墙。挡墙顶宽0.5m，底宽1.2m，高0.8m，坡比1：0.35；表土堆场总长度</w:t>
      </w:r>
      <w:r>
        <w:rPr>
          <w:rFonts w:hint="eastAsia" w:ascii="Times New Roman" w:hAnsi="Times New Roman" w:eastAsia="宋体" w:cs="Times New Roman"/>
          <w:color w:val="auto"/>
          <w:sz w:val="24"/>
          <w:highlight w:val="none"/>
          <w:lang w:val="en-US" w:eastAsia="zh-CN"/>
        </w:rPr>
        <w:t>213</w:t>
      </w:r>
      <w:r>
        <w:rPr>
          <w:rFonts w:hint="default" w:ascii="Times New Roman" w:hAnsi="Times New Roman" w:eastAsia="宋体" w:cs="Times New Roman"/>
          <w:color w:val="auto"/>
          <w:sz w:val="24"/>
          <w:highlight w:val="none"/>
        </w:rPr>
        <w:t>m，编织袋填土拦挡量为</w:t>
      </w:r>
      <w:r>
        <w:rPr>
          <w:rFonts w:hint="eastAsia" w:ascii="Times New Roman" w:hAnsi="Times New Roman" w:eastAsia="宋体" w:cs="Times New Roman"/>
          <w:color w:val="auto"/>
          <w:sz w:val="24"/>
          <w:highlight w:val="none"/>
          <w:lang w:val="en-US" w:eastAsia="zh-CN"/>
        </w:rPr>
        <w:t>145</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w:t>
      </w:r>
    </w:p>
    <w:p w14:paraId="19D3A040">
      <w:pPr>
        <w:spacing w:line="360" w:lineRule="auto"/>
        <w:ind w:firstLine="480"/>
        <w:jc w:val="both"/>
        <w:rPr>
          <w:b/>
          <w:bCs/>
          <w:color w:val="auto"/>
          <w:highlight w:val="none"/>
        </w:rPr>
      </w:pPr>
      <w:r>
        <w:rPr>
          <w:rFonts w:hint="eastAsia"/>
          <w:color w:val="auto"/>
          <w:sz w:val="24"/>
          <w:highlight w:val="none"/>
          <w:lang w:val="en-US" w:eastAsia="zh-CN"/>
        </w:rPr>
        <w:t>同时对表土堆场四周及上部</w:t>
      </w:r>
      <w:r>
        <w:rPr>
          <w:rFonts w:hint="eastAsia"/>
          <w:color w:val="auto"/>
          <w:sz w:val="24"/>
          <w:highlight w:val="none"/>
        </w:rPr>
        <w:t>设计撒播草籽进行防护，</w:t>
      </w:r>
      <w:r>
        <w:rPr>
          <w:color w:val="auto"/>
          <w:sz w:val="24"/>
          <w:highlight w:val="none"/>
        </w:rPr>
        <w:t>草</w:t>
      </w:r>
      <w:r>
        <w:rPr>
          <w:rFonts w:hint="eastAsia"/>
          <w:color w:val="auto"/>
          <w:sz w:val="24"/>
          <w:highlight w:val="none"/>
        </w:rPr>
        <w:t>种</w:t>
      </w:r>
      <w:r>
        <w:rPr>
          <w:color w:val="auto"/>
          <w:sz w:val="24"/>
          <w:highlight w:val="none"/>
        </w:rPr>
        <w:t>选用</w:t>
      </w:r>
      <w:r>
        <w:rPr>
          <w:rFonts w:hint="eastAsia"/>
          <w:color w:val="auto"/>
          <w:sz w:val="24"/>
          <w:highlight w:val="none"/>
        </w:rPr>
        <w:t>紫花苜蓿，</w:t>
      </w:r>
      <w:r>
        <w:rPr>
          <w:color w:val="auto"/>
          <w:sz w:val="24"/>
          <w:highlight w:val="none"/>
        </w:rPr>
        <w:t>撒播草籽量</w:t>
      </w:r>
      <w:r>
        <w:rPr>
          <w:rFonts w:hint="eastAsia"/>
          <w:color w:val="auto"/>
          <w:sz w:val="24"/>
          <w:highlight w:val="none"/>
        </w:rPr>
        <w:t>30</w:t>
      </w:r>
      <w:r>
        <w:rPr>
          <w:color w:val="auto"/>
          <w:sz w:val="24"/>
          <w:highlight w:val="none"/>
        </w:rPr>
        <w:t>kg/hm</w:t>
      </w:r>
      <w:r>
        <w:rPr>
          <w:color w:val="auto"/>
          <w:sz w:val="24"/>
          <w:highlight w:val="none"/>
          <w:vertAlign w:val="superscript"/>
        </w:rPr>
        <w:t>2</w:t>
      </w:r>
      <w:r>
        <w:rPr>
          <w:color w:val="auto"/>
          <w:sz w:val="24"/>
          <w:highlight w:val="none"/>
        </w:rPr>
        <w:t>，撒播面积</w:t>
      </w:r>
      <w:r>
        <w:rPr>
          <w:rFonts w:hint="eastAsia"/>
          <w:color w:val="auto"/>
          <w:sz w:val="24"/>
          <w:highlight w:val="none"/>
          <w:lang w:val="en-US" w:eastAsia="zh-CN"/>
        </w:rPr>
        <w:t>为表土堆场斜面积0.4330</w:t>
      </w:r>
      <w:r>
        <w:rPr>
          <w:color w:val="auto"/>
          <w:sz w:val="24"/>
          <w:highlight w:val="none"/>
        </w:rPr>
        <w:t>hm</w:t>
      </w:r>
      <w:r>
        <w:rPr>
          <w:color w:val="auto"/>
          <w:sz w:val="24"/>
          <w:highlight w:val="none"/>
          <w:vertAlign w:val="superscript"/>
        </w:rPr>
        <w:t>2</w:t>
      </w:r>
      <w:r>
        <w:rPr>
          <w:rFonts w:hint="eastAsia"/>
          <w:color w:val="auto"/>
          <w:sz w:val="24"/>
          <w:highlight w:val="none"/>
        </w:rPr>
        <w:t>。</w:t>
      </w:r>
    </w:p>
    <w:p w14:paraId="66B76E52">
      <w:pPr>
        <w:spacing w:line="360" w:lineRule="auto"/>
        <w:ind w:firstLine="480" w:firstLineChars="200"/>
        <w:rPr>
          <w:color w:val="auto"/>
          <w:sz w:val="24"/>
          <w:highlight w:val="none"/>
        </w:rPr>
      </w:pPr>
      <w:r>
        <w:rPr>
          <w:color w:val="auto"/>
          <w:sz w:val="24"/>
          <w:highlight w:val="none"/>
        </w:rPr>
        <w:t>主要工作量：</w:t>
      </w:r>
      <w:r>
        <w:rPr>
          <w:rFonts w:hint="eastAsia"/>
          <w:color w:val="auto"/>
          <w:sz w:val="24"/>
          <w:highlight w:val="none"/>
        </w:rPr>
        <w:t>编织袋填土拦挡量为145m</w:t>
      </w:r>
      <w:r>
        <w:rPr>
          <w:rFonts w:hint="eastAsia"/>
          <w:color w:val="auto"/>
          <w:sz w:val="24"/>
          <w:highlight w:val="none"/>
          <w:vertAlign w:val="superscript"/>
        </w:rPr>
        <w:t>3</w:t>
      </w:r>
      <w:r>
        <w:rPr>
          <w:rFonts w:hint="eastAsia"/>
          <w:color w:val="auto"/>
          <w:sz w:val="24"/>
          <w:highlight w:val="none"/>
          <w:lang w:eastAsia="zh-CN"/>
        </w:rPr>
        <w:t>，</w:t>
      </w:r>
      <w:r>
        <w:rPr>
          <w:rFonts w:hint="eastAsia"/>
          <w:color w:val="auto"/>
          <w:sz w:val="24"/>
          <w:highlight w:val="none"/>
        </w:rPr>
        <w:t>撒播草籽</w:t>
      </w:r>
      <w:r>
        <w:rPr>
          <w:rFonts w:hint="eastAsia"/>
          <w:color w:val="auto"/>
          <w:sz w:val="24"/>
          <w:highlight w:val="none"/>
          <w:lang w:val="en-US" w:eastAsia="zh-CN"/>
        </w:rPr>
        <w:t>0.4330</w:t>
      </w:r>
      <w:r>
        <w:rPr>
          <w:rFonts w:hint="eastAsia"/>
          <w:color w:val="auto"/>
          <w:sz w:val="24"/>
          <w:highlight w:val="none"/>
        </w:rPr>
        <w:t>h</w:t>
      </w:r>
      <w:r>
        <w:rPr>
          <w:color w:val="auto"/>
          <w:sz w:val="24"/>
          <w:highlight w:val="none"/>
        </w:rPr>
        <w:t>m</w:t>
      </w:r>
      <w:r>
        <w:rPr>
          <w:rFonts w:hint="eastAsia"/>
          <w:color w:val="auto"/>
          <w:sz w:val="24"/>
          <w:highlight w:val="none"/>
          <w:vertAlign w:val="superscript"/>
        </w:rPr>
        <w:t>2</w:t>
      </w:r>
      <w:r>
        <w:rPr>
          <w:color w:val="auto"/>
          <w:sz w:val="24"/>
          <w:highlight w:val="none"/>
        </w:rPr>
        <w:t>。</w:t>
      </w:r>
    </w:p>
    <w:p w14:paraId="53A1611B">
      <w:pPr>
        <w:pStyle w:val="11"/>
        <w:shd w:val="clear" w:color="auto" w:fill="auto"/>
        <w:spacing w:line="360" w:lineRule="auto"/>
        <w:ind w:firstLine="480" w:firstLineChars="200"/>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rPr>
        <w:t>本项目的表土剥离总体工程量见表5-</w:t>
      </w:r>
      <w:r>
        <w:rPr>
          <w:rFonts w:hint="eastAsia"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rPr>
        <w:t>。</w:t>
      </w:r>
    </w:p>
    <w:p w14:paraId="5E674A7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b w:val="0"/>
          <w:bCs w:val="0"/>
          <w:color w:val="auto"/>
          <w:sz w:val="21"/>
          <w:szCs w:val="21"/>
          <w:highlight w:val="none"/>
        </w:rPr>
      </w:pPr>
      <w:r>
        <w:rPr>
          <w:rFonts w:hint="default" w:ascii="Times New Roman" w:hAnsi="Times New Roman" w:eastAsia="黑体" w:cs="Times New Roman"/>
          <w:b w:val="0"/>
          <w:bCs w:val="0"/>
          <w:color w:val="auto"/>
          <w:sz w:val="21"/>
          <w:szCs w:val="21"/>
          <w:highlight w:val="none"/>
        </w:rPr>
        <w:t>表5-</w:t>
      </w:r>
      <w:r>
        <w:rPr>
          <w:rFonts w:hint="eastAsia" w:ascii="Times New Roman" w:hAnsi="Times New Roman" w:eastAsia="黑体" w:cs="Times New Roman"/>
          <w:b w:val="0"/>
          <w:bCs w:val="0"/>
          <w:color w:val="auto"/>
          <w:sz w:val="21"/>
          <w:szCs w:val="21"/>
          <w:highlight w:val="none"/>
          <w:lang w:val="en-US" w:eastAsia="zh-CN"/>
        </w:rPr>
        <w:t xml:space="preserve">4  </w:t>
      </w:r>
      <w:r>
        <w:rPr>
          <w:rFonts w:hint="default" w:ascii="Times New Roman" w:hAnsi="Times New Roman" w:eastAsia="黑体" w:cs="Times New Roman"/>
          <w:b w:val="0"/>
          <w:bCs w:val="0"/>
          <w:color w:val="auto"/>
          <w:sz w:val="21"/>
          <w:szCs w:val="21"/>
          <w:highlight w:val="none"/>
        </w:rPr>
        <w:t>工程量统计表</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0"/>
        <w:gridCol w:w="2003"/>
        <w:gridCol w:w="1962"/>
        <w:gridCol w:w="1497"/>
        <w:gridCol w:w="1507"/>
      </w:tblGrid>
      <w:tr w14:paraId="56D85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909" w:type="pct"/>
            <w:noWrap w:val="0"/>
            <w:vAlign w:val="center"/>
          </w:tcPr>
          <w:p w14:paraId="667968A3">
            <w:pPr>
              <w:pStyle w:val="93"/>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序号</w:t>
            </w:r>
          </w:p>
        </w:tc>
        <w:tc>
          <w:tcPr>
            <w:tcW w:w="1175" w:type="pct"/>
            <w:noWrap w:val="0"/>
            <w:vAlign w:val="center"/>
          </w:tcPr>
          <w:p w14:paraId="401182A1">
            <w:pPr>
              <w:pStyle w:val="93"/>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工程名称</w:t>
            </w:r>
          </w:p>
        </w:tc>
        <w:tc>
          <w:tcPr>
            <w:tcW w:w="1151" w:type="pct"/>
            <w:noWrap w:val="0"/>
            <w:vAlign w:val="center"/>
          </w:tcPr>
          <w:p w14:paraId="19115660">
            <w:pPr>
              <w:pStyle w:val="93"/>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计算单位</w:t>
            </w:r>
          </w:p>
        </w:tc>
        <w:tc>
          <w:tcPr>
            <w:tcW w:w="878" w:type="pct"/>
            <w:noWrap w:val="0"/>
            <w:vAlign w:val="center"/>
          </w:tcPr>
          <w:p w14:paraId="088A8F52">
            <w:pPr>
              <w:pStyle w:val="93"/>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工程量</w:t>
            </w:r>
          </w:p>
        </w:tc>
        <w:tc>
          <w:tcPr>
            <w:tcW w:w="884" w:type="pct"/>
            <w:noWrap w:val="0"/>
            <w:vAlign w:val="center"/>
          </w:tcPr>
          <w:p w14:paraId="125B2ED5">
            <w:pPr>
              <w:pStyle w:val="93"/>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备注</w:t>
            </w:r>
          </w:p>
        </w:tc>
      </w:tr>
      <w:tr w14:paraId="42262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909" w:type="pct"/>
            <w:noWrap w:val="0"/>
            <w:vAlign w:val="center"/>
          </w:tcPr>
          <w:p w14:paraId="610C9E0B">
            <w:pPr>
              <w:pStyle w:val="93"/>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w:t>
            </w:r>
          </w:p>
        </w:tc>
        <w:tc>
          <w:tcPr>
            <w:tcW w:w="1175" w:type="pct"/>
            <w:noWrap w:val="0"/>
            <w:vAlign w:val="bottom"/>
          </w:tcPr>
          <w:p w14:paraId="22E9F821">
            <w:pPr>
              <w:pStyle w:val="93"/>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表土剥离</w:t>
            </w:r>
          </w:p>
        </w:tc>
        <w:tc>
          <w:tcPr>
            <w:tcW w:w="1151" w:type="pct"/>
            <w:noWrap w:val="0"/>
            <w:vAlign w:val="bottom"/>
          </w:tcPr>
          <w:p w14:paraId="1A1DB707">
            <w:pPr>
              <w:pStyle w:val="93"/>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m</w:t>
            </w:r>
            <w:r>
              <w:rPr>
                <w:rFonts w:hint="eastAsia" w:ascii="Times New Roman" w:hAnsi="Times New Roman" w:eastAsia="宋体" w:cs="Times New Roman"/>
                <w:color w:val="auto"/>
                <w:kern w:val="0"/>
                <w:sz w:val="21"/>
                <w:szCs w:val="21"/>
                <w:highlight w:val="none"/>
                <w:vertAlign w:val="superscript"/>
                <w:lang w:val="en-US" w:eastAsia="zh-CN" w:bidi="ar-SA"/>
              </w:rPr>
              <w:t>3</w:t>
            </w:r>
          </w:p>
        </w:tc>
        <w:tc>
          <w:tcPr>
            <w:tcW w:w="878" w:type="pct"/>
            <w:noWrap w:val="0"/>
            <w:vAlign w:val="bottom"/>
          </w:tcPr>
          <w:p w14:paraId="12EC967B">
            <w:pPr>
              <w:pStyle w:val="93"/>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543</w:t>
            </w:r>
          </w:p>
        </w:tc>
        <w:tc>
          <w:tcPr>
            <w:tcW w:w="884" w:type="pct"/>
            <w:noWrap w:val="0"/>
            <w:vAlign w:val="center"/>
          </w:tcPr>
          <w:p w14:paraId="233784AE">
            <w:pPr>
              <w:pStyle w:val="93"/>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w:t>
            </w:r>
          </w:p>
        </w:tc>
      </w:tr>
      <w:tr w14:paraId="3386B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exact"/>
          <w:jc w:val="center"/>
        </w:trPr>
        <w:tc>
          <w:tcPr>
            <w:tcW w:w="909" w:type="pct"/>
            <w:noWrap w:val="0"/>
            <w:vAlign w:val="center"/>
          </w:tcPr>
          <w:p w14:paraId="3C9E9A91">
            <w:pPr>
              <w:pStyle w:val="93"/>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w:t>
            </w:r>
          </w:p>
        </w:tc>
        <w:tc>
          <w:tcPr>
            <w:tcW w:w="1175" w:type="pct"/>
            <w:noWrap w:val="0"/>
            <w:vAlign w:val="bottom"/>
          </w:tcPr>
          <w:p w14:paraId="0299DA7F">
            <w:pPr>
              <w:pStyle w:val="93"/>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表土运输</w:t>
            </w:r>
          </w:p>
        </w:tc>
        <w:tc>
          <w:tcPr>
            <w:tcW w:w="1151" w:type="pct"/>
            <w:noWrap w:val="0"/>
            <w:vAlign w:val="bottom"/>
          </w:tcPr>
          <w:p w14:paraId="05C0B13B">
            <w:pPr>
              <w:pStyle w:val="93"/>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m</w:t>
            </w:r>
            <w:r>
              <w:rPr>
                <w:rFonts w:hint="eastAsia" w:ascii="Times New Roman" w:hAnsi="Times New Roman" w:eastAsia="宋体" w:cs="Times New Roman"/>
                <w:color w:val="auto"/>
                <w:kern w:val="0"/>
                <w:sz w:val="21"/>
                <w:szCs w:val="21"/>
                <w:highlight w:val="none"/>
                <w:vertAlign w:val="superscript"/>
                <w:lang w:val="en-US" w:eastAsia="zh-CN" w:bidi="ar-SA"/>
              </w:rPr>
              <w:t>3</w:t>
            </w:r>
          </w:p>
        </w:tc>
        <w:tc>
          <w:tcPr>
            <w:tcW w:w="878" w:type="pct"/>
            <w:noWrap w:val="0"/>
            <w:vAlign w:val="bottom"/>
          </w:tcPr>
          <w:p w14:paraId="05061758">
            <w:pPr>
              <w:pStyle w:val="93"/>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543</w:t>
            </w:r>
          </w:p>
        </w:tc>
        <w:tc>
          <w:tcPr>
            <w:tcW w:w="884" w:type="pct"/>
            <w:noWrap w:val="0"/>
            <w:vAlign w:val="center"/>
          </w:tcPr>
          <w:p w14:paraId="27224FB9">
            <w:pPr>
              <w:pStyle w:val="93"/>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14:paraId="367A7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909" w:type="pct"/>
            <w:noWrap w:val="0"/>
            <w:vAlign w:val="center"/>
          </w:tcPr>
          <w:p w14:paraId="639DFCC9">
            <w:pPr>
              <w:pStyle w:val="93"/>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w:t>
            </w:r>
          </w:p>
        </w:tc>
        <w:tc>
          <w:tcPr>
            <w:tcW w:w="1175" w:type="pct"/>
            <w:noWrap w:val="0"/>
            <w:vAlign w:val="bottom"/>
          </w:tcPr>
          <w:p w14:paraId="5C01BA75">
            <w:pPr>
              <w:pStyle w:val="93"/>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浆砌石挡墙</w:t>
            </w:r>
          </w:p>
        </w:tc>
        <w:tc>
          <w:tcPr>
            <w:tcW w:w="1151" w:type="pct"/>
            <w:noWrap w:val="0"/>
            <w:vAlign w:val="bottom"/>
          </w:tcPr>
          <w:p w14:paraId="2B20E1EF">
            <w:pPr>
              <w:pStyle w:val="93"/>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m</w:t>
            </w:r>
            <w:r>
              <w:rPr>
                <w:rFonts w:hint="eastAsia" w:ascii="Times New Roman" w:hAnsi="Times New Roman" w:eastAsia="宋体" w:cs="Times New Roman"/>
                <w:color w:val="auto"/>
                <w:kern w:val="0"/>
                <w:sz w:val="21"/>
                <w:szCs w:val="21"/>
                <w:highlight w:val="none"/>
                <w:vertAlign w:val="superscript"/>
                <w:lang w:val="en-US" w:eastAsia="zh-CN" w:bidi="ar-SA"/>
              </w:rPr>
              <w:t>3</w:t>
            </w:r>
          </w:p>
        </w:tc>
        <w:tc>
          <w:tcPr>
            <w:tcW w:w="878" w:type="pct"/>
            <w:noWrap w:val="0"/>
            <w:vAlign w:val="bottom"/>
          </w:tcPr>
          <w:p w14:paraId="0E788350">
            <w:pPr>
              <w:pStyle w:val="93"/>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145</w:t>
            </w:r>
          </w:p>
        </w:tc>
        <w:tc>
          <w:tcPr>
            <w:tcW w:w="884" w:type="pct"/>
            <w:noWrap w:val="0"/>
            <w:vAlign w:val="center"/>
          </w:tcPr>
          <w:p w14:paraId="0E5E4FD0">
            <w:pPr>
              <w:pStyle w:val="93"/>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w:t>
            </w:r>
          </w:p>
        </w:tc>
      </w:tr>
      <w:tr w14:paraId="25008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909" w:type="pct"/>
            <w:noWrap w:val="0"/>
            <w:vAlign w:val="center"/>
          </w:tcPr>
          <w:p w14:paraId="500FDBE6">
            <w:pPr>
              <w:pStyle w:val="93"/>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4</w:t>
            </w:r>
          </w:p>
        </w:tc>
        <w:tc>
          <w:tcPr>
            <w:tcW w:w="1175" w:type="pct"/>
            <w:noWrap w:val="0"/>
            <w:vAlign w:val="bottom"/>
          </w:tcPr>
          <w:p w14:paraId="3024EF42">
            <w:pPr>
              <w:pStyle w:val="93"/>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表土养护</w:t>
            </w:r>
          </w:p>
        </w:tc>
        <w:tc>
          <w:tcPr>
            <w:tcW w:w="1151" w:type="pct"/>
            <w:noWrap w:val="0"/>
            <w:vAlign w:val="bottom"/>
          </w:tcPr>
          <w:p w14:paraId="36C970B6">
            <w:pPr>
              <w:pStyle w:val="93"/>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h</w:t>
            </w:r>
            <w:r>
              <w:rPr>
                <w:rFonts w:hint="eastAsia" w:ascii="Times New Roman" w:hAnsi="Times New Roman" w:eastAsia="宋体" w:cs="Times New Roman"/>
                <w:color w:val="auto"/>
                <w:kern w:val="0"/>
                <w:sz w:val="21"/>
                <w:szCs w:val="21"/>
                <w:highlight w:val="none"/>
                <w:lang w:val="en-US" w:eastAsia="zh-CN" w:bidi="ar-SA"/>
              </w:rPr>
              <w:t>m</w:t>
            </w:r>
            <w:r>
              <w:rPr>
                <w:rFonts w:hint="eastAsia" w:ascii="Times New Roman" w:hAnsi="Times New Roman" w:eastAsia="宋体" w:cs="Times New Roman"/>
                <w:color w:val="auto"/>
                <w:kern w:val="0"/>
                <w:sz w:val="21"/>
                <w:szCs w:val="21"/>
                <w:highlight w:val="none"/>
                <w:vertAlign w:val="superscript"/>
                <w:lang w:val="en-US" w:eastAsia="zh-CN" w:bidi="ar-SA"/>
              </w:rPr>
              <w:t>2</w:t>
            </w:r>
          </w:p>
        </w:tc>
        <w:tc>
          <w:tcPr>
            <w:tcW w:w="878" w:type="pct"/>
            <w:noWrap w:val="0"/>
            <w:vAlign w:val="bottom"/>
          </w:tcPr>
          <w:p w14:paraId="76C373A5">
            <w:pPr>
              <w:pStyle w:val="93"/>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0.4330</w:t>
            </w:r>
          </w:p>
        </w:tc>
        <w:tc>
          <w:tcPr>
            <w:tcW w:w="884" w:type="pct"/>
            <w:noWrap w:val="0"/>
            <w:vAlign w:val="center"/>
          </w:tcPr>
          <w:p w14:paraId="466B82CD">
            <w:pPr>
              <w:pStyle w:val="93"/>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w:t>
            </w:r>
          </w:p>
        </w:tc>
      </w:tr>
    </w:tbl>
    <w:p w14:paraId="6377B328">
      <w:pPr>
        <w:pStyle w:val="11"/>
        <w:shd w:val="clear" w:color="auto" w:fill="auto"/>
        <w:spacing w:line="360" w:lineRule="auto"/>
        <w:ind w:firstLine="482" w:firstLineChars="200"/>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2、土地复垦工程</w:t>
      </w:r>
    </w:p>
    <w:p w14:paraId="6900DCEE">
      <w:pPr>
        <w:autoSpaceDE w:val="0"/>
        <w:autoSpaceDN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矿山破坏土地主要集中在</w:t>
      </w:r>
      <w:r>
        <w:rPr>
          <w:rFonts w:hint="default" w:ascii="Times New Roman" w:hAnsi="Times New Roman" w:cs="Times New Roman"/>
          <w:color w:val="auto"/>
          <w:sz w:val="24"/>
          <w:highlight w:val="none"/>
          <w:lang w:eastAsia="zh-CN"/>
        </w:rPr>
        <w:t>露天采场、工业广场、生产生活区、原有办公室及临时堆料场、矿山道路、表土堆场。</w:t>
      </w:r>
      <w:r>
        <w:rPr>
          <w:rFonts w:hint="default" w:ascii="Times New Roman" w:hAnsi="Times New Roman" w:cs="Times New Roman"/>
          <w:color w:val="auto"/>
          <w:sz w:val="24"/>
          <w:highlight w:val="none"/>
        </w:rPr>
        <w:t>复垦区总面积</w:t>
      </w:r>
      <w:r>
        <w:rPr>
          <w:rFonts w:hint="eastAsia" w:cs="Times New Roman"/>
          <w:color w:val="auto"/>
          <w:sz w:val="24"/>
          <w:highlight w:val="none"/>
          <w:lang w:val="en-US" w:eastAsia="zh-CN"/>
        </w:rPr>
        <w:t>4.0745</w:t>
      </w:r>
      <w:r>
        <w:rPr>
          <w:rFonts w:hint="default" w:ascii="Times New Roman" w:hAnsi="Times New Roman" w:cs="Times New Roman"/>
          <w:color w:val="auto"/>
          <w:sz w:val="24"/>
          <w:highlight w:val="none"/>
        </w:rPr>
        <w:t>h</w:t>
      </w:r>
      <w:r>
        <w:rPr>
          <w:rFonts w:hint="default" w:ascii="Times New Roman" w:hAnsi="Times New Roman" w:cs="Times New Roman"/>
          <w:color w:val="auto"/>
          <w:sz w:val="24"/>
          <w:highlight w:val="none"/>
          <w:lang w:eastAsia="zh-CN"/>
        </w:rPr>
        <w:t>m</w:t>
      </w:r>
      <w:r>
        <w:rPr>
          <w:rFonts w:hint="default" w:ascii="Times New Roman" w:hAnsi="Times New Roman" w:cs="Times New Roman"/>
          <w:color w:val="auto"/>
          <w:sz w:val="24"/>
          <w:highlight w:val="none"/>
          <w:vertAlign w:val="superscript"/>
          <w:lang w:eastAsia="zh-CN"/>
        </w:rPr>
        <w:t>2</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复垦面积</w:t>
      </w:r>
      <w:r>
        <w:rPr>
          <w:rFonts w:hint="eastAsia" w:cs="Times New Roman"/>
          <w:color w:val="auto"/>
          <w:sz w:val="24"/>
          <w:highlight w:val="none"/>
          <w:lang w:val="en-US" w:eastAsia="zh-CN"/>
        </w:rPr>
        <w:t xml:space="preserve">3.2066 </w:t>
      </w:r>
      <w:r>
        <w:rPr>
          <w:rFonts w:hint="default" w:ascii="Times New Roman" w:hAnsi="Times New Roman" w:cs="Times New Roman"/>
          <w:color w:val="auto"/>
          <w:sz w:val="24"/>
          <w:highlight w:val="none"/>
        </w:rPr>
        <w:t>h</w:t>
      </w:r>
      <w:r>
        <w:rPr>
          <w:rFonts w:hint="default" w:ascii="Times New Roman" w:hAnsi="Times New Roman" w:cs="Times New Roman"/>
          <w:color w:val="auto"/>
          <w:sz w:val="24"/>
          <w:highlight w:val="none"/>
          <w:lang w:eastAsia="zh-CN"/>
        </w:rPr>
        <w:t>m</w:t>
      </w:r>
      <w:r>
        <w:rPr>
          <w:rFonts w:hint="default" w:ascii="Times New Roman" w:hAnsi="Times New Roman" w:cs="Times New Roman"/>
          <w:color w:val="auto"/>
          <w:sz w:val="24"/>
          <w:highlight w:val="none"/>
          <w:vertAlign w:val="superscript"/>
          <w:lang w:eastAsia="zh-CN"/>
        </w:rPr>
        <w:t>2</w:t>
      </w:r>
      <w:r>
        <w:rPr>
          <w:rFonts w:hint="default" w:ascii="Times New Roman" w:hAnsi="Times New Roman" w:cs="Times New Roman"/>
          <w:color w:val="auto"/>
          <w:sz w:val="24"/>
          <w:highlight w:val="none"/>
        </w:rPr>
        <w:t>。</w:t>
      </w:r>
    </w:p>
    <w:p w14:paraId="04F69B04">
      <w:pPr>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黑体" w:cs="Times New Roman"/>
          <w:bCs/>
          <w:color w:val="auto"/>
          <w:szCs w:val="21"/>
          <w:highlight w:val="none"/>
          <w:vertAlign w:val="superscript"/>
          <w:lang w:eastAsia="zh-CN"/>
        </w:rPr>
      </w:pPr>
      <w:r>
        <w:rPr>
          <w:rFonts w:hint="default" w:ascii="Times New Roman" w:hAnsi="Times New Roman" w:eastAsia="黑体" w:cs="Times New Roman"/>
          <w:bCs/>
          <w:color w:val="auto"/>
          <w:szCs w:val="21"/>
          <w:highlight w:val="none"/>
        </w:rPr>
        <w:t>表5-</w:t>
      </w:r>
      <w:r>
        <w:rPr>
          <w:rFonts w:hint="eastAsia" w:eastAsia="黑体" w:cs="Times New Roman"/>
          <w:bCs/>
          <w:color w:val="auto"/>
          <w:szCs w:val="21"/>
          <w:highlight w:val="none"/>
          <w:lang w:val="en-US" w:eastAsia="zh-CN"/>
        </w:rPr>
        <w:t xml:space="preserve">5 </w:t>
      </w:r>
      <w:r>
        <w:rPr>
          <w:rFonts w:hint="default" w:ascii="Times New Roman" w:hAnsi="Times New Roman" w:eastAsia="黑体" w:cs="Times New Roman"/>
          <w:bCs/>
          <w:color w:val="auto"/>
          <w:szCs w:val="21"/>
          <w:highlight w:val="none"/>
        </w:rPr>
        <w:t xml:space="preserve"> </w:t>
      </w:r>
      <w:r>
        <w:rPr>
          <w:rFonts w:hint="eastAsia" w:eastAsia="黑体" w:cs="Times New Roman"/>
          <w:bCs/>
          <w:color w:val="auto"/>
          <w:szCs w:val="21"/>
          <w:highlight w:val="none"/>
          <w:lang w:eastAsia="zh-CN"/>
        </w:rPr>
        <w:t>北大湖采石场</w:t>
      </w:r>
      <w:r>
        <w:rPr>
          <w:rFonts w:hint="default" w:ascii="Times New Roman" w:hAnsi="Times New Roman" w:eastAsia="黑体" w:cs="Times New Roman"/>
          <w:bCs/>
          <w:color w:val="auto"/>
          <w:szCs w:val="21"/>
          <w:highlight w:val="none"/>
        </w:rPr>
        <w:t>土地复垦工程总体布局一览表 单位</w:t>
      </w:r>
      <w:r>
        <w:rPr>
          <w:rFonts w:hint="default" w:ascii="Times New Roman" w:hAnsi="Times New Roman" w:eastAsia="黑体" w:cs="Times New Roman"/>
          <w:bCs/>
          <w:color w:val="auto"/>
          <w:szCs w:val="21"/>
          <w:highlight w:val="none"/>
          <w:lang w:eastAsia="zh-CN"/>
        </w:rPr>
        <w:t>：</w:t>
      </w:r>
      <w:r>
        <w:rPr>
          <w:rFonts w:hint="default" w:ascii="Times New Roman" w:hAnsi="Times New Roman" w:eastAsia="黑体" w:cs="Times New Roman"/>
          <w:bCs/>
          <w:color w:val="auto"/>
          <w:szCs w:val="21"/>
          <w:highlight w:val="none"/>
        </w:rPr>
        <w:t>h</w:t>
      </w:r>
      <w:r>
        <w:rPr>
          <w:rFonts w:hint="default" w:ascii="Times New Roman" w:hAnsi="Times New Roman" w:eastAsia="黑体" w:cs="Times New Roman"/>
          <w:bCs/>
          <w:color w:val="auto"/>
          <w:szCs w:val="21"/>
          <w:highlight w:val="none"/>
          <w:lang w:eastAsia="zh-CN"/>
        </w:rPr>
        <w:t>m</w:t>
      </w:r>
      <w:r>
        <w:rPr>
          <w:rFonts w:hint="default" w:ascii="Times New Roman" w:hAnsi="Times New Roman" w:eastAsia="黑体" w:cs="Times New Roman"/>
          <w:bCs/>
          <w:color w:val="auto"/>
          <w:szCs w:val="21"/>
          <w:highlight w:val="none"/>
          <w:vertAlign w:val="superscript"/>
          <w:lang w:eastAsia="zh-CN"/>
        </w:rPr>
        <w:t>2</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7"/>
        <w:gridCol w:w="1040"/>
        <w:gridCol w:w="1120"/>
        <w:gridCol w:w="1384"/>
        <w:gridCol w:w="1582"/>
        <w:gridCol w:w="1386"/>
        <w:gridCol w:w="1320"/>
      </w:tblGrid>
      <w:tr w14:paraId="2E403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Align w:val="center"/>
          </w:tcPr>
          <w:p w14:paraId="3F0E1CD9">
            <w:pPr>
              <w:jc w:val="center"/>
              <w:rPr>
                <w:rFonts w:hint="default" w:ascii="Times New Roman" w:hAnsi="Times New Roman" w:cs="Times New Roman"/>
                <w:color w:val="auto"/>
                <w:kern w:val="0"/>
                <w:sz w:val="20"/>
                <w:szCs w:val="20"/>
                <w:highlight w:val="none"/>
              </w:rPr>
            </w:pPr>
            <w:r>
              <w:rPr>
                <w:rFonts w:hint="default" w:ascii="Times New Roman" w:hAnsi="Times New Roman" w:cs="Times New Roman"/>
                <w:color w:val="auto"/>
                <w:kern w:val="0"/>
                <w:sz w:val="20"/>
                <w:szCs w:val="20"/>
                <w:highlight w:val="none"/>
              </w:rPr>
              <w:t>编号</w:t>
            </w:r>
          </w:p>
        </w:tc>
        <w:tc>
          <w:tcPr>
            <w:tcW w:w="1267" w:type="pct"/>
            <w:gridSpan w:val="2"/>
            <w:vAlign w:val="center"/>
          </w:tcPr>
          <w:p w14:paraId="54564453">
            <w:pPr>
              <w:jc w:val="center"/>
              <w:rPr>
                <w:rFonts w:hint="default" w:ascii="Times New Roman" w:hAnsi="Times New Roman" w:cs="Times New Roman"/>
                <w:color w:val="auto"/>
                <w:kern w:val="0"/>
                <w:sz w:val="20"/>
                <w:szCs w:val="20"/>
                <w:highlight w:val="none"/>
              </w:rPr>
            </w:pPr>
            <w:r>
              <w:rPr>
                <w:rFonts w:hint="default" w:ascii="Times New Roman" w:hAnsi="Times New Roman" w:cs="Times New Roman"/>
                <w:color w:val="auto"/>
                <w:kern w:val="0"/>
                <w:sz w:val="20"/>
                <w:szCs w:val="20"/>
                <w:highlight w:val="none"/>
              </w:rPr>
              <w:t>评价单元</w:t>
            </w:r>
          </w:p>
        </w:tc>
        <w:tc>
          <w:tcPr>
            <w:tcW w:w="812" w:type="pct"/>
            <w:vAlign w:val="center"/>
          </w:tcPr>
          <w:p w14:paraId="66D2890C">
            <w:pPr>
              <w:jc w:val="center"/>
              <w:rPr>
                <w:rFonts w:hint="default" w:ascii="Times New Roman" w:hAnsi="Times New Roman" w:cs="Times New Roman"/>
                <w:color w:val="auto"/>
                <w:kern w:val="0"/>
                <w:sz w:val="20"/>
                <w:szCs w:val="20"/>
                <w:highlight w:val="none"/>
              </w:rPr>
            </w:pPr>
            <w:r>
              <w:rPr>
                <w:rFonts w:hint="default" w:ascii="Times New Roman" w:hAnsi="Times New Roman" w:cs="Times New Roman"/>
                <w:color w:val="auto"/>
                <w:kern w:val="0"/>
                <w:sz w:val="20"/>
                <w:szCs w:val="20"/>
                <w:highlight w:val="none"/>
              </w:rPr>
              <w:t>评价面积（h</w:t>
            </w:r>
            <w:r>
              <w:rPr>
                <w:rFonts w:hint="default" w:ascii="Times New Roman" w:hAnsi="Times New Roman" w:cs="Times New Roman"/>
                <w:color w:val="auto"/>
                <w:kern w:val="0"/>
                <w:sz w:val="20"/>
                <w:szCs w:val="20"/>
                <w:highlight w:val="none"/>
                <w:lang w:eastAsia="zh-CN"/>
              </w:rPr>
              <w:t>m</w:t>
            </w:r>
            <w:r>
              <w:rPr>
                <w:rFonts w:hint="default" w:ascii="Times New Roman" w:hAnsi="Times New Roman" w:cs="Times New Roman"/>
                <w:color w:val="auto"/>
                <w:kern w:val="0"/>
                <w:sz w:val="20"/>
                <w:szCs w:val="20"/>
                <w:highlight w:val="none"/>
                <w:vertAlign w:val="superscript"/>
                <w:lang w:eastAsia="zh-CN"/>
              </w:rPr>
              <w:t>2</w:t>
            </w:r>
            <w:r>
              <w:rPr>
                <w:rFonts w:hint="default" w:ascii="Times New Roman" w:hAnsi="Times New Roman" w:cs="Times New Roman"/>
                <w:color w:val="auto"/>
                <w:kern w:val="0"/>
                <w:sz w:val="20"/>
                <w:szCs w:val="20"/>
                <w:highlight w:val="none"/>
              </w:rPr>
              <w:t>）</w:t>
            </w:r>
          </w:p>
        </w:tc>
        <w:tc>
          <w:tcPr>
            <w:tcW w:w="928" w:type="pct"/>
            <w:vAlign w:val="center"/>
          </w:tcPr>
          <w:p w14:paraId="6E470644">
            <w:pPr>
              <w:jc w:val="center"/>
              <w:rPr>
                <w:rFonts w:hint="default" w:ascii="Times New Roman" w:hAnsi="Times New Roman" w:cs="Times New Roman"/>
                <w:color w:val="auto"/>
                <w:kern w:val="0"/>
                <w:sz w:val="20"/>
                <w:szCs w:val="20"/>
                <w:highlight w:val="none"/>
              </w:rPr>
            </w:pPr>
            <w:r>
              <w:rPr>
                <w:rFonts w:hint="default" w:ascii="Times New Roman" w:hAnsi="Times New Roman" w:cs="Times New Roman"/>
                <w:color w:val="auto"/>
                <w:kern w:val="0"/>
                <w:sz w:val="20"/>
                <w:szCs w:val="20"/>
                <w:highlight w:val="none"/>
              </w:rPr>
              <w:t>原地类</w:t>
            </w:r>
          </w:p>
        </w:tc>
        <w:tc>
          <w:tcPr>
            <w:tcW w:w="813" w:type="pct"/>
            <w:vAlign w:val="center"/>
          </w:tcPr>
          <w:p w14:paraId="71CC05B3">
            <w:pPr>
              <w:jc w:val="center"/>
              <w:rPr>
                <w:rFonts w:hint="default" w:ascii="Times New Roman" w:hAnsi="Times New Roman" w:cs="Times New Roman"/>
                <w:color w:val="auto"/>
                <w:kern w:val="0"/>
                <w:sz w:val="20"/>
                <w:szCs w:val="20"/>
                <w:highlight w:val="none"/>
              </w:rPr>
            </w:pPr>
            <w:r>
              <w:rPr>
                <w:rFonts w:hint="default" w:ascii="Times New Roman" w:hAnsi="Times New Roman" w:cs="Times New Roman"/>
                <w:color w:val="auto"/>
                <w:kern w:val="0"/>
                <w:sz w:val="20"/>
                <w:szCs w:val="20"/>
                <w:highlight w:val="none"/>
              </w:rPr>
              <w:t>复垦方向</w:t>
            </w:r>
          </w:p>
        </w:tc>
        <w:tc>
          <w:tcPr>
            <w:tcW w:w="774" w:type="pct"/>
            <w:vAlign w:val="center"/>
          </w:tcPr>
          <w:p w14:paraId="051261B2">
            <w:pPr>
              <w:jc w:val="center"/>
              <w:rPr>
                <w:rFonts w:hint="default" w:ascii="Times New Roman" w:hAnsi="Times New Roman" w:cs="Times New Roman"/>
                <w:color w:val="auto"/>
                <w:kern w:val="0"/>
                <w:sz w:val="20"/>
                <w:szCs w:val="20"/>
                <w:highlight w:val="none"/>
              </w:rPr>
            </w:pPr>
            <w:r>
              <w:rPr>
                <w:rFonts w:hint="default" w:ascii="Times New Roman" w:hAnsi="Times New Roman" w:cs="Times New Roman"/>
                <w:color w:val="auto"/>
                <w:kern w:val="0"/>
                <w:sz w:val="20"/>
                <w:szCs w:val="20"/>
                <w:highlight w:val="none"/>
              </w:rPr>
              <w:t>复垦面积（h</w:t>
            </w:r>
            <w:r>
              <w:rPr>
                <w:rFonts w:hint="default" w:ascii="Times New Roman" w:hAnsi="Times New Roman" w:cs="Times New Roman"/>
                <w:color w:val="auto"/>
                <w:kern w:val="0"/>
                <w:sz w:val="20"/>
                <w:szCs w:val="20"/>
                <w:highlight w:val="none"/>
                <w:lang w:eastAsia="zh-CN"/>
              </w:rPr>
              <w:t>m</w:t>
            </w:r>
            <w:r>
              <w:rPr>
                <w:rFonts w:hint="default" w:ascii="Times New Roman" w:hAnsi="Times New Roman" w:cs="Times New Roman"/>
                <w:color w:val="auto"/>
                <w:kern w:val="0"/>
                <w:sz w:val="20"/>
                <w:szCs w:val="20"/>
                <w:highlight w:val="none"/>
                <w:vertAlign w:val="superscript"/>
                <w:lang w:eastAsia="zh-CN"/>
              </w:rPr>
              <w:t>2</w:t>
            </w:r>
            <w:r>
              <w:rPr>
                <w:rFonts w:hint="default" w:ascii="Times New Roman" w:hAnsi="Times New Roman" w:cs="Times New Roman"/>
                <w:color w:val="auto"/>
                <w:kern w:val="0"/>
                <w:sz w:val="20"/>
                <w:szCs w:val="20"/>
                <w:highlight w:val="none"/>
              </w:rPr>
              <w:t>）</w:t>
            </w:r>
          </w:p>
        </w:tc>
      </w:tr>
      <w:tr w14:paraId="47552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03" w:type="pct"/>
            <w:vAlign w:val="center"/>
          </w:tcPr>
          <w:p w14:paraId="71D62AD3">
            <w:pPr>
              <w:jc w:val="center"/>
              <w:rPr>
                <w:rFonts w:hint="default" w:ascii="Times New Roman" w:hAnsi="Times New Roman" w:cs="Times New Roman"/>
                <w:color w:val="auto"/>
                <w:kern w:val="0"/>
                <w:sz w:val="20"/>
                <w:szCs w:val="20"/>
                <w:highlight w:val="none"/>
              </w:rPr>
            </w:pPr>
            <w:r>
              <w:rPr>
                <w:rFonts w:hint="default" w:ascii="Times New Roman" w:hAnsi="Times New Roman" w:eastAsia="宋体" w:cs="Times New Roman"/>
                <w:color w:val="auto"/>
                <w:kern w:val="0"/>
                <w:sz w:val="21"/>
                <w:szCs w:val="21"/>
                <w:highlight w:val="none"/>
              </w:rPr>
              <w:t>1</w:t>
            </w:r>
          </w:p>
        </w:tc>
        <w:tc>
          <w:tcPr>
            <w:tcW w:w="610" w:type="pct"/>
            <w:vMerge w:val="restart"/>
            <w:vAlign w:val="center"/>
          </w:tcPr>
          <w:p w14:paraId="6BF94BA6">
            <w:pPr>
              <w:jc w:val="center"/>
              <w:textAlignment w:val="center"/>
              <w:rPr>
                <w:rFonts w:hint="default" w:ascii="Times New Roman" w:hAnsi="Times New Roman" w:cs="Times New Roman"/>
                <w:color w:val="auto"/>
                <w:kern w:val="0"/>
                <w:sz w:val="20"/>
                <w:szCs w:val="20"/>
                <w:highlight w:val="none"/>
              </w:rPr>
            </w:pPr>
            <w:r>
              <w:rPr>
                <w:rFonts w:hint="eastAsia"/>
                <w:color w:val="auto"/>
                <w:kern w:val="0"/>
                <w:szCs w:val="21"/>
                <w:highlight w:val="none"/>
                <w:lang w:bidi="ar"/>
              </w:rPr>
              <w:t>露天采场</w:t>
            </w:r>
          </w:p>
        </w:tc>
        <w:tc>
          <w:tcPr>
            <w:tcW w:w="656" w:type="pct"/>
            <w:vAlign w:val="center"/>
          </w:tcPr>
          <w:p w14:paraId="43219E8D">
            <w:pPr>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olor w:val="auto"/>
                <w:kern w:val="0"/>
                <w:szCs w:val="21"/>
                <w:highlight w:val="none"/>
                <w:lang w:val="en-US" w:eastAsia="zh-CN" w:bidi="ar"/>
              </w:rPr>
              <w:t>坑底</w:t>
            </w:r>
          </w:p>
        </w:tc>
        <w:tc>
          <w:tcPr>
            <w:tcW w:w="812" w:type="pct"/>
            <w:vAlign w:val="center"/>
          </w:tcPr>
          <w:p w14:paraId="026B7BDD">
            <w:pPr>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lang w:val="en-US" w:eastAsia="zh-CN"/>
              </w:rPr>
              <w:t xml:space="preserve">1.3845 </w:t>
            </w:r>
          </w:p>
        </w:tc>
        <w:tc>
          <w:tcPr>
            <w:tcW w:w="928" w:type="pct"/>
            <w:vAlign w:val="center"/>
          </w:tcPr>
          <w:p w14:paraId="26546D25">
            <w:pPr>
              <w:jc w:val="center"/>
              <w:rPr>
                <w:rFonts w:hint="eastAsia" w:ascii="Times New Roman" w:hAnsi="Times New Roman" w:eastAsia="宋体" w:cs="Times New Roman"/>
                <w:color w:val="auto"/>
                <w:sz w:val="20"/>
                <w:szCs w:val="20"/>
                <w:highlight w:val="none"/>
                <w:lang w:eastAsia="zh-CN"/>
              </w:rPr>
            </w:pPr>
            <w:r>
              <w:rPr>
                <w:rFonts w:hint="default" w:ascii="Times New Roman" w:hAnsi="Times New Roman" w:eastAsia="宋体" w:cs="Times New Roman"/>
                <w:color w:val="auto"/>
                <w:sz w:val="20"/>
                <w:szCs w:val="20"/>
                <w:highlight w:val="none"/>
              </w:rPr>
              <w:t>采矿用地</w:t>
            </w:r>
            <w:r>
              <w:rPr>
                <w:rFonts w:hint="eastAsia" w:ascii="Times New Roman" w:hAnsi="Times New Roman" w:eastAsia="宋体" w:cs="Times New Roman"/>
                <w:color w:val="auto"/>
                <w:sz w:val="20"/>
                <w:szCs w:val="20"/>
                <w:highlight w:val="none"/>
                <w:lang w:eastAsia="zh-CN"/>
              </w:rPr>
              <w:t>、</w:t>
            </w:r>
            <w:r>
              <w:rPr>
                <w:rFonts w:hint="default" w:ascii="Times New Roman" w:hAnsi="Times New Roman" w:eastAsia="宋体" w:cs="Times New Roman"/>
                <w:color w:val="auto"/>
                <w:sz w:val="20"/>
                <w:szCs w:val="20"/>
                <w:highlight w:val="none"/>
              </w:rPr>
              <w:t>乔木林地</w:t>
            </w:r>
          </w:p>
        </w:tc>
        <w:tc>
          <w:tcPr>
            <w:tcW w:w="813" w:type="pct"/>
            <w:vAlign w:val="center"/>
          </w:tcPr>
          <w:p w14:paraId="685C2231">
            <w:pPr>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乔木林地</w:t>
            </w:r>
          </w:p>
        </w:tc>
        <w:tc>
          <w:tcPr>
            <w:tcW w:w="774" w:type="pct"/>
            <w:vAlign w:val="center"/>
          </w:tcPr>
          <w:p w14:paraId="42C30F6F">
            <w:pPr>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lang w:val="en-US" w:eastAsia="zh-CN"/>
              </w:rPr>
              <w:t xml:space="preserve">1.3845 </w:t>
            </w:r>
          </w:p>
        </w:tc>
      </w:tr>
      <w:tr w14:paraId="6C8AF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03" w:type="pct"/>
            <w:vAlign w:val="center"/>
          </w:tcPr>
          <w:p w14:paraId="109E54C2">
            <w:pPr>
              <w:jc w:val="center"/>
              <w:rPr>
                <w:rFonts w:hint="default" w:ascii="Times New Roman" w:hAnsi="Times New Roman" w:cs="Times New Roman"/>
                <w:color w:val="auto"/>
                <w:kern w:val="0"/>
                <w:sz w:val="20"/>
                <w:szCs w:val="20"/>
                <w:highlight w:val="none"/>
              </w:rPr>
            </w:pPr>
            <w:r>
              <w:rPr>
                <w:rFonts w:hint="default" w:ascii="Times New Roman" w:hAnsi="Times New Roman" w:eastAsia="宋体" w:cs="Times New Roman"/>
                <w:color w:val="auto"/>
                <w:kern w:val="0"/>
                <w:sz w:val="21"/>
                <w:szCs w:val="21"/>
                <w:highlight w:val="none"/>
              </w:rPr>
              <w:t>2</w:t>
            </w:r>
          </w:p>
        </w:tc>
        <w:tc>
          <w:tcPr>
            <w:tcW w:w="610" w:type="pct"/>
            <w:vMerge w:val="continue"/>
            <w:vAlign w:val="center"/>
          </w:tcPr>
          <w:p w14:paraId="1EC9BBAA">
            <w:pPr>
              <w:jc w:val="center"/>
              <w:textAlignment w:val="center"/>
              <w:rPr>
                <w:rFonts w:hint="default" w:ascii="Times New Roman" w:hAnsi="Times New Roman" w:cs="Times New Roman"/>
                <w:color w:val="auto"/>
                <w:kern w:val="0"/>
                <w:sz w:val="20"/>
                <w:szCs w:val="20"/>
                <w:highlight w:val="none"/>
              </w:rPr>
            </w:pPr>
          </w:p>
        </w:tc>
        <w:tc>
          <w:tcPr>
            <w:tcW w:w="656" w:type="pct"/>
            <w:vAlign w:val="center"/>
          </w:tcPr>
          <w:p w14:paraId="6194DD2F">
            <w:pPr>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olor w:val="auto"/>
                <w:kern w:val="0"/>
                <w:szCs w:val="21"/>
                <w:highlight w:val="none"/>
                <w:lang w:bidi="ar"/>
              </w:rPr>
              <w:t>平台</w:t>
            </w:r>
          </w:p>
        </w:tc>
        <w:tc>
          <w:tcPr>
            <w:tcW w:w="812" w:type="pct"/>
            <w:vAlign w:val="center"/>
          </w:tcPr>
          <w:p w14:paraId="536CCBB2">
            <w:pPr>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lang w:val="en-US" w:eastAsia="zh-CN"/>
              </w:rPr>
              <w:t xml:space="preserve">0.2876 </w:t>
            </w:r>
          </w:p>
        </w:tc>
        <w:tc>
          <w:tcPr>
            <w:tcW w:w="928" w:type="pct"/>
            <w:vAlign w:val="center"/>
          </w:tcPr>
          <w:p w14:paraId="003AA802">
            <w:pPr>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采矿用地</w:t>
            </w:r>
            <w:r>
              <w:rPr>
                <w:rFonts w:hint="eastAsia" w:ascii="Times New Roman" w:hAnsi="Times New Roman" w:eastAsia="宋体" w:cs="Times New Roman"/>
                <w:color w:val="auto"/>
                <w:sz w:val="20"/>
                <w:szCs w:val="20"/>
                <w:highlight w:val="none"/>
                <w:lang w:eastAsia="zh-CN"/>
              </w:rPr>
              <w:t>、</w:t>
            </w:r>
            <w:r>
              <w:rPr>
                <w:rFonts w:hint="default" w:ascii="Times New Roman" w:hAnsi="Times New Roman" w:eastAsia="宋体" w:cs="Times New Roman"/>
                <w:color w:val="auto"/>
                <w:sz w:val="20"/>
                <w:szCs w:val="20"/>
                <w:highlight w:val="none"/>
              </w:rPr>
              <w:t>乔木林地</w:t>
            </w:r>
          </w:p>
        </w:tc>
        <w:tc>
          <w:tcPr>
            <w:tcW w:w="813" w:type="pct"/>
            <w:vAlign w:val="center"/>
          </w:tcPr>
          <w:p w14:paraId="1E20A5ED">
            <w:pPr>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乔木林地</w:t>
            </w:r>
          </w:p>
        </w:tc>
        <w:tc>
          <w:tcPr>
            <w:tcW w:w="774" w:type="pct"/>
            <w:vAlign w:val="center"/>
          </w:tcPr>
          <w:p w14:paraId="680885C9">
            <w:pPr>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lang w:val="en-US" w:eastAsia="zh-CN"/>
              </w:rPr>
              <w:t xml:space="preserve">0.2876 </w:t>
            </w:r>
          </w:p>
        </w:tc>
      </w:tr>
      <w:tr w14:paraId="6323C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03" w:type="pct"/>
            <w:vAlign w:val="center"/>
          </w:tcPr>
          <w:p w14:paraId="6F9E2060">
            <w:pPr>
              <w:jc w:val="center"/>
              <w:rPr>
                <w:rFonts w:hint="default" w:ascii="Times New Roman" w:hAnsi="Times New Roman" w:cs="Times New Roman"/>
                <w:color w:val="auto"/>
                <w:kern w:val="0"/>
                <w:sz w:val="20"/>
                <w:szCs w:val="20"/>
                <w:highlight w:val="none"/>
              </w:rPr>
            </w:pPr>
            <w:r>
              <w:rPr>
                <w:rFonts w:hint="default" w:ascii="Times New Roman" w:hAnsi="Times New Roman" w:eastAsia="宋体" w:cs="Times New Roman"/>
                <w:color w:val="auto"/>
                <w:kern w:val="0"/>
                <w:sz w:val="21"/>
                <w:szCs w:val="21"/>
                <w:highlight w:val="none"/>
              </w:rPr>
              <w:t>3</w:t>
            </w:r>
          </w:p>
        </w:tc>
        <w:tc>
          <w:tcPr>
            <w:tcW w:w="610" w:type="pct"/>
            <w:vMerge w:val="continue"/>
            <w:vAlign w:val="center"/>
          </w:tcPr>
          <w:p w14:paraId="1F65C32A">
            <w:pPr>
              <w:jc w:val="center"/>
              <w:textAlignment w:val="center"/>
              <w:rPr>
                <w:rFonts w:hint="default" w:ascii="Times New Roman" w:hAnsi="Times New Roman" w:cs="Times New Roman"/>
                <w:color w:val="auto"/>
                <w:kern w:val="0"/>
                <w:sz w:val="20"/>
                <w:szCs w:val="20"/>
                <w:highlight w:val="none"/>
              </w:rPr>
            </w:pPr>
          </w:p>
        </w:tc>
        <w:tc>
          <w:tcPr>
            <w:tcW w:w="656" w:type="pct"/>
            <w:vAlign w:val="center"/>
          </w:tcPr>
          <w:p w14:paraId="7CAF24C1">
            <w:pPr>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olor w:val="auto"/>
                <w:kern w:val="0"/>
                <w:szCs w:val="21"/>
                <w:highlight w:val="none"/>
                <w:lang w:bidi="ar"/>
              </w:rPr>
              <w:t>边坡</w:t>
            </w:r>
          </w:p>
        </w:tc>
        <w:tc>
          <w:tcPr>
            <w:tcW w:w="812" w:type="pct"/>
            <w:vAlign w:val="center"/>
          </w:tcPr>
          <w:p w14:paraId="59A70729">
            <w:pPr>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lang w:val="en-US" w:eastAsia="zh-CN"/>
              </w:rPr>
              <w:t xml:space="preserve">0.8679 </w:t>
            </w:r>
          </w:p>
        </w:tc>
        <w:tc>
          <w:tcPr>
            <w:tcW w:w="928" w:type="pct"/>
            <w:vAlign w:val="center"/>
          </w:tcPr>
          <w:p w14:paraId="6BB162FF">
            <w:pPr>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采矿用地</w:t>
            </w:r>
            <w:r>
              <w:rPr>
                <w:rFonts w:hint="eastAsia" w:ascii="Times New Roman" w:hAnsi="Times New Roman" w:eastAsia="宋体" w:cs="Times New Roman"/>
                <w:color w:val="auto"/>
                <w:sz w:val="20"/>
                <w:szCs w:val="20"/>
                <w:highlight w:val="none"/>
                <w:lang w:eastAsia="zh-CN"/>
              </w:rPr>
              <w:t>、</w:t>
            </w:r>
            <w:r>
              <w:rPr>
                <w:rFonts w:hint="default" w:ascii="Times New Roman" w:hAnsi="Times New Roman" w:eastAsia="宋体" w:cs="Times New Roman"/>
                <w:color w:val="auto"/>
                <w:sz w:val="20"/>
                <w:szCs w:val="20"/>
                <w:highlight w:val="none"/>
              </w:rPr>
              <w:t>乔木林地</w:t>
            </w:r>
          </w:p>
        </w:tc>
        <w:tc>
          <w:tcPr>
            <w:tcW w:w="813" w:type="pct"/>
            <w:vAlign w:val="center"/>
          </w:tcPr>
          <w:p w14:paraId="2F30D52B">
            <w:pPr>
              <w:jc w:val="center"/>
              <w:rPr>
                <w:rFonts w:hint="default" w:ascii="Times New Roman" w:hAnsi="Times New Roman" w:eastAsia="宋体" w:cs="Times New Roman"/>
                <w:color w:val="auto"/>
                <w:sz w:val="20"/>
                <w:szCs w:val="20"/>
                <w:highlight w:val="none"/>
                <w:lang w:val="en-US" w:eastAsia="zh-CN"/>
              </w:rPr>
            </w:pPr>
            <w:r>
              <w:rPr>
                <w:rFonts w:hint="eastAsia" w:ascii="Times New Roman" w:hAnsi="Times New Roman" w:eastAsia="宋体" w:cs="Times New Roman"/>
                <w:color w:val="auto"/>
                <w:sz w:val="20"/>
                <w:szCs w:val="20"/>
                <w:highlight w:val="none"/>
                <w:lang w:val="en-US" w:eastAsia="zh-CN"/>
              </w:rPr>
              <w:t>-</w:t>
            </w:r>
          </w:p>
        </w:tc>
        <w:tc>
          <w:tcPr>
            <w:tcW w:w="774" w:type="pct"/>
            <w:vAlign w:val="center"/>
          </w:tcPr>
          <w:p w14:paraId="58A4B85A">
            <w:pPr>
              <w:jc w:val="center"/>
              <w:rPr>
                <w:rFonts w:hint="default" w:ascii="Times New Roman" w:hAnsi="Times New Roman" w:eastAsia="宋体" w:cs="Times New Roman"/>
                <w:color w:val="auto"/>
                <w:sz w:val="20"/>
                <w:szCs w:val="20"/>
                <w:highlight w:val="none"/>
              </w:rPr>
            </w:pPr>
            <w:r>
              <w:rPr>
                <w:rFonts w:hint="eastAsia" w:ascii="Times New Roman" w:hAnsi="Times New Roman" w:eastAsia="宋体" w:cs="Times New Roman"/>
                <w:color w:val="auto"/>
                <w:sz w:val="20"/>
                <w:szCs w:val="20"/>
                <w:highlight w:val="none"/>
                <w:lang w:val="en-US" w:eastAsia="zh-CN"/>
              </w:rPr>
              <w:t>-</w:t>
            </w:r>
            <w:r>
              <w:rPr>
                <w:rFonts w:hint="default" w:ascii="Times New Roman" w:hAnsi="Times New Roman" w:eastAsia="宋体" w:cs="Times New Roman"/>
                <w:color w:val="auto"/>
                <w:sz w:val="20"/>
                <w:szCs w:val="20"/>
                <w:highlight w:val="none"/>
                <w:lang w:val="en-US" w:eastAsia="zh-CN"/>
              </w:rPr>
              <w:t xml:space="preserve"> </w:t>
            </w:r>
          </w:p>
        </w:tc>
      </w:tr>
      <w:tr w14:paraId="6A7D7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03" w:type="pct"/>
            <w:vAlign w:val="center"/>
          </w:tcPr>
          <w:p w14:paraId="77609684">
            <w:pPr>
              <w:jc w:val="center"/>
              <w:rPr>
                <w:rFonts w:hint="default" w:ascii="Times New Roman" w:hAnsi="Times New Roman" w:cs="Times New Roman"/>
                <w:color w:val="auto"/>
                <w:kern w:val="0"/>
                <w:sz w:val="20"/>
                <w:szCs w:val="20"/>
                <w:highlight w:val="none"/>
              </w:rPr>
            </w:pPr>
            <w:r>
              <w:rPr>
                <w:rFonts w:hint="default" w:ascii="Times New Roman" w:hAnsi="Times New Roman" w:eastAsia="宋体" w:cs="Times New Roman"/>
                <w:color w:val="auto"/>
                <w:kern w:val="0"/>
                <w:sz w:val="21"/>
                <w:szCs w:val="21"/>
                <w:highlight w:val="none"/>
              </w:rPr>
              <w:t>4</w:t>
            </w:r>
          </w:p>
        </w:tc>
        <w:tc>
          <w:tcPr>
            <w:tcW w:w="1267" w:type="pct"/>
            <w:gridSpan w:val="2"/>
            <w:vAlign w:val="center"/>
          </w:tcPr>
          <w:p w14:paraId="0CCB3F68">
            <w:pPr>
              <w:keepNext w:val="0"/>
              <w:keepLines w:val="0"/>
              <w:widowControl/>
              <w:suppressLineNumbers w:val="0"/>
              <w:jc w:val="center"/>
              <w:textAlignment w:val="center"/>
              <w:rPr>
                <w:rFonts w:hint="default" w:ascii="Times New Roman" w:hAnsi="Times New Roman" w:cs="Times New Roman"/>
                <w:color w:val="auto"/>
                <w:kern w:val="0"/>
                <w:sz w:val="20"/>
                <w:szCs w:val="20"/>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工业广场</w:t>
            </w:r>
          </w:p>
        </w:tc>
        <w:tc>
          <w:tcPr>
            <w:tcW w:w="812" w:type="pct"/>
            <w:vAlign w:val="center"/>
          </w:tcPr>
          <w:p w14:paraId="3A949A03">
            <w:pPr>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lang w:val="en-US" w:eastAsia="zh-CN"/>
              </w:rPr>
              <w:t xml:space="preserve">0.6845 </w:t>
            </w:r>
          </w:p>
        </w:tc>
        <w:tc>
          <w:tcPr>
            <w:tcW w:w="928" w:type="pct"/>
            <w:vAlign w:val="center"/>
          </w:tcPr>
          <w:p w14:paraId="545F051C">
            <w:pPr>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采矿用地</w:t>
            </w:r>
          </w:p>
        </w:tc>
        <w:tc>
          <w:tcPr>
            <w:tcW w:w="813" w:type="pct"/>
            <w:vAlign w:val="center"/>
          </w:tcPr>
          <w:p w14:paraId="1B1CBB3D">
            <w:pPr>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乔木林地</w:t>
            </w:r>
          </w:p>
        </w:tc>
        <w:tc>
          <w:tcPr>
            <w:tcW w:w="774" w:type="pct"/>
            <w:vAlign w:val="center"/>
          </w:tcPr>
          <w:p w14:paraId="4BF1D780">
            <w:pPr>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lang w:val="en-US" w:eastAsia="zh-CN"/>
              </w:rPr>
              <w:t xml:space="preserve">0.6845 </w:t>
            </w:r>
          </w:p>
        </w:tc>
      </w:tr>
      <w:tr w14:paraId="14893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03" w:type="pct"/>
            <w:vAlign w:val="center"/>
          </w:tcPr>
          <w:p w14:paraId="3846434E">
            <w:pPr>
              <w:jc w:val="center"/>
              <w:rPr>
                <w:rFonts w:hint="default" w:ascii="Times New Roman" w:hAnsi="Times New Roman" w:cs="Times New Roman"/>
                <w:color w:val="auto"/>
                <w:kern w:val="0"/>
                <w:sz w:val="20"/>
                <w:szCs w:val="20"/>
                <w:highlight w:val="none"/>
              </w:rPr>
            </w:pPr>
            <w:r>
              <w:rPr>
                <w:rFonts w:hint="default" w:ascii="Times New Roman" w:hAnsi="Times New Roman" w:eastAsia="宋体" w:cs="Times New Roman"/>
                <w:color w:val="auto"/>
                <w:kern w:val="0"/>
                <w:sz w:val="21"/>
                <w:szCs w:val="21"/>
                <w:highlight w:val="none"/>
                <w:lang w:val="en-US" w:eastAsia="zh-CN"/>
              </w:rPr>
              <w:t>5</w:t>
            </w:r>
          </w:p>
        </w:tc>
        <w:tc>
          <w:tcPr>
            <w:tcW w:w="1267" w:type="pct"/>
            <w:gridSpan w:val="2"/>
            <w:vAlign w:val="center"/>
          </w:tcPr>
          <w:p w14:paraId="1B6702EE">
            <w:pPr>
              <w:keepNext w:val="0"/>
              <w:keepLines w:val="0"/>
              <w:widowControl/>
              <w:suppressLineNumbers w:val="0"/>
              <w:jc w:val="center"/>
              <w:textAlignment w:val="center"/>
              <w:rPr>
                <w:rFonts w:hint="default" w:ascii="Times New Roman" w:hAnsi="Times New Roman" w:cs="Times New Roman"/>
                <w:color w:val="auto"/>
                <w:kern w:val="0"/>
                <w:sz w:val="20"/>
                <w:szCs w:val="20"/>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办公生活区</w:t>
            </w:r>
          </w:p>
        </w:tc>
        <w:tc>
          <w:tcPr>
            <w:tcW w:w="812" w:type="pct"/>
            <w:vAlign w:val="center"/>
          </w:tcPr>
          <w:p w14:paraId="497E1DE8">
            <w:pPr>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lang w:val="en-US" w:eastAsia="zh-CN"/>
              </w:rPr>
              <w:t xml:space="preserve">0.2605 </w:t>
            </w:r>
          </w:p>
        </w:tc>
        <w:tc>
          <w:tcPr>
            <w:tcW w:w="928" w:type="pct"/>
            <w:vAlign w:val="center"/>
          </w:tcPr>
          <w:p w14:paraId="0D7F8193">
            <w:pPr>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采矿用地</w:t>
            </w:r>
          </w:p>
        </w:tc>
        <w:tc>
          <w:tcPr>
            <w:tcW w:w="813" w:type="pct"/>
            <w:vAlign w:val="center"/>
          </w:tcPr>
          <w:p w14:paraId="23AABFA7">
            <w:pPr>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乔木林地</w:t>
            </w:r>
          </w:p>
        </w:tc>
        <w:tc>
          <w:tcPr>
            <w:tcW w:w="774" w:type="pct"/>
            <w:vAlign w:val="center"/>
          </w:tcPr>
          <w:p w14:paraId="73CE4E0F">
            <w:pPr>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lang w:val="en-US" w:eastAsia="zh-CN"/>
              </w:rPr>
              <w:t xml:space="preserve">0.2605 </w:t>
            </w:r>
          </w:p>
        </w:tc>
      </w:tr>
      <w:tr w14:paraId="2DFB0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03" w:type="pct"/>
            <w:vAlign w:val="center"/>
          </w:tcPr>
          <w:p w14:paraId="286DE1F8">
            <w:pPr>
              <w:jc w:val="center"/>
              <w:rPr>
                <w:rFonts w:hint="default" w:ascii="Times New Roman" w:hAnsi="Times New Roman" w:cs="Times New Roman"/>
                <w:color w:val="auto"/>
                <w:kern w:val="0"/>
                <w:sz w:val="20"/>
                <w:szCs w:val="20"/>
                <w:highlight w:val="none"/>
              </w:rPr>
            </w:pPr>
            <w:r>
              <w:rPr>
                <w:rFonts w:hint="default" w:ascii="Times New Roman" w:hAnsi="Times New Roman" w:eastAsia="宋体" w:cs="Times New Roman"/>
                <w:color w:val="auto"/>
                <w:kern w:val="0"/>
                <w:sz w:val="21"/>
                <w:szCs w:val="21"/>
                <w:highlight w:val="none"/>
                <w:lang w:val="en-US" w:eastAsia="zh-CN"/>
              </w:rPr>
              <w:t>6</w:t>
            </w:r>
          </w:p>
        </w:tc>
        <w:tc>
          <w:tcPr>
            <w:tcW w:w="1267" w:type="pct"/>
            <w:gridSpan w:val="2"/>
            <w:vAlign w:val="center"/>
          </w:tcPr>
          <w:p w14:paraId="51F7A057">
            <w:pPr>
              <w:keepNext w:val="0"/>
              <w:keepLines w:val="0"/>
              <w:widowControl/>
              <w:suppressLineNumbers w:val="0"/>
              <w:jc w:val="center"/>
              <w:textAlignment w:val="center"/>
              <w:rPr>
                <w:rFonts w:hint="default" w:ascii="Times New Roman" w:hAnsi="Times New Roman" w:cs="Times New Roman"/>
                <w:color w:val="auto"/>
                <w:kern w:val="0"/>
                <w:sz w:val="20"/>
                <w:szCs w:val="20"/>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原有办公室及临时堆料场</w:t>
            </w:r>
          </w:p>
        </w:tc>
        <w:tc>
          <w:tcPr>
            <w:tcW w:w="812" w:type="pct"/>
            <w:vAlign w:val="center"/>
          </w:tcPr>
          <w:p w14:paraId="19A975F2">
            <w:pPr>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lang w:val="en-US" w:eastAsia="zh-CN"/>
              </w:rPr>
              <w:t xml:space="preserve">0.1178 </w:t>
            </w:r>
          </w:p>
        </w:tc>
        <w:tc>
          <w:tcPr>
            <w:tcW w:w="928" w:type="pct"/>
            <w:vAlign w:val="center"/>
          </w:tcPr>
          <w:p w14:paraId="56CAF9C9">
            <w:pPr>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采矿用地</w:t>
            </w:r>
          </w:p>
        </w:tc>
        <w:tc>
          <w:tcPr>
            <w:tcW w:w="813" w:type="pct"/>
            <w:vAlign w:val="center"/>
          </w:tcPr>
          <w:p w14:paraId="7776C65F">
            <w:pPr>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乔木林地</w:t>
            </w:r>
          </w:p>
        </w:tc>
        <w:tc>
          <w:tcPr>
            <w:tcW w:w="774" w:type="pct"/>
            <w:vAlign w:val="center"/>
          </w:tcPr>
          <w:p w14:paraId="2EDAC428">
            <w:pPr>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lang w:val="en-US" w:eastAsia="zh-CN"/>
              </w:rPr>
              <w:t xml:space="preserve">0.1178 </w:t>
            </w:r>
          </w:p>
        </w:tc>
      </w:tr>
      <w:tr w14:paraId="0132C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403" w:type="pct"/>
            <w:vAlign w:val="center"/>
          </w:tcPr>
          <w:p w14:paraId="7B3F1BD6">
            <w:pPr>
              <w:jc w:val="center"/>
              <w:rPr>
                <w:rFonts w:hint="default" w:ascii="Times New Roman" w:hAnsi="Times New Roman" w:cs="Times New Roman"/>
                <w:color w:val="auto"/>
                <w:kern w:val="0"/>
                <w:sz w:val="20"/>
                <w:szCs w:val="20"/>
                <w:highlight w:val="none"/>
              </w:rPr>
            </w:pPr>
            <w:r>
              <w:rPr>
                <w:rFonts w:hint="default" w:ascii="Times New Roman" w:hAnsi="Times New Roman" w:eastAsia="宋体" w:cs="Times New Roman"/>
                <w:color w:val="auto"/>
                <w:kern w:val="0"/>
                <w:sz w:val="21"/>
                <w:szCs w:val="21"/>
                <w:highlight w:val="none"/>
                <w:lang w:val="en-US" w:eastAsia="zh-CN"/>
              </w:rPr>
              <w:t>7</w:t>
            </w:r>
          </w:p>
        </w:tc>
        <w:tc>
          <w:tcPr>
            <w:tcW w:w="1267" w:type="pct"/>
            <w:gridSpan w:val="2"/>
            <w:vAlign w:val="center"/>
          </w:tcPr>
          <w:p w14:paraId="16674E4A">
            <w:pPr>
              <w:keepNext w:val="0"/>
              <w:keepLines w:val="0"/>
              <w:widowControl/>
              <w:suppressLineNumbers w:val="0"/>
              <w:jc w:val="center"/>
              <w:textAlignment w:val="center"/>
              <w:rPr>
                <w:rFonts w:hint="default" w:ascii="Times New Roman" w:hAnsi="Times New Roman" w:cs="Times New Roman"/>
                <w:color w:val="auto"/>
                <w:sz w:val="20"/>
                <w:szCs w:val="20"/>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矿山道路</w:t>
            </w:r>
          </w:p>
        </w:tc>
        <w:tc>
          <w:tcPr>
            <w:tcW w:w="812" w:type="pct"/>
            <w:vAlign w:val="center"/>
          </w:tcPr>
          <w:p w14:paraId="04A3AAC4">
            <w:pPr>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lang w:val="en-US" w:eastAsia="zh-CN"/>
              </w:rPr>
              <w:t xml:space="preserve">0.1624 </w:t>
            </w:r>
          </w:p>
        </w:tc>
        <w:tc>
          <w:tcPr>
            <w:tcW w:w="928" w:type="pct"/>
            <w:vAlign w:val="center"/>
          </w:tcPr>
          <w:p w14:paraId="719555AA">
            <w:pPr>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采矿用地</w:t>
            </w:r>
          </w:p>
        </w:tc>
        <w:tc>
          <w:tcPr>
            <w:tcW w:w="813" w:type="pct"/>
            <w:vAlign w:val="center"/>
          </w:tcPr>
          <w:p w14:paraId="595AD1B7">
            <w:pPr>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乔木林地</w:t>
            </w:r>
          </w:p>
        </w:tc>
        <w:tc>
          <w:tcPr>
            <w:tcW w:w="774" w:type="pct"/>
            <w:vAlign w:val="center"/>
          </w:tcPr>
          <w:p w14:paraId="2DCE1FD6">
            <w:pPr>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lang w:val="en-US" w:eastAsia="zh-CN"/>
              </w:rPr>
              <w:t xml:space="preserve">0.1624 </w:t>
            </w:r>
          </w:p>
        </w:tc>
      </w:tr>
      <w:tr w14:paraId="5976C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403" w:type="pct"/>
            <w:vAlign w:val="center"/>
          </w:tcPr>
          <w:p w14:paraId="43634F32">
            <w:pPr>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8</w:t>
            </w:r>
          </w:p>
        </w:tc>
        <w:tc>
          <w:tcPr>
            <w:tcW w:w="1267" w:type="pct"/>
            <w:gridSpan w:val="2"/>
            <w:vAlign w:val="center"/>
          </w:tcPr>
          <w:p w14:paraId="1B309AAA">
            <w:pPr>
              <w:keepNext w:val="0"/>
              <w:keepLines w:val="0"/>
              <w:widowControl/>
              <w:suppressLineNumbers w:val="0"/>
              <w:jc w:val="center"/>
              <w:textAlignment w:val="center"/>
              <w:rPr>
                <w:rFonts w:hint="default" w:ascii="Times New Roman" w:hAnsi="Times New Roman" w:cs="Times New Roman"/>
                <w:color w:val="auto"/>
                <w:sz w:val="20"/>
                <w:szCs w:val="20"/>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表土堆场</w:t>
            </w:r>
          </w:p>
        </w:tc>
        <w:tc>
          <w:tcPr>
            <w:tcW w:w="812" w:type="pct"/>
            <w:vAlign w:val="center"/>
          </w:tcPr>
          <w:p w14:paraId="1E45E918">
            <w:pPr>
              <w:jc w:val="center"/>
              <w:rPr>
                <w:rFonts w:hint="default" w:ascii="Times New Roman" w:hAnsi="Times New Roman" w:eastAsia="宋体" w:cs="Times New Roman"/>
                <w:color w:val="auto"/>
                <w:sz w:val="20"/>
                <w:szCs w:val="20"/>
                <w:highlight w:val="none"/>
                <w:lang w:val="en-US" w:eastAsia="zh-CN"/>
              </w:rPr>
            </w:pPr>
            <w:r>
              <w:rPr>
                <w:rFonts w:hint="eastAsia" w:ascii="Times New Roman" w:hAnsi="Times New Roman" w:eastAsia="宋体" w:cs="Times New Roman"/>
                <w:color w:val="auto"/>
                <w:sz w:val="20"/>
                <w:szCs w:val="20"/>
                <w:highlight w:val="none"/>
                <w:lang w:val="en-US" w:eastAsia="zh-CN"/>
              </w:rPr>
              <w:t>0.3093</w:t>
            </w:r>
          </w:p>
        </w:tc>
        <w:tc>
          <w:tcPr>
            <w:tcW w:w="928" w:type="pct"/>
            <w:vAlign w:val="center"/>
          </w:tcPr>
          <w:p w14:paraId="6B68494F">
            <w:pPr>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采矿用地</w:t>
            </w:r>
          </w:p>
        </w:tc>
        <w:tc>
          <w:tcPr>
            <w:tcW w:w="813" w:type="pct"/>
            <w:vAlign w:val="center"/>
          </w:tcPr>
          <w:p w14:paraId="0E5CE454">
            <w:pPr>
              <w:jc w:val="center"/>
              <w:rPr>
                <w:rFonts w:hint="default" w:ascii="Times New Roman" w:hAnsi="Times New Roman" w:eastAsia="宋体" w:cs="Times New Roman"/>
                <w:color w:val="auto"/>
                <w:sz w:val="20"/>
                <w:szCs w:val="20"/>
                <w:highlight w:val="none"/>
              </w:rPr>
            </w:pPr>
          </w:p>
        </w:tc>
        <w:tc>
          <w:tcPr>
            <w:tcW w:w="774" w:type="pct"/>
            <w:vAlign w:val="center"/>
          </w:tcPr>
          <w:p w14:paraId="5AFAC5DF">
            <w:pPr>
              <w:jc w:val="center"/>
              <w:rPr>
                <w:rFonts w:hint="eastAsia" w:ascii="Times New Roman" w:hAnsi="Times New Roman" w:eastAsia="宋体" w:cs="Times New Roman"/>
                <w:color w:val="auto"/>
                <w:sz w:val="20"/>
                <w:szCs w:val="20"/>
                <w:highlight w:val="none"/>
                <w:lang w:val="en-US" w:eastAsia="zh-CN"/>
              </w:rPr>
            </w:pPr>
            <w:r>
              <w:rPr>
                <w:rFonts w:hint="eastAsia" w:ascii="Times New Roman" w:hAnsi="Times New Roman" w:eastAsia="宋体" w:cs="Times New Roman"/>
                <w:color w:val="auto"/>
                <w:sz w:val="20"/>
                <w:szCs w:val="20"/>
                <w:highlight w:val="none"/>
                <w:lang w:val="en-US" w:eastAsia="zh-CN"/>
              </w:rPr>
              <w:t>0.3093</w:t>
            </w:r>
          </w:p>
        </w:tc>
      </w:tr>
      <w:tr w14:paraId="2AD42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70" w:type="pct"/>
            <w:gridSpan w:val="3"/>
            <w:vAlign w:val="center"/>
          </w:tcPr>
          <w:p w14:paraId="6769DE4B">
            <w:pPr>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合计</w:t>
            </w:r>
          </w:p>
        </w:tc>
        <w:tc>
          <w:tcPr>
            <w:tcW w:w="812" w:type="pct"/>
            <w:shd w:val="clear" w:color="auto" w:fill="auto"/>
            <w:vAlign w:val="center"/>
          </w:tcPr>
          <w:p w14:paraId="365A7F55">
            <w:pPr>
              <w:jc w:val="center"/>
              <w:rPr>
                <w:rFonts w:hint="default" w:ascii="Times New Roman" w:hAnsi="Times New Roman" w:eastAsia="宋体" w:cs="Times New Roman"/>
                <w:color w:val="auto"/>
                <w:sz w:val="20"/>
                <w:szCs w:val="20"/>
                <w:highlight w:val="none"/>
                <w:lang w:val="en-US" w:eastAsia="zh-CN"/>
              </w:rPr>
            </w:pPr>
            <w:r>
              <w:rPr>
                <w:rFonts w:hint="eastAsia" w:ascii="Times New Roman" w:hAnsi="Times New Roman" w:eastAsia="宋体" w:cs="Times New Roman"/>
                <w:color w:val="auto"/>
                <w:sz w:val="20"/>
                <w:szCs w:val="20"/>
                <w:highlight w:val="none"/>
                <w:lang w:val="en-US" w:eastAsia="zh-CN"/>
              </w:rPr>
              <w:t xml:space="preserve">4.0745 </w:t>
            </w:r>
          </w:p>
        </w:tc>
        <w:tc>
          <w:tcPr>
            <w:tcW w:w="928" w:type="pct"/>
          </w:tcPr>
          <w:p w14:paraId="2F7012A5">
            <w:pPr>
              <w:jc w:val="center"/>
              <w:rPr>
                <w:rFonts w:hint="default" w:ascii="Times New Roman" w:hAnsi="Times New Roman" w:eastAsia="宋体" w:cs="Times New Roman"/>
                <w:color w:val="auto"/>
                <w:sz w:val="20"/>
                <w:szCs w:val="20"/>
                <w:highlight w:val="none"/>
              </w:rPr>
            </w:pPr>
          </w:p>
        </w:tc>
        <w:tc>
          <w:tcPr>
            <w:tcW w:w="813" w:type="pct"/>
          </w:tcPr>
          <w:p w14:paraId="67238CCD">
            <w:pPr>
              <w:jc w:val="center"/>
              <w:rPr>
                <w:rFonts w:hint="default" w:ascii="Times New Roman" w:hAnsi="Times New Roman" w:eastAsia="宋体" w:cs="Times New Roman"/>
                <w:color w:val="auto"/>
                <w:sz w:val="20"/>
                <w:szCs w:val="20"/>
                <w:highlight w:val="none"/>
              </w:rPr>
            </w:pPr>
          </w:p>
        </w:tc>
        <w:tc>
          <w:tcPr>
            <w:tcW w:w="774" w:type="pct"/>
            <w:vAlign w:val="center"/>
          </w:tcPr>
          <w:p w14:paraId="2A3F52F7">
            <w:pPr>
              <w:jc w:val="center"/>
              <w:rPr>
                <w:rFonts w:hint="default" w:ascii="Times New Roman" w:hAnsi="Times New Roman" w:eastAsia="宋体" w:cs="Times New Roman"/>
                <w:color w:val="auto"/>
                <w:sz w:val="20"/>
                <w:szCs w:val="20"/>
                <w:highlight w:val="none"/>
                <w:lang w:val="en-US" w:eastAsia="zh-CN"/>
              </w:rPr>
            </w:pPr>
            <w:r>
              <w:rPr>
                <w:rFonts w:hint="eastAsia" w:ascii="Times New Roman" w:hAnsi="Times New Roman" w:eastAsia="宋体" w:cs="Times New Roman"/>
                <w:color w:val="auto"/>
                <w:sz w:val="20"/>
                <w:szCs w:val="20"/>
                <w:highlight w:val="none"/>
                <w:lang w:val="en-US" w:eastAsia="zh-CN"/>
              </w:rPr>
              <w:t>3.6474</w:t>
            </w:r>
          </w:p>
        </w:tc>
      </w:tr>
    </w:tbl>
    <w:p w14:paraId="4C500A97">
      <w:pPr>
        <w:pStyle w:val="9"/>
        <w:spacing w:line="360" w:lineRule="auto"/>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矿区</w:t>
      </w:r>
      <w:r>
        <w:rPr>
          <w:rFonts w:hint="default" w:ascii="Times New Roman" w:hAnsi="Times New Roman" w:cs="Times New Roman"/>
          <w:color w:val="auto"/>
          <w:highlight w:val="none"/>
          <w:lang w:val="en-US" w:eastAsia="zh-CN"/>
        </w:rPr>
        <w:t>待复垦</w:t>
      </w:r>
      <w:r>
        <w:rPr>
          <w:rFonts w:hint="default" w:ascii="Times New Roman" w:hAnsi="Times New Roman" w:cs="Times New Roman"/>
          <w:color w:val="auto"/>
          <w:highlight w:val="none"/>
        </w:rPr>
        <w:t>土地涉及的</w:t>
      </w:r>
      <w:r>
        <w:rPr>
          <w:rFonts w:hint="default" w:ascii="Times New Roman" w:hAnsi="Times New Roman" w:cs="Times New Roman"/>
          <w:color w:val="auto"/>
          <w:highlight w:val="none"/>
          <w:lang w:val="en-US" w:eastAsia="zh-CN"/>
        </w:rPr>
        <w:t>复垦</w:t>
      </w:r>
      <w:r>
        <w:rPr>
          <w:rFonts w:hint="default" w:ascii="Times New Roman" w:hAnsi="Times New Roman" w:cs="Times New Roman"/>
          <w:color w:val="auto"/>
          <w:highlight w:val="none"/>
        </w:rPr>
        <w:t>工程包括</w:t>
      </w:r>
      <w:r>
        <w:rPr>
          <w:rFonts w:hint="eastAsia" w:cs="Times New Roman"/>
          <w:color w:val="auto"/>
          <w:highlight w:val="none"/>
          <w:lang w:val="en-US" w:eastAsia="zh-CN"/>
        </w:rPr>
        <w:t>土地翻耕、</w:t>
      </w:r>
      <w:r>
        <w:rPr>
          <w:rFonts w:hint="default" w:ascii="Times New Roman" w:hAnsi="Times New Roman" w:cs="Times New Roman"/>
          <w:color w:val="auto"/>
          <w:highlight w:val="none"/>
        </w:rPr>
        <w:t>覆土、林木种植、栽植爬山虎</w:t>
      </w:r>
      <w:r>
        <w:rPr>
          <w:rFonts w:hint="eastAsia" w:cs="Times New Roman"/>
          <w:color w:val="auto"/>
          <w:highlight w:val="none"/>
          <w:lang w:eastAsia="zh-CN"/>
        </w:rPr>
        <w:t>、</w:t>
      </w:r>
      <w:r>
        <w:rPr>
          <w:rFonts w:hint="default" w:ascii="Times New Roman" w:hAnsi="Times New Roman" w:cs="Times New Roman"/>
          <w:color w:val="auto"/>
          <w:highlight w:val="none"/>
        </w:rPr>
        <w:t>撒播草种。在恢复治理章节里，进行了拆除构筑物、清理硬覆盖、场地平整后，所有待复垦单元的复垦工程基本一致。复垦时，将表土送到各复垦单元。</w:t>
      </w:r>
    </w:p>
    <w:p w14:paraId="52D96B1C">
      <w:pPr>
        <w:pStyle w:val="9"/>
        <w:spacing w:line="360" w:lineRule="auto"/>
        <w:ind w:firstLine="480"/>
        <w:jc w:val="both"/>
        <w:rPr>
          <w:b/>
          <w:bCs/>
          <w:color w:val="auto"/>
          <w:kern w:val="2"/>
          <w:szCs w:val="24"/>
          <w:highlight w:val="none"/>
        </w:rPr>
      </w:pPr>
      <w:r>
        <w:rPr>
          <w:rFonts w:hint="eastAsia"/>
          <w:b/>
          <w:bCs/>
          <w:color w:val="auto"/>
          <w:kern w:val="2"/>
          <w:szCs w:val="24"/>
          <w:highlight w:val="none"/>
          <w:lang w:eastAsia="zh-CN"/>
        </w:rPr>
        <w:t>（</w:t>
      </w:r>
      <w:r>
        <w:rPr>
          <w:rFonts w:hint="eastAsia"/>
          <w:b/>
          <w:bCs/>
          <w:color w:val="auto"/>
          <w:kern w:val="2"/>
          <w:szCs w:val="24"/>
          <w:highlight w:val="none"/>
          <w:lang w:val="en-US" w:eastAsia="zh-CN"/>
        </w:rPr>
        <w:t>1</w:t>
      </w:r>
      <w:r>
        <w:rPr>
          <w:rFonts w:hint="eastAsia"/>
          <w:b/>
          <w:bCs/>
          <w:color w:val="auto"/>
          <w:kern w:val="2"/>
          <w:szCs w:val="24"/>
          <w:highlight w:val="none"/>
          <w:lang w:eastAsia="zh-CN"/>
        </w:rPr>
        <w:t>）</w:t>
      </w:r>
      <w:r>
        <w:rPr>
          <w:rFonts w:hint="eastAsia"/>
          <w:b/>
          <w:bCs/>
          <w:color w:val="auto"/>
          <w:kern w:val="2"/>
          <w:szCs w:val="24"/>
          <w:highlight w:val="none"/>
        </w:rPr>
        <w:t>露天采场</w:t>
      </w:r>
    </w:p>
    <w:p w14:paraId="79EEF772">
      <w:pPr>
        <w:spacing w:line="360" w:lineRule="auto"/>
        <w:ind w:firstLine="600" w:firstLineChars="250"/>
        <w:jc w:val="both"/>
        <w:rPr>
          <w:bCs/>
          <w:color w:val="auto"/>
          <w:sz w:val="24"/>
          <w:highlight w:val="none"/>
        </w:rPr>
      </w:pPr>
      <w:r>
        <w:rPr>
          <w:rFonts w:hint="eastAsia"/>
          <w:bCs/>
          <w:color w:val="auto"/>
          <w:sz w:val="24"/>
          <w:highlight w:val="none"/>
        </w:rPr>
        <w:t>1）</w:t>
      </w:r>
      <w:r>
        <w:rPr>
          <w:bCs/>
          <w:color w:val="auto"/>
          <w:sz w:val="24"/>
          <w:highlight w:val="none"/>
        </w:rPr>
        <w:t>覆土工程</w:t>
      </w:r>
    </w:p>
    <w:p w14:paraId="6405C95C">
      <w:pPr>
        <w:spacing w:line="360" w:lineRule="auto"/>
        <w:ind w:firstLine="482"/>
        <w:jc w:val="both"/>
        <w:rPr>
          <w:color w:val="auto"/>
          <w:sz w:val="24"/>
          <w:highlight w:val="none"/>
        </w:rPr>
      </w:pPr>
      <w:r>
        <w:rPr>
          <w:rFonts w:hint="eastAsia"/>
          <w:color w:val="auto"/>
          <w:sz w:val="24"/>
          <w:highlight w:val="none"/>
        </w:rPr>
        <w:t>复垦时露天采</w:t>
      </w:r>
      <w:r>
        <w:rPr>
          <w:rFonts w:hint="eastAsia"/>
          <w:color w:val="auto"/>
          <w:sz w:val="24"/>
          <w:highlight w:val="none"/>
          <w:lang w:val="en-US" w:eastAsia="zh-CN"/>
        </w:rPr>
        <w:t>场坑底及</w:t>
      </w:r>
      <w:r>
        <w:rPr>
          <w:rFonts w:hint="eastAsia"/>
          <w:color w:val="auto"/>
          <w:sz w:val="24"/>
          <w:highlight w:val="none"/>
        </w:rPr>
        <w:t>平台复垦为乔木林地，</w:t>
      </w:r>
      <w:r>
        <w:rPr>
          <w:rFonts w:hint="eastAsia"/>
          <w:color w:val="auto"/>
          <w:sz w:val="24"/>
          <w:highlight w:val="none"/>
          <w:lang w:val="en-US" w:eastAsia="zh-CN"/>
        </w:rPr>
        <w:t>项目恢复治理工程已对露天采场进行排水和废渣回填</w:t>
      </w:r>
      <w:r>
        <w:rPr>
          <w:rFonts w:hint="eastAsia"/>
          <w:color w:val="auto"/>
          <w:sz w:val="24"/>
          <w:highlight w:val="none"/>
        </w:rPr>
        <w:t>，</w:t>
      </w:r>
      <w:r>
        <w:rPr>
          <w:rFonts w:hint="eastAsia"/>
          <w:color w:val="auto"/>
          <w:sz w:val="24"/>
          <w:highlight w:val="none"/>
          <w:lang w:val="en-US" w:eastAsia="zh-CN"/>
        </w:rPr>
        <w:t>这两项工程完成后将进行表土回覆。回覆表土厚度0.3m，回填面积1.6721hm</w:t>
      </w:r>
      <w:r>
        <w:rPr>
          <w:rFonts w:hint="eastAsia"/>
          <w:color w:val="auto"/>
          <w:sz w:val="24"/>
          <w:highlight w:val="none"/>
          <w:vertAlign w:val="superscript"/>
          <w:lang w:val="en-US" w:eastAsia="zh-CN"/>
        </w:rPr>
        <w:t>2</w:t>
      </w:r>
      <w:r>
        <w:rPr>
          <w:rFonts w:hint="eastAsia"/>
          <w:color w:val="auto"/>
          <w:sz w:val="24"/>
          <w:highlight w:val="none"/>
        </w:rPr>
        <w:t>，共回覆表土</w:t>
      </w:r>
      <w:r>
        <w:rPr>
          <w:rFonts w:hint="eastAsia"/>
          <w:color w:val="auto"/>
          <w:sz w:val="24"/>
          <w:highlight w:val="none"/>
          <w:lang w:val="en-US" w:eastAsia="zh-CN"/>
        </w:rPr>
        <w:t>5017</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。覆土采用挖掘机装</w:t>
      </w:r>
      <w:r>
        <w:rPr>
          <w:color w:val="auto"/>
          <w:sz w:val="24"/>
          <w:highlight w:val="none"/>
        </w:rPr>
        <w:t>自卸汽车</w:t>
      </w:r>
      <w:r>
        <w:rPr>
          <w:rFonts w:hint="eastAsia"/>
          <w:color w:val="auto"/>
          <w:sz w:val="24"/>
          <w:highlight w:val="none"/>
        </w:rPr>
        <w:t>运至</w:t>
      </w:r>
      <w:r>
        <w:rPr>
          <w:color w:val="auto"/>
          <w:sz w:val="24"/>
          <w:highlight w:val="none"/>
        </w:rPr>
        <w:t>复垦场地，</w:t>
      </w:r>
      <w:r>
        <w:rPr>
          <w:rFonts w:hint="eastAsia"/>
          <w:color w:val="auto"/>
          <w:sz w:val="24"/>
          <w:highlight w:val="none"/>
        </w:rPr>
        <w:t>采用推土机平土。</w:t>
      </w:r>
      <w:r>
        <w:rPr>
          <w:rFonts w:hint="eastAsia"/>
          <w:color w:val="auto"/>
          <w:sz w:val="24"/>
          <w:highlight w:val="none"/>
          <w:lang w:val="en-US" w:eastAsia="zh-CN"/>
        </w:rPr>
        <w:t>覆土来源于前期剥离的表土。</w:t>
      </w:r>
    </w:p>
    <w:p w14:paraId="5DD1F314">
      <w:pPr>
        <w:spacing w:line="360" w:lineRule="auto"/>
        <w:ind w:firstLine="600" w:firstLineChars="250"/>
        <w:jc w:val="both"/>
        <w:rPr>
          <w:bCs/>
          <w:color w:val="auto"/>
          <w:sz w:val="24"/>
          <w:highlight w:val="none"/>
        </w:rPr>
      </w:pPr>
      <w:r>
        <w:rPr>
          <w:rFonts w:hint="eastAsia"/>
          <w:bCs/>
          <w:color w:val="auto"/>
          <w:sz w:val="24"/>
          <w:highlight w:val="none"/>
        </w:rPr>
        <w:t>2）</w:t>
      </w:r>
      <w:r>
        <w:rPr>
          <w:bCs/>
          <w:color w:val="auto"/>
          <w:sz w:val="24"/>
          <w:highlight w:val="none"/>
        </w:rPr>
        <w:t>林木种植</w:t>
      </w:r>
    </w:p>
    <w:p w14:paraId="5A672C51">
      <w:pPr>
        <w:spacing w:line="360" w:lineRule="auto"/>
        <w:ind w:firstLine="600" w:firstLineChars="250"/>
        <w:jc w:val="both"/>
        <w:rPr>
          <w:color w:val="auto"/>
          <w:sz w:val="24"/>
          <w:highlight w:val="none"/>
        </w:rPr>
      </w:pPr>
      <w:r>
        <w:rPr>
          <w:rFonts w:hint="eastAsia"/>
          <w:color w:val="auto"/>
          <w:sz w:val="24"/>
          <w:highlight w:val="none"/>
        </w:rPr>
        <w:t>露天采坑平台</w:t>
      </w:r>
      <w:r>
        <w:rPr>
          <w:color w:val="auto"/>
          <w:sz w:val="24"/>
          <w:highlight w:val="none"/>
        </w:rPr>
        <w:t>复垦为乔木林地，苗木选择</w:t>
      </w:r>
      <w:r>
        <w:rPr>
          <w:rFonts w:hint="eastAsia"/>
          <w:color w:val="auto"/>
          <w:sz w:val="24"/>
          <w:highlight w:val="none"/>
        </w:rPr>
        <w:t>3</w:t>
      </w:r>
      <w:r>
        <w:rPr>
          <w:color w:val="auto"/>
          <w:sz w:val="24"/>
          <w:highlight w:val="none"/>
        </w:rPr>
        <w:t>年生的移植苗，1级苗，苗高＞40cm。株行距</w:t>
      </w:r>
      <w:r>
        <w:rPr>
          <w:rFonts w:hint="eastAsia"/>
          <w:color w:val="auto"/>
          <w:sz w:val="24"/>
          <w:highlight w:val="none"/>
        </w:rPr>
        <w:t>2m×2m</w:t>
      </w:r>
      <w:r>
        <w:rPr>
          <w:color w:val="auto"/>
          <w:sz w:val="24"/>
          <w:highlight w:val="none"/>
        </w:rPr>
        <w:t>，每公顷种植</w:t>
      </w:r>
      <w:r>
        <w:rPr>
          <w:rFonts w:hint="eastAsia"/>
          <w:color w:val="auto"/>
          <w:sz w:val="24"/>
          <w:highlight w:val="none"/>
          <w:lang w:eastAsia="zh-CN"/>
        </w:rPr>
        <w:t>落叶松</w:t>
      </w:r>
      <w:r>
        <w:rPr>
          <w:rFonts w:hint="eastAsia"/>
          <w:color w:val="auto"/>
          <w:sz w:val="24"/>
          <w:highlight w:val="none"/>
        </w:rPr>
        <w:t>2500株</w:t>
      </w:r>
      <w:r>
        <w:rPr>
          <w:color w:val="auto"/>
          <w:sz w:val="24"/>
          <w:highlight w:val="none"/>
        </w:rPr>
        <w:t>。</w:t>
      </w:r>
      <w:r>
        <w:rPr>
          <w:rFonts w:hint="eastAsia"/>
          <w:color w:val="auto"/>
          <w:sz w:val="24"/>
          <w:highlight w:val="none"/>
        </w:rPr>
        <w:t>露天采</w:t>
      </w:r>
      <w:r>
        <w:rPr>
          <w:rFonts w:hint="eastAsia"/>
          <w:color w:val="auto"/>
          <w:sz w:val="24"/>
          <w:highlight w:val="none"/>
          <w:lang w:val="en-US" w:eastAsia="zh-CN"/>
        </w:rPr>
        <w:t>场坑底及</w:t>
      </w:r>
      <w:r>
        <w:rPr>
          <w:rFonts w:hint="eastAsia"/>
          <w:color w:val="auto"/>
          <w:sz w:val="24"/>
          <w:highlight w:val="none"/>
        </w:rPr>
        <w:t>平台</w:t>
      </w:r>
      <w:r>
        <w:rPr>
          <w:color w:val="auto"/>
          <w:sz w:val="24"/>
          <w:highlight w:val="none"/>
        </w:rPr>
        <w:t>面积为</w:t>
      </w:r>
      <w:r>
        <w:rPr>
          <w:rFonts w:hint="eastAsia"/>
          <w:color w:val="auto"/>
          <w:sz w:val="24"/>
          <w:highlight w:val="none"/>
          <w:lang w:val="en-US" w:eastAsia="zh-CN"/>
        </w:rPr>
        <w:t>1.6721</w:t>
      </w:r>
      <w:r>
        <w:rPr>
          <w:color w:val="auto"/>
          <w:sz w:val="24"/>
          <w:highlight w:val="none"/>
        </w:rPr>
        <w:t>hm</w:t>
      </w:r>
      <w:r>
        <w:rPr>
          <w:color w:val="auto"/>
          <w:sz w:val="24"/>
          <w:highlight w:val="none"/>
          <w:vertAlign w:val="superscript"/>
        </w:rPr>
        <w:t>2</w:t>
      </w:r>
      <w:r>
        <w:rPr>
          <w:color w:val="auto"/>
          <w:sz w:val="24"/>
          <w:highlight w:val="none"/>
        </w:rPr>
        <w:t>，种植</w:t>
      </w:r>
      <w:r>
        <w:rPr>
          <w:rFonts w:hint="eastAsia"/>
          <w:color w:val="auto"/>
          <w:sz w:val="24"/>
          <w:highlight w:val="none"/>
          <w:lang w:eastAsia="zh-CN"/>
        </w:rPr>
        <w:t>落叶松</w:t>
      </w:r>
      <w:r>
        <w:rPr>
          <w:rFonts w:hint="eastAsia"/>
          <w:color w:val="auto"/>
          <w:sz w:val="24"/>
          <w:highlight w:val="none"/>
          <w:lang w:val="en-US" w:eastAsia="zh-CN"/>
        </w:rPr>
        <w:t>4180</w:t>
      </w:r>
      <w:r>
        <w:rPr>
          <w:color w:val="auto"/>
          <w:sz w:val="24"/>
          <w:highlight w:val="none"/>
        </w:rPr>
        <w:t>株。</w:t>
      </w:r>
    </w:p>
    <w:p w14:paraId="431C0867">
      <w:pPr>
        <w:spacing w:line="360" w:lineRule="auto"/>
        <w:ind w:firstLine="600" w:firstLineChars="250"/>
        <w:jc w:val="both"/>
        <w:rPr>
          <w:bCs/>
          <w:color w:val="auto"/>
          <w:sz w:val="24"/>
          <w:highlight w:val="none"/>
        </w:rPr>
      </w:pPr>
      <w:r>
        <w:rPr>
          <w:rFonts w:hint="eastAsia"/>
          <w:bCs/>
          <w:color w:val="auto"/>
          <w:sz w:val="24"/>
          <w:highlight w:val="none"/>
        </w:rPr>
        <w:t>3）</w:t>
      </w:r>
      <w:r>
        <w:rPr>
          <w:bCs/>
          <w:color w:val="auto"/>
          <w:sz w:val="24"/>
          <w:highlight w:val="none"/>
        </w:rPr>
        <w:t>撒播草种</w:t>
      </w:r>
    </w:p>
    <w:p w14:paraId="257B1D41">
      <w:pPr>
        <w:pStyle w:val="9"/>
        <w:spacing w:line="360" w:lineRule="auto"/>
        <w:ind w:firstLine="480"/>
        <w:jc w:val="both"/>
        <w:rPr>
          <w:b/>
          <w:bCs/>
          <w:color w:val="auto"/>
          <w:kern w:val="2"/>
          <w:szCs w:val="24"/>
          <w:highlight w:val="none"/>
        </w:rPr>
      </w:pPr>
      <w:r>
        <w:rPr>
          <w:color w:val="auto"/>
          <w:highlight w:val="none"/>
        </w:rPr>
        <w:t>对复垦的土地进行撒播草种，在管护期间，利用绿肥法，改善土壤结构和提高土壤肥力，选用紫花苜蓿作为种植绿肥，撒播草籽量30kg/hm</w:t>
      </w:r>
      <w:r>
        <w:rPr>
          <w:color w:val="auto"/>
          <w:highlight w:val="none"/>
          <w:vertAlign w:val="superscript"/>
        </w:rPr>
        <w:t>2</w:t>
      </w:r>
      <w:r>
        <w:rPr>
          <w:color w:val="auto"/>
          <w:highlight w:val="none"/>
        </w:rPr>
        <w:t>，</w:t>
      </w:r>
      <w:r>
        <w:rPr>
          <w:rFonts w:hint="eastAsia"/>
          <w:color w:val="auto"/>
          <w:sz w:val="24"/>
          <w:highlight w:val="none"/>
        </w:rPr>
        <w:t>露天采</w:t>
      </w:r>
      <w:r>
        <w:rPr>
          <w:rFonts w:hint="eastAsia"/>
          <w:color w:val="auto"/>
          <w:sz w:val="24"/>
          <w:highlight w:val="none"/>
          <w:lang w:val="en-US" w:eastAsia="zh-CN"/>
        </w:rPr>
        <w:t>场坑底及</w:t>
      </w:r>
      <w:r>
        <w:rPr>
          <w:rFonts w:hint="eastAsia"/>
          <w:color w:val="auto"/>
          <w:sz w:val="24"/>
          <w:highlight w:val="none"/>
        </w:rPr>
        <w:t>平台</w:t>
      </w:r>
      <w:r>
        <w:rPr>
          <w:color w:val="auto"/>
          <w:highlight w:val="none"/>
        </w:rPr>
        <w:t>撒播面积</w:t>
      </w:r>
      <w:r>
        <w:rPr>
          <w:rFonts w:hint="eastAsia"/>
          <w:color w:val="auto"/>
          <w:sz w:val="24"/>
          <w:highlight w:val="none"/>
          <w:lang w:val="en-US" w:eastAsia="zh-CN"/>
        </w:rPr>
        <w:t>1.6721</w:t>
      </w:r>
      <w:r>
        <w:rPr>
          <w:color w:val="auto"/>
          <w:highlight w:val="none"/>
        </w:rPr>
        <w:t>hm</w:t>
      </w:r>
      <w:r>
        <w:rPr>
          <w:color w:val="auto"/>
          <w:highlight w:val="none"/>
          <w:vertAlign w:val="superscript"/>
        </w:rPr>
        <w:t>2</w:t>
      </w:r>
      <w:r>
        <w:rPr>
          <w:color w:val="auto"/>
          <w:highlight w:val="none"/>
        </w:rPr>
        <w:t>。</w:t>
      </w:r>
    </w:p>
    <w:p w14:paraId="7F1E052D">
      <w:pPr>
        <w:spacing w:line="360" w:lineRule="auto"/>
        <w:ind w:firstLine="600" w:firstLineChars="250"/>
        <w:jc w:val="both"/>
        <w:rPr>
          <w:bCs/>
          <w:color w:val="auto"/>
          <w:sz w:val="24"/>
          <w:highlight w:val="none"/>
        </w:rPr>
      </w:pPr>
      <w:r>
        <w:rPr>
          <w:rFonts w:hint="eastAsia"/>
          <w:bCs/>
          <w:color w:val="auto"/>
          <w:sz w:val="24"/>
          <w:highlight w:val="none"/>
        </w:rPr>
        <w:t>4）种植爬山虎</w:t>
      </w:r>
    </w:p>
    <w:p w14:paraId="3DB982E3">
      <w:pPr>
        <w:pStyle w:val="9"/>
        <w:spacing w:line="360" w:lineRule="auto"/>
        <w:ind w:firstLine="480"/>
        <w:rPr>
          <w:color w:val="auto"/>
          <w:highlight w:val="none"/>
        </w:rPr>
      </w:pPr>
      <w:r>
        <w:rPr>
          <w:color w:val="auto"/>
          <w:highlight w:val="none"/>
        </w:rPr>
        <w:t>露天采坑</w:t>
      </w:r>
      <w:r>
        <w:rPr>
          <w:rFonts w:hint="eastAsia"/>
          <w:color w:val="auto"/>
          <w:highlight w:val="none"/>
          <w:lang w:val="en-US" w:eastAsia="zh-CN"/>
        </w:rPr>
        <w:t>边坡</w:t>
      </w:r>
      <w:r>
        <w:rPr>
          <w:color w:val="auto"/>
          <w:highlight w:val="none"/>
        </w:rPr>
        <w:t>沿底边缘种植栽植爬山虎，栽植沿线总长度</w:t>
      </w:r>
      <w:r>
        <w:rPr>
          <w:rFonts w:hint="eastAsia"/>
          <w:color w:val="auto"/>
          <w:highlight w:val="none"/>
          <w:lang w:val="en-US" w:eastAsia="zh-CN"/>
        </w:rPr>
        <w:t>1240</w:t>
      </w:r>
      <w:r>
        <w:rPr>
          <w:color w:val="auto"/>
          <w:highlight w:val="none"/>
        </w:rPr>
        <w:t>m，每隔0.</w:t>
      </w:r>
      <w:r>
        <w:rPr>
          <w:rFonts w:hint="eastAsia"/>
          <w:color w:val="auto"/>
          <w:highlight w:val="none"/>
          <w:lang w:val="en-US" w:eastAsia="zh-CN"/>
        </w:rPr>
        <w:t>5</w:t>
      </w:r>
      <w:r>
        <w:rPr>
          <w:color w:val="auto"/>
          <w:highlight w:val="none"/>
        </w:rPr>
        <w:t>m栽植1株，选择2年生苗木，苗长度1.0m以上。共种植爬山虎</w:t>
      </w:r>
      <w:r>
        <w:rPr>
          <w:rFonts w:hint="eastAsia"/>
          <w:color w:val="auto"/>
          <w:highlight w:val="none"/>
          <w:lang w:val="en-US" w:eastAsia="zh-CN"/>
        </w:rPr>
        <w:t>2480</w:t>
      </w:r>
      <w:r>
        <w:rPr>
          <w:color w:val="auto"/>
          <w:highlight w:val="none"/>
        </w:rPr>
        <w:t>株。</w:t>
      </w:r>
    </w:p>
    <w:p w14:paraId="6F9EAC74">
      <w:pPr>
        <w:pStyle w:val="9"/>
        <w:spacing w:line="360" w:lineRule="auto"/>
        <w:ind w:firstLine="480"/>
        <w:jc w:val="both"/>
        <w:rPr>
          <w:b/>
          <w:bCs/>
          <w:color w:val="auto"/>
          <w:kern w:val="2"/>
          <w:szCs w:val="24"/>
          <w:highlight w:val="none"/>
        </w:rPr>
      </w:pPr>
      <w:r>
        <w:rPr>
          <w:rFonts w:hint="eastAsia"/>
          <w:b/>
          <w:bCs/>
          <w:color w:val="auto"/>
          <w:kern w:val="2"/>
          <w:szCs w:val="24"/>
          <w:highlight w:val="none"/>
          <w:lang w:eastAsia="zh-CN"/>
        </w:rPr>
        <w:t>（</w:t>
      </w:r>
      <w:r>
        <w:rPr>
          <w:rFonts w:hint="eastAsia"/>
          <w:b/>
          <w:bCs/>
          <w:color w:val="auto"/>
          <w:kern w:val="2"/>
          <w:szCs w:val="24"/>
          <w:highlight w:val="none"/>
          <w:lang w:val="en-US" w:eastAsia="zh-CN"/>
        </w:rPr>
        <w:t>2</w:t>
      </w:r>
      <w:r>
        <w:rPr>
          <w:rFonts w:hint="eastAsia"/>
          <w:b/>
          <w:bCs/>
          <w:color w:val="auto"/>
          <w:kern w:val="2"/>
          <w:szCs w:val="24"/>
          <w:highlight w:val="none"/>
          <w:lang w:eastAsia="zh-CN"/>
        </w:rPr>
        <w:t>）</w:t>
      </w:r>
      <w:r>
        <w:rPr>
          <w:rFonts w:hint="eastAsia"/>
          <w:b/>
          <w:bCs/>
          <w:color w:val="auto"/>
          <w:kern w:val="2"/>
          <w:szCs w:val="24"/>
          <w:highlight w:val="none"/>
        </w:rPr>
        <w:t>工业广场</w:t>
      </w:r>
      <w:r>
        <w:rPr>
          <w:rFonts w:hint="eastAsia"/>
          <w:b/>
          <w:bCs/>
          <w:color w:val="auto"/>
          <w:kern w:val="2"/>
          <w:szCs w:val="24"/>
          <w:highlight w:val="none"/>
        </w:rPr>
        <w:tab/>
      </w:r>
    </w:p>
    <w:p w14:paraId="24828BEE">
      <w:pPr>
        <w:spacing w:line="360" w:lineRule="auto"/>
        <w:ind w:firstLine="600" w:firstLineChars="250"/>
        <w:jc w:val="both"/>
        <w:rPr>
          <w:rFonts w:hint="default" w:eastAsia="宋体"/>
          <w:bCs/>
          <w:color w:val="auto"/>
          <w:sz w:val="24"/>
          <w:highlight w:val="none"/>
          <w:lang w:val="en-US" w:eastAsia="zh-CN"/>
        </w:rPr>
      </w:pPr>
      <w:r>
        <w:rPr>
          <w:rFonts w:hint="eastAsia"/>
          <w:bCs/>
          <w:color w:val="auto"/>
          <w:sz w:val="24"/>
          <w:highlight w:val="none"/>
          <w:lang w:val="en-US" w:eastAsia="zh-CN"/>
        </w:rPr>
        <w:t>1）土地翻耕</w:t>
      </w:r>
    </w:p>
    <w:p w14:paraId="0D67B6D9">
      <w:pPr>
        <w:spacing w:line="360" w:lineRule="auto"/>
        <w:ind w:firstLine="600" w:firstLineChars="250"/>
        <w:jc w:val="both"/>
        <w:rPr>
          <w:rFonts w:hint="default" w:eastAsia="宋体"/>
          <w:bCs/>
          <w:color w:val="auto"/>
          <w:sz w:val="24"/>
          <w:highlight w:val="none"/>
          <w:vertAlign w:val="baseline"/>
          <w:lang w:val="en-US" w:eastAsia="zh-CN"/>
        </w:rPr>
      </w:pPr>
      <w:r>
        <w:rPr>
          <w:rFonts w:hint="eastAsia"/>
          <w:bCs/>
          <w:color w:val="auto"/>
          <w:sz w:val="24"/>
          <w:highlight w:val="none"/>
          <w:lang w:val="en-US" w:eastAsia="zh-CN"/>
        </w:rPr>
        <w:t>由于压占时间较长，使地面出现板结现象，土壤透气性能下降，可采取土地翻耕来提高土壤孔隙度，设计采取59kW拖拉机和三铧犁进行土地翻耕。对该复垦单元进行翻耕，翻耕深度0.3m，翻耕面积</w:t>
      </w:r>
      <w:r>
        <w:rPr>
          <w:rFonts w:hint="eastAsia"/>
          <w:color w:val="auto"/>
          <w:sz w:val="24"/>
          <w:highlight w:val="none"/>
          <w:lang w:val="en-US" w:eastAsia="zh-CN"/>
        </w:rPr>
        <w:t>0.6845hm</w:t>
      </w:r>
      <w:r>
        <w:rPr>
          <w:rFonts w:hint="eastAsia"/>
          <w:color w:val="auto"/>
          <w:sz w:val="24"/>
          <w:highlight w:val="none"/>
          <w:vertAlign w:val="superscript"/>
          <w:lang w:val="en-US" w:eastAsia="zh-CN"/>
        </w:rPr>
        <w:t>2</w:t>
      </w:r>
      <w:r>
        <w:rPr>
          <w:rFonts w:hint="eastAsia"/>
          <w:color w:val="auto"/>
          <w:sz w:val="24"/>
          <w:highlight w:val="none"/>
          <w:vertAlign w:val="baseline"/>
          <w:lang w:val="en-US" w:eastAsia="zh-CN"/>
        </w:rPr>
        <w:t>。</w:t>
      </w:r>
    </w:p>
    <w:p w14:paraId="090EBFAB">
      <w:pPr>
        <w:spacing w:line="360" w:lineRule="auto"/>
        <w:ind w:firstLine="600" w:firstLineChars="250"/>
        <w:jc w:val="both"/>
        <w:rPr>
          <w:bCs/>
          <w:color w:val="auto"/>
          <w:sz w:val="24"/>
          <w:highlight w:val="none"/>
        </w:rPr>
      </w:pPr>
      <w:r>
        <w:rPr>
          <w:rFonts w:hint="eastAsia"/>
          <w:bCs/>
          <w:color w:val="auto"/>
          <w:sz w:val="24"/>
          <w:highlight w:val="none"/>
          <w:lang w:val="en-US" w:eastAsia="zh-CN"/>
        </w:rPr>
        <w:t>2</w:t>
      </w:r>
      <w:r>
        <w:rPr>
          <w:rFonts w:hint="eastAsia"/>
          <w:bCs/>
          <w:color w:val="auto"/>
          <w:sz w:val="24"/>
          <w:highlight w:val="none"/>
        </w:rPr>
        <w:t>）</w:t>
      </w:r>
      <w:r>
        <w:rPr>
          <w:bCs/>
          <w:color w:val="auto"/>
          <w:sz w:val="24"/>
          <w:highlight w:val="none"/>
        </w:rPr>
        <w:t>覆土工程</w:t>
      </w:r>
    </w:p>
    <w:p w14:paraId="1A329444">
      <w:pPr>
        <w:spacing w:line="360" w:lineRule="auto"/>
        <w:ind w:firstLine="482"/>
        <w:jc w:val="both"/>
        <w:rPr>
          <w:rFonts w:hint="default" w:eastAsia="宋体"/>
          <w:color w:val="auto"/>
          <w:sz w:val="24"/>
          <w:highlight w:val="none"/>
          <w:lang w:val="en-US" w:eastAsia="zh-CN"/>
        </w:rPr>
      </w:pPr>
      <w:r>
        <w:rPr>
          <w:rFonts w:hint="eastAsia"/>
          <w:color w:val="auto"/>
          <w:sz w:val="24"/>
          <w:highlight w:val="none"/>
          <w:lang w:val="en-US" w:eastAsia="zh-CN"/>
        </w:rPr>
        <w:t>该复垦单元回覆表土厚度0.3m，回填面积0.6845hm</w:t>
      </w:r>
      <w:r>
        <w:rPr>
          <w:rFonts w:hint="eastAsia"/>
          <w:color w:val="auto"/>
          <w:sz w:val="24"/>
          <w:highlight w:val="none"/>
          <w:vertAlign w:val="superscript"/>
          <w:lang w:val="en-US" w:eastAsia="zh-CN"/>
        </w:rPr>
        <w:t>2</w:t>
      </w:r>
      <w:r>
        <w:rPr>
          <w:rFonts w:hint="eastAsia"/>
          <w:color w:val="auto"/>
          <w:sz w:val="24"/>
          <w:highlight w:val="none"/>
        </w:rPr>
        <w:t>，共回覆表土</w:t>
      </w:r>
      <w:r>
        <w:rPr>
          <w:rFonts w:hint="eastAsia"/>
          <w:color w:val="auto"/>
          <w:sz w:val="24"/>
          <w:highlight w:val="none"/>
          <w:lang w:val="en-US" w:eastAsia="zh-CN"/>
        </w:rPr>
        <w:t>2054</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。覆土采用挖掘机装</w:t>
      </w:r>
      <w:r>
        <w:rPr>
          <w:color w:val="auto"/>
          <w:sz w:val="24"/>
          <w:highlight w:val="none"/>
        </w:rPr>
        <w:t>自卸汽车</w:t>
      </w:r>
      <w:r>
        <w:rPr>
          <w:rFonts w:hint="eastAsia"/>
          <w:color w:val="auto"/>
          <w:sz w:val="24"/>
          <w:highlight w:val="none"/>
        </w:rPr>
        <w:t>运至</w:t>
      </w:r>
      <w:r>
        <w:rPr>
          <w:color w:val="auto"/>
          <w:sz w:val="24"/>
          <w:highlight w:val="none"/>
        </w:rPr>
        <w:t>复垦场地，</w:t>
      </w:r>
      <w:r>
        <w:rPr>
          <w:rFonts w:hint="eastAsia"/>
          <w:color w:val="auto"/>
          <w:sz w:val="24"/>
          <w:highlight w:val="none"/>
        </w:rPr>
        <w:t>采用推土机平土。</w:t>
      </w:r>
      <w:r>
        <w:rPr>
          <w:rFonts w:hint="eastAsia"/>
          <w:color w:val="auto"/>
          <w:sz w:val="24"/>
          <w:highlight w:val="none"/>
          <w:lang w:val="en-US" w:eastAsia="zh-CN"/>
        </w:rPr>
        <w:t>覆土来源于前期剥离的表土。</w:t>
      </w:r>
    </w:p>
    <w:p w14:paraId="7A85B4AE">
      <w:pPr>
        <w:spacing w:line="360" w:lineRule="auto"/>
        <w:ind w:firstLine="600" w:firstLineChars="250"/>
        <w:jc w:val="both"/>
        <w:rPr>
          <w:bCs/>
          <w:color w:val="auto"/>
          <w:sz w:val="24"/>
          <w:highlight w:val="none"/>
        </w:rPr>
      </w:pPr>
      <w:r>
        <w:rPr>
          <w:rFonts w:hint="eastAsia"/>
          <w:bCs/>
          <w:color w:val="auto"/>
          <w:sz w:val="24"/>
          <w:highlight w:val="none"/>
          <w:lang w:val="en-US" w:eastAsia="zh-CN"/>
        </w:rPr>
        <w:t>3</w:t>
      </w:r>
      <w:r>
        <w:rPr>
          <w:rFonts w:hint="eastAsia"/>
          <w:bCs/>
          <w:color w:val="auto"/>
          <w:sz w:val="24"/>
          <w:highlight w:val="none"/>
        </w:rPr>
        <w:t>）</w:t>
      </w:r>
      <w:r>
        <w:rPr>
          <w:bCs/>
          <w:color w:val="auto"/>
          <w:sz w:val="24"/>
          <w:highlight w:val="none"/>
        </w:rPr>
        <w:t>林木种植</w:t>
      </w:r>
    </w:p>
    <w:p w14:paraId="5CC3CE6D">
      <w:pPr>
        <w:spacing w:line="360" w:lineRule="auto"/>
        <w:ind w:firstLine="600" w:firstLineChars="250"/>
        <w:jc w:val="both"/>
        <w:rPr>
          <w:color w:val="auto"/>
          <w:sz w:val="24"/>
          <w:highlight w:val="none"/>
        </w:rPr>
      </w:pPr>
      <w:r>
        <w:rPr>
          <w:color w:val="auto"/>
          <w:sz w:val="24"/>
          <w:highlight w:val="none"/>
        </w:rPr>
        <w:t>复垦为乔木林地，苗木选择</w:t>
      </w:r>
      <w:r>
        <w:rPr>
          <w:rFonts w:hint="eastAsia"/>
          <w:color w:val="auto"/>
          <w:sz w:val="24"/>
          <w:highlight w:val="none"/>
        </w:rPr>
        <w:t>3</w:t>
      </w:r>
      <w:r>
        <w:rPr>
          <w:color w:val="auto"/>
          <w:sz w:val="24"/>
          <w:highlight w:val="none"/>
        </w:rPr>
        <w:t>年生的移植苗，1级苗，苗高＞40cm。株行距</w:t>
      </w:r>
      <w:r>
        <w:rPr>
          <w:rFonts w:hint="eastAsia"/>
          <w:color w:val="auto"/>
          <w:sz w:val="24"/>
          <w:highlight w:val="none"/>
        </w:rPr>
        <w:t>2m×2m</w:t>
      </w:r>
      <w:r>
        <w:rPr>
          <w:color w:val="auto"/>
          <w:sz w:val="24"/>
          <w:highlight w:val="none"/>
        </w:rPr>
        <w:t>，每公顷种植</w:t>
      </w:r>
      <w:r>
        <w:rPr>
          <w:rFonts w:hint="eastAsia"/>
          <w:color w:val="auto"/>
          <w:sz w:val="24"/>
          <w:highlight w:val="none"/>
          <w:lang w:eastAsia="zh-CN"/>
        </w:rPr>
        <w:t>落叶松</w:t>
      </w:r>
      <w:r>
        <w:rPr>
          <w:rFonts w:hint="eastAsia"/>
          <w:color w:val="auto"/>
          <w:sz w:val="24"/>
          <w:highlight w:val="none"/>
        </w:rPr>
        <w:t>2500株</w:t>
      </w:r>
      <w:r>
        <w:rPr>
          <w:color w:val="auto"/>
          <w:sz w:val="24"/>
          <w:highlight w:val="none"/>
        </w:rPr>
        <w:t>。</w:t>
      </w:r>
      <w:r>
        <w:rPr>
          <w:rFonts w:hint="eastAsia"/>
          <w:color w:val="auto"/>
          <w:sz w:val="24"/>
          <w:highlight w:val="none"/>
          <w:lang w:val="en-US" w:eastAsia="zh-CN"/>
        </w:rPr>
        <w:t>复垦</w:t>
      </w:r>
      <w:r>
        <w:rPr>
          <w:color w:val="auto"/>
          <w:sz w:val="24"/>
          <w:highlight w:val="none"/>
        </w:rPr>
        <w:t>面积为</w:t>
      </w:r>
      <w:r>
        <w:rPr>
          <w:rFonts w:hint="eastAsia"/>
          <w:color w:val="auto"/>
          <w:sz w:val="24"/>
          <w:highlight w:val="none"/>
          <w:lang w:val="en-US" w:eastAsia="zh-CN"/>
        </w:rPr>
        <w:t>0.6845</w:t>
      </w:r>
      <w:r>
        <w:rPr>
          <w:color w:val="auto"/>
          <w:sz w:val="24"/>
          <w:highlight w:val="none"/>
        </w:rPr>
        <w:t>hm</w:t>
      </w:r>
      <w:r>
        <w:rPr>
          <w:color w:val="auto"/>
          <w:sz w:val="24"/>
          <w:highlight w:val="none"/>
          <w:vertAlign w:val="superscript"/>
        </w:rPr>
        <w:t>2</w:t>
      </w:r>
      <w:r>
        <w:rPr>
          <w:color w:val="auto"/>
          <w:sz w:val="24"/>
          <w:highlight w:val="none"/>
        </w:rPr>
        <w:t>，种植</w:t>
      </w:r>
      <w:r>
        <w:rPr>
          <w:rFonts w:hint="eastAsia"/>
          <w:color w:val="auto"/>
          <w:sz w:val="24"/>
          <w:highlight w:val="none"/>
          <w:lang w:eastAsia="zh-CN"/>
        </w:rPr>
        <w:t>落叶松</w:t>
      </w:r>
      <w:r>
        <w:rPr>
          <w:rFonts w:hint="eastAsia"/>
          <w:color w:val="auto"/>
          <w:sz w:val="24"/>
          <w:highlight w:val="none"/>
          <w:lang w:val="en-US" w:eastAsia="zh-CN"/>
        </w:rPr>
        <w:t>1711</w:t>
      </w:r>
      <w:r>
        <w:rPr>
          <w:color w:val="auto"/>
          <w:sz w:val="24"/>
          <w:highlight w:val="none"/>
        </w:rPr>
        <w:t>株。</w:t>
      </w:r>
    </w:p>
    <w:p w14:paraId="6E23347E">
      <w:pPr>
        <w:spacing w:line="360" w:lineRule="auto"/>
        <w:ind w:firstLine="600" w:firstLineChars="250"/>
        <w:jc w:val="both"/>
        <w:rPr>
          <w:bCs/>
          <w:color w:val="auto"/>
          <w:sz w:val="24"/>
          <w:highlight w:val="none"/>
        </w:rPr>
      </w:pPr>
      <w:r>
        <w:rPr>
          <w:rFonts w:hint="eastAsia"/>
          <w:bCs/>
          <w:color w:val="auto"/>
          <w:sz w:val="24"/>
          <w:highlight w:val="none"/>
          <w:lang w:val="en-US" w:eastAsia="zh-CN"/>
        </w:rPr>
        <w:t>4</w:t>
      </w:r>
      <w:r>
        <w:rPr>
          <w:rFonts w:hint="eastAsia"/>
          <w:bCs/>
          <w:color w:val="auto"/>
          <w:sz w:val="24"/>
          <w:highlight w:val="none"/>
        </w:rPr>
        <w:t>）</w:t>
      </w:r>
      <w:r>
        <w:rPr>
          <w:bCs/>
          <w:color w:val="auto"/>
          <w:sz w:val="24"/>
          <w:highlight w:val="none"/>
        </w:rPr>
        <w:t>撒播草种</w:t>
      </w:r>
    </w:p>
    <w:p w14:paraId="646E553A">
      <w:pPr>
        <w:pStyle w:val="9"/>
        <w:spacing w:line="360" w:lineRule="auto"/>
        <w:ind w:firstLine="480"/>
        <w:jc w:val="both"/>
        <w:rPr>
          <w:b/>
          <w:bCs/>
          <w:color w:val="auto"/>
          <w:kern w:val="2"/>
          <w:szCs w:val="24"/>
          <w:highlight w:val="none"/>
        </w:rPr>
      </w:pPr>
      <w:r>
        <w:rPr>
          <w:color w:val="auto"/>
          <w:highlight w:val="none"/>
        </w:rPr>
        <w:t>对复垦的土地进行撒播草种，在管护期间，利用绿肥法，改善土壤结构和提高土壤肥力，选用紫花苜蓿作为种植绿肥，撒播草籽量30kg/hm</w:t>
      </w:r>
      <w:r>
        <w:rPr>
          <w:color w:val="auto"/>
          <w:highlight w:val="none"/>
          <w:vertAlign w:val="superscript"/>
        </w:rPr>
        <w:t>2</w:t>
      </w:r>
      <w:r>
        <w:rPr>
          <w:color w:val="auto"/>
          <w:highlight w:val="none"/>
        </w:rPr>
        <w:t>，撒播面积</w:t>
      </w:r>
      <w:r>
        <w:rPr>
          <w:rFonts w:hint="eastAsia"/>
          <w:color w:val="auto"/>
          <w:sz w:val="24"/>
          <w:highlight w:val="none"/>
          <w:lang w:val="en-US" w:eastAsia="zh-CN"/>
        </w:rPr>
        <w:t>0.6845</w:t>
      </w:r>
      <w:r>
        <w:rPr>
          <w:color w:val="auto"/>
          <w:highlight w:val="none"/>
        </w:rPr>
        <w:t>hm</w:t>
      </w:r>
      <w:r>
        <w:rPr>
          <w:color w:val="auto"/>
          <w:highlight w:val="none"/>
          <w:vertAlign w:val="superscript"/>
        </w:rPr>
        <w:t>2</w:t>
      </w:r>
      <w:r>
        <w:rPr>
          <w:color w:val="auto"/>
          <w:highlight w:val="none"/>
        </w:rPr>
        <w:t>。</w:t>
      </w:r>
    </w:p>
    <w:p w14:paraId="04776E7D">
      <w:pPr>
        <w:pStyle w:val="9"/>
        <w:spacing w:line="360" w:lineRule="auto"/>
        <w:ind w:firstLine="480"/>
        <w:jc w:val="both"/>
        <w:rPr>
          <w:b/>
          <w:bCs/>
          <w:color w:val="auto"/>
          <w:kern w:val="2"/>
          <w:szCs w:val="24"/>
          <w:highlight w:val="none"/>
        </w:rPr>
      </w:pPr>
      <w:r>
        <w:rPr>
          <w:rFonts w:hint="eastAsia"/>
          <w:b/>
          <w:bCs/>
          <w:color w:val="auto"/>
          <w:kern w:val="2"/>
          <w:szCs w:val="24"/>
          <w:highlight w:val="none"/>
          <w:lang w:eastAsia="zh-CN"/>
        </w:rPr>
        <w:t>（</w:t>
      </w:r>
      <w:r>
        <w:rPr>
          <w:rFonts w:hint="eastAsia"/>
          <w:b/>
          <w:bCs/>
          <w:color w:val="auto"/>
          <w:kern w:val="2"/>
          <w:szCs w:val="24"/>
          <w:highlight w:val="none"/>
          <w:lang w:val="en-US" w:eastAsia="zh-CN"/>
        </w:rPr>
        <w:t>3</w:t>
      </w:r>
      <w:r>
        <w:rPr>
          <w:rFonts w:hint="eastAsia"/>
          <w:b/>
          <w:bCs/>
          <w:color w:val="auto"/>
          <w:kern w:val="2"/>
          <w:szCs w:val="24"/>
          <w:highlight w:val="none"/>
          <w:lang w:eastAsia="zh-CN"/>
        </w:rPr>
        <w:t>）</w:t>
      </w:r>
      <w:r>
        <w:rPr>
          <w:rFonts w:hint="eastAsia"/>
          <w:b/>
          <w:bCs/>
          <w:color w:val="auto"/>
          <w:kern w:val="2"/>
          <w:szCs w:val="24"/>
          <w:highlight w:val="none"/>
        </w:rPr>
        <w:t>办公生活区</w:t>
      </w:r>
      <w:r>
        <w:rPr>
          <w:rFonts w:hint="eastAsia"/>
          <w:b/>
          <w:bCs/>
          <w:color w:val="auto"/>
          <w:kern w:val="2"/>
          <w:szCs w:val="24"/>
          <w:highlight w:val="none"/>
        </w:rPr>
        <w:tab/>
      </w:r>
    </w:p>
    <w:p w14:paraId="39A7D2A9">
      <w:pPr>
        <w:spacing w:line="360" w:lineRule="auto"/>
        <w:ind w:firstLine="600" w:firstLineChars="250"/>
        <w:jc w:val="both"/>
        <w:rPr>
          <w:rFonts w:hint="default" w:eastAsia="宋体"/>
          <w:bCs/>
          <w:color w:val="auto"/>
          <w:sz w:val="24"/>
          <w:highlight w:val="none"/>
          <w:lang w:val="en-US" w:eastAsia="zh-CN"/>
        </w:rPr>
      </w:pPr>
      <w:r>
        <w:rPr>
          <w:rFonts w:hint="eastAsia"/>
          <w:bCs/>
          <w:color w:val="auto"/>
          <w:sz w:val="24"/>
          <w:highlight w:val="none"/>
          <w:lang w:val="en-US" w:eastAsia="zh-CN"/>
        </w:rPr>
        <w:t>1）土地翻耕</w:t>
      </w:r>
    </w:p>
    <w:p w14:paraId="3B26EAF7">
      <w:pPr>
        <w:spacing w:line="360" w:lineRule="auto"/>
        <w:ind w:firstLine="600" w:firstLineChars="250"/>
        <w:jc w:val="both"/>
        <w:rPr>
          <w:rFonts w:hint="default" w:eastAsia="宋体"/>
          <w:bCs/>
          <w:color w:val="auto"/>
          <w:sz w:val="24"/>
          <w:highlight w:val="none"/>
          <w:vertAlign w:val="baseline"/>
          <w:lang w:val="en-US" w:eastAsia="zh-CN"/>
        </w:rPr>
      </w:pPr>
      <w:r>
        <w:rPr>
          <w:rFonts w:hint="eastAsia"/>
          <w:bCs/>
          <w:color w:val="auto"/>
          <w:sz w:val="24"/>
          <w:highlight w:val="none"/>
          <w:lang w:val="en-US" w:eastAsia="zh-CN"/>
        </w:rPr>
        <w:t>由于压占时间较长，使地面出现板结现象，土壤透气性能下降，可采取土地翻耕来提高土壤孔隙度，设计采取59kW拖拉机和三铧犁进行土地翻耕。对该复垦单元进行翻耕，翻耕深度0.3m，翻耕面积</w:t>
      </w:r>
      <w:r>
        <w:rPr>
          <w:rFonts w:hint="eastAsia"/>
          <w:color w:val="auto"/>
          <w:sz w:val="24"/>
          <w:highlight w:val="none"/>
          <w:lang w:val="en-US" w:eastAsia="zh-CN"/>
        </w:rPr>
        <w:t>0.2605hm</w:t>
      </w:r>
      <w:r>
        <w:rPr>
          <w:rFonts w:hint="eastAsia"/>
          <w:color w:val="auto"/>
          <w:sz w:val="24"/>
          <w:highlight w:val="none"/>
          <w:vertAlign w:val="superscript"/>
          <w:lang w:val="en-US" w:eastAsia="zh-CN"/>
        </w:rPr>
        <w:t>2</w:t>
      </w:r>
      <w:r>
        <w:rPr>
          <w:rFonts w:hint="eastAsia"/>
          <w:color w:val="auto"/>
          <w:sz w:val="24"/>
          <w:highlight w:val="none"/>
          <w:vertAlign w:val="baseline"/>
          <w:lang w:val="en-US" w:eastAsia="zh-CN"/>
        </w:rPr>
        <w:t>。</w:t>
      </w:r>
    </w:p>
    <w:p w14:paraId="4FA09BB1">
      <w:pPr>
        <w:spacing w:line="360" w:lineRule="auto"/>
        <w:ind w:firstLine="600" w:firstLineChars="250"/>
        <w:jc w:val="both"/>
        <w:rPr>
          <w:bCs/>
          <w:color w:val="auto"/>
          <w:sz w:val="24"/>
          <w:highlight w:val="none"/>
        </w:rPr>
      </w:pPr>
      <w:r>
        <w:rPr>
          <w:rFonts w:hint="eastAsia"/>
          <w:bCs/>
          <w:color w:val="auto"/>
          <w:sz w:val="24"/>
          <w:highlight w:val="none"/>
          <w:lang w:val="en-US" w:eastAsia="zh-CN"/>
        </w:rPr>
        <w:t>2</w:t>
      </w:r>
      <w:r>
        <w:rPr>
          <w:rFonts w:hint="eastAsia"/>
          <w:bCs/>
          <w:color w:val="auto"/>
          <w:sz w:val="24"/>
          <w:highlight w:val="none"/>
        </w:rPr>
        <w:t>）</w:t>
      </w:r>
      <w:r>
        <w:rPr>
          <w:bCs/>
          <w:color w:val="auto"/>
          <w:sz w:val="24"/>
          <w:highlight w:val="none"/>
        </w:rPr>
        <w:t>覆土工程</w:t>
      </w:r>
    </w:p>
    <w:p w14:paraId="2C7B72F9">
      <w:pPr>
        <w:spacing w:line="360" w:lineRule="auto"/>
        <w:ind w:firstLine="482"/>
        <w:jc w:val="both"/>
        <w:rPr>
          <w:color w:val="auto"/>
          <w:sz w:val="24"/>
          <w:highlight w:val="none"/>
        </w:rPr>
      </w:pPr>
      <w:r>
        <w:rPr>
          <w:rFonts w:hint="eastAsia"/>
          <w:color w:val="auto"/>
          <w:sz w:val="24"/>
          <w:highlight w:val="none"/>
          <w:lang w:val="en-US" w:eastAsia="zh-CN"/>
        </w:rPr>
        <w:t>该复垦单元回覆表土厚度0.3m，回填面积0.2605hm</w:t>
      </w:r>
      <w:r>
        <w:rPr>
          <w:rFonts w:hint="eastAsia"/>
          <w:color w:val="auto"/>
          <w:sz w:val="24"/>
          <w:highlight w:val="none"/>
          <w:vertAlign w:val="superscript"/>
          <w:lang w:val="en-US" w:eastAsia="zh-CN"/>
        </w:rPr>
        <w:t>2</w:t>
      </w:r>
      <w:r>
        <w:rPr>
          <w:rFonts w:hint="eastAsia"/>
          <w:color w:val="auto"/>
          <w:sz w:val="24"/>
          <w:highlight w:val="none"/>
        </w:rPr>
        <w:t>，共回覆表土</w:t>
      </w:r>
      <w:r>
        <w:rPr>
          <w:rFonts w:hint="eastAsia"/>
          <w:color w:val="auto"/>
          <w:sz w:val="24"/>
          <w:highlight w:val="none"/>
          <w:lang w:val="en-US" w:eastAsia="zh-CN"/>
        </w:rPr>
        <w:t>782</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。覆土采用挖掘机装</w:t>
      </w:r>
      <w:r>
        <w:rPr>
          <w:color w:val="auto"/>
          <w:sz w:val="24"/>
          <w:highlight w:val="none"/>
        </w:rPr>
        <w:t>自卸汽车</w:t>
      </w:r>
      <w:r>
        <w:rPr>
          <w:rFonts w:hint="eastAsia"/>
          <w:color w:val="auto"/>
          <w:sz w:val="24"/>
          <w:highlight w:val="none"/>
        </w:rPr>
        <w:t>运至</w:t>
      </w:r>
      <w:r>
        <w:rPr>
          <w:color w:val="auto"/>
          <w:sz w:val="24"/>
          <w:highlight w:val="none"/>
        </w:rPr>
        <w:t>复垦场地，</w:t>
      </w:r>
      <w:r>
        <w:rPr>
          <w:rFonts w:hint="eastAsia"/>
          <w:color w:val="auto"/>
          <w:sz w:val="24"/>
          <w:highlight w:val="none"/>
        </w:rPr>
        <w:t>采用推土机平土。</w:t>
      </w:r>
      <w:r>
        <w:rPr>
          <w:rFonts w:hint="eastAsia"/>
          <w:color w:val="auto"/>
          <w:sz w:val="24"/>
          <w:highlight w:val="none"/>
          <w:lang w:val="en-US" w:eastAsia="zh-CN"/>
        </w:rPr>
        <w:t>覆土来源于前期剥离的表土。</w:t>
      </w:r>
    </w:p>
    <w:p w14:paraId="227E0752">
      <w:pPr>
        <w:spacing w:line="360" w:lineRule="auto"/>
        <w:ind w:firstLine="600" w:firstLineChars="250"/>
        <w:jc w:val="both"/>
        <w:rPr>
          <w:bCs/>
          <w:color w:val="auto"/>
          <w:sz w:val="24"/>
          <w:highlight w:val="none"/>
        </w:rPr>
      </w:pPr>
      <w:r>
        <w:rPr>
          <w:rFonts w:hint="eastAsia"/>
          <w:bCs/>
          <w:color w:val="auto"/>
          <w:sz w:val="24"/>
          <w:highlight w:val="none"/>
          <w:lang w:val="en-US" w:eastAsia="zh-CN"/>
        </w:rPr>
        <w:t>3</w:t>
      </w:r>
      <w:r>
        <w:rPr>
          <w:rFonts w:hint="eastAsia"/>
          <w:bCs/>
          <w:color w:val="auto"/>
          <w:sz w:val="24"/>
          <w:highlight w:val="none"/>
        </w:rPr>
        <w:t>）</w:t>
      </w:r>
      <w:r>
        <w:rPr>
          <w:bCs/>
          <w:color w:val="auto"/>
          <w:sz w:val="24"/>
          <w:highlight w:val="none"/>
        </w:rPr>
        <w:t>林木种植</w:t>
      </w:r>
    </w:p>
    <w:p w14:paraId="6015B972">
      <w:pPr>
        <w:spacing w:line="360" w:lineRule="auto"/>
        <w:ind w:firstLine="600" w:firstLineChars="250"/>
        <w:jc w:val="both"/>
        <w:rPr>
          <w:color w:val="auto"/>
          <w:sz w:val="24"/>
          <w:highlight w:val="none"/>
        </w:rPr>
      </w:pPr>
      <w:r>
        <w:rPr>
          <w:color w:val="auto"/>
          <w:sz w:val="24"/>
          <w:highlight w:val="none"/>
        </w:rPr>
        <w:t>复垦为乔木林地，苗木选择</w:t>
      </w:r>
      <w:r>
        <w:rPr>
          <w:rFonts w:hint="eastAsia"/>
          <w:color w:val="auto"/>
          <w:sz w:val="24"/>
          <w:highlight w:val="none"/>
        </w:rPr>
        <w:t>3</w:t>
      </w:r>
      <w:r>
        <w:rPr>
          <w:color w:val="auto"/>
          <w:sz w:val="24"/>
          <w:highlight w:val="none"/>
        </w:rPr>
        <w:t>年生的移植苗，1级苗，苗高＞40cm。株行距</w:t>
      </w:r>
      <w:r>
        <w:rPr>
          <w:rFonts w:hint="eastAsia"/>
          <w:color w:val="auto"/>
          <w:sz w:val="24"/>
          <w:highlight w:val="none"/>
        </w:rPr>
        <w:t>2m×2m</w:t>
      </w:r>
      <w:r>
        <w:rPr>
          <w:color w:val="auto"/>
          <w:sz w:val="24"/>
          <w:highlight w:val="none"/>
        </w:rPr>
        <w:t>，每公顷种植</w:t>
      </w:r>
      <w:r>
        <w:rPr>
          <w:rFonts w:hint="eastAsia"/>
          <w:color w:val="auto"/>
          <w:sz w:val="24"/>
          <w:highlight w:val="none"/>
          <w:lang w:eastAsia="zh-CN"/>
        </w:rPr>
        <w:t>落叶松</w:t>
      </w:r>
      <w:r>
        <w:rPr>
          <w:rFonts w:hint="eastAsia"/>
          <w:color w:val="auto"/>
          <w:sz w:val="24"/>
          <w:highlight w:val="none"/>
        </w:rPr>
        <w:t>2500株</w:t>
      </w:r>
      <w:r>
        <w:rPr>
          <w:color w:val="auto"/>
          <w:sz w:val="24"/>
          <w:highlight w:val="none"/>
        </w:rPr>
        <w:t>。</w:t>
      </w:r>
      <w:r>
        <w:rPr>
          <w:rFonts w:hint="eastAsia"/>
          <w:color w:val="auto"/>
          <w:sz w:val="24"/>
          <w:highlight w:val="none"/>
          <w:lang w:val="en-US" w:eastAsia="zh-CN"/>
        </w:rPr>
        <w:t>复垦</w:t>
      </w:r>
      <w:r>
        <w:rPr>
          <w:color w:val="auto"/>
          <w:sz w:val="24"/>
          <w:highlight w:val="none"/>
        </w:rPr>
        <w:t>面积为</w:t>
      </w:r>
      <w:r>
        <w:rPr>
          <w:rFonts w:hint="eastAsia"/>
          <w:color w:val="auto"/>
          <w:sz w:val="24"/>
          <w:highlight w:val="none"/>
          <w:lang w:val="en-US" w:eastAsia="zh-CN"/>
        </w:rPr>
        <w:t>0.2605</w:t>
      </w:r>
      <w:r>
        <w:rPr>
          <w:color w:val="auto"/>
          <w:sz w:val="24"/>
          <w:highlight w:val="none"/>
        </w:rPr>
        <w:t>hm</w:t>
      </w:r>
      <w:r>
        <w:rPr>
          <w:color w:val="auto"/>
          <w:sz w:val="24"/>
          <w:highlight w:val="none"/>
          <w:vertAlign w:val="superscript"/>
        </w:rPr>
        <w:t>2</w:t>
      </w:r>
      <w:r>
        <w:rPr>
          <w:color w:val="auto"/>
          <w:sz w:val="24"/>
          <w:highlight w:val="none"/>
        </w:rPr>
        <w:t>，种植</w:t>
      </w:r>
      <w:r>
        <w:rPr>
          <w:rFonts w:hint="eastAsia"/>
          <w:color w:val="auto"/>
          <w:sz w:val="24"/>
          <w:highlight w:val="none"/>
          <w:lang w:eastAsia="zh-CN"/>
        </w:rPr>
        <w:t>落叶松</w:t>
      </w:r>
      <w:r>
        <w:rPr>
          <w:rFonts w:hint="eastAsia"/>
          <w:color w:val="auto"/>
          <w:sz w:val="24"/>
          <w:highlight w:val="none"/>
          <w:lang w:val="en-US" w:eastAsia="zh-CN"/>
        </w:rPr>
        <w:t>651</w:t>
      </w:r>
      <w:r>
        <w:rPr>
          <w:color w:val="auto"/>
          <w:sz w:val="24"/>
          <w:highlight w:val="none"/>
        </w:rPr>
        <w:t>株。</w:t>
      </w:r>
    </w:p>
    <w:p w14:paraId="5AF7022A">
      <w:pPr>
        <w:spacing w:line="360" w:lineRule="auto"/>
        <w:ind w:firstLine="600" w:firstLineChars="250"/>
        <w:jc w:val="both"/>
        <w:rPr>
          <w:bCs/>
          <w:color w:val="auto"/>
          <w:sz w:val="24"/>
          <w:highlight w:val="none"/>
        </w:rPr>
      </w:pPr>
      <w:r>
        <w:rPr>
          <w:rFonts w:hint="eastAsia"/>
          <w:bCs/>
          <w:color w:val="auto"/>
          <w:sz w:val="24"/>
          <w:highlight w:val="none"/>
          <w:lang w:val="en-US" w:eastAsia="zh-CN"/>
        </w:rPr>
        <w:t>4</w:t>
      </w:r>
      <w:r>
        <w:rPr>
          <w:rFonts w:hint="eastAsia"/>
          <w:bCs/>
          <w:color w:val="auto"/>
          <w:sz w:val="24"/>
          <w:highlight w:val="none"/>
        </w:rPr>
        <w:t>）</w:t>
      </w:r>
      <w:r>
        <w:rPr>
          <w:bCs/>
          <w:color w:val="auto"/>
          <w:sz w:val="24"/>
          <w:highlight w:val="none"/>
        </w:rPr>
        <w:t>撒播草种</w:t>
      </w:r>
    </w:p>
    <w:p w14:paraId="6E89EFDC">
      <w:pPr>
        <w:pStyle w:val="9"/>
        <w:spacing w:line="360" w:lineRule="auto"/>
        <w:ind w:firstLine="480"/>
        <w:jc w:val="both"/>
        <w:rPr>
          <w:b/>
          <w:bCs/>
          <w:color w:val="auto"/>
          <w:kern w:val="2"/>
          <w:szCs w:val="24"/>
          <w:highlight w:val="none"/>
        </w:rPr>
      </w:pPr>
      <w:r>
        <w:rPr>
          <w:color w:val="auto"/>
          <w:highlight w:val="none"/>
        </w:rPr>
        <w:t>对复垦的土地进行撒播草种，在管护期间，利用绿肥法，改善土壤结构和提高土壤肥力，选用紫花苜蓿作为种植绿肥，撒播草籽量30kg/hm</w:t>
      </w:r>
      <w:r>
        <w:rPr>
          <w:color w:val="auto"/>
          <w:highlight w:val="none"/>
          <w:vertAlign w:val="superscript"/>
        </w:rPr>
        <w:t>2</w:t>
      </w:r>
      <w:r>
        <w:rPr>
          <w:color w:val="auto"/>
          <w:highlight w:val="none"/>
        </w:rPr>
        <w:t>，撒播面积</w:t>
      </w:r>
      <w:r>
        <w:rPr>
          <w:rFonts w:hint="eastAsia"/>
          <w:color w:val="auto"/>
          <w:sz w:val="24"/>
          <w:highlight w:val="none"/>
          <w:lang w:val="en-US" w:eastAsia="zh-CN"/>
        </w:rPr>
        <w:t>0.2605</w:t>
      </w:r>
      <w:r>
        <w:rPr>
          <w:color w:val="auto"/>
          <w:highlight w:val="none"/>
        </w:rPr>
        <w:t>hm</w:t>
      </w:r>
      <w:r>
        <w:rPr>
          <w:color w:val="auto"/>
          <w:highlight w:val="none"/>
          <w:vertAlign w:val="superscript"/>
        </w:rPr>
        <w:t>2</w:t>
      </w:r>
      <w:r>
        <w:rPr>
          <w:color w:val="auto"/>
          <w:highlight w:val="none"/>
        </w:rPr>
        <w:t>。</w:t>
      </w:r>
    </w:p>
    <w:p w14:paraId="32E80A88">
      <w:pPr>
        <w:pStyle w:val="9"/>
        <w:spacing w:line="360" w:lineRule="auto"/>
        <w:ind w:firstLine="480"/>
        <w:jc w:val="both"/>
        <w:rPr>
          <w:b/>
          <w:bCs/>
          <w:color w:val="auto"/>
          <w:kern w:val="2"/>
          <w:szCs w:val="24"/>
          <w:highlight w:val="none"/>
        </w:rPr>
      </w:pPr>
      <w:r>
        <w:rPr>
          <w:rFonts w:hint="eastAsia"/>
          <w:b/>
          <w:bCs/>
          <w:color w:val="auto"/>
          <w:kern w:val="2"/>
          <w:szCs w:val="24"/>
          <w:highlight w:val="none"/>
          <w:lang w:eastAsia="zh-CN"/>
        </w:rPr>
        <w:t>（</w:t>
      </w:r>
      <w:r>
        <w:rPr>
          <w:rFonts w:hint="eastAsia"/>
          <w:b/>
          <w:bCs/>
          <w:color w:val="auto"/>
          <w:kern w:val="2"/>
          <w:szCs w:val="24"/>
          <w:highlight w:val="none"/>
          <w:lang w:val="en-US" w:eastAsia="zh-CN"/>
        </w:rPr>
        <w:t>4</w:t>
      </w:r>
      <w:r>
        <w:rPr>
          <w:rFonts w:hint="eastAsia"/>
          <w:b/>
          <w:bCs/>
          <w:color w:val="auto"/>
          <w:kern w:val="2"/>
          <w:szCs w:val="24"/>
          <w:highlight w:val="none"/>
          <w:lang w:eastAsia="zh-CN"/>
        </w:rPr>
        <w:t>）</w:t>
      </w:r>
      <w:r>
        <w:rPr>
          <w:rFonts w:hint="eastAsia"/>
          <w:b/>
          <w:bCs/>
          <w:color w:val="auto"/>
          <w:kern w:val="2"/>
          <w:szCs w:val="24"/>
          <w:highlight w:val="none"/>
        </w:rPr>
        <w:t>原有办公室及临时堆料场</w:t>
      </w:r>
      <w:r>
        <w:rPr>
          <w:rFonts w:hint="eastAsia"/>
          <w:b/>
          <w:bCs/>
          <w:color w:val="auto"/>
          <w:kern w:val="2"/>
          <w:szCs w:val="24"/>
          <w:highlight w:val="none"/>
        </w:rPr>
        <w:tab/>
      </w:r>
      <w:r>
        <w:rPr>
          <w:rFonts w:hint="eastAsia"/>
          <w:b/>
          <w:bCs/>
          <w:color w:val="auto"/>
          <w:kern w:val="2"/>
          <w:szCs w:val="24"/>
          <w:highlight w:val="none"/>
        </w:rPr>
        <w:tab/>
      </w:r>
    </w:p>
    <w:p w14:paraId="57E41587">
      <w:pPr>
        <w:spacing w:line="360" w:lineRule="auto"/>
        <w:ind w:firstLine="600" w:firstLineChars="250"/>
        <w:jc w:val="both"/>
        <w:rPr>
          <w:rFonts w:hint="default" w:eastAsia="宋体"/>
          <w:bCs/>
          <w:color w:val="auto"/>
          <w:sz w:val="24"/>
          <w:highlight w:val="none"/>
          <w:lang w:val="en-US" w:eastAsia="zh-CN"/>
        </w:rPr>
      </w:pPr>
      <w:r>
        <w:rPr>
          <w:rFonts w:hint="eastAsia"/>
          <w:bCs/>
          <w:color w:val="auto"/>
          <w:sz w:val="24"/>
          <w:highlight w:val="none"/>
          <w:lang w:val="en-US" w:eastAsia="zh-CN"/>
        </w:rPr>
        <w:t>1）土地翻耕</w:t>
      </w:r>
    </w:p>
    <w:p w14:paraId="2769C9DD">
      <w:pPr>
        <w:spacing w:line="360" w:lineRule="auto"/>
        <w:ind w:firstLine="600" w:firstLineChars="250"/>
        <w:jc w:val="both"/>
        <w:rPr>
          <w:rFonts w:hint="default" w:eastAsia="宋体"/>
          <w:bCs/>
          <w:color w:val="auto"/>
          <w:sz w:val="24"/>
          <w:highlight w:val="none"/>
          <w:vertAlign w:val="baseline"/>
          <w:lang w:val="en-US" w:eastAsia="zh-CN"/>
        </w:rPr>
      </w:pPr>
      <w:r>
        <w:rPr>
          <w:rFonts w:hint="eastAsia"/>
          <w:bCs/>
          <w:color w:val="auto"/>
          <w:sz w:val="24"/>
          <w:highlight w:val="none"/>
          <w:lang w:val="en-US" w:eastAsia="zh-CN"/>
        </w:rPr>
        <w:t>由于压占时间较长，使地面出现板结现象，土壤透气性能下降，可采取土地翻耕来提高土壤孔隙度，设计采取59kW拖拉机和三铧犁进行土地翻耕。对该复垦单元进行翻耕，翻耕深度0.3m，翻耕面积</w:t>
      </w:r>
      <w:r>
        <w:rPr>
          <w:rFonts w:hint="eastAsia"/>
          <w:color w:val="auto"/>
          <w:sz w:val="24"/>
          <w:highlight w:val="none"/>
          <w:lang w:val="en-US" w:eastAsia="zh-CN"/>
        </w:rPr>
        <w:t>0.1178 hm</w:t>
      </w:r>
      <w:r>
        <w:rPr>
          <w:rFonts w:hint="eastAsia"/>
          <w:color w:val="auto"/>
          <w:sz w:val="24"/>
          <w:highlight w:val="none"/>
          <w:vertAlign w:val="superscript"/>
          <w:lang w:val="en-US" w:eastAsia="zh-CN"/>
        </w:rPr>
        <w:t>2</w:t>
      </w:r>
      <w:r>
        <w:rPr>
          <w:rFonts w:hint="eastAsia"/>
          <w:color w:val="auto"/>
          <w:sz w:val="24"/>
          <w:highlight w:val="none"/>
          <w:vertAlign w:val="baseline"/>
          <w:lang w:val="en-US" w:eastAsia="zh-CN"/>
        </w:rPr>
        <w:t>。</w:t>
      </w:r>
    </w:p>
    <w:p w14:paraId="4216A000">
      <w:pPr>
        <w:spacing w:line="360" w:lineRule="auto"/>
        <w:ind w:firstLine="600" w:firstLineChars="250"/>
        <w:jc w:val="both"/>
        <w:rPr>
          <w:bCs/>
          <w:color w:val="auto"/>
          <w:sz w:val="24"/>
          <w:highlight w:val="none"/>
        </w:rPr>
      </w:pPr>
      <w:r>
        <w:rPr>
          <w:rFonts w:hint="eastAsia"/>
          <w:bCs/>
          <w:color w:val="auto"/>
          <w:sz w:val="24"/>
          <w:highlight w:val="none"/>
          <w:lang w:val="en-US" w:eastAsia="zh-CN"/>
        </w:rPr>
        <w:t>2</w:t>
      </w:r>
      <w:r>
        <w:rPr>
          <w:rFonts w:hint="eastAsia"/>
          <w:bCs/>
          <w:color w:val="auto"/>
          <w:sz w:val="24"/>
          <w:highlight w:val="none"/>
        </w:rPr>
        <w:t>）</w:t>
      </w:r>
      <w:r>
        <w:rPr>
          <w:bCs/>
          <w:color w:val="auto"/>
          <w:sz w:val="24"/>
          <w:highlight w:val="none"/>
        </w:rPr>
        <w:t>覆土工程</w:t>
      </w:r>
    </w:p>
    <w:p w14:paraId="10B26906">
      <w:pPr>
        <w:spacing w:line="360" w:lineRule="auto"/>
        <w:ind w:firstLine="482"/>
        <w:jc w:val="both"/>
        <w:rPr>
          <w:color w:val="auto"/>
          <w:sz w:val="24"/>
          <w:highlight w:val="none"/>
        </w:rPr>
      </w:pPr>
      <w:r>
        <w:rPr>
          <w:rFonts w:hint="eastAsia"/>
          <w:color w:val="auto"/>
          <w:sz w:val="24"/>
          <w:highlight w:val="none"/>
          <w:lang w:val="en-US" w:eastAsia="zh-CN"/>
        </w:rPr>
        <w:t>该复垦单元回覆表土厚度0.3m，回填面积0.1178 hm</w:t>
      </w:r>
      <w:r>
        <w:rPr>
          <w:rFonts w:hint="eastAsia"/>
          <w:color w:val="auto"/>
          <w:sz w:val="24"/>
          <w:highlight w:val="none"/>
          <w:vertAlign w:val="superscript"/>
          <w:lang w:val="en-US" w:eastAsia="zh-CN"/>
        </w:rPr>
        <w:t>2</w:t>
      </w:r>
      <w:r>
        <w:rPr>
          <w:rFonts w:hint="eastAsia"/>
          <w:color w:val="auto"/>
          <w:sz w:val="24"/>
          <w:highlight w:val="none"/>
        </w:rPr>
        <w:t>，共回覆表土</w:t>
      </w:r>
      <w:r>
        <w:rPr>
          <w:rFonts w:hint="eastAsia"/>
          <w:color w:val="auto"/>
          <w:sz w:val="24"/>
          <w:highlight w:val="none"/>
          <w:lang w:val="en-US" w:eastAsia="zh-CN"/>
        </w:rPr>
        <w:t>353</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。覆土采用挖掘机装</w:t>
      </w:r>
      <w:r>
        <w:rPr>
          <w:color w:val="auto"/>
          <w:sz w:val="24"/>
          <w:highlight w:val="none"/>
        </w:rPr>
        <w:t>自卸汽车</w:t>
      </w:r>
      <w:r>
        <w:rPr>
          <w:rFonts w:hint="eastAsia"/>
          <w:color w:val="auto"/>
          <w:sz w:val="24"/>
          <w:highlight w:val="none"/>
        </w:rPr>
        <w:t>运至</w:t>
      </w:r>
      <w:r>
        <w:rPr>
          <w:color w:val="auto"/>
          <w:sz w:val="24"/>
          <w:highlight w:val="none"/>
        </w:rPr>
        <w:t>复垦场地，</w:t>
      </w:r>
      <w:r>
        <w:rPr>
          <w:rFonts w:hint="eastAsia"/>
          <w:color w:val="auto"/>
          <w:sz w:val="24"/>
          <w:highlight w:val="none"/>
        </w:rPr>
        <w:t>采用推土机平土。</w:t>
      </w:r>
      <w:r>
        <w:rPr>
          <w:rFonts w:hint="eastAsia"/>
          <w:color w:val="auto"/>
          <w:sz w:val="24"/>
          <w:highlight w:val="none"/>
          <w:lang w:val="en-US" w:eastAsia="zh-CN"/>
        </w:rPr>
        <w:t>覆土来源于前期剥离的表土。</w:t>
      </w:r>
    </w:p>
    <w:p w14:paraId="333F3F41">
      <w:pPr>
        <w:spacing w:line="360" w:lineRule="auto"/>
        <w:ind w:firstLine="600" w:firstLineChars="250"/>
        <w:jc w:val="both"/>
        <w:rPr>
          <w:bCs/>
          <w:color w:val="auto"/>
          <w:sz w:val="24"/>
          <w:highlight w:val="none"/>
        </w:rPr>
      </w:pPr>
      <w:r>
        <w:rPr>
          <w:rFonts w:hint="eastAsia"/>
          <w:bCs/>
          <w:color w:val="auto"/>
          <w:sz w:val="24"/>
          <w:highlight w:val="none"/>
          <w:lang w:val="en-US" w:eastAsia="zh-CN"/>
        </w:rPr>
        <w:t>3</w:t>
      </w:r>
      <w:r>
        <w:rPr>
          <w:rFonts w:hint="eastAsia"/>
          <w:bCs/>
          <w:color w:val="auto"/>
          <w:sz w:val="24"/>
          <w:highlight w:val="none"/>
        </w:rPr>
        <w:t>）</w:t>
      </w:r>
      <w:r>
        <w:rPr>
          <w:bCs/>
          <w:color w:val="auto"/>
          <w:sz w:val="24"/>
          <w:highlight w:val="none"/>
        </w:rPr>
        <w:t>林木种植</w:t>
      </w:r>
    </w:p>
    <w:p w14:paraId="09AB64DA">
      <w:pPr>
        <w:spacing w:line="360" w:lineRule="auto"/>
        <w:ind w:firstLine="600" w:firstLineChars="250"/>
        <w:jc w:val="both"/>
        <w:rPr>
          <w:color w:val="auto"/>
          <w:sz w:val="24"/>
          <w:highlight w:val="none"/>
        </w:rPr>
      </w:pPr>
      <w:r>
        <w:rPr>
          <w:color w:val="auto"/>
          <w:sz w:val="24"/>
          <w:highlight w:val="none"/>
        </w:rPr>
        <w:t>复垦为乔木林地，苗木选择</w:t>
      </w:r>
      <w:r>
        <w:rPr>
          <w:rFonts w:hint="eastAsia"/>
          <w:color w:val="auto"/>
          <w:sz w:val="24"/>
          <w:highlight w:val="none"/>
        </w:rPr>
        <w:t>3</w:t>
      </w:r>
      <w:r>
        <w:rPr>
          <w:color w:val="auto"/>
          <w:sz w:val="24"/>
          <w:highlight w:val="none"/>
        </w:rPr>
        <w:t>年生的移植苗，1级苗，苗高＞40cm。株行距</w:t>
      </w:r>
      <w:r>
        <w:rPr>
          <w:rFonts w:hint="eastAsia"/>
          <w:color w:val="auto"/>
          <w:sz w:val="24"/>
          <w:highlight w:val="none"/>
        </w:rPr>
        <w:t>2m×2m</w:t>
      </w:r>
      <w:r>
        <w:rPr>
          <w:color w:val="auto"/>
          <w:sz w:val="24"/>
          <w:highlight w:val="none"/>
        </w:rPr>
        <w:t>，每公顷种植</w:t>
      </w:r>
      <w:r>
        <w:rPr>
          <w:rFonts w:hint="eastAsia"/>
          <w:color w:val="auto"/>
          <w:sz w:val="24"/>
          <w:highlight w:val="none"/>
          <w:lang w:eastAsia="zh-CN"/>
        </w:rPr>
        <w:t>落叶松</w:t>
      </w:r>
      <w:r>
        <w:rPr>
          <w:rFonts w:hint="eastAsia"/>
          <w:color w:val="auto"/>
          <w:sz w:val="24"/>
          <w:highlight w:val="none"/>
        </w:rPr>
        <w:t>2500株</w:t>
      </w:r>
      <w:r>
        <w:rPr>
          <w:color w:val="auto"/>
          <w:sz w:val="24"/>
          <w:highlight w:val="none"/>
        </w:rPr>
        <w:t>。</w:t>
      </w:r>
      <w:r>
        <w:rPr>
          <w:rFonts w:hint="eastAsia"/>
          <w:color w:val="auto"/>
          <w:sz w:val="24"/>
          <w:highlight w:val="none"/>
          <w:lang w:val="en-US" w:eastAsia="zh-CN"/>
        </w:rPr>
        <w:t>复垦</w:t>
      </w:r>
      <w:r>
        <w:rPr>
          <w:color w:val="auto"/>
          <w:sz w:val="24"/>
          <w:highlight w:val="none"/>
        </w:rPr>
        <w:t>面积为</w:t>
      </w:r>
      <w:r>
        <w:rPr>
          <w:rFonts w:hint="eastAsia"/>
          <w:color w:val="auto"/>
          <w:sz w:val="24"/>
          <w:highlight w:val="none"/>
          <w:lang w:val="en-US" w:eastAsia="zh-CN"/>
        </w:rPr>
        <w:t xml:space="preserve">0.1178 </w:t>
      </w:r>
      <w:r>
        <w:rPr>
          <w:color w:val="auto"/>
          <w:sz w:val="24"/>
          <w:highlight w:val="none"/>
        </w:rPr>
        <w:t>hm</w:t>
      </w:r>
      <w:r>
        <w:rPr>
          <w:color w:val="auto"/>
          <w:sz w:val="24"/>
          <w:highlight w:val="none"/>
          <w:vertAlign w:val="superscript"/>
        </w:rPr>
        <w:t>2</w:t>
      </w:r>
      <w:r>
        <w:rPr>
          <w:color w:val="auto"/>
          <w:sz w:val="24"/>
          <w:highlight w:val="none"/>
        </w:rPr>
        <w:t>，种植</w:t>
      </w:r>
      <w:r>
        <w:rPr>
          <w:rFonts w:hint="eastAsia"/>
          <w:color w:val="auto"/>
          <w:sz w:val="24"/>
          <w:highlight w:val="none"/>
          <w:lang w:eastAsia="zh-CN"/>
        </w:rPr>
        <w:t>落叶松</w:t>
      </w:r>
      <w:r>
        <w:rPr>
          <w:rFonts w:hint="eastAsia"/>
          <w:color w:val="auto"/>
          <w:sz w:val="24"/>
          <w:highlight w:val="none"/>
          <w:lang w:val="en-US" w:eastAsia="zh-CN"/>
        </w:rPr>
        <w:t>295</w:t>
      </w:r>
      <w:r>
        <w:rPr>
          <w:color w:val="auto"/>
          <w:sz w:val="24"/>
          <w:highlight w:val="none"/>
        </w:rPr>
        <w:t>株。</w:t>
      </w:r>
    </w:p>
    <w:p w14:paraId="64C01199">
      <w:pPr>
        <w:spacing w:line="360" w:lineRule="auto"/>
        <w:ind w:firstLine="600" w:firstLineChars="250"/>
        <w:jc w:val="both"/>
        <w:rPr>
          <w:bCs/>
          <w:color w:val="auto"/>
          <w:sz w:val="24"/>
          <w:highlight w:val="none"/>
        </w:rPr>
      </w:pPr>
      <w:r>
        <w:rPr>
          <w:rFonts w:hint="eastAsia"/>
          <w:bCs/>
          <w:color w:val="auto"/>
          <w:sz w:val="24"/>
          <w:highlight w:val="none"/>
          <w:lang w:val="en-US" w:eastAsia="zh-CN"/>
        </w:rPr>
        <w:t>4</w:t>
      </w:r>
      <w:r>
        <w:rPr>
          <w:rFonts w:hint="eastAsia"/>
          <w:bCs/>
          <w:color w:val="auto"/>
          <w:sz w:val="24"/>
          <w:highlight w:val="none"/>
        </w:rPr>
        <w:t>）</w:t>
      </w:r>
      <w:r>
        <w:rPr>
          <w:bCs/>
          <w:color w:val="auto"/>
          <w:sz w:val="24"/>
          <w:highlight w:val="none"/>
        </w:rPr>
        <w:t>撒播草种</w:t>
      </w:r>
    </w:p>
    <w:p w14:paraId="3B1E064E">
      <w:pPr>
        <w:pStyle w:val="9"/>
        <w:spacing w:line="360" w:lineRule="auto"/>
        <w:ind w:firstLine="480"/>
        <w:jc w:val="both"/>
        <w:rPr>
          <w:b/>
          <w:bCs/>
          <w:color w:val="auto"/>
          <w:kern w:val="2"/>
          <w:szCs w:val="24"/>
          <w:highlight w:val="none"/>
        </w:rPr>
      </w:pPr>
      <w:r>
        <w:rPr>
          <w:color w:val="auto"/>
          <w:highlight w:val="none"/>
        </w:rPr>
        <w:t>对复垦的土地进行撒播草种，在管护期间，利用绿肥法，改善土壤结构和提高土壤肥力，选用紫花苜蓿作为种植绿肥，撒播草籽量30kg/hm</w:t>
      </w:r>
      <w:r>
        <w:rPr>
          <w:color w:val="auto"/>
          <w:highlight w:val="none"/>
          <w:vertAlign w:val="superscript"/>
        </w:rPr>
        <w:t>2</w:t>
      </w:r>
      <w:r>
        <w:rPr>
          <w:color w:val="auto"/>
          <w:highlight w:val="none"/>
        </w:rPr>
        <w:t>，撒播面积</w:t>
      </w:r>
      <w:r>
        <w:rPr>
          <w:rFonts w:hint="eastAsia"/>
          <w:color w:val="auto"/>
          <w:sz w:val="24"/>
          <w:highlight w:val="none"/>
          <w:lang w:val="en-US" w:eastAsia="zh-CN"/>
        </w:rPr>
        <w:t xml:space="preserve">0.1178 </w:t>
      </w:r>
      <w:r>
        <w:rPr>
          <w:color w:val="auto"/>
          <w:highlight w:val="none"/>
        </w:rPr>
        <w:t>hm</w:t>
      </w:r>
      <w:r>
        <w:rPr>
          <w:color w:val="auto"/>
          <w:highlight w:val="none"/>
          <w:vertAlign w:val="superscript"/>
        </w:rPr>
        <w:t>2</w:t>
      </w:r>
      <w:r>
        <w:rPr>
          <w:color w:val="auto"/>
          <w:highlight w:val="none"/>
        </w:rPr>
        <w:t>。</w:t>
      </w:r>
    </w:p>
    <w:p w14:paraId="62D97F9F">
      <w:pPr>
        <w:pStyle w:val="9"/>
        <w:spacing w:line="360" w:lineRule="auto"/>
        <w:ind w:firstLine="480"/>
        <w:jc w:val="both"/>
        <w:rPr>
          <w:b/>
          <w:bCs/>
          <w:color w:val="auto"/>
          <w:kern w:val="2"/>
          <w:szCs w:val="24"/>
          <w:highlight w:val="none"/>
        </w:rPr>
      </w:pPr>
      <w:r>
        <w:rPr>
          <w:rFonts w:hint="eastAsia"/>
          <w:b/>
          <w:bCs/>
          <w:color w:val="auto"/>
          <w:kern w:val="2"/>
          <w:szCs w:val="24"/>
          <w:highlight w:val="none"/>
          <w:lang w:eastAsia="zh-CN"/>
        </w:rPr>
        <w:t>（</w:t>
      </w:r>
      <w:r>
        <w:rPr>
          <w:rFonts w:hint="eastAsia"/>
          <w:b/>
          <w:bCs/>
          <w:color w:val="auto"/>
          <w:kern w:val="2"/>
          <w:szCs w:val="24"/>
          <w:highlight w:val="none"/>
          <w:lang w:val="en-US" w:eastAsia="zh-CN"/>
        </w:rPr>
        <w:t>5</w:t>
      </w:r>
      <w:r>
        <w:rPr>
          <w:rFonts w:hint="eastAsia"/>
          <w:b/>
          <w:bCs/>
          <w:color w:val="auto"/>
          <w:kern w:val="2"/>
          <w:szCs w:val="24"/>
          <w:highlight w:val="none"/>
          <w:lang w:eastAsia="zh-CN"/>
        </w:rPr>
        <w:t>）</w:t>
      </w:r>
      <w:r>
        <w:rPr>
          <w:rFonts w:hint="eastAsia"/>
          <w:b/>
          <w:bCs/>
          <w:color w:val="auto"/>
          <w:kern w:val="2"/>
          <w:szCs w:val="24"/>
          <w:highlight w:val="none"/>
        </w:rPr>
        <w:t>矿山道路</w:t>
      </w:r>
      <w:r>
        <w:rPr>
          <w:rFonts w:hint="eastAsia"/>
          <w:b/>
          <w:bCs/>
          <w:color w:val="auto"/>
          <w:kern w:val="2"/>
          <w:szCs w:val="24"/>
          <w:highlight w:val="none"/>
        </w:rPr>
        <w:tab/>
      </w:r>
      <w:r>
        <w:rPr>
          <w:rFonts w:hint="eastAsia"/>
          <w:b/>
          <w:bCs/>
          <w:color w:val="auto"/>
          <w:kern w:val="2"/>
          <w:szCs w:val="24"/>
          <w:highlight w:val="none"/>
        </w:rPr>
        <w:tab/>
      </w:r>
    </w:p>
    <w:p w14:paraId="7259CA38">
      <w:pPr>
        <w:spacing w:line="360" w:lineRule="auto"/>
        <w:ind w:firstLine="600" w:firstLineChars="250"/>
        <w:jc w:val="both"/>
        <w:rPr>
          <w:rFonts w:hint="default" w:eastAsia="宋体"/>
          <w:bCs/>
          <w:color w:val="auto"/>
          <w:sz w:val="24"/>
          <w:highlight w:val="none"/>
          <w:lang w:val="en-US" w:eastAsia="zh-CN"/>
        </w:rPr>
      </w:pPr>
      <w:r>
        <w:rPr>
          <w:rFonts w:hint="eastAsia"/>
          <w:bCs/>
          <w:color w:val="auto"/>
          <w:sz w:val="24"/>
          <w:highlight w:val="none"/>
          <w:lang w:val="en-US" w:eastAsia="zh-CN"/>
        </w:rPr>
        <w:t>1）土地翻耕</w:t>
      </w:r>
    </w:p>
    <w:p w14:paraId="2DF2CF6D">
      <w:pPr>
        <w:spacing w:line="360" w:lineRule="auto"/>
        <w:ind w:firstLine="600" w:firstLineChars="250"/>
        <w:jc w:val="both"/>
        <w:rPr>
          <w:rFonts w:hint="default" w:eastAsia="宋体"/>
          <w:bCs/>
          <w:color w:val="auto"/>
          <w:sz w:val="24"/>
          <w:highlight w:val="none"/>
          <w:vertAlign w:val="baseline"/>
          <w:lang w:val="en-US" w:eastAsia="zh-CN"/>
        </w:rPr>
      </w:pPr>
      <w:r>
        <w:rPr>
          <w:rFonts w:hint="eastAsia"/>
          <w:bCs/>
          <w:color w:val="auto"/>
          <w:sz w:val="24"/>
          <w:highlight w:val="none"/>
          <w:lang w:val="en-US" w:eastAsia="zh-CN"/>
        </w:rPr>
        <w:t>由于压占时间较长，使地面出现板结现象，土壤透气性能下降，可采取土地翻耕来提高土壤孔隙度，设计采取59kW拖拉机和三铧犁进行土地翻耕。对该复垦单元进行翻耕，翻耕深度0.3m，翻耕面积</w:t>
      </w:r>
      <w:r>
        <w:rPr>
          <w:rFonts w:hint="eastAsia"/>
          <w:color w:val="auto"/>
          <w:sz w:val="24"/>
          <w:highlight w:val="none"/>
          <w:lang w:val="en-US" w:eastAsia="zh-CN"/>
        </w:rPr>
        <w:t>0.1624  hm</w:t>
      </w:r>
      <w:r>
        <w:rPr>
          <w:rFonts w:hint="eastAsia"/>
          <w:color w:val="auto"/>
          <w:sz w:val="24"/>
          <w:highlight w:val="none"/>
          <w:vertAlign w:val="superscript"/>
          <w:lang w:val="en-US" w:eastAsia="zh-CN"/>
        </w:rPr>
        <w:t>2</w:t>
      </w:r>
      <w:r>
        <w:rPr>
          <w:rFonts w:hint="eastAsia"/>
          <w:color w:val="auto"/>
          <w:sz w:val="24"/>
          <w:highlight w:val="none"/>
          <w:vertAlign w:val="baseline"/>
          <w:lang w:val="en-US" w:eastAsia="zh-CN"/>
        </w:rPr>
        <w:t>。</w:t>
      </w:r>
    </w:p>
    <w:p w14:paraId="4AD50F04">
      <w:pPr>
        <w:spacing w:line="360" w:lineRule="auto"/>
        <w:ind w:firstLine="600" w:firstLineChars="250"/>
        <w:jc w:val="both"/>
        <w:rPr>
          <w:bCs/>
          <w:color w:val="auto"/>
          <w:sz w:val="24"/>
          <w:highlight w:val="none"/>
        </w:rPr>
      </w:pPr>
      <w:r>
        <w:rPr>
          <w:rFonts w:hint="eastAsia"/>
          <w:bCs/>
          <w:color w:val="auto"/>
          <w:sz w:val="24"/>
          <w:highlight w:val="none"/>
          <w:lang w:val="en-US" w:eastAsia="zh-CN"/>
        </w:rPr>
        <w:t>2</w:t>
      </w:r>
      <w:r>
        <w:rPr>
          <w:rFonts w:hint="eastAsia"/>
          <w:bCs/>
          <w:color w:val="auto"/>
          <w:sz w:val="24"/>
          <w:highlight w:val="none"/>
        </w:rPr>
        <w:t>）</w:t>
      </w:r>
      <w:r>
        <w:rPr>
          <w:bCs/>
          <w:color w:val="auto"/>
          <w:sz w:val="24"/>
          <w:highlight w:val="none"/>
        </w:rPr>
        <w:t>覆土工程</w:t>
      </w:r>
    </w:p>
    <w:p w14:paraId="19571DEE">
      <w:pPr>
        <w:spacing w:line="360" w:lineRule="auto"/>
        <w:ind w:firstLine="482"/>
        <w:jc w:val="both"/>
        <w:rPr>
          <w:color w:val="auto"/>
          <w:sz w:val="24"/>
          <w:highlight w:val="none"/>
        </w:rPr>
      </w:pPr>
      <w:r>
        <w:rPr>
          <w:rFonts w:hint="eastAsia"/>
          <w:color w:val="auto"/>
          <w:sz w:val="24"/>
          <w:highlight w:val="none"/>
          <w:lang w:val="en-US" w:eastAsia="zh-CN"/>
        </w:rPr>
        <w:t>该复垦单元回覆表土厚度0.3m，回填面积0.1624 hm</w:t>
      </w:r>
      <w:r>
        <w:rPr>
          <w:rFonts w:hint="eastAsia"/>
          <w:color w:val="auto"/>
          <w:sz w:val="24"/>
          <w:highlight w:val="none"/>
          <w:vertAlign w:val="superscript"/>
          <w:lang w:val="en-US" w:eastAsia="zh-CN"/>
        </w:rPr>
        <w:t>2</w:t>
      </w:r>
      <w:r>
        <w:rPr>
          <w:rFonts w:hint="eastAsia"/>
          <w:color w:val="auto"/>
          <w:sz w:val="24"/>
          <w:highlight w:val="none"/>
        </w:rPr>
        <w:t>，共回覆表土</w:t>
      </w:r>
      <w:r>
        <w:rPr>
          <w:rFonts w:hint="eastAsia"/>
          <w:color w:val="auto"/>
          <w:sz w:val="24"/>
          <w:highlight w:val="none"/>
          <w:lang w:val="en-US" w:eastAsia="zh-CN"/>
        </w:rPr>
        <w:t>487</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。覆土采用挖掘机装</w:t>
      </w:r>
      <w:r>
        <w:rPr>
          <w:color w:val="auto"/>
          <w:sz w:val="24"/>
          <w:highlight w:val="none"/>
        </w:rPr>
        <w:t>自卸汽车</w:t>
      </w:r>
      <w:r>
        <w:rPr>
          <w:rFonts w:hint="eastAsia"/>
          <w:color w:val="auto"/>
          <w:sz w:val="24"/>
          <w:highlight w:val="none"/>
        </w:rPr>
        <w:t>运至</w:t>
      </w:r>
      <w:r>
        <w:rPr>
          <w:color w:val="auto"/>
          <w:sz w:val="24"/>
          <w:highlight w:val="none"/>
        </w:rPr>
        <w:t>复垦场地，</w:t>
      </w:r>
      <w:r>
        <w:rPr>
          <w:rFonts w:hint="eastAsia"/>
          <w:color w:val="auto"/>
          <w:sz w:val="24"/>
          <w:highlight w:val="none"/>
        </w:rPr>
        <w:t>采用推土机平土。</w:t>
      </w:r>
      <w:r>
        <w:rPr>
          <w:rFonts w:hint="eastAsia"/>
          <w:color w:val="auto"/>
          <w:sz w:val="24"/>
          <w:highlight w:val="none"/>
          <w:lang w:val="en-US" w:eastAsia="zh-CN"/>
        </w:rPr>
        <w:t>覆土来源于前期剥离的表土。</w:t>
      </w:r>
    </w:p>
    <w:p w14:paraId="6E024E93">
      <w:pPr>
        <w:spacing w:line="360" w:lineRule="auto"/>
        <w:ind w:firstLine="600" w:firstLineChars="250"/>
        <w:jc w:val="both"/>
        <w:rPr>
          <w:bCs/>
          <w:color w:val="auto"/>
          <w:sz w:val="24"/>
          <w:highlight w:val="none"/>
        </w:rPr>
      </w:pPr>
      <w:r>
        <w:rPr>
          <w:rFonts w:hint="eastAsia"/>
          <w:bCs/>
          <w:color w:val="auto"/>
          <w:sz w:val="24"/>
          <w:highlight w:val="none"/>
          <w:lang w:val="en-US" w:eastAsia="zh-CN"/>
        </w:rPr>
        <w:t>3</w:t>
      </w:r>
      <w:r>
        <w:rPr>
          <w:rFonts w:hint="eastAsia"/>
          <w:bCs/>
          <w:color w:val="auto"/>
          <w:sz w:val="24"/>
          <w:highlight w:val="none"/>
        </w:rPr>
        <w:t>）</w:t>
      </w:r>
      <w:r>
        <w:rPr>
          <w:bCs/>
          <w:color w:val="auto"/>
          <w:sz w:val="24"/>
          <w:highlight w:val="none"/>
        </w:rPr>
        <w:t>林木种植</w:t>
      </w:r>
    </w:p>
    <w:p w14:paraId="4AC50965">
      <w:pPr>
        <w:spacing w:line="360" w:lineRule="auto"/>
        <w:ind w:firstLine="600" w:firstLineChars="250"/>
        <w:jc w:val="both"/>
        <w:rPr>
          <w:color w:val="auto"/>
          <w:sz w:val="24"/>
          <w:highlight w:val="none"/>
        </w:rPr>
      </w:pPr>
      <w:r>
        <w:rPr>
          <w:color w:val="auto"/>
          <w:sz w:val="24"/>
          <w:highlight w:val="none"/>
        </w:rPr>
        <w:t>复垦为乔木林地，苗木选择</w:t>
      </w:r>
      <w:r>
        <w:rPr>
          <w:rFonts w:hint="eastAsia"/>
          <w:color w:val="auto"/>
          <w:sz w:val="24"/>
          <w:highlight w:val="none"/>
        </w:rPr>
        <w:t>3</w:t>
      </w:r>
      <w:r>
        <w:rPr>
          <w:color w:val="auto"/>
          <w:sz w:val="24"/>
          <w:highlight w:val="none"/>
        </w:rPr>
        <w:t>年生的移植苗，1级苗，苗高＞40cm。株行距</w:t>
      </w:r>
      <w:r>
        <w:rPr>
          <w:rFonts w:hint="eastAsia"/>
          <w:color w:val="auto"/>
          <w:sz w:val="24"/>
          <w:highlight w:val="none"/>
        </w:rPr>
        <w:t>2m×2m</w:t>
      </w:r>
      <w:r>
        <w:rPr>
          <w:color w:val="auto"/>
          <w:sz w:val="24"/>
          <w:highlight w:val="none"/>
        </w:rPr>
        <w:t>，每公顷种植</w:t>
      </w:r>
      <w:r>
        <w:rPr>
          <w:rFonts w:hint="eastAsia"/>
          <w:color w:val="auto"/>
          <w:sz w:val="24"/>
          <w:highlight w:val="none"/>
          <w:lang w:eastAsia="zh-CN"/>
        </w:rPr>
        <w:t>落叶松</w:t>
      </w:r>
      <w:r>
        <w:rPr>
          <w:rFonts w:hint="eastAsia"/>
          <w:color w:val="auto"/>
          <w:sz w:val="24"/>
          <w:highlight w:val="none"/>
        </w:rPr>
        <w:t>2500株</w:t>
      </w:r>
      <w:r>
        <w:rPr>
          <w:color w:val="auto"/>
          <w:sz w:val="24"/>
          <w:highlight w:val="none"/>
        </w:rPr>
        <w:t>。</w:t>
      </w:r>
      <w:r>
        <w:rPr>
          <w:rFonts w:hint="eastAsia"/>
          <w:color w:val="auto"/>
          <w:sz w:val="24"/>
          <w:highlight w:val="none"/>
          <w:lang w:val="en-US" w:eastAsia="zh-CN"/>
        </w:rPr>
        <w:t>复垦</w:t>
      </w:r>
      <w:r>
        <w:rPr>
          <w:color w:val="auto"/>
          <w:sz w:val="24"/>
          <w:highlight w:val="none"/>
        </w:rPr>
        <w:t>面积为</w:t>
      </w:r>
      <w:r>
        <w:rPr>
          <w:rFonts w:hint="eastAsia"/>
          <w:color w:val="auto"/>
          <w:sz w:val="24"/>
          <w:highlight w:val="none"/>
          <w:lang w:val="en-US" w:eastAsia="zh-CN"/>
        </w:rPr>
        <w:t xml:space="preserve">0.1624 </w:t>
      </w:r>
      <w:r>
        <w:rPr>
          <w:color w:val="auto"/>
          <w:sz w:val="24"/>
          <w:highlight w:val="none"/>
        </w:rPr>
        <w:t>hm</w:t>
      </w:r>
      <w:r>
        <w:rPr>
          <w:color w:val="auto"/>
          <w:sz w:val="24"/>
          <w:highlight w:val="none"/>
          <w:vertAlign w:val="superscript"/>
        </w:rPr>
        <w:t>2</w:t>
      </w:r>
      <w:r>
        <w:rPr>
          <w:color w:val="auto"/>
          <w:sz w:val="24"/>
          <w:highlight w:val="none"/>
        </w:rPr>
        <w:t>，种植</w:t>
      </w:r>
      <w:r>
        <w:rPr>
          <w:rFonts w:hint="eastAsia"/>
          <w:color w:val="auto"/>
          <w:sz w:val="24"/>
          <w:highlight w:val="none"/>
          <w:lang w:eastAsia="zh-CN"/>
        </w:rPr>
        <w:t>落叶松</w:t>
      </w:r>
      <w:r>
        <w:rPr>
          <w:rFonts w:hint="eastAsia"/>
          <w:color w:val="auto"/>
          <w:sz w:val="24"/>
          <w:highlight w:val="none"/>
          <w:lang w:val="en-US" w:eastAsia="zh-CN"/>
        </w:rPr>
        <w:t>406</w:t>
      </w:r>
      <w:r>
        <w:rPr>
          <w:color w:val="auto"/>
          <w:sz w:val="24"/>
          <w:highlight w:val="none"/>
        </w:rPr>
        <w:t>株。</w:t>
      </w:r>
    </w:p>
    <w:p w14:paraId="0DAD46FD">
      <w:pPr>
        <w:spacing w:line="360" w:lineRule="auto"/>
        <w:ind w:firstLine="600" w:firstLineChars="250"/>
        <w:jc w:val="both"/>
        <w:rPr>
          <w:bCs/>
          <w:color w:val="auto"/>
          <w:sz w:val="24"/>
          <w:highlight w:val="none"/>
        </w:rPr>
      </w:pPr>
      <w:r>
        <w:rPr>
          <w:rFonts w:hint="eastAsia"/>
          <w:bCs/>
          <w:color w:val="auto"/>
          <w:sz w:val="24"/>
          <w:highlight w:val="none"/>
          <w:lang w:val="en-US" w:eastAsia="zh-CN"/>
        </w:rPr>
        <w:t>4</w:t>
      </w:r>
      <w:r>
        <w:rPr>
          <w:rFonts w:hint="eastAsia"/>
          <w:bCs/>
          <w:color w:val="auto"/>
          <w:sz w:val="24"/>
          <w:highlight w:val="none"/>
        </w:rPr>
        <w:t>）</w:t>
      </w:r>
      <w:r>
        <w:rPr>
          <w:bCs/>
          <w:color w:val="auto"/>
          <w:sz w:val="24"/>
          <w:highlight w:val="none"/>
        </w:rPr>
        <w:t>撒播草种</w:t>
      </w:r>
    </w:p>
    <w:p w14:paraId="15E255AD">
      <w:pPr>
        <w:pStyle w:val="9"/>
        <w:spacing w:line="360" w:lineRule="auto"/>
        <w:ind w:firstLine="480"/>
        <w:jc w:val="both"/>
        <w:rPr>
          <w:b/>
          <w:bCs/>
          <w:color w:val="auto"/>
          <w:kern w:val="2"/>
          <w:szCs w:val="24"/>
          <w:highlight w:val="none"/>
        </w:rPr>
      </w:pPr>
      <w:r>
        <w:rPr>
          <w:color w:val="auto"/>
          <w:highlight w:val="none"/>
        </w:rPr>
        <w:t>对复垦的土地进行撒播草种，在管护期间，利用绿肥法，改善土壤结构和提高土壤肥力，选用紫花苜蓿作为种植绿肥，撒播草籽量30kg/hm</w:t>
      </w:r>
      <w:r>
        <w:rPr>
          <w:color w:val="auto"/>
          <w:highlight w:val="none"/>
          <w:vertAlign w:val="superscript"/>
        </w:rPr>
        <w:t>2</w:t>
      </w:r>
      <w:r>
        <w:rPr>
          <w:color w:val="auto"/>
          <w:highlight w:val="none"/>
        </w:rPr>
        <w:t>，撒播面积</w:t>
      </w:r>
      <w:r>
        <w:rPr>
          <w:rFonts w:hint="eastAsia"/>
          <w:color w:val="auto"/>
          <w:sz w:val="24"/>
          <w:highlight w:val="none"/>
          <w:lang w:val="en-US" w:eastAsia="zh-CN"/>
        </w:rPr>
        <w:t xml:space="preserve">0.1624  </w:t>
      </w:r>
      <w:r>
        <w:rPr>
          <w:color w:val="auto"/>
          <w:highlight w:val="none"/>
        </w:rPr>
        <w:t>hm</w:t>
      </w:r>
      <w:r>
        <w:rPr>
          <w:color w:val="auto"/>
          <w:highlight w:val="none"/>
          <w:vertAlign w:val="superscript"/>
        </w:rPr>
        <w:t>2</w:t>
      </w:r>
      <w:r>
        <w:rPr>
          <w:color w:val="auto"/>
          <w:highlight w:val="none"/>
        </w:rPr>
        <w:t>。</w:t>
      </w:r>
    </w:p>
    <w:p w14:paraId="47631726">
      <w:pPr>
        <w:pStyle w:val="9"/>
        <w:spacing w:line="360" w:lineRule="auto"/>
        <w:ind w:firstLine="480"/>
        <w:jc w:val="both"/>
        <w:rPr>
          <w:b/>
          <w:bCs/>
          <w:color w:val="auto"/>
          <w:kern w:val="2"/>
          <w:szCs w:val="24"/>
          <w:highlight w:val="none"/>
        </w:rPr>
      </w:pPr>
      <w:r>
        <w:rPr>
          <w:rFonts w:hint="eastAsia"/>
          <w:b/>
          <w:bCs/>
          <w:color w:val="auto"/>
          <w:kern w:val="2"/>
          <w:szCs w:val="24"/>
          <w:highlight w:val="none"/>
          <w:lang w:eastAsia="zh-CN"/>
        </w:rPr>
        <w:t>（</w:t>
      </w:r>
      <w:r>
        <w:rPr>
          <w:rFonts w:hint="eastAsia"/>
          <w:b/>
          <w:bCs/>
          <w:color w:val="auto"/>
          <w:kern w:val="2"/>
          <w:szCs w:val="24"/>
          <w:highlight w:val="none"/>
          <w:lang w:val="en-US" w:eastAsia="zh-CN"/>
        </w:rPr>
        <w:t>6</w:t>
      </w:r>
      <w:r>
        <w:rPr>
          <w:rFonts w:hint="eastAsia"/>
          <w:b/>
          <w:bCs/>
          <w:color w:val="auto"/>
          <w:kern w:val="2"/>
          <w:szCs w:val="24"/>
          <w:highlight w:val="none"/>
          <w:lang w:eastAsia="zh-CN"/>
        </w:rPr>
        <w:t>）</w:t>
      </w:r>
      <w:r>
        <w:rPr>
          <w:rFonts w:hint="eastAsia"/>
          <w:b/>
          <w:bCs/>
          <w:color w:val="auto"/>
          <w:kern w:val="2"/>
          <w:szCs w:val="24"/>
          <w:highlight w:val="none"/>
        </w:rPr>
        <w:t>表土堆场</w:t>
      </w:r>
      <w:r>
        <w:rPr>
          <w:rFonts w:hint="eastAsia"/>
          <w:b/>
          <w:bCs/>
          <w:color w:val="auto"/>
          <w:kern w:val="2"/>
          <w:szCs w:val="24"/>
          <w:highlight w:val="none"/>
        </w:rPr>
        <w:tab/>
      </w:r>
      <w:r>
        <w:rPr>
          <w:rFonts w:hint="eastAsia"/>
          <w:b/>
          <w:bCs/>
          <w:color w:val="auto"/>
          <w:kern w:val="2"/>
          <w:szCs w:val="24"/>
          <w:highlight w:val="none"/>
        </w:rPr>
        <w:tab/>
      </w:r>
      <w:r>
        <w:rPr>
          <w:rFonts w:hint="eastAsia"/>
          <w:b/>
          <w:bCs/>
          <w:color w:val="auto"/>
          <w:kern w:val="2"/>
          <w:szCs w:val="24"/>
          <w:highlight w:val="none"/>
        </w:rPr>
        <w:tab/>
      </w:r>
    </w:p>
    <w:p w14:paraId="76635717">
      <w:pPr>
        <w:spacing w:line="360" w:lineRule="auto"/>
        <w:ind w:firstLine="600" w:firstLineChars="250"/>
        <w:jc w:val="both"/>
        <w:rPr>
          <w:rFonts w:hint="default" w:eastAsia="宋体"/>
          <w:bCs/>
          <w:color w:val="auto"/>
          <w:sz w:val="24"/>
          <w:highlight w:val="none"/>
          <w:lang w:val="en-US" w:eastAsia="zh-CN"/>
        </w:rPr>
      </w:pPr>
      <w:r>
        <w:rPr>
          <w:rFonts w:hint="eastAsia"/>
          <w:bCs/>
          <w:color w:val="auto"/>
          <w:sz w:val="24"/>
          <w:highlight w:val="none"/>
          <w:lang w:val="en-US" w:eastAsia="zh-CN"/>
        </w:rPr>
        <w:t>1）土地翻耕</w:t>
      </w:r>
    </w:p>
    <w:p w14:paraId="6DEF5CA5">
      <w:pPr>
        <w:spacing w:line="360" w:lineRule="auto"/>
        <w:ind w:firstLine="600" w:firstLineChars="250"/>
        <w:jc w:val="both"/>
        <w:rPr>
          <w:rFonts w:hint="default" w:eastAsia="宋体"/>
          <w:bCs/>
          <w:color w:val="auto"/>
          <w:sz w:val="24"/>
          <w:highlight w:val="none"/>
          <w:vertAlign w:val="baseline"/>
          <w:lang w:val="en-US" w:eastAsia="zh-CN"/>
        </w:rPr>
      </w:pPr>
      <w:r>
        <w:rPr>
          <w:rFonts w:hint="eastAsia"/>
          <w:bCs/>
          <w:color w:val="auto"/>
          <w:sz w:val="24"/>
          <w:highlight w:val="none"/>
          <w:lang w:val="en-US" w:eastAsia="zh-CN"/>
        </w:rPr>
        <w:t>由于压占时间较长，使地面出现板结现象，土壤透气性能下降，可采取土地翻耕来提高土壤孔隙度，设计采取59kW拖拉机和三铧犁进行土地翻耕。对该复垦单元进行翻耕，翻耕深度0.3m，翻耕面积</w:t>
      </w:r>
      <w:r>
        <w:rPr>
          <w:rFonts w:hint="eastAsia"/>
          <w:color w:val="auto"/>
          <w:sz w:val="24"/>
          <w:highlight w:val="none"/>
          <w:lang w:val="en-US" w:eastAsia="zh-CN"/>
        </w:rPr>
        <w:t>0.3093 hm</w:t>
      </w:r>
      <w:r>
        <w:rPr>
          <w:rFonts w:hint="eastAsia"/>
          <w:color w:val="auto"/>
          <w:sz w:val="24"/>
          <w:highlight w:val="none"/>
          <w:vertAlign w:val="superscript"/>
          <w:lang w:val="en-US" w:eastAsia="zh-CN"/>
        </w:rPr>
        <w:t>2</w:t>
      </w:r>
      <w:r>
        <w:rPr>
          <w:rFonts w:hint="eastAsia"/>
          <w:color w:val="auto"/>
          <w:sz w:val="24"/>
          <w:highlight w:val="none"/>
          <w:vertAlign w:val="baseline"/>
          <w:lang w:val="en-US" w:eastAsia="zh-CN"/>
        </w:rPr>
        <w:t>。</w:t>
      </w:r>
    </w:p>
    <w:p w14:paraId="4A4C04BA">
      <w:pPr>
        <w:spacing w:line="360" w:lineRule="auto"/>
        <w:ind w:firstLine="600" w:firstLineChars="250"/>
        <w:jc w:val="both"/>
        <w:rPr>
          <w:bCs/>
          <w:color w:val="auto"/>
          <w:sz w:val="24"/>
          <w:highlight w:val="none"/>
        </w:rPr>
      </w:pPr>
      <w:r>
        <w:rPr>
          <w:rFonts w:hint="eastAsia"/>
          <w:bCs/>
          <w:color w:val="auto"/>
          <w:sz w:val="24"/>
          <w:highlight w:val="none"/>
          <w:lang w:val="en-US" w:eastAsia="zh-CN"/>
        </w:rPr>
        <w:t>2</w:t>
      </w:r>
      <w:r>
        <w:rPr>
          <w:rFonts w:hint="eastAsia"/>
          <w:bCs/>
          <w:color w:val="auto"/>
          <w:sz w:val="24"/>
          <w:highlight w:val="none"/>
        </w:rPr>
        <w:t>）</w:t>
      </w:r>
      <w:r>
        <w:rPr>
          <w:bCs/>
          <w:color w:val="auto"/>
          <w:sz w:val="24"/>
          <w:highlight w:val="none"/>
        </w:rPr>
        <w:t>覆土工程</w:t>
      </w:r>
    </w:p>
    <w:p w14:paraId="640F2CF9">
      <w:pPr>
        <w:spacing w:line="360" w:lineRule="auto"/>
        <w:ind w:firstLine="482"/>
        <w:jc w:val="both"/>
        <w:rPr>
          <w:color w:val="auto"/>
          <w:sz w:val="24"/>
          <w:highlight w:val="none"/>
        </w:rPr>
      </w:pPr>
      <w:r>
        <w:rPr>
          <w:rFonts w:hint="eastAsia"/>
          <w:color w:val="auto"/>
          <w:sz w:val="24"/>
          <w:highlight w:val="none"/>
          <w:lang w:val="en-US" w:eastAsia="zh-CN"/>
        </w:rPr>
        <w:t>该复垦单元回覆表土厚度0.3m，回填面积0.3093 hm</w:t>
      </w:r>
      <w:r>
        <w:rPr>
          <w:rFonts w:hint="eastAsia"/>
          <w:color w:val="auto"/>
          <w:sz w:val="24"/>
          <w:highlight w:val="none"/>
          <w:vertAlign w:val="superscript"/>
          <w:lang w:val="en-US" w:eastAsia="zh-CN"/>
        </w:rPr>
        <w:t>2</w:t>
      </w:r>
      <w:r>
        <w:rPr>
          <w:rFonts w:hint="eastAsia"/>
          <w:color w:val="auto"/>
          <w:sz w:val="24"/>
          <w:highlight w:val="none"/>
        </w:rPr>
        <w:t>，共回覆表土</w:t>
      </w:r>
      <w:r>
        <w:rPr>
          <w:rFonts w:hint="eastAsia"/>
          <w:color w:val="auto"/>
          <w:sz w:val="24"/>
          <w:highlight w:val="none"/>
          <w:lang w:val="en-US" w:eastAsia="zh-CN"/>
        </w:rPr>
        <w:t>928</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。覆土采用挖掘机装</w:t>
      </w:r>
      <w:r>
        <w:rPr>
          <w:color w:val="auto"/>
          <w:sz w:val="24"/>
          <w:highlight w:val="none"/>
        </w:rPr>
        <w:t>自卸汽车</w:t>
      </w:r>
      <w:r>
        <w:rPr>
          <w:rFonts w:hint="eastAsia"/>
          <w:color w:val="auto"/>
          <w:sz w:val="24"/>
          <w:highlight w:val="none"/>
        </w:rPr>
        <w:t>运至</w:t>
      </w:r>
      <w:r>
        <w:rPr>
          <w:color w:val="auto"/>
          <w:sz w:val="24"/>
          <w:highlight w:val="none"/>
        </w:rPr>
        <w:t>复垦场地，</w:t>
      </w:r>
      <w:r>
        <w:rPr>
          <w:rFonts w:hint="eastAsia"/>
          <w:color w:val="auto"/>
          <w:sz w:val="24"/>
          <w:highlight w:val="none"/>
        </w:rPr>
        <w:t>采用推土机平土。</w:t>
      </w:r>
      <w:r>
        <w:rPr>
          <w:rFonts w:hint="eastAsia"/>
          <w:color w:val="auto"/>
          <w:sz w:val="24"/>
          <w:highlight w:val="none"/>
          <w:lang w:val="en-US" w:eastAsia="zh-CN"/>
        </w:rPr>
        <w:t>覆土来源于前期剥离的表土。</w:t>
      </w:r>
    </w:p>
    <w:p w14:paraId="0441D884">
      <w:pPr>
        <w:spacing w:line="360" w:lineRule="auto"/>
        <w:ind w:firstLine="600" w:firstLineChars="250"/>
        <w:jc w:val="both"/>
        <w:rPr>
          <w:bCs/>
          <w:color w:val="auto"/>
          <w:sz w:val="24"/>
          <w:highlight w:val="none"/>
        </w:rPr>
      </w:pPr>
      <w:r>
        <w:rPr>
          <w:rFonts w:hint="eastAsia"/>
          <w:bCs/>
          <w:color w:val="auto"/>
          <w:sz w:val="24"/>
          <w:highlight w:val="none"/>
          <w:lang w:val="en-US" w:eastAsia="zh-CN"/>
        </w:rPr>
        <w:t>3</w:t>
      </w:r>
      <w:r>
        <w:rPr>
          <w:rFonts w:hint="eastAsia"/>
          <w:bCs/>
          <w:color w:val="auto"/>
          <w:sz w:val="24"/>
          <w:highlight w:val="none"/>
        </w:rPr>
        <w:t>）</w:t>
      </w:r>
      <w:r>
        <w:rPr>
          <w:bCs/>
          <w:color w:val="auto"/>
          <w:sz w:val="24"/>
          <w:highlight w:val="none"/>
        </w:rPr>
        <w:t>林木种植</w:t>
      </w:r>
    </w:p>
    <w:p w14:paraId="3DA761D7">
      <w:pPr>
        <w:spacing w:line="360" w:lineRule="auto"/>
        <w:ind w:firstLine="600" w:firstLineChars="250"/>
        <w:jc w:val="both"/>
        <w:rPr>
          <w:color w:val="auto"/>
          <w:sz w:val="24"/>
          <w:highlight w:val="none"/>
        </w:rPr>
      </w:pPr>
      <w:r>
        <w:rPr>
          <w:color w:val="auto"/>
          <w:sz w:val="24"/>
          <w:highlight w:val="none"/>
        </w:rPr>
        <w:t>复垦为乔木林地，苗木选择</w:t>
      </w:r>
      <w:r>
        <w:rPr>
          <w:rFonts w:hint="eastAsia"/>
          <w:color w:val="auto"/>
          <w:sz w:val="24"/>
          <w:highlight w:val="none"/>
        </w:rPr>
        <w:t>3</w:t>
      </w:r>
      <w:r>
        <w:rPr>
          <w:color w:val="auto"/>
          <w:sz w:val="24"/>
          <w:highlight w:val="none"/>
        </w:rPr>
        <w:t>年生的移植苗，1级苗，苗高＞40cm。株行距</w:t>
      </w:r>
      <w:r>
        <w:rPr>
          <w:rFonts w:hint="eastAsia"/>
          <w:color w:val="auto"/>
          <w:sz w:val="24"/>
          <w:highlight w:val="none"/>
        </w:rPr>
        <w:t>2m×2m</w:t>
      </w:r>
      <w:r>
        <w:rPr>
          <w:color w:val="auto"/>
          <w:sz w:val="24"/>
          <w:highlight w:val="none"/>
        </w:rPr>
        <w:t>，每公顷种植</w:t>
      </w:r>
      <w:r>
        <w:rPr>
          <w:rFonts w:hint="eastAsia"/>
          <w:color w:val="auto"/>
          <w:sz w:val="24"/>
          <w:highlight w:val="none"/>
          <w:lang w:eastAsia="zh-CN"/>
        </w:rPr>
        <w:t>落叶松</w:t>
      </w:r>
      <w:r>
        <w:rPr>
          <w:rFonts w:hint="eastAsia"/>
          <w:color w:val="auto"/>
          <w:sz w:val="24"/>
          <w:highlight w:val="none"/>
        </w:rPr>
        <w:t>2500株</w:t>
      </w:r>
      <w:r>
        <w:rPr>
          <w:color w:val="auto"/>
          <w:sz w:val="24"/>
          <w:highlight w:val="none"/>
        </w:rPr>
        <w:t>。</w:t>
      </w:r>
      <w:r>
        <w:rPr>
          <w:rFonts w:hint="eastAsia"/>
          <w:color w:val="auto"/>
          <w:sz w:val="24"/>
          <w:highlight w:val="none"/>
          <w:lang w:val="en-US" w:eastAsia="zh-CN"/>
        </w:rPr>
        <w:t>复垦</w:t>
      </w:r>
      <w:r>
        <w:rPr>
          <w:color w:val="auto"/>
          <w:sz w:val="24"/>
          <w:highlight w:val="none"/>
        </w:rPr>
        <w:t>面积为</w:t>
      </w:r>
      <w:r>
        <w:rPr>
          <w:rFonts w:hint="eastAsia"/>
          <w:color w:val="auto"/>
          <w:sz w:val="24"/>
          <w:highlight w:val="none"/>
          <w:lang w:val="en-US" w:eastAsia="zh-CN"/>
        </w:rPr>
        <w:t xml:space="preserve">0.3093 </w:t>
      </w:r>
      <w:r>
        <w:rPr>
          <w:color w:val="auto"/>
          <w:sz w:val="24"/>
          <w:highlight w:val="none"/>
        </w:rPr>
        <w:t>hm</w:t>
      </w:r>
      <w:r>
        <w:rPr>
          <w:color w:val="auto"/>
          <w:sz w:val="24"/>
          <w:highlight w:val="none"/>
          <w:vertAlign w:val="superscript"/>
        </w:rPr>
        <w:t>2</w:t>
      </w:r>
      <w:r>
        <w:rPr>
          <w:color w:val="auto"/>
          <w:sz w:val="24"/>
          <w:highlight w:val="none"/>
        </w:rPr>
        <w:t>，种植</w:t>
      </w:r>
      <w:r>
        <w:rPr>
          <w:rFonts w:hint="eastAsia"/>
          <w:color w:val="auto"/>
          <w:sz w:val="24"/>
          <w:highlight w:val="none"/>
          <w:lang w:eastAsia="zh-CN"/>
        </w:rPr>
        <w:t>落叶松</w:t>
      </w:r>
      <w:r>
        <w:rPr>
          <w:rFonts w:hint="eastAsia"/>
          <w:color w:val="auto"/>
          <w:sz w:val="24"/>
          <w:highlight w:val="none"/>
          <w:lang w:val="en-US" w:eastAsia="zh-CN"/>
        </w:rPr>
        <w:t>773</w:t>
      </w:r>
      <w:r>
        <w:rPr>
          <w:color w:val="auto"/>
          <w:sz w:val="24"/>
          <w:highlight w:val="none"/>
        </w:rPr>
        <w:t>株。</w:t>
      </w:r>
    </w:p>
    <w:p w14:paraId="61EF6943">
      <w:pPr>
        <w:spacing w:line="360" w:lineRule="auto"/>
        <w:ind w:firstLine="600" w:firstLineChars="250"/>
        <w:jc w:val="both"/>
        <w:rPr>
          <w:bCs/>
          <w:color w:val="auto"/>
          <w:sz w:val="24"/>
          <w:highlight w:val="none"/>
        </w:rPr>
      </w:pPr>
      <w:r>
        <w:rPr>
          <w:rFonts w:hint="eastAsia"/>
          <w:bCs/>
          <w:color w:val="auto"/>
          <w:sz w:val="24"/>
          <w:highlight w:val="none"/>
          <w:lang w:val="en-US" w:eastAsia="zh-CN"/>
        </w:rPr>
        <w:t>4</w:t>
      </w:r>
      <w:r>
        <w:rPr>
          <w:rFonts w:hint="eastAsia"/>
          <w:bCs/>
          <w:color w:val="auto"/>
          <w:sz w:val="24"/>
          <w:highlight w:val="none"/>
        </w:rPr>
        <w:t>）</w:t>
      </w:r>
      <w:r>
        <w:rPr>
          <w:bCs/>
          <w:color w:val="auto"/>
          <w:sz w:val="24"/>
          <w:highlight w:val="none"/>
        </w:rPr>
        <w:t>撒播草种</w:t>
      </w:r>
    </w:p>
    <w:p w14:paraId="5BD72906">
      <w:pPr>
        <w:pStyle w:val="9"/>
        <w:spacing w:line="360" w:lineRule="auto"/>
        <w:ind w:firstLine="480"/>
        <w:jc w:val="both"/>
        <w:rPr>
          <w:b/>
          <w:bCs/>
          <w:color w:val="auto"/>
          <w:kern w:val="2"/>
          <w:szCs w:val="24"/>
          <w:highlight w:val="none"/>
        </w:rPr>
      </w:pPr>
      <w:r>
        <w:rPr>
          <w:color w:val="auto"/>
          <w:highlight w:val="none"/>
        </w:rPr>
        <w:t>对复垦的土地进行撒播草种，在管护期间，利用绿肥法，改善土壤结构和提高土壤肥力，选用紫花苜蓿作为种植绿肥，撒播草籽量30kg/hm</w:t>
      </w:r>
      <w:r>
        <w:rPr>
          <w:color w:val="auto"/>
          <w:highlight w:val="none"/>
          <w:vertAlign w:val="superscript"/>
        </w:rPr>
        <w:t>2</w:t>
      </w:r>
      <w:r>
        <w:rPr>
          <w:color w:val="auto"/>
          <w:highlight w:val="none"/>
        </w:rPr>
        <w:t>，撒播面积</w:t>
      </w:r>
      <w:r>
        <w:rPr>
          <w:rFonts w:hint="eastAsia"/>
          <w:color w:val="auto"/>
          <w:sz w:val="24"/>
          <w:highlight w:val="none"/>
          <w:lang w:val="en-US" w:eastAsia="zh-CN"/>
        </w:rPr>
        <w:t xml:space="preserve">0.3093   </w:t>
      </w:r>
      <w:r>
        <w:rPr>
          <w:color w:val="auto"/>
          <w:highlight w:val="none"/>
        </w:rPr>
        <w:t>hm</w:t>
      </w:r>
      <w:r>
        <w:rPr>
          <w:color w:val="auto"/>
          <w:highlight w:val="none"/>
          <w:vertAlign w:val="superscript"/>
        </w:rPr>
        <w:t>2</w:t>
      </w:r>
      <w:r>
        <w:rPr>
          <w:color w:val="auto"/>
          <w:highlight w:val="none"/>
        </w:rPr>
        <w:t>。</w:t>
      </w:r>
    </w:p>
    <w:p w14:paraId="5A128493">
      <w:pPr>
        <w:pStyle w:val="5"/>
        <w:rPr>
          <w:rFonts w:hint="default" w:ascii="Times New Roman" w:hAnsi="Times New Roman" w:eastAsia="黑体" w:cs="Times New Roman"/>
          <w:b w:val="0"/>
          <w:bCs w:val="0"/>
          <w:color w:val="auto"/>
          <w:szCs w:val="28"/>
          <w:highlight w:val="none"/>
        </w:rPr>
      </w:pPr>
      <w:r>
        <w:rPr>
          <w:rFonts w:hint="default" w:ascii="Times New Roman" w:hAnsi="Times New Roman" w:eastAsia="黑体" w:cs="Times New Roman"/>
          <w:b w:val="0"/>
          <w:bCs w:val="0"/>
          <w:color w:val="auto"/>
          <w:szCs w:val="28"/>
          <w:highlight w:val="none"/>
          <w:lang w:eastAsia="zh-CN"/>
        </w:rPr>
        <w:t>（</w:t>
      </w:r>
      <w:r>
        <w:rPr>
          <w:rFonts w:hint="default" w:ascii="Times New Roman" w:hAnsi="Times New Roman" w:eastAsia="黑体" w:cs="Times New Roman"/>
          <w:b w:val="0"/>
          <w:bCs w:val="0"/>
          <w:color w:val="auto"/>
          <w:szCs w:val="28"/>
          <w:highlight w:val="none"/>
        </w:rPr>
        <w:t>三）技术措施</w:t>
      </w:r>
      <w:bookmarkEnd w:id="209"/>
    </w:p>
    <w:p w14:paraId="010F3D53">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1、工程技术措施</w:t>
      </w:r>
    </w:p>
    <w:p w14:paraId="51830B31">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复垦为乔木林地的单元，覆土标准为有效土层厚度0.3m。本方案采用林草结合的方式恢复乔木林地。整地过程中应地面与周边地形相协调，应避免出现中间低四周高，以避免雨天造成洼地积水。</w:t>
      </w:r>
    </w:p>
    <w:p w14:paraId="13261E06">
      <w:pPr>
        <w:spacing w:line="360" w:lineRule="auto"/>
        <w:ind w:firstLine="482" w:firstLineChars="200"/>
        <w:rPr>
          <w:rFonts w:hint="default" w:ascii="Times New Roman" w:hAnsi="Times New Roman" w:cs="Times New Roman"/>
          <w:b/>
          <w:color w:val="auto"/>
          <w:sz w:val="24"/>
          <w:highlight w:val="none"/>
        </w:rPr>
      </w:pPr>
      <w:bookmarkStart w:id="210" w:name="_Toc485629727"/>
      <w:r>
        <w:rPr>
          <w:rFonts w:hint="default" w:ascii="Times New Roman" w:hAnsi="Times New Roman" w:cs="Times New Roman"/>
          <w:b/>
          <w:color w:val="auto"/>
          <w:sz w:val="24"/>
          <w:highlight w:val="none"/>
        </w:rPr>
        <w:t>2、生物化学措施</w:t>
      </w:r>
    </w:p>
    <w:p w14:paraId="29DCC159">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生物化学措施应因地制宜，根据不同的地区采用不同的施工工艺，选择不同的植被种类，保护当地植物群落，恢复当地的生态环境。</w:t>
      </w:r>
    </w:p>
    <w:p w14:paraId="244294F2">
      <w:pPr>
        <w:spacing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1）林木种植</w:t>
      </w:r>
    </w:p>
    <w:p w14:paraId="24804E42">
      <w:pPr>
        <w:spacing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林草恢复措施是指在开发损毁土地上，采用乔、灌、草和农作物优化配置，按生态学和生态经济学原理进行组合、搭配，从而恢复生态环境的土地复垦措施。林草恢复时，应充分调查评估区植被种类， 选择适宜品种作为复垦树种和草种。本矿山在林地选择方面，应选择生长快，适应性强，抗寒及抗病虫害能力强的树种，选择胸径2cm以上带土球的</w:t>
      </w:r>
      <w:r>
        <w:rPr>
          <w:rFonts w:hint="default" w:ascii="Times New Roman" w:hAnsi="Times New Roman" w:cs="Times New Roman"/>
          <w:color w:val="auto"/>
          <w:sz w:val="24"/>
          <w:highlight w:val="none"/>
          <w:lang w:eastAsia="zh-CN"/>
        </w:rPr>
        <w:t>落叶</w:t>
      </w:r>
      <w:r>
        <w:rPr>
          <w:rFonts w:hint="eastAsia" w:cs="Times New Roman"/>
          <w:color w:val="auto"/>
          <w:sz w:val="24"/>
          <w:highlight w:val="none"/>
          <w:lang w:eastAsia="zh-CN"/>
        </w:rPr>
        <w:t>松树苗，株行距</w:t>
      </w:r>
      <w:r>
        <w:rPr>
          <w:rFonts w:hint="eastAsia" w:cs="Times New Roman"/>
          <w:color w:val="auto"/>
          <w:sz w:val="24"/>
          <w:highlight w:val="none"/>
          <w:lang w:val="en-US" w:eastAsia="zh-CN"/>
        </w:rPr>
        <w:t>2</w:t>
      </w: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2</w:t>
      </w:r>
      <w:r>
        <w:rPr>
          <w:rFonts w:hint="default" w:ascii="Times New Roman" w:hAnsi="Times New Roman" w:cs="Times New Roman"/>
          <w:color w:val="auto"/>
          <w:sz w:val="24"/>
          <w:highlight w:val="none"/>
        </w:rPr>
        <w:t>m，每公顷种植</w:t>
      </w:r>
      <w:r>
        <w:rPr>
          <w:rFonts w:hint="default" w:ascii="Times New Roman" w:hAnsi="Times New Roman" w:cs="Times New Roman"/>
          <w:color w:val="auto"/>
          <w:sz w:val="24"/>
          <w:highlight w:val="none"/>
          <w:lang w:eastAsia="zh-CN"/>
        </w:rPr>
        <w:t>落叶松</w:t>
      </w:r>
      <w:r>
        <w:rPr>
          <w:rFonts w:hint="eastAsia" w:cs="Times New Roman"/>
          <w:color w:val="auto"/>
          <w:sz w:val="24"/>
          <w:highlight w:val="none"/>
          <w:lang w:val="en-US" w:eastAsia="zh-CN"/>
        </w:rPr>
        <w:t>2500</w:t>
      </w:r>
      <w:r>
        <w:rPr>
          <w:rFonts w:hint="default" w:ascii="Times New Roman" w:hAnsi="Times New Roman" w:cs="Times New Roman"/>
          <w:color w:val="auto"/>
          <w:sz w:val="24"/>
          <w:highlight w:val="none"/>
        </w:rPr>
        <w:t>株。</w:t>
      </w:r>
    </w:p>
    <w:p w14:paraId="02F87BDF">
      <w:pPr>
        <w:spacing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落叶松</w:t>
      </w:r>
      <w:r>
        <w:rPr>
          <w:rFonts w:hint="default" w:ascii="Times New Roman" w:hAnsi="Times New Roman" w:cs="Times New Roman"/>
          <w:color w:val="auto"/>
          <w:sz w:val="24"/>
          <w:highlight w:val="none"/>
        </w:rPr>
        <w:t>为耐寒、喜光、耐干旱瘠薄的浅根性树种，生长快，具有一定的耐寒能力，对土壤的适应性较强。</w:t>
      </w:r>
    </w:p>
    <w:p w14:paraId="00C55007">
      <w:pPr>
        <w:spacing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2）土壤改良措施</w:t>
      </w:r>
    </w:p>
    <w:p w14:paraId="485F04B0">
      <w:pPr>
        <w:spacing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绿肥是改良复垦土壤，增加有机质和氮磷钾等营养元素的最有效方法。凡</w:t>
      </w:r>
    </w:p>
    <w:p w14:paraId="77884277">
      <w:pPr>
        <w:spacing w:line="360" w:lineRule="auto"/>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是以植物的绿色部分当作肥料的称为绿肥，绿肥多为豆科植物，其生命力旺盛，</w:t>
      </w:r>
    </w:p>
    <w:p w14:paraId="5EDD8FAE">
      <w:pPr>
        <w:spacing w:line="360" w:lineRule="auto"/>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在自然条件较差、土壤较贫瘠的土地上都能很好的生长。因此，无论复垦土地</w:t>
      </w:r>
    </w:p>
    <w:p w14:paraId="48033EDA">
      <w:pPr>
        <w:spacing w:line="360" w:lineRule="auto"/>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的最终利用方向是宜耕或宜草，在最初几年内都需要种植多年生或一年生豆科</w:t>
      </w:r>
    </w:p>
    <w:p w14:paraId="1677A37F">
      <w:pPr>
        <w:spacing w:line="360" w:lineRule="auto"/>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草本植物，然后将这些植物通过压青、秸秆还田等多种方式复田，在土壤微生物作用下，除释放大量养分外，还可以转化成腐殖质，其根系腐烂后也有胶结和团聚作用，可以有效改善土壤理化性质。</w:t>
      </w:r>
    </w:p>
    <w:p w14:paraId="2B387C30">
      <w:pPr>
        <w:spacing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选用紫花苜蓿作为撒播草种作物，其具有抗逆性强，可以在盐碱地种植，适应范围广，能生长在多种类型的气候、土壤环境下。性喜干燥、温暖、多晴天、少雨天的气候和</w:t>
      </w:r>
      <w:r>
        <w:rPr>
          <w:rFonts w:hint="default" w:ascii="Times New Roman" w:hAnsi="Times New Roman" w:cs="Times New Roman"/>
          <w:color w:val="auto"/>
          <w:sz w:val="24"/>
          <w:highlight w:val="none"/>
          <w:lang w:eastAsia="zh-CN"/>
        </w:rPr>
        <w:t>干</w:t>
      </w:r>
      <w:r>
        <w:rPr>
          <w:rFonts w:hint="default" w:ascii="Times New Roman" w:hAnsi="Times New Roman" w:cs="Times New Roman"/>
          <w:color w:val="auto"/>
          <w:sz w:val="24"/>
          <w:highlight w:val="none"/>
        </w:rPr>
        <w:t>燥、疏松、排水良好，富含钙质的土壤。最适气温25～30℃；年降雨为400～800mm的地方生长良好，</w:t>
      </w:r>
      <w:r>
        <w:rPr>
          <w:rFonts w:hint="eastAsia" w:cs="Times New Roman"/>
          <w:color w:val="auto"/>
          <w:sz w:val="24"/>
          <w:highlight w:val="none"/>
          <w:lang w:eastAsia="zh-CN"/>
        </w:rPr>
        <w:t>超过</w:t>
      </w:r>
      <w:r>
        <w:rPr>
          <w:rFonts w:hint="default" w:ascii="Times New Roman" w:hAnsi="Times New Roman" w:cs="Times New Roman"/>
          <w:color w:val="auto"/>
          <w:sz w:val="24"/>
          <w:highlight w:val="none"/>
        </w:rPr>
        <w:t>1000mm则生长不良。</w:t>
      </w:r>
    </w:p>
    <w:p w14:paraId="7D5B5EB2">
      <w:pPr>
        <w:spacing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种植紫花苜蓿作为绿肥，紫花苜蓿撒播量30.00kg/h</w:t>
      </w:r>
      <w:r>
        <w:rPr>
          <w:rFonts w:hint="default" w:ascii="Times New Roman" w:hAnsi="Times New Roman" w:cs="Times New Roman"/>
          <w:color w:val="auto"/>
          <w:sz w:val="24"/>
          <w:highlight w:val="none"/>
          <w:lang w:eastAsia="zh-CN"/>
        </w:rPr>
        <w:t>m</w:t>
      </w:r>
      <w:r>
        <w:rPr>
          <w:rFonts w:hint="default" w:ascii="Times New Roman" w:hAnsi="Times New Roman" w:cs="Times New Roman"/>
          <w:color w:val="auto"/>
          <w:sz w:val="24"/>
          <w:highlight w:val="none"/>
          <w:vertAlign w:val="superscript"/>
          <w:lang w:eastAsia="zh-CN"/>
        </w:rPr>
        <w:t>2</w:t>
      </w:r>
      <w:r>
        <w:rPr>
          <w:rFonts w:hint="default" w:ascii="Times New Roman" w:hAnsi="Times New Roman" w:cs="Times New Roman"/>
          <w:color w:val="auto"/>
          <w:sz w:val="24"/>
          <w:highlight w:val="none"/>
        </w:rPr>
        <w:t>，同时采取相应的管护措施，保证撒播草籽能生长良好，在管护期间，通过定期刈割和翻压还田等措施改善土壤理化性质。</w:t>
      </w:r>
    </w:p>
    <w:p w14:paraId="51BBD09C">
      <w:pPr>
        <w:pStyle w:val="5"/>
        <w:rPr>
          <w:rFonts w:hint="default" w:ascii="Times New Roman" w:hAnsi="Times New Roman" w:eastAsia="黑体" w:cs="Times New Roman"/>
          <w:b w:val="0"/>
          <w:bCs w:val="0"/>
          <w:color w:val="auto"/>
          <w:szCs w:val="28"/>
          <w:highlight w:val="none"/>
        </w:rPr>
      </w:pPr>
      <w:r>
        <w:rPr>
          <w:rFonts w:hint="default" w:ascii="Times New Roman" w:hAnsi="Times New Roman" w:eastAsia="黑体" w:cs="Times New Roman"/>
          <w:b w:val="0"/>
          <w:bCs w:val="0"/>
          <w:color w:val="auto"/>
          <w:szCs w:val="28"/>
          <w:highlight w:val="none"/>
          <w:lang w:eastAsia="zh-CN"/>
        </w:rPr>
        <w:t>（</w:t>
      </w:r>
      <w:r>
        <w:rPr>
          <w:rFonts w:hint="default" w:ascii="Times New Roman" w:hAnsi="Times New Roman" w:eastAsia="黑体" w:cs="Times New Roman"/>
          <w:b w:val="0"/>
          <w:bCs w:val="0"/>
          <w:color w:val="auto"/>
          <w:szCs w:val="28"/>
          <w:highlight w:val="none"/>
        </w:rPr>
        <w:t>四）主要工程量</w:t>
      </w:r>
      <w:bookmarkEnd w:id="210"/>
    </w:p>
    <w:p w14:paraId="36B4A799">
      <w:pPr>
        <w:autoSpaceDE w:val="0"/>
        <w:autoSpaceDN w:val="0"/>
        <w:spacing w:line="360" w:lineRule="auto"/>
        <w:ind w:firstLine="480" w:firstLineChars="200"/>
        <w:jc w:val="both"/>
        <w:rPr>
          <w:rFonts w:hint="default" w:ascii="Times New Roman" w:hAnsi="Times New Roman" w:cs="Times New Roman"/>
          <w:color w:val="auto"/>
          <w:sz w:val="24"/>
          <w:highlight w:val="none"/>
        </w:rPr>
      </w:pPr>
      <w:bookmarkStart w:id="211" w:name="_Hlk44273747"/>
      <w:r>
        <w:rPr>
          <w:rFonts w:hint="default" w:ascii="Times New Roman" w:hAnsi="Times New Roman" w:cs="Times New Roman"/>
          <w:color w:val="auto"/>
          <w:sz w:val="24"/>
          <w:highlight w:val="none"/>
        </w:rPr>
        <w:t>根据</w:t>
      </w:r>
      <w:r>
        <w:rPr>
          <w:rFonts w:hint="eastAsia" w:cs="Times New Roman"/>
          <w:color w:val="auto"/>
          <w:sz w:val="24"/>
          <w:highlight w:val="none"/>
          <w:lang w:eastAsia="zh-CN"/>
        </w:rPr>
        <w:t>北大湖采石场</w:t>
      </w:r>
      <w:r>
        <w:rPr>
          <w:rFonts w:hint="default" w:ascii="Times New Roman" w:hAnsi="Times New Roman" w:cs="Times New Roman"/>
          <w:color w:val="auto"/>
          <w:sz w:val="24"/>
          <w:highlight w:val="none"/>
        </w:rPr>
        <w:t>土地复垦工程设计，矿区土地复垦主要工程量：</w:t>
      </w:r>
      <w:r>
        <w:rPr>
          <w:rFonts w:hint="eastAsia" w:cs="Times New Roman"/>
          <w:color w:val="auto"/>
          <w:sz w:val="24"/>
          <w:highlight w:val="none"/>
          <w:lang w:val="en-US" w:eastAsia="zh-CN"/>
        </w:rPr>
        <w:t>表土剥离及运输543m</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、编织袋拦挡145m3、表土养护0.4330hm</w:t>
      </w:r>
      <w:r>
        <w:rPr>
          <w:rFonts w:hint="eastAsia" w:cs="Times New Roman"/>
          <w:color w:val="auto"/>
          <w:sz w:val="24"/>
          <w:highlight w:val="none"/>
          <w:vertAlign w:val="superscript"/>
          <w:lang w:val="en-US" w:eastAsia="zh-CN"/>
        </w:rPr>
        <w:t>2</w:t>
      </w:r>
      <w:r>
        <w:rPr>
          <w:rFonts w:hint="eastAsia" w:cs="Times New Roman"/>
          <w:color w:val="auto"/>
          <w:sz w:val="24"/>
          <w:highlight w:val="none"/>
          <w:lang w:val="en-US" w:eastAsia="zh-CN"/>
        </w:rPr>
        <w:t>、土地翻耕1.5345hm</w:t>
      </w:r>
      <w:r>
        <w:rPr>
          <w:rFonts w:hint="eastAsia" w:cs="Times New Roman"/>
          <w:color w:val="auto"/>
          <w:sz w:val="24"/>
          <w:highlight w:val="none"/>
          <w:vertAlign w:val="superscript"/>
          <w:lang w:val="en-US" w:eastAsia="zh-CN"/>
        </w:rPr>
        <w:t>2</w:t>
      </w:r>
      <w:r>
        <w:rPr>
          <w:rFonts w:hint="eastAsia"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表土运输</w:t>
      </w:r>
      <w:r>
        <w:rPr>
          <w:rFonts w:hint="eastAsia" w:cs="Times New Roman"/>
          <w:color w:val="auto"/>
          <w:sz w:val="24"/>
          <w:highlight w:val="none"/>
          <w:lang w:val="en-US" w:eastAsia="zh-CN"/>
        </w:rPr>
        <w:t>及回填9621</w:t>
      </w:r>
      <w:r>
        <w:rPr>
          <w:rFonts w:hint="default" w:ascii="Times New Roman" w:hAnsi="Times New Roman" w:cs="Times New Roman"/>
          <w:color w:val="auto"/>
          <w:sz w:val="24"/>
          <w:highlight w:val="none"/>
          <w:lang w:eastAsia="zh-CN"/>
        </w:rPr>
        <w:t>m</w:t>
      </w:r>
      <w:r>
        <w:rPr>
          <w:rFonts w:hint="default" w:ascii="Times New Roman" w:hAnsi="Times New Roman" w:cs="Times New Roman"/>
          <w:color w:val="auto"/>
          <w:sz w:val="24"/>
          <w:highlight w:val="none"/>
          <w:vertAlign w:val="superscript"/>
          <w:lang w:eastAsia="zh-CN"/>
        </w:rPr>
        <w:t>3</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种植</w:t>
      </w:r>
      <w:r>
        <w:rPr>
          <w:rFonts w:hint="default" w:ascii="Times New Roman" w:hAnsi="Times New Roman" w:cs="Times New Roman"/>
          <w:color w:val="auto"/>
          <w:sz w:val="24"/>
          <w:highlight w:val="none"/>
          <w:lang w:eastAsia="zh-CN"/>
        </w:rPr>
        <w:t>落叶松</w:t>
      </w:r>
      <w:r>
        <w:rPr>
          <w:rFonts w:hint="eastAsia" w:cs="Times New Roman"/>
          <w:color w:val="auto"/>
          <w:sz w:val="24"/>
          <w:highlight w:val="none"/>
          <w:lang w:val="en-US" w:eastAsia="zh-CN"/>
        </w:rPr>
        <w:t>8016</w:t>
      </w:r>
      <w:r>
        <w:rPr>
          <w:rFonts w:hint="default" w:ascii="Times New Roman" w:hAnsi="Times New Roman" w:cs="Times New Roman"/>
          <w:color w:val="auto"/>
          <w:sz w:val="24"/>
          <w:highlight w:val="none"/>
        </w:rPr>
        <w:t>株，撒播草种面积</w:t>
      </w:r>
      <w:r>
        <w:rPr>
          <w:rFonts w:hint="eastAsia" w:cs="Times New Roman"/>
          <w:color w:val="auto"/>
          <w:kern w:val="0"/>
          <w:sz w:val="24"/>
          <w:highlight w:val="none"/>
          <w:lang w:val="en-US" w:eastAsia="zh-CN"/>
        </w:rPr>
        <w:t>3.2066</w:t>
      </w:r>
      <w:r>
        <w:rPr>
          <w:rFonts w:hint="default" w:ascii="Times New Roman" w:hAnsi="Times New Roman" w:cs="Times New Roman"/>
          <w:color w:val="auto"/>
          <w:sz w:val="24"/>
          <w:highlight w:val="none"/>
        </w:rPr>
        <w:t>h</w:t>
      </w:r>
      <w:r>
        <w:rPr>
          <w:rFonts w:hint="default" w:ascii="Times New Roman" w:hAnsi="Times New Roman" w:cs="Times New Roman"/>
          <w:color w:val="auto"/>
          <w:sz w:val="24"/>
          <w:highlight w:val="none"/>
          <w:lang w:eastAsia="zh-CN"/>
        </w:rPr>
        <w:t>m</w:t>
      </w:r>
      <w:r>
        <w:rPr>
          <w:rFonts w:hint="default" w:ascii="Times New Roman" w:hAnsi="Times New Roman" w:cs="Times New Roman"/>
          <w:color w:val="auto"/>
          <w:sz w:val="24"/>
          <w:highlight w:val="none"/>
          <w:vertAlign w:val="superscript"/>
          <w:lang w:eastAsia="zh-CN"/>
        </w:rPr>
        <w:t>2</w:t>
      </w:r>
      <w:r>
        <w:rPr>
          <w:rFonts w:hint="eastAsia" w:cs="Times New Roman"/>
          <w:color w:val="auto"/>
          <w:sz w:val="24"/>
          <w:highlight w:val="none"/>
          <w:vertAlign w:val="baseline"/>
          <w:lang w:eastAsia="zh-CN"/>
        </w:rPr>
        <w:t>、</w:t>
      </w:r>
      <w:r>
        <w:rPr>
          <w:rFonts w:hint="default" w:ascii="Times New Roman" w:hAnsi="Times New Roman" w:cs="Times New Roman"/>
          <w:color w:val="auto"/>
          <w:sz w:val="24"/>
          <w:highlight w:val="none"/>
          <w:vertAlign w:val="baseline"/>
          <w:lang w:val="en-US" w:eastAsia="zh-CN"/>
        </w:rPr>
        <w:t>栽植爬山虎</w:t>
      </w:r>
      <w:r>
        <w:rPr>
          <w:rFonts w:hint="eastAsia" w:cs="Times New Roman"/>
          <w:color w:val="auto"/>
          <w:sz w:val="24"/>
          <w:highlight w:val="none"/>
          <w:vertAlign w:val="baseline"/>
          <w:lang w:val="en-US" w:eastAsia="zh-CN"/>
        </w:rPr>
        <w:t>2480</w:t>
      </w:r>
      <w:r>
        <w:rPr>
          <w:rFonts w:hint="default" w:ascii="Times New Roman" w:hAnsi="Times New Roman" w:cs="Times New Roman"/>
          <w:color w:val="auto"/>
          <w:sz w:val="24"/>
          <w:highlight w:val="none"/>
          <w:vertAlign w:val="baseline"/>
          <w:lang w:val="en-US" w:eastAsia="zh-CN"/>
        </w:rPr>
        <w:t>株</w:t>
      </w:r>
      <w:r>
        <w:rPr>
          <w:rFonts w:hint="eastAsia" w:cs="Times New Roman"/>
          <w:color w:val="auto"/>
          <w:sz w:val="24"/>
          <w:highlight w:val="none"/>
          <w:vertAlign w:val="baseline"/>
          <w:lang w:val="en-US" w:eastAsia="zh-CN"/>
        </w:rPr>
        <w:t>。</w:t>
      </w:r>
      <w:r>
        <w:rPr>
          <w:rFonts w:hint="default" w:ascii="Times New Roman" w:hAnsi="Times New Roman" w:cs="Times New Roman"/>
          <w:color w:val="auto"/>
          <w:sz w:val="24"/>
          <w:highlight w:val="none"/>
        </w:rPr>
        <w:t>本复垦项目中复垦工程量测算见表5-</w:t>
      </w:r>
      <w:r>
        <w:rPr>
          <w:rFonts w:hint="eastAsia" w:cs="Times New Roman"/>
          <w:color w:val="auto"/>
          <w:sz w:val="24"/>
          <w:highlight w:val="none"/>
          <w:lang w:val="en-US" w:eastAsia="zh-CN"/>
        </w:rPr>
        <w:t>6</w:t>
      </w:r>
      <w:r>
        <w:rPr>
          <w:rFonts w:hint="default" w:ascii="Times New Roman" w:hAnsi="Times New Roman" w:cs="Times New Roman"/>
          <w:color w:val="auto"/>
          <w:sz w:val="24"/>
          <w:highlight w:val="none"/>
        </w:rPr>
        <w:t>。</w:t>
      </w:r>
    </w:p>
    <w:p w14:paraId="288D4B82">
      <w:pPr>
        <w:autoSpaceDE w:val="0"/>
        <w:autoSpaceDN w:val="0"/>
        <w:spacing w:line="360" w:lineRule="auto"/>
        <w:ind w:firstLine="480" w:firstLineChars="200"/>
        <w:jc w:val="both"/>
        <w:rPr>
          <w:rFonts w:hint="default" w:ascii="Times New Roman" w:hAnsi="Times New Roman" w:eastAsia="宋体" w:cs="Times New Roman"/>
          <w:color w:val="auto"/>
          <w:sz w:val="24"/>
          <w:highlight w:val="none"/>
          <w:lang w:val="en-US" w:eastAsia="zh-CN"/>
        </w:rPr>
        <w:sectPr>
          <w:pgSz w:w="11906" w:h="16838"/>
          <w:pgMar w:top="1440" w:right="1800" w:bottom="1440" w:left="1800" w:header="851" w:footer="992" w:gutter="0"/>
          <w:pgBorders w:offsetFrom="page">
            <w:top w:val="none" w:sz="0" w:space="0"/>
            <w:left w:val="none" w:sz="0" w:space="0"/>
            <w:bottom w:val="none" w:sz="0" w:space="0"/>
            <w:right w:val="none" w:sz="0" w:space="0"/>
          </w:pgBorders>
          <w:pgNumType w:fmt="decimal"/>
          <w:cols w:space="720" w:num="1"/>
          <w:docGrid w:type="lines" w:linePitch="312" w:charSpace="0"/>
        </w:sectPr>
      </w:pPr>
    </w:p>
    <w:p w14:paraId="218D4660">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黑体" w:cs="Times New Roman"/>
          <w:b w:val="0"/>
          <w:bCs/>
          <w:color w:val="auto"/>
          <w:highlight w:val="none"/>
        </w:rPr>
      </w:pPr>
      <w:r>
        <w:rPr>
          <w:rFonts w:hint="default" w:ascii="Times New Roman" w:hAnsi="Times New Roman" w:eastAsia="黑体" w:cs="Times New Roman"/>
          <w:b w:val="0"/>
          <w:bCs/>
          <w:color w:val="auto"/>
          <w:kern w:val="0"/>
          <w:szCs w:val="21"/>
          <w:highlight w:val="none"/>
        </w:rPr>
        <w:t>表5-</w:t>
      </w:r>
      <w:r>
        <w:rPr>
          <w:rFonts w:hint="eastAsia" w:eastAsia="黑体" w:cs="Times New Roman"/>
          <w:b w:val="0"/>
          <w:bCs/>
          <w:color w:val="auto"/>
          <w:kern w:val="0"/>
          <w:szCs w:val="21"/>
          <w:highlight w:val="none"/>
          <w:lang w:val="en-US" w:eastAsia="zh-CN"/>
        </w:rPr>
        <w:t>6</w:t>
      </w:r>
      <w:r>
        <w:rPr>
          <w:rFonts w:hint="default" w:ascii="Times New Roman" w:hAnsi="Times New Roman" w:eastAsia="黑体" w:cs="Times New Roman"/>
          <w:b w:val="0"/>
          <w:bCs/>
          <w:color w:val="auto"/>
          <w:kern w:val="0"/>
          <w:szCs w:val="21"/>
          <w:highlight w:val="none"/>
        </w:rPr>
        <w:t xml:space="preserve">  </w:t>
      </w:r>
      <w:r>
        <w:rPr>
          <w:rFonts w:hint="eastAsia" w:eastAsia="黑体" w:cs="Times New Roman"/>
          <w:b w:val="0"/>
          <w:bCs/>
          <w:color w:val="auto"/>
          <w:kern w:val="0"/>
          <w:szCs w:val="21"/>
          <w:highlight w:val="none"/>
          <w:lang w:eastAsia="zh-CN"/>
        </w:rPr>
        <w:t>北大湖采石场</w:t>
      </w:r>
      <w:r>
        <w:rPr>
          <w:rFonts w:hint="default" w:ascii="Times New Roman" w:hAnsi="Times New Roman" w:eastAsia="黑体" w:cs="Times New Roman"/>
          <w:b w:val="0"/>
          <w:bCs/>
          <w:color w:val="auto"/>
          <w:kern w:val="0"/>
          <w:szCs w:val="21"/>
          <w:highlight w:val="none"/>
        </w:rPr>
        <w:t>土地复垦工程量测算统计表</w:t>
      </w:r>
    </w:p>
    <w:tbl>
      <w:tblPr>
        <w:tblStyle w:val="34"/>
        <w:tblW w:w="4996"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118"/>
        <w:gridCol w:w="998"/>
        <w:gridCol w:w="1169"/>
        <w:gridCol w:w="1137"/>
        <w:gridCol w:w="1430"/>
        <w:gridCol w:w="791"/>
        <w:gridCol w:w="766"/>
        <w:gridCol w:w="1055"/>
        <w:gridCol w:w="1055"/>
        <w:gridCol w:w="1265"/>
        <w:gridCol w:w="1055"/>
        <w:gridCol w:w="1265"/>
        <w:gridCol w:w="1059"/>
      </w:tblGrid>
      <w:tr w14:paraId="2AF06F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5" w:hRule="atLeast"/>
        </w:trPr>
        <w:tc>
          <w:tcPr>
            <w:tcW w:w="746" w:type="pct"/>
            <w:gridSpan w:val="2"/>
            <w:vMerge w:val="restart"/>
            <w:tcBorders>
              <w:tl2br w:val="nil"/>
              <w:tr2bl w:val="nil"/>
            </w:tcBorders>
            <w:shd w:val="clear" w:color="auto" w:fill="auto"/>
            <w:vAlign w:val="center"/>
          </w:tcPr>
          <w:p w14:paraId="2B6637C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复垦</w:t>
            </w:r>
            <w:r>
              <w:rPr>
                <w:rFonts w:hint="default" w:ascii="Times New Roman" w:hAnsi="Times New Roman" w:eastAsia="宋体" w:cs="Times New Roman"/>
                <w:i w:val="0"/>
                <w:iCs w:val="0"/>
                <w:color w:val="auto"/>
                <w:kern w:val="0"/>
                <w:sz w:val="21"/>
                <w:szCs w:val="21"/>
                <w:u w:val="none"/>
                <w:lang w:val="en-US" w:eastAsia="zh-CN" w:bidi="ar"/>
              </w:rPr>
              <w:t>单元</w:t>
            </w:r>
          </w:p>
        </w:tc>
        <w:tc>
          <w:tcPr>
            <w:tcW w:w="813" w:type="pct"/>
            <w:gridSpan w:val="2"/>
            <w:tcBorders>
              <w:tl2br w:val="nil"/>
              <w:tr2bl w:val="nil"/>
            </w:tcBorders>
            <w:shd w:val="clear" w:color="auto" w:fill="auto"/>
            <w:vAlign w:val="center"/>
          </w:tcPr>
          <w:p w14:paraId="649E183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土地利用类型</w:t>
            </w:r>
          </w:p>
        </w:tc>
        <w:tc>
          <w:tcPr>
            <w:tcW w:w="504" w:type="pct"/>
            <w:tcBorders>
              <w:tl2br w:val="nil"/>
              <w:tr2bl w:val="nil"/>
            </w:tcBorders>
            <w:shd w:val="clear" w:color="auto" w:fill="auto"/>
            <w:vAlign w:val="center"/>
          </w:tcPr>
          <w:p w14:paraId="79232F3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复垦</w:t>
            </w:r>
          </w:p>
        </w:tc>
        <w:tc>
          <w:tcPr>
            <w:tcW w:w="279" w:type="pct"/>
            <w:tcBorders>
              <w:tl2br w:val="nil"/>
              <w:tr2bl w:val="nil"/>
            </w:tcBorders>
            <w:shd w:val="clear" w:color="auto" w:fill="auto"/>
            <w:noWrap/>
            <w:vAlign w:val="center"/>
          </w:tcPr>
          <w:p w14:paraId="6B3F6BEE">
            <w:pPr>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剥离</w:t>
            </w:r>
          </w:p>
        </w:tc>
        <w:tc>
          <w:tcPr>
            <w:tcW w:w="270" w:type="pct"/>
            <w:tcBorders>
              <w:tl2br w:val="nil"/>
              <w:tr2bl w:val="nil"/>
            </w:tcBorders>
            <w:shd w:val="clear" w:color="auto" w:fill="auto"/>
            <w:noWrap/>
            <w:vAlign w:val="center"/>
          </w:tcPr>
          <w:p w14:paraId="7B1FD767">
            <w:pPr>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覆土</w:t>
            </w:r>
          </w:p>
        </w:tc>
        <w:tc>
          <w:tcPr>
            <w:tcW w:w="372" w:type="pct"/>
            <w:tcBorders>
              <w:tl2br w:val="nil"/>
              <w:tr2bl w:val="nil"/>
            </w:tcBorders>
            <w:shd w:val="clear" w:color="auto" w:fill="auto"/>
            <w:noWrap/>
            <w:vAlign w:val="center"/>
          </w:tcPr>
          <w:p w14:paraId="7F41DAE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栽植乔木</w:t>
            </w:r>
          </w:p>
        </w:tc>
        <w:tc>
          <w:tcPr>
            <w:tcW w:w="372" w:type="pct"/>
            <w:tcBorders>
              <w:tl2br w:val="nil"/>
              <w:tr2bl w:val="nil"/>
            </w:tcBorders>
            <w:shd w:val="clear" w:color="auto" w:fill="auto"/>
            <w:noWrap/>
            <w:vAlign w:val="center"/>
          </w:tcPr>
          <w:p w14:paraId="7813C75B">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撒播草种</w:t>
            </w:r>
          </w:p>
        </w:tc>
        <w:tc>
          <w:tcPr>
            <w:tcW w:w="446" w:type="pct"/>
            <w:tcBorders>
              <w:tl2br w:val="nil"/>
              <w:tr2bl w:val="nil"/>
            </w:tcBorders>
            <w:shd w:val="clear" w:color="auto" w:fill="auto"/>
            <w:noWrap/>
            <w:vAlign w:val="center"/>
          </w:tcPr>
          <w:p w14:paraId="0E2912D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栽植爬山虎</w:t>
            </w:r>
          </w:p>
        </w:tc>
        <w:tc>
          <w:tcPr>
            <w:tcW w:w="372" w:type="pct"/>
            <w:tcBorders>
              <w:tl2br w:val="nil"/>
              <w:tr2bl w:val="nil"/>
            </w:tcBorders>
            <w:shd w:val="clear" w:color="auto" w:fill="auto"/>
            <w:noWrap/>
            <w:vAlign w:val="center"/>
          </w:tcPr>
          <w:p w14:paraId="08EEE24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土地翻耕</w:t>
            </w:r>
          </w:p>
        </w:tc>
        <w:tc>
          <w:tcPr>
            <w:tcW w:w="446" w:type="pct"/>
            <w:tcBorders>
              <w:tl2br w:val="nil"/>
              <w:tr2bl w:val="nil"/>
            </w:tcBorders>
            <w:shd w:val="clear" w:color="auto" w:fill="auto"/>
            <w:noWrap/>
            <w:vAlign w:val="center"/>
          </w:tcPr>
          <w:p w14:paraId="11E7F750">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编织袋拦挡</w:t>
            </w:r>
          </w:p>
        </w:tc>
        <w:tc>
          <w:tcPr>
            <w:tcW w:w="373" w:type="pct"/>
            <w:tcBorders>
              <w:tl2br w:val="nil"/>
              <w:tr2bl w:val="nil"/>
            </w:tcBorders>
            <w:shd w:val="clear" w:color="auto" w:fill="auto"/>
            <w:noWrap/>
            <w:vAlign w:val="center"/>
          </w:tcPr>
          <w:p w14:paraId="7D7B2FB7">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表土养护</w:t>
            </w:r>
          </w:p>
        </w:tc>
      </w:tr>
      <w:tr w14:paraId="4A0AA3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746" w:type="pct"/>
            <w:gridSpan w:val="2"/>
            <w:vMerge w:val="continue"/>
            <w:tcBorders>
              <w:tl2br w:val="nil"/>
              <w:tr2bl w:val="nil"/>
            </w:tcBorders>
            <w:shd w:val="clear" w:color="auto" w:fill="auto"/>
            <w:vAlign w:val="center"/>
          </w:tcPr>
          <w:p w14:paraId="363B0D11">
            <w:pPr>
              <w:jc w:val="center"/>
              <w:rPr>
                <w:rFonts w:hint="default" w:ascii="Times New Roman" w:hAnsi="Times New Roman" w:eastAsia="宋体" w:cs="Times New Roman"/>
                <w:i w:val="0"/>
                <w:iCs w:val="0"/>
                <w:color w:val="auto"/>
                <w:sz w:val="21"/>
                <w:szCs w:val="21"/>
                <w:u w:val="none"/>
              </w:rPr>
            </w:pPr>
          </w:p>
        </w:tc>
        <w:tc>
          <w:tcPr>
            <w:tcW w:w="412" w:type="pct"/>
            <w:tcBorders>
              <w:tl2br w:val="nil"/>
              <w:tr2bl w:val="nil"/>
            </w:tcBorders>
            <w:shd w:val="clear" w:color="auto" w:fill="auto"/>
            <w:vAlign w:val="center"/>
          </w:tcPr>
          <w:p w14:paraId="1E4E7AA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0301乔木林地</w:t>
            </w:r>
          </w:p>
        </w:tc>
        <w:tc>
          <w:tcPr>
            <w:tcW w:w="401" w:type="pct"/>
            <w:tcBorders>
              <w:tl2br w:val="nil"/>
              <w:tr2bl w:val="nil"/>
            </w:tcBorders>
            <w:shd w:val="clear" w:color="auto" w:fill="auto"/>
            <w:noWrap/>
            <w:vAlign w:val="center"/>
          </w:tcPr>
          <w:p w14:paraId="1C51B9B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0602采矿用地</w:t>
            </w:r>
          </w:p>
        </w:tc>
        <w:tc>
          <w:tcPr>
            <w:tcW w:w="504" w:type="pct"/>
            <w:tcBorders>
              <w:tl2br w:val="nil"/>
              <w:tr2bl w:val="nil"/>
            </w:tcBorders>
            <w:shd w:val="clear" w:color="auto" w:fill="auto"/>
            <w:vAlign w:val="center"/>
          </w:tcPr>
          <w:p w14:paraId="6CBA319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面积（hm</w:t>
            </w:r>
            <w:r>
              <w:rPr>
                <w:rStyle w:val="186"/>
                <w:rFonts w:hint="default" w:ascii="Times New Roman" w:hAnsi="Times New Roman" w:eastAsia="宋体" w:cs="Times New Roman"/>
                <w:color w:val="auto"/>
                <w:sz w:val="21"/>
                <w:szCs w:val="21"/>
                <w:lang w:val="en-US" w:eastAsia="zh-CN" w:bidi="ar"/>
              </w:rPr>
              <w:t>2</w:t>
            </w:r>
            <w:r>
              <w:rPr>
                <w:rFonts w:hint="default" w:ascii="Times New Roman" w:hAnsi="Times New Roman" w:eastAsia="宋体" w:cs="Times New Roman"/>
                <w:i w:val="0"/>
                <w:iCs w:val="0"/>
                <w:color w:val="auto"/>
                <w:kern w:val="0"/>
                <w:sz w:val="21"/>
                <w:szCs w:val="21"/>
                <w:u w:val="none"/>
                <w:lang w:val="en-US" w:eastAsia="zh-CN" w:bidi="ar"/>
              </w:rPr>
              <w:t>）</w:t>
            </w:r>
          </w:p>
        </w:tc>
        <w:tc>
          <w:tcPr>
            <w:tcW w:w="279" w:type="pct"/>
            <w:tcBorders>
              <w:tl2br w:val="nil"/>
              <w:tr2bl w:val="nil"/>
            </w:tcBorders>
            <w:shd w:val="clear" w:color="auto" w:fill="auto"/>
            <w:noWrap/>
            <w:vAlign w:val="center"/>
          </w:tcPr>
          <w:p w14:paraId="24B6539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270" w:type="pct"/>
            <w:tcBorders>
              <w:tl2br w:val="nil"/>
              <w:tr2bl w:val="nil"/>
            </w:tcBorders>
            <w:shd w:val="clear" w:color="auto" w:fill="auto"/>
            <w:noWrap/>
            <w:vAlign w:val="center"/>
          </w:tcPr>
          <w:p w14:paraId="673B231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372" w:type="pct"/>
            <w:tcBorders>
              <w:tl2br w:val="nil"/>
              <w:tr2bl w:val="nil"/>
            </w:tcBorders>
            <w:shd w:val="clear" w:color="auto" w:fill="auto"/>
            <w:noWrap/>
            <w:vAlign w:val="center"/>
          </w:tcPr>
          <w:p w14:paraId="6BFF51F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株</w:t>
            </w:r>
          </w:p>
        </w:tc>
        <w:tc>
          <w:tcPr>
            <w:tcW w:w="372" w:type="pct"/>
            <w:tcBorders>
              <w:tl2br w:val="nil"/>
              <w:tr2bl w:val="nil"/>
            </w:tcBorders>
            <w:shd w:val="clear" w:color="auto" w:fill="auto"/>
            <w:noWrap/>
            <w:vAlign w:val="center"/>
          </w:tcPr>
          <w:p w14:paraId="220D0C7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hm</w:t>
            </w:r>
            <w:r>
              <w:rPr>
                <w:rFonts w:hint="default" w:ascii="Times New Roman" w:hAnsi="Times New Roman" w:eastAsia="宋体" w:cs="Times New Roman"/>
                <w:i w:val="0"/>
                <w:iCs w:val="0"/>
                <w:color w:val="auto"/>
                <w:kern w:val="0"/>
                <w:sz w:val="21"/>
                <w:szCs w:val="21"/>
                <w:u w:val="none"/>
                <w:vertAlign w:val="superscript"/>
                <w:lang w:val="en-US" w:eastAsia="zh-CN" w:bidi="ar"/>
              </w:rPr>
              <w:t>2</w:t>
            </w:r>
          </w:p>
        </w:tc>
        <w:tc>
          <w:tcPr>
            <w:tcW w:w="446" w:type="pct"/>
            <w:tcBorders>
              <w:tl2br w:val="nil"/>
              <w:tr2bl w:val="nil"/>
            </w:tcBorders>
            <w:shd w:val="clear" w:color="auto" w:fill="auto"/>
            <w:noWrap/>
            <w:vAlign w:val="center"/>
          </w:tcPr>
          <w:p w14:paraId="68B4AD7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株</w:t>
            </w:r>
          </w:p>
        </w:tc>
        <w:tc>
          <w:tcPr>
            <w:tcW w:w="372" w:type="pct"/>
            <w:tcBorders>
              <w:tl2br w:val="nil"/>
              <w:tr2bl w:val="nil"/>
            </w:tcBorders>
            <w:shd w:val="clear" w:color="auto" w:fill="auto"/>
            <w:noWrap/>
            <w:vAlign w:val="center"/>
          </w:tcPr>
          <w:p w14:paraId="385A1AB4">
            <w:pPr>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hm</w:t>
            </w:r>
            <w:r>
              <w:rPr>
                <w:rFonts w:hint="default" w:ascii="Times New Roman" w:hAnsi="Times New Roman" w:eastAsia="宋体" w:cs="Times New Roman"/>
                <w:i w:val="0"/>
                <w:iCs w:val="0"/>
                <w:color w:val="auto"/>
                <w:kern w:val="0"/>
                <w:sz w:val="21"/>
                <w:szCs w:val="21"/>
                <w:u w:val="none"/>
                <w:vertAlign w:val="superscript"/>
                <w:lang w:val="en-US" w:eastAsia="zh-CN" w:bidi="ar"/>
              </w:rPr>
              <w:t>2</w:t>
            </w:r>
          </w:p>
        </w:tc>
        <w:tc>
          <w:tcPr>
            <w:tcW w:w="446" w:type="pct"/>
            <w:tcBorders>
              <w:tl2br w:val="nil"/>
              <w:tr2bl w:val="nil"/>
            </w:tcBorders>
            <w:shd w:val="clear" w:color="auto" w:fill="auto"/>
            <w:noWrap/>
            <w:vAlign w:val="center"/>
          </w:tcPr>
          <w:p w14:paraId="4FDD26DA">
            <w:pPr>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373" w:type="pct"/>
            <w:tcBorders>
              <w:tl2br w:val="nil"/>
              <w:tr2bl w:val="nil"/>
            </w:tcBorders>
            <w:shd w:val="clear" w:color="auto" w:fill="auto"/>
            <w:noWrap/>
            <w:vAlign w:val="center"/>
          </w:tcPr>
          <w:p w14:paraId="06B74490">
            <w:pPr>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hm</w:t>
            </w:r>
            <w:r>
              <w:rPr>
                <w:rFonts w:hint="default" w:ascii="Times New Roman" w:hAnsi="Times New Roman" w:eastAsia="宋体" w:cs="Times New Roman"/>
                <w:i w:val="0"/>
                <w:iCs w:val="0"/>
                <w:color w:val="auto"/>
                <w:kern w:val="0"/>
                <w:sz w:val="21"/>
                <w:szCs w:val="21"/>
                <w:u w:val="none"/>
                <w:vertAlign w:val="superscript"/>
                <w:lang w:val="en-US" w:eastAsia="zh-CN" w:bidi="ar"/>
              </w:rPr>
              <w:t>2</w:t>
            </w:r>
          </w:p>
        </w:tc>
      </w:tr>
      <w:tr w14:paraId="4F5166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5" w:hRule="atLeast"/>
        </w:trPr>
        <w:tc>
          <w:tcPr>
            <w:tcW w:w="394" w:type="pct"/>
            <w:vMerge w:val="restart"/>
            <w:tcBorders>
              <w:tl2br w:val="nil"/>
              <w:tr2bl w:val="nil"/>
            </w:tcBorders>
            <w:shd w:val="clear" w:color="auto" w:fill="auto"/>
            <w:vAlign w:val="center"/>
          </w:tcPr>
          <w:p w14:paraId="61482E2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露天采场</w:t>
            </w:r>
          </w:p>
        </w:tc>
        <w:tc>
          <w:tcPr>
            <w:tcW w:w="351" w:type="pct"/>
            <w:tcBorders>
              <w:tl2br w:val="nil"/>
              <w:tr2bl w:val="nil"/>
            </w:tcBorders>
            <w:shd w:val="clear" w:color="auto" w:fill="auto"/>
            <w:noWrap/>
            <w:vAlign w:val="center"/>
          </w:tcPr>
          <w:p w14:paraId="2DC684D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坑底</w:t>
            </w:r>
          </w:p>
        </w:tc>
        <w:tc>
          <w:tcPr>
            <w:tcW w:w="412" w:type="pct"/>
            <w:tcBorders>
              <w:tl2br w:val="nil"/>
              <w:tr2bl w:val="nil"/>
            </w:tcBorders>
            <w:shd w:val="clear" w:color="auto" w:fill="auto"/>
            <w:vAlign w:val="center"/>
          </w:tcPr>
          <w:p w14:paraId="25CD3C0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0.1043</w:t>
            </w:r>
          </w:p>
        </w:tc>
        <w:tc>
          <w:tcPr>
            <w:tcW w:w="401" w:type="pct"/>
            <w:tcBorders>
              <w:tl2br w:val="nil"/>
              <w:tr2bl w:val="nil"/>
            </w:tcBorders>
            <w:shd w:val="clear" w:color="auto" w:fill="auto"/>
            <w:vAlign w:val="center"/>
          </w:tcPr>
          <w:p w14:paraId="2050740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1.2802</w:t>
            </w:r>
          </w:p>
        </w:tc>
        <w:tc>
          <w:tcPr>
            <w:tcW w:w="504" w:type="pct"/>
            <w:tcBorders>
              <w:tl2br w:val="nil"/>
              <w:tr2bl w:val="nil"/>
            </w:tcBorders>
            <w:shd w:val="clear" w:color="auto" w:fill="auto"/>
            <w:vAlign w:val="center"/>
          </w:tcPr>
          <w:p w14:paraId="4A7FE49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1.3845</w:t>
            </w:r>
          </w:p>
        </w:tc>
        <w:tc>
          <w:tcPr>
            <w:tcW w:w="279" w:type="pct"/>
            <w:tcBorders>
              <w:tl2br w:val="nil"/>
              <w:tr2bl w:val="nil"/>
            </w:tcBorders>
            <w:shd w:val="clear" w:color="auto" w:fill="auto"/>
            <w:noWrap/>
            <w:vAlign w:val="center"/>
          </w:tcPr>
          <w:p w14:paraId="26C867E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312.9</w:t>
            </w:r>
          </w:p>
        </w:tc>
        <w:tc>
          <w:tcPr>
            <w:tcW w:w="270" w:type="pct"/>
            <w:tcBorders>
              <w:tl2br w:val="nil"/>
              <w:tr2bl w:val="nil"/>
            </w:tcBorders>
            <w:shd w:val="clear" w:color="auto" w:fill="auto"/>
            <w:noWrap/>
            <w:vAlign w:val="center"/>
          </w:tcPr>
          <w:p w14:paraId="50D0B19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4154</w:t>
            </w:r>
          </w:p>
        </w:tc>
        <w:tc>
          <w:tcPr>
            <w:tcW w:w="372" w:type="pct"/>
            <w:tcBorders>
              <w:tl2br w:val="nil"/>
              <w:tr2bl w:val="nil"/>
            </w:tcBorders>
            <w:shd w:val="clear" w:color="auto" w:fill="auto"/>
            <w:noWrap/>
            <w:vAlign w:val="center"/>
          </w:tcPr>
          <w:p w14:paraId="420F45F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3461</w:t>
            </w:r>
          </w:p>
        </w:tc>
        <w:tc>
          <w:tcPr>
            <w:tcW w:w="372" w:type="pct"/>
            <w:tcBorders>
              <w:tl2br w:val="nil"/>
              <w:tr2bl w:val="nil"/>
            </w:tcBorders>
            <w:shd w:val="clear" w:color="auto" w:fill="auto"/>
            <w:noWrap/>
            <w:vAlign w:val="center"/>
          </w:tcPr>
          <w:p w14:paraId="3515C53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1.3845</w:t>
            </w:r>
          </w:p>
        </w:tc>
        <w:tc>
          <w:tcPr>
            <w:tcW w:w="446" w:type="pct"/>
            <w:tcBorders>
              <w:tl2br w:val="nil"/>
              <w:tr2bl w:val="nil"/>
            </w:tcBorders>
            <w:shd w:val="clear" w:color="auto" w:fill="auto"/>
            <w:noWrap/>
            <w:vAlign w:val="center"/>
          </w:tcPr>
          <w:p w14:paraId="5F6A18CD">
            <w:pPr>
              <w:jc w:val="center"/>
              <w:rPr>
                <w:rFonts w:hint="default" w:ascii="Times New Roman" w:hAnsi="Times New Roman" w:eastAsia="宋体" w:cs="Times New Roman"/>
                <w:i w:val="0"/>
                <w:iCs w:val="0"/>
                <w:color w:val="auto"/>
                <w:sz w:val="21"/>
                <w:szCs w:val="21"/>
                <w:u w:val="none"/>
              </w:rPr>
            </w:pPr>
          </w:p>
        </w:tc>
        <w:tc>
          <w:tcPr>
            <w:tcW w:w="372" w:type="pct"/>
            <w:tcBorders>
              <w:tl2br w:val="nil"/>
              <w:tr2bl w:val="nil"/>
            </w:tcBorders>
            <w:shd w:val="clear" w:color="auto" w:fill="auto"/>
            <w:noWrap/>
            <w:vAlign w:val="center"/>
          </w:tcPr>
          <w:p w14:paraId="6E773FB5">
            <w:pPr>
              <w:jc w:val="center"/>
              <w:rPr>
                <w:rFonts w:hint="default" w:ascii="Times New Roman" w:hAnsi="Times New Roman" w:eastAsia="宋体" w:cs="Times New Roman"/>
                <w:i w:val="0"/>
                <w:iCs w:val="0"/>
                <w:color w:val="auto"/>
                <w:sz w:val="21"/>
                <w:szCs w:val="21"/>
                <w:u w:val="none"/>
              </w:rPr>
            </w:pPr>
          </w:p>
        </w:tc>
        <w:tc>
          <w:tcPr>
            <w:tcW w:w="446" w:type="pct"/>
            <w:tcBorders>
              <w:tl2br w:val="nil"/>
              <w:tr2bl w:val="nil"/>
            </w:tcBorders>
            <w:shd w:val="clear" w:color="auto" w:fill="auto"/>
            <w:noWrap/>
            <w:vAlign w:val="center"/>
          </w:tcPr>
          <w:p w14:paraId="27577460">
            <w:pPr>
              <w:jc w:val="center"/>
              <w:rPr>
                <w:rFonts w:hint="default" w:ascii="Times New Roman" w:hAnsi="Times New Roman" w:eastAsia="宋体" w:cs="Times New Roman"/>
                <w:i w:val="0"/>
                <w:iCs w:val="0"/>
                <w:color w:val="auto"/>
                <w:sz w:val="21"/>
                <w:szCs w:val="21"/>
                <w:u w:val="none"/>
              </w:rPr>
            </w:pPr>
          </w:p>
        </w:tc>
        <w:tc>
          <w:tcPr>
            <w:tcW w:w="373" w:type="pct"/>
            <w:tcBorders>
              <w:tl2br w:val="nil"/>
              <w:tr2bl w:val="nil"/>
            </w:tcBorders>
            <w:shd w:val="clear" w:color="auto" w:fill="auto"/>
            <w:noWrap/>
            <w:vAlign w:val="center"/>
          </w:tcPr>
          <w:p w14:paraId="26204E3C">
            <w:pPr>
              <w:jc w:val="center"/>
              <w:rPr>
                <w:rFonts w:hint="default" w:ascii="Times New Roman" w:hAnsi="Times New Roman" w:eastAsia="宋体" w:cs="Times New Roman"/>
                <w:i w:val="0"/>
                <w:iCs w:val="0"/>
                <w:color w:val="auto"/>
                <w:sz w:val="21"/>
                <w:szCs w:val="21"/>
                <w:u w:val="none"/>
              </w:rPr>
            </w:pPr>
          </w:p>
        </w:tc>
      </w:tr>
      <w:tr w14:paraId="47616F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5" w:hRule="atLeast"/>
        </w:trPr>
        <w:tc>
          <w:tcPr>
            <w:tcW w:w="394" w:type="pct"/>
            <w:vMerge w:val="continue"/>
            <w:tcBorders>
              <w:tl2br w:val="nil"/>
              <w:tr2bl w:val="nil"/>
            </w:tcBorders>
            <w:shd w:val="clear" w:color="auto" w:fill="auto"/>
            <w:vAlign w:val="center"/>
          </w:tcPr>
          <w:p w14:paraId="5504C1B0">
            <w:pPr>
              <w:jc w:val="center"/>
              <w:rPr>
                <w:rFonts w:hint="default" w:ascii="Times New Roman" w:hAnsi="Times New Roman" w:eastAsia="宋体" w:cs="Times New Roman"/>
                <w:i w:val="0"/>
                <w:iCs w:val="0"/>
                <w:color w:val="auto"/>
                <w:sz w:val="21"/>
                <w:szCs w:val="21"/>
                <w:u w:val="none"/>
              </w:rPr>
            </w:pPr>
          </w:p>
        </w:tc>
        <w:tc>
          <w:tcPr>
            <w:tcW w:w="351" w:type="pct"/>
            <w:tcBorders>
              <w:tl2br w:val="nil"/>
              <w:tr2bl w:val="nil"/>
            </w:tcBorders>
            <w:shd w:val="clear" w:color="auto" w:fill="auto"/>
            <w:noWrap/>
            <w:vAlign w:val="center"/>
          </w:tcPr>
          <w:p w14:paraId="004CFF7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平台</w:t>
            </w:r>
          </w:p>
        </w:tc>
        <w:tc>
          <w:tcPr>
            <w:tcW w:w="412" w:type="pct"/>
            <w:tcBorders>
              <w:tl2br w:val="nil"/>
              <w:tr2bl w:val="nil"/>
            </w:tcBorders>
            <w:shd w:val="clear" w:color="auto" w:fill="auto"/>
            <w:vAlign w:val="center"/>
          </w:tcPr>
          <w:p w14:paraId="1931169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0.0064</w:t>
            </w:r>
          </w:p>
        </w:tc>
        <w:tc>
          <w:tcPr>
            <w:tcW w:w="401" w:type="pct"/>
            <w:tcBorders>
              <w:tl2br w:val="nil"/>
              <w:tr2bl w:val="nil"/>
            </w:tcBorders>
            <w:shd w:val="clear" w:color="auto" w:fill="auto"/>
            <w:vAlign w:val="center"/>
          </w:tcPr>
          <w:p w14:paraId="5B73F3A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0.2812</w:t>
            </w:r>
          </w:p>
        </w:tc>
        <w:tc>
          <w:tcPr>
            <w:tcW w:w="504" w:type="pct"/>
            <w:tcBorders>
              <w:tl2br w:val="nil"/>
              <w:tr2bl w:val="nil"/>
            </w:tcBorders>
            <w:shd w:val="clear" w:color="auto" w:fill="auto"/>
            <w:vAlign w:val="center"/>
          </w:tcPr>
          <w:p w14:paraId="69D34F2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0.2876</w:t>
            </w:r>
          </w:p>
        </w:tc>
        <w:tc>
          <w:tcPr>
            <w:tcW w:w="279" w:type="pct"/>
            <w:tcBorders>
              <w:tl2br w:val="nil"/>
              <w:tr2bl w:val="nil"/>
            </w:tcBorders>
            <w:shd w:val="clear" w:color="auto" w:fill="auto"/>
            <w:noWrap/>
            <w:vAlign w:val="center"/>
          </w:tcPr>
          <w:p w14:paraId="3150F14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19.2</w:t>
            </w:r>
          </w:p>
        </w:tc>
        <w:tc>
          <w:tcPr>
            <w:tcW w:w="270" w:type="pct"/>
            <w:tcBorders>
              <w:tl2br w:val="nil"/>
              <w:tr2bl w:val="nil"/>
            </w:tcBorders>
            <w:shd w:val="clear" w:color="auto" w:fill="auto"/>
            <w:noWrap/>
            <w:vAlign w:val="center"/>
          </w:tcPr>
          <w:p w14:paraId="49F99E3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863</w:t>
            </w:r>
          </w:p>
        </w:tc>
        <w:tc>
          <w:tcPr>
            <w:tcW w:w="372" w:type="pct"/>
            <w:tcBorders>
              <w:tl2br w:val="nil"/>
              <w:tr2bl w:val="nil"/>
            </w:tcBorders>
            <w:shd w:val="clear" w:color="auto" w:fill="auto"/>
            <w:noWrap/>
            <w:vAlign w:val="center"/>
          </w:tcPr>
          <w:p w14:paraId="19D6CF0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719</w:t>
            </w:r>
          </w:p>
        </w:tc>
        <w:tc>
          <w:tcPr>
            <w:tcW w:w="372" w:type="pct"/>
            <w:tcBorders>
              <w:tl2br w:val="nil"/>
              <w:tr2bl w:val="nil"/>
            </w:tcBorders>
            <w:shd w:val="clear" w:color="auto" w:fill="auto"/>
            <w:noWrap/>
            <w:vAlign w:val="center"/>
          </w:tcPr>
          <w:p w14:paraId="30D53ED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0.2876</w:t>
            </w:r>
          </w:p>
        </w:tc>
        <w:tc>
          <w:tcPr>
            <w:tcW w:w="446" w:type="pct"/>
            <w:tcBorders>
              <w:tl2br w:val="nil"/>
              <w:tr2bl w:val="nil"/>
            </w:tcBorders>
            <w:shd w:val="clear" w:color="auto" w:fill="auto"/>
            <w:noWrap/>
            <w:vAlign w:val="center"/>
          </w:tcPr>
          <w:p w14:paraId="312B535E">
            <w:pPr>
              <w:jc w:val="center"/>
              <w:rPr>
                <w:rFonts w:hint="default" w:ascii="Times New Roman" w:hAnsi="Times New Roman" w:eastAsia="宋体" w:cs="Times New Roman"/>
                <w:i w:val="0"/>
                <w:iCs w:val="0"/>
                <w:color w:val="auto"/>
                <w:sz w:val="21"/>
                <w:szCs w:val="21"/>
                <w:u w:val="none"/>
              </w:rPr>
            </w:pPr>
          </w:p>
        </w:tc>
        <w:tc>
          <w:tcPr>
            <w:tcW w:w="372" w:type="pct"/>
            <w:tcBorders>
              <w:tl2br w:val="nil"/>
              <w:tr2bl w:val="nil"/>
            </w:tcBorders>
            <w:shd w:val="clear" w:color="auto" w:fill="auto"/>
            <w:noWrap/>
            <w:vAlign w:val="center"/>
          </w:tcPr>
          <w:p w14:paraId="22EDE61A">
            <w:pPr>
              <w:jc w:val="center"/>
              <w:rPr>
                <w:rFonts w:hint="default" w:ascii="Times New Roman" w:hAnsi="Times New Roman" w:eastAsia="宋体" w:cs="Times New Roman"/>
                <w:i w:val="0"/>
                <w:iCs w:val="0"/>
                <w:color w:val="auto"/>
                <w:sz w:val="21"/>
                <w:szCs w:val="21"/>
                <w:u w:val="none"/>
              </w:rPr>
            </w:pPr>
          </w:p>
        </w:tc>
        <w:tc>
          <w:tcPr>
            <w:tcW w:w="446" w:type="pct"/>
            <w:tcBorders>
              <w:tl2br w:val="nil"/>
              <w:tr2bl w:val="nil"/>
            </w:tcBorders>
            <w:shd w:val="clear" w:color="auto" w:fill="auto"/>
            <w:noWrap/>
            <w:vAlign w:val="center"/>
          </w:tcPr>
          <w:p w14:paraId="2B3C2DC8">
            <w:pPr>
              <w:jc w:val="center"/>
              <w:rPr>
                <w:rFonts w:hint="default" w:ascii="Times New Roman" w:hAnsi="Times New Roman" w:eastAsia="宋体" w:cs="Times New Roman"/>
                <w:i w:val="0"/>
                <w:iCs w:val="0"/>
                <w:color w:val="auto"/>
                <w:sz w:val="21"/>
                <w:szCs w:val="21"/>
                <w:u w:val="none"/>
              </w:rPr>
            </w:pPr>
          </w:p>
        </w:tc>
        <w:tc>
          <w:tcPr>
            <w:tcW w:w="373" w:type="pct"/>
            <w:tcBorders>
              <w:tl2br w:val="nil"/>
              <w:tr2bl w:val="nil"/>
            </w:tcBorders>
            <w:shd w:val="clear" w:color="auto" w:fill="auto"/>
            <w:noWrap/>
            <w:vAlign w:val="center"/>
          </w:tcPr>
          <w:p w14:paraId="79DC6214">
            <w:pPr>
              <w:jc w:val="center"/>
              <w:rPr>
                <w:rFonts w:hint="default" w:ascii="Times New Roman" w:hAnsi="Times New Roman" w:eastAsia="宋体" w:cs="Times New Roman"/>
                <w:i w:val="0"/>
                <w:iCs w:val="0"/>
                <w:color w:val="auto"/>
                <w:sz w:val="21"/>
                <w:szCs w:val="21"/>
                <w:u w:val="none"/>
              </w:rPr>
            </w:pPr>
          </w:p>
        </w:tc>
      </w:tr>
      <w:tr w14:paraId="3C5BE5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5" w:hRule="atLeast"/>
        </w:trPr>
        <w:tc>
          <w:tcPr>
            <w:tcW w:w="394" w:type="pct"/>
            <w:vMerge w:val="continue"/>
            <w:tcBorders>
              <w:tl2br w:val="nil"/>
              <w:tr2bl w:val="nil"/>
            </w:tcBorders>
            <w:shd w:val="clear" w:color="auto" w:fill="auto"/>
            <w:vAlign w:val="center"/>
          </w:tcPr>
          <w:p w14:paraId="4D6C4CDB">
            <w:pPr>
              <w:jc w:val="center"/>
              <w:rPr>
                <w:rFonts w:hint="default" w:ascii="Times New Roman" w:hAnsi="Times New Roman" w:eastAsia="宋体" w:cs="Times New Roman"/>
                <w:i w:val="0"/>
                <w:iCs w:val="0"/>
                <w:color w:val="auto"/>
                <w:sz w:val="21"/>
                <w:szCs w:val="21"/>
                <w:u w:val="none"/>
              </w:rPr>
            </w:pPr>
          </w:p>
        </w:tc>
        <w:tc>
          <w:tcPr>
            <w:tcW w:w="351" w:type="pct"/>
            <w:tcBorders>
              <w:tl2br w:val="nil"/>
              <w:tr2bl w:val="nil"/>
            </w:tcBorders>
            <w:shd w:val="clear" w:color="auto" w:fill="auto"/>
            <w:noWrap/>
            <w:vAlign w:val="center"/>
          </w:tcPr>
          <w:p w14:paraId="455220E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边坡</w:t>
            </w:r>
          </w:p>
        </w:tc>
        <w:tc>
          <w:tcPr>
            <w:tcW w:w="412" w:type="pct"/>
            <w:tcBorders>
              <w:tl2br w:val="nil"/>
              <w:tr2bl w:val="nil"/>
            </w:tcBorders>
            <w:shd w:val="clear" w:color="auto" w:fill="auto"/>
            <w:vAlign w:val="center"/>
          </w:tcPr>
          <w:p w14:paraId="1767B8F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0.0703</w:t>
            </w:r>
          </w:p>
        </w:tc>
        <w:tc>
          <w:tcPr>
            <w:tcW w:w="401" w:type="pct"/>
            <w:tcBorders>
              <w:tl2br w:val="nil"/>
              <w:tr2bl w:val="nil"/>
            </w:tcBorders>
            <w:shd w:val="clear" w:color="auto" w:fill="auto"/>
            <w:vAlign w:val="center"/>
          </w:tcPr>
          <w:p w14:paraId="4F48518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0.7976</w:t>
            </w:r>
          </w:p>
        </w:tc>
        <w:tc>
          <w:tcPr>
            <w:tcW w:w="504" w:type="pct"/>
            <w:tcBorders>
              <w:tl2br w:val="nil"/>
              <w:tr2bl w:val="nil"/>
            </w:tcBorders>
            <w:shd w:val="clear" w:color="auto" w:fill="auto"/>
            <w:vAlign w:val="center"/>
          </w:tcPr>
          <w:p w14:paraId="749BCA5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eastAsia="宋体" w:cs="Times New Roman"/>
                <w:i w:val="0"/>
                <w:iCs w:val="0"/>
                <w:color w:val="auto"/>
                <w:kern w:val="0"/>
                <w:sz w:val="21"/>
                <w:szCs w:val="21"/>
                <w:u w:val="none"/>
                <w:lang w:val="en-US" w:eastAsia="zh-CN" w:bidi="ar"/>
              </w:rPr>
              <w:t>-</w:t>
            </w:r>
          </w:p>
        </w:tc>
        <w:tc>
          <w:tcPr>
            <w:tcW w:w="279" w:type="pct"/>
            <w:tcBorders>
              <w:tl2br w:val="nil"/>
              <w:tr2bl w:val="nil"/>
            </w:tcBorders>
            <w:shd w:val="clear" w:color="auto" w:fill="auto"/>
            <w:noWrap/>
            <w:vAlign w:val="center"/>
          </w:tcPr>
          <w:p w14:paraId="3A01175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210.9</w:t>
            </w:r>
          </w:p>
        </w:tc>
        <w:tc>
          <w:tcPr>
            <w:tcW w:w="270" w:type="pct"/>
            <w:tcBorders>
              <w:tl2br w:val="nil"/>
              <w:tr2bl w:val="nil"/>
            </w:tcBorders>
            <w:shd w:val="clear" w:color="auto" w:fill="auto"/>
            <w:noWrap/>
            <w:vAlign w:val="center"/>
          </w:tcPr>
          <w:p w14:paraId="19A1D362">
            <w:pPr>
              <w:jc w:val="center"/>
              <w:rPr>
                <w:rFonts w:hint="default" w:ascii="Times New Roman" w:hAnsi="Times New Roman" w:eastAsia="宋体" w:cs="Times New Roman"/>
                <w:i w:val="0"/>
                <w:iCs w:val="0"/>
                <w:color w:val="auto"/>
                <w:sz w:val="21"/>
                <w:szCs w:val="21"/>
                <w:u w:val="none"/>
              </w:rPr>
            </w:pPr>
          </w:p>
        </w:tc>
        <w:tc>
          <w:tcPr>
            <w:tcW w:w="372" w:type="pct"/>
            <w:tcBorders>
              <w:tl2br w:val="nil"/>
              <w:tr2bl w:val="nil"/>
            </w:tcBorders>
            <w:shd w:val="clear" w:color="auto" w:fill="auto"/>
            <w:noWrap/>
            <w:vAlign w:val="center"/>
          </w:tcPr>
          <w:p w14:paraId="07828A78">
            <w:pPr>
              <w:jc w:val="center"/>
              <w:rPr>
                <w:rFonts w:hint="default" w:ascii="Times New Roman" w:hAnsi="Times New Roman" w:eastAsia="宋体" w:cs="Times New Roman"/>
                <w:i w:val="0"/>
                <w:iCs w:val="0"/>
                <w:color w:val="auto"/>
                <w:sz w:val="21"/>
                <w:szCs w:val="21"/>
                <w:u w:val="none"/>
              </w:rPr>
            </w:pPr>
          </w:p>
        </w:tc>
        <w:tc>
          <w:tcPr>
            <w:tcW w:w="372" w:type="pct"/>
            <w:tcBorders>
              <w:tl2br w:val="nil"/>
              <w:tr2bl w:val="nil"/>
            </w:tcBorders>
            <w:shd w:val="clear" w:color="auto" w:fill="auto"/>
            <w:noWrap/>
            <w:vAlign w:val="center"/>
          </w:tcPr>
          <w:p w14:paraId="6FB284CF">
            <w:pPr>
              <w:jc w:val="center"/>
              <w:rPr>
                <w:rFonts w:hint="default" w:ascii="Times New Roman" w:hAnsi="Times New Roman" w:eastAsia="宋体" w:cs="Times New Roman"/>
                <w:i w:val="0"/>
                <w:iCs w:val="0"/>
                <w:color w:val="auto"/>
                <w:sz w:val="21"/>
                <w:szCs w:val="21"/>
                <w:u w:val="none"/>
              </w:rPr>
            </w:pPr>
          </w:p>
        </w:tc>
        <w:tc>
          <w:tcPr>
            <w:tcW w:w="446" w:type="pct"/>
            <w:tcBorders>
              <w:tl2br w:val="nil"/>
              <w:tr2bl w:val="nil"/>
            </w:tcBorders>
            <w:shd w:val="clear" w:color="auto" w:fill="auto"/>
            <w:noWrap/>
            <w:vAlign w:val="center"/>
          </w:tcPr>
          <w:p w14:paraId="14A58A2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2480</w:t>
            </w:r>
          </w:p>
        </w:tc>
        <w:tc>
          <w:tcPr>
            <w:tcW w:w="372" w:type="pct"/>
            <w:tcBorders>
              <w:tl2br w:val="nil"/>
              <w:tr2bl w:val="nil"/>
            </w:tcBorders>
            <w:shd w:val="clear" w:color="auto" w:fill="auto"/>
            <w:noWrap/>
            <w:vAlign w:val="center"/>
          </w:tcPr>
          <w:p w14:paraId="7BC3B2AA">
            <w:pPr>
              <w:jc w:val="center"/>
              <w:rPr>
                <w:rFonts w:hint="default" w:ascii="Times New Roman" w:hAnsi="Times New Roman" w:eastAsia="宋体" w:cs="Times New Roman"/>
                <w:i w:val="0"/>
                <w:iCs w:val="0"/>
                <w:color w:val="auto"/>
                <w:sz w:val="21"/>
                <w:szCs w:val="21"/>
                <w:u w:val="none"/>
              </w:rPr>
            </w:pPr>
          </w:p>
        </w:tc>
        <w:tc>
          <w:tcPr>
            <w:tcW w:w="446" w:type="pct"/>
            <w:tcBorders>
              <w:tl2br w:val="nil"/>
              <w:tr2bl w:val="nil"/>
            </w:tcBorders>
            <w:shd w:val="clear" w:color="auto" w:fill="auto"/>
            <w:noWrap/>
            <w:vAlign w:val="center"/>
          </w:tcPr>
          <w:p w14:paraId="67A4789A">
            <w:pPr>
              <w:jc w:val="center"/>
              <w:rPr>
                <w:rFonts w:hint="default" w:ascii="Times New Roman" w:hAnsi="Times New Roman" w:eastAsia="宋体" w:cs="Times New Roman"/>
                <w:i w:val="0"/>
                <w:iCs w:val="0"/>
                <w:color w:val="auto"/>
                <w:sz w:val="21"/>
                <w:szCs w:val="21"/>
                <w:u w:val="none"/>
              </w:rPr>
            </w:pPr>
          </w:p>
        </w:tc>
        <w:tc>
          <w:tcPr>
            <w:tcW w:w="373" w:type="pct"/>
            <w:tcBorders>
              <w:tl2br w:val="nil"/>
              <w:tr2bl w:val="nil"/>
            </w:tcBorders>
            <w:shd w:val="clear" w:color="auto" w:fill="auto"/>
            <w:noWrap/>
            <w:vAlign w:val="center"/>
          </w:tcPr>
          <w:p w14:paraId="3DEFC979">
            <w:pPr>
              <w:jc w:val="center"/>
              <w:rPr>
                <w:rFonts w:hint="default" w:ascii="Times New Roman" w:hAnsi="Times New Roman" w:eastAsia="宋体" w:cs="Times New Roman"/>
                <w:i w:val="0"/>
                <w:iCs w:val="0"/>
                <w:color w:val="auto"/>
                <w:sz w:val="21"/>
                <w:szCs w:val="21"/>
                <w:u w:val="none"/>
              </w:rPr>
            </w:pPr>
          </w:p>
        </w:tc>
      </w:tr>
      <w:tr w14:paraId="2A284E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5" w:hRule="atLeast"/>
        </w:trPr>
        <w:tc>
          <w:tcPr>
            <w:tcW w:w="746" w:type="pct"/>
            <w:gridSpan w:val="2"/>
            <w:tcBorders>
              <w:tl2br w:val="nil"/>
              <w:tr2bl w:val="nil"/>
            </w:tcBorders>
            <w:shd w:val="clear" w:color="auto" w:fill="auto"/>
            <w:vAlign w:val="center"/>
          </w:tcPr>
          <w:p w14:paraId="36349D0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工业广场</w:t>
            </w:r>
          </w:p>
        </w:tc>
        <w:tc>
          <w:tcPr>
            <w:tcW w:w="412" w:type="pct"/>
            <w:tcBorders>
              <w:tl2br w:val="nil"/>
              <w:tr2bl w:val="nil"/>
            </w:tcBorders>
            <w:shd w:val="clear" w:color="auto" w:fill="auto"/>
            <w:vAlign w:val="center"/>
          </w:tcPr>
          <w:p w14:paraId="07DC473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0.0000</w:t>
            </w:r>
          </w:p>
        </w:tc>
        <w:tc>
          <w:tcPr>
            <w:tcW w:w="401" w:type="pct"/>
            <w:tcBorders>
              <w:tl2br w:val="nil"/>
              <w:tr2bl w:val="nil"/>
            </w:tcBorders>
            <w:shd w:val="clear" w:color="auto" w:fill="auto"/>
            <w:vAlign w:val="center"/>
          </w:tcPr>
          <w:p w14:paraId="10959C2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0.6845</w:t>
            </w:r>
          </w:p>
        </w:tc>
        <w:tc>
          <w:tcPr>
            <w:tcW w:w="504" w:type="pct"/>
            <w:tcBorders>
              <w:tl2br w:val="nil"/>
              <w:tr2bl w:val="nil"/>
            </w:tcBorders>
            <w:shd w:val="clear" w:color="auto" w:fill="auto"/>
            <w:vAlign w:val="center"/>
          </w:tcPr>
          <w:p w14:paraId="0CC748E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0.6845</w:t>
            </w:r>
          </w:p>
        </w:tc>
        <w:tc>
          <w:tcPr>
            <w:tcW w:w="279" w:type="pct"/>
            <w:tcBorders>
              <w:tl2br w:val="nil"/>
              <w:tr2bl w:val="nil"/>
            </w:tcBorders>
            <w:shd w:val="clear" w:color="auto" w:fill="auto"/>
            <w:noWrap/>
            <w:vAlign w:val="center"/>
          </w:tcPr>
          <w:p w14:paraId="1A25ACA6">
            <w:pPr>
              <w:jc w:val="center"/>
              <w:rPr>
                <w:rFonts w:hint="default" w:ascii="Times New Roman" w:hAnsi="Times New Roman" w:eastAsia="宋体" w:cs="Times New Roman"/>
                <w:i w:val="0"/>
                <w:iCs w:val="0"/>
                <w:color w:val="auto"/>
                <w:sz w:val="21"/>
                <w:szCs w:val="21"/>
                <w:u w:val="none"/>
              </w:rPr>
            </w:pPr>
          </w:p>
        </w:tc>
        <w:tc>
          <w:tcPr>
            <w:tcW w:w="270" w:type="pct"/>
            <w:tcBorders>
              <w:tl2br w:val="nil"/>
              <w:tr2bl w:val="nil"/>
            </w:tcBorders>
            <w:shd w:val="clear" w:color="auto" w:fill="auto"/>
            <w:noWrap/>
            <w:vAlign w:val="center"/>
          </w:tcPr>
          <w:p w14:paraId="34B0D8D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2054</w:t>
            </w:r>
          </w:p>
        </w:tc>
        <w:tc>
          <w:tcPr>
            <w:tcW w:w="372" w:type="pct"/>
            <w:tcBorders>
              <w:tl2br w:val="nil"/>
              <w:tr2bl w:val="nil"/>
            </w:tcBorders>
            <w:shd w:val="clear" w:color="auto" w:fill="auto"/>
            <w:noWrap/>
            <w:vAlign w:val="center"/>
          </w:tcPr>
          <w:p w14:paraId="6CB7EC6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1711</w:t>
            </w:r>
          </w:p>
        </w:tc>
        <w:tc>
          <w:tcPr>
            <w:tcW w:w="372" w:type="pct"/>
            <w:tcBorders>
              <w:tl2br w:val="nil"/>
              <w:tr2bl w:val="nil"/>
            </w:tcBorders>
            <w:shd w:val="clear" w:color="auto" w:fill="auto"/>
            <w:noWrap/>
            <w:vAlign w:val="center"/>
          </w:tcPr>
          <w:p w14:paraId="442E7F5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0.6845</w:t>
            </w:r>
          </w:p>
        </w:tc>
        <w:tc>
          <w:tcPr>
            <w:tcW w:w="446" w:type="pct"/>
            <w:tcBorders>
              <w:tl2br w:val="nil"/>
              <w:tr2bl w:val="nil"/>
            </w:tcBorders>
            <w:shd w:val="clear" w:color="auto" w:fill="auto"/>
            <w:noWrap/>
            <w:vAlign w:val="center"/>
          </w:tcPr>
          <w:p w14:paraId="477F53F1">
            <w:pPr>
              <w:jc w:val="center"/>
              <w:rPr>
                <w:rFonts w:hint="default" w:ascii="Times New Roman" w:hAnsi="Times New Roman" w:eastAsia="宋体" w:cs="Times New Roman"/>
                <w:i w:val="0"/>
                <w:iCs w:val="0"/>
                <w:color w:val="auto"/>
                <w:sz w:val="21"/>
                <w:szCs w:val="21"/>
                <w:u w:val="none"/>
              </w:rPr>
            </w:pPr>
          </w:p>
        </w:tc>
        <w:tc>
          <w:tcPr>
            <w:tcW w:w="372" w:type="pct"/>
            <w:tcBorders>
              <w:tl2br w:val="nil"/>
              <w:tr2bl w:val="nil"/>
            </w:tcBorders>
            <w:shd w:val="clear" w:color="auto" w:fill="auto"/>
            <w:noWrap/>
            <w:vAlign w:val="center"/>
          </w:tcPr>
          <w:p w14:paraId="1B4DF2F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0.6845</w:t>
            </w:r>
          </w:p>
        </w:tc>
        <w:tc>
          <w:tcPr>
            <w:tcW w:w="446" w:type="pct"/>
            <w:tcBorders>
              <w:tl2br w:val="nil"/>
              <w:tr2bl w:val="nil"/>
            </w:tcBorders>
            <w:shd w:val="clear" w:color="auto" w:fill="auto"/>
            <w:noWrap/>
            <w:vAlign w:val="center"/>
          </w:tcPr>
          <w:p w14:paraId="2E1BE7DD">
            <w:pPr>
              <w:jc w:val="center"/>
              <w:rPr>
                <w:rFonts w:hint="default" w:ascii="Times New Roman" w:hAnsi="Times New Roman" w:eastAsia="宋体" w:cs="Times New Roman"/>
                <w:i w:val="0"/>
                <w:iCs w:val="0"/>
                <w:color w:val="auto"/>
                <w:sz w:val="21"/>
                <w:szCs w:val="21"/>
                <w:u w:val="none"/>
              </w:rPr>
            </w:pPr>
          </w:p>
        </w:tc>
        <w:tc>
          <w:tcPr>
            <w:tcW w:w="373" w:type="pct"/>
            <w:tcBorders>
              <w:tl2br w:val="nil"/>
              <w:tr2bl w:val="nil"/>
            </w:tcBorders>
            <w:shd w:val="clear" w:color="auto" w:fill="auto"/>
            <w:noWrap/>
            <w:vAlign w:val="center"/>
          </w:tcPr>
          <w:p w14:paraId="79500E84">
            <w:pPr>
              <w:jc w:val="center"/>
              <w:rPr>
                <w:rFonts w:hint="default" w:ascii="Times New Roman" w:hAnsi="Times New Roman" w:eastAsia="宋体" w:cs="Times New Roman"/>
                <w:i w:val="0"/>
                <w:iCs w:val="0"/>
                <w:color w:val="auto"/>
                <w:sz w:val="21"/>
                <w:szCs w:val="21"/>
                <w:u w:val="none"/>
              </w:rPr>
            </w:pPr>
          </w:p>
        </w:tc>
      </w:tr>
      <w:tr w14:paraId="370A4E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5" w:hRule="atLeast"/>
        </w:trPr>
        <w:tc>
          <w:tcPr>
            <w:tcW w:w="746" w:type="pct"/>
            <w:gridSpan w:val="2"/>
            <w:tcBorders>
              <w:tl2br w:val="nil"/>
              <w:tr2bl w:val="nil"/>
            </w:tcBorders>
            <w:shd w:val="clear" w:color="auto" w:fill="auto"/>
            <w:vAlign w:val="center"/>
          </w:tcPr>
          <w:p w14:paraId="4A16E28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办公生活区</w:t>
            </w:r>
          </w:p>
        </w:tc>
        <w:tc>
          <w:tcPr>
            <w:tcW w:w="412" w:type="pct"/>
            <w:tcBorders>
              <w:tl2br w:val="nil"/>
              <w:tr2bl w:val="nil"/>
            </w:tcBorders>
            <w:shd w:val="clear" w:color="auto" w:fill="auto"/>
            <w:vAlign w:val="center"/>
          </w:tcPr>
          <w:p w14:paraId="4098826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0.0000</w:t>
            </w:r>
          </w:p>
        </w:tc>
        <w:tc>
          <w:tcPr>
            <w:tcW w:w="401" w:type="pct"/>
            <w:tcBorders>
              <w:tl2br w:val="nil"/>
              <w:tr2bl w:val="nil"/>
            </w:tcBorders>
            <w:shd w:val="clear" w:color="auto" w:fill="auto"/>
            <w:vAlign w:val="center"/>
          </w:tcPr>
          <w:p w14:paraId="29428F6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0.2605</w:t>
            </w:r>
          </w:p>
        </w:tc>
        <w:tc>
          <w:tcPr>
            <w:tcW w:w="504" w:type="pct"/>
            <w:tcBorders>
              <w:tl2br w:val="nil"/>
              <w:tr2bl w:val="nil"/>
            </w:tcBorders>
            <w:shd w:val="clear" w:color="auto" w:fill="auto"/>
            <w:vAlign w:val="center"/>
          </w:tcPr>
          <w:p w14:paraId="21F1ADB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0.2605</w:t>
            </w:r>
          </w:p>
        </w:tc>
        <w:tc>
          <w:tcPr>
            <w:tcW w:w="279" w:type="pct"/>
            <w:tcBorders>
              <w:tl2br w:val="nil"/>
              <w:tr2bl w:val="nil"/>
            </w:tcBorders>
            <w:shd w:val="clear" w:color="auto" w:fill="auto"/>
            <w:noWrap/>
            <w:vAlign w:val="center"/>
          </w:tcPr>
          <w:p w14:paraId="0F9018B6">
            <w:pPr>
              <w:jc w:val="center"/>
              <w:rPr>
                <w:rFonts w:hint="default" w:ascii="Times New Roman" w:hAnsi="Times New Roman" w:eastAsia="宋体" w:cs="Times New Roman"/>
                <w:i w:val="0"/>
                <w:iCs w:val="0"/>
                <w:color w:val="auto"/>
                <w:sz w:val="21"/>
                <w:szCs w:val="21"/>
                <w:u w:val="none"/>
              </w:rPr>
            </w:pPr>
          </w:p>
        </w:tc>
        <w:tc>
          <w:tcPr>
            <w:tcW w:w="270" w:type="pct"/>
            <w:tcBorders>
              <w:tl2br w:val="nil"/>
              <w:tr2bl w:val="nil"/>
            </w:tcBorders>
            <w:shd w:val="clear" w:color="auto" w:fill="auto"/>
            <w:noWrap/>
            <w:vAlign w:val="center"/>
          </w:tcPr>
          <w:p w14:paraId="239A71B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782</w:t>
            </w:r>
          </w:p>
        </w:tc>
        <w:tc>
          <w:tcPr>
            <w:tcW w:w="372" w:type="pct"/>
            <w:tcBorders>
              <w:tl2br w:val="nil"/>
              <w:tr2bl w:val="nil"/>
            </w:tcBorders>
            <w:shd w:val="clear" w:color="auto" w:fill="auto"/>
            <w:noWrap/>
            <w:vAlign w:val="center"/>
          </w:tcPr>
          <w:p w14:paraId="1EDBD7F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651</w:t>
            </w:r>
          </w:p>
        </w:tc>
        <w:tc>
          <w:tcPr>
            <w:tcW w:w="372" w:type="pct"/>
            <w:tcBorders>
              <w:tl2br w:val="nil"/>
              <w:tr2bl w:val="nil"/>
            </w:tcBorders>
            <w:shd w:val="clear" w:color="auto" w:fill="auto"/>
            <w:noWrap/>
            <w:vAlign w:val="center"/>
          </w:tcPr>
          <w:p w14:paraId="05EF2A5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0.2605</w:t>
            </w:r>
          </w:p>
        </w:tc>
        <w:tc>
          <w:tcPr>
            <w:tcW w:w="446" w:type="pct"/>
            <w:tcBorders>
              <w:tl2br w:val="nil"/>
              <w:tr2bl w:val="nil"/>
            </w:tcBorders>
            <w:shd w:val="clear" w:color="auto" w:fill="auto"/>
            <w:noWrap/>
            <w:vAlign w:val="center"/>
          </w:tcPr>
          <w:p w14:paraId="38C41FD8">
            <w:pPr>
              <w:jc w:val="center"/>
              <w:rPr>
                <w:rFonts w:hint="default" w:ascii="Times New Roman" w:hAnsi="Times New Roman" w:eastAsia="宋体" w:cs="Times New Roman"/>
                <w:i w:val="0"/>
                <w:iCs w:val="0"/>
                <w:color w:val="auto"/>
                <w:sz w:val="21"/>
                <w:szCs w:val="21"/>
                <w:u w:val="none"/>
              </w:rPr>
            </w:pPr>
          </w:p>
        </w:tc>
        <w:tc>
          <w:tcPr>
            <w:tcW w:w="372" w:type="pct"/>
            <w:tcBorders>
              <w:tl2br w:val="nil"/>
              <w:tr2bl w:val="nil"/>
            </w:tcBorders>
            <w:shd w:val="clear" w:color="auto" w:fill="auto"/>
            <w:noWrap/>
            <w:vAlign w:val="center"/>
          </w:tcPr>
          <w:p w14:paraId="7E7ECAF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0.2605</w:t>
            </w:r>
          </w:p>
        </w:tc>
        <w:tc>
          <w:tcPr>
            <w:tcW w:w="446" w:type="pct"/>
            <w:tcBorders>
              <w:tl2br w:val="nil"/>
              <w:tr2bl w:val="nil"/>
            </w:tcBorders>
            <w:shd w:val="clear" w:color="auto" w:fill="auto"/>
            <w:noWrap/>
            <w:vAlign w:val="center"/>
          </w:tcPr>
          <w:p w14:paraId="073C9752">
            <w:pPr>
              <w:jc w:val="center"/>
              <w:rPr>
                <w:rFonts w:hint="default" w:ascii="Times New Roman" w:hAnsi="Times New Roman" w:eastAsia="宋体" w:cs="Times New Roman"/>
                <w:i w:val="0"/>
                <w:iCs w:val="0"/>
                <w:color w:val="auto"/>
                <w:sz w:val="21"/>
                <w:szCs w:val="21"/>
                <w:u w:val="none"/>
              </w:rPr>
            </w:pPr>
          </w:p>
        </w:tc>
        <w:tc>
          <w:tcPr>
            <w:tcW w:w="373" w:type="pct"/>
            <w:tcBorders>
              <w:tl2br w:val="nil"/>
              <w:tr2bl w:val="nil"/>
            </w:tcBorders>
            <w:shd w:val="clear" w:color="auto" w:fill="auto"/>
            <w:noWrap/>
            <w:vAlign w:val="center"/>
          </w:tcPr>
          <w:p w14:paraId="7B09A448">
            <w:pPr>
              <w:jc w:val="center"/>
              <w:rPr>
                <w:rFonts w:hint="default" w:ascii="Times New Roman" w:hAnsi="Times New Roman" w:eastAsia="宋体" w:cs="Times New Roman"/>
                <w:i w:val="0"/>
                <w:iCs w:val="0"/>
                <w:color w:val="auto"/>
                <w:sz w:val="21"/>
                <w:szCs w:val="21"/>
                <w:u w:val="none"/>
              </w:rPr>
            </w:pPr>
          </w:p>
        </w:tc>
      </w:tr>
      <w:tr w14:paraId="3768BF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746" w:type="pct"/>
            <w:gridSpan w:val="2"/>
            <w:tcBorders>
              <w:tl2br w:val="nil"/>
              <w:tr2bl w:val="nil"/>
            </w:tcBorders>
            <w:shd w:val="clear" w:color="auto" w:fill="auto"/>
            <w:vAlign w:val="center"/>
          </w:tcPr>
          <w:p w14:paraId="34E0C4C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原有办公室及临时堆料场</w:t>
            </w:r>
          </w:p>
        </w:tc>
        <w:tc>
          <w:tcPr>
            <w:tcW w:w="412" w:type="pct"/>
            <w:tcBorders>
              <w:tl2br w:val="nil"/>
              <w:tr2bl w:val="nil"/>
            </w:tcBorders>
            <w:shd w:val="clear" w:color="auto" w:fill="auto"/>
            <w:vAlign w:val="center"/>
          </w:tcPr>
          <w:p w14:paraId="6CB307D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0.0000</w:t>
            </w:r>
          </w:p>
        </w:tc>
        <w:tc>
          <w:tcPr>
            <w:tcW w:w="401" w:type="pct"/>
            <w:tcBorders>
              <w:tl2br w:val="nil"/>
              <w:tr2bl w:val="nil"/>
            </w:tcBorders>
            <w:shd w:val="clear" w:color="auto" w:fill="auto"/>
            <w:vAlign w:val="center"/>
          </w:tcPr>
          <w:p w14:paraId="042D507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0.1178</w:t>
            </w:r>
          </w:p>
        </w:tc>
        <w:tc>
          <w:tcPr>
            <w:tcW w:w="504" w:type="pct"/>
            <w:tcBorders>
              <w:tl2br w:val="nil"/>
              <w:tr2bl w:val="nil"/>
            </w:tcBorders>
            <w:shd w:val="clear" w:color="auto" w:fill="auto"/>
            <w:vAlign w:val="center"/>
          </w:tcPr>
          <w:p w14:paraId="447457E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0.1178</w:t>
            </w:r>
          </w:p>
        </w:tc>
        <w:tc>
          <w:tcPr>
            <w:tcW w:w="279" w:type="pct"/>
            <w:tcBorders>
              <w:tl2br w:val="nil"/>
              <w:tr2bl w:val="nil"/>
            </w:tcBorders>
            <w:shd w:val="clear" w:color="auto" w:fill="auto"/>
            <w:noWrap/>
            <w:vAlign w:val="center"/>
          </w:tcPr>
          <w:p w14:paraId="23F906F9">
            <w:pPr>
              <w:jc w:val="center"/>
              <w:rPr>
                <w:rFonts w:hint="default" w:ascii="Times New Roman" w:hAnsi="Times New Roman" w:eastAsia="宋体" w:cs="Times New Roman"/>
                <w:i w:val="0"/>
                <w:iCs w:val="0"/>
                <w:color w:val="auto"/>
                <w:sz w:val="21"/>
                <w:szCs w:val="21"/>
                <w:u w:val="none"/>
              </w:rPr>
            </w:pPr>
          </w:p>
        </w:tc>
        <w:tc>
          <w:tcPr>
            <w:tcW w:w="270" w:type="pct"/>
            <w:tcBorders>
              <w:tl2br w:val="nil"/>
              <w:tr2bl w:val="nil"/>
            </w:tcBorders>
            <w:shd w:val="clear" w:color="auto" w:fill="auto"/>
            <w:noWrap/>
            <w:vAlign w:val="center"/>
          </w:tcPr>
          <w:p w14:paraId="62D9BDA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353</w:t>
            </w:r>
          </w:p>
        </w:tc>
        <w:tc>
          <w:tcPr>
            <w:tcW w:w="372" w:type="pct"/>
            <w:tcBorders>
              <w:tl2br w:val="nil"/>
              <w:tr2bl w:val="nil"/>
            </w:tcBorders>
            <w:shd w:val="clear" w:color="auto" w:fill="auto"/>
            <w:noWrap/>
            <w:vAlign w:val="center"/>
          </w:tcPr>
          <w:p w14:paraId="05E5315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295</w:t>
            </w:r>
          </w:p>
        </w:tc>
        <w:tc>
          <w:tcPr>
            <w:tcW w:w="372" w:type="pct"/>
            <w:tcBorders>
              <w:tl2br w:val="nil"/>
              <w:tr2bl w:val="nil"/>
            </w:tcBorders>
            <w:shd w:val="clear" w:color="auto" w:fill="auto"/>
            <w:noWrap/>
            <w:vAlign w:val="center"/>
          </w:tcPr>
          <w:p w14:paraId="33AD31C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0.1178</w:t>
            </w:r>
          </w:p>
        </w:tc>
        <w:tc>
          <w:tcPr>
            <w:tcW w:w="446" w:type="pct"/>
            <w:tcBorders>
              <w:tl2br w:val="nil"/>
              <w:tr2bl w:val="nil"/>
            </w:tcBorders>
            <w:shd w:val="clear" w:color="auto" w:fill="auto"/>
            <w:noWrap/>
            <w:vAlign w:val="center"/>
          </w:tcPr>
          <w:p w14:paraId="1184BFC3">
            <w:pPr>
              <w:jc w:val="center"/>
              <w:rPr>
                <w:rFonts w:hint="default" w:ascii="Times New Roman" w:hAnsi="Times New Roman" w:eastAsia="宋体" w:cs="Times New Roman"/>
                <w:i w:val="0"/>
                <w:iCs w:val="0"/>
                <w:color w:val="auto"/>
                <w:sz w:val="21"/>
                <w:szCs w:val="21"/>
                <w:u w:val="none"/>
              </w:rPr>
            </w:pPr>
          </w:p>
        </w:tc>
        <w:tc>
          <w:tcPr>
            <w:tcW w:w="372" w:type="pct"/>
            <w:tcBorders>
              <w:tl2br w:val="nil"/>
              <w:tr2bl w:val="nil"/>
            </w:tcBorders>
            <w:shd w:val="clear" w:color="auto" w:fill="auto"/>
            <w:noWrap/>
            <w:vAlign w:val="center"/>
          </w:tcPr>
          <w:p w14:paraId="4DD12AF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0.1178</w:t>
            </w:r>
          </w:p>
        </w:tc>
        <w:tc>
          <w:tcPr>
            <w:tcW w:w="446" w:type="pct"/>
            <w:tcBorders>
              <w:tl2br w:val="nil"/>
              <w:tr2bl w:val="nil"/>
            </w:tcBorders>
            <w:shd w:val="clear" w:color="auto" w:fill="auto"/>
            <w:noWrap/>
            <w:vAlign w:val="center"/>
          </w:tcPr>
          <w:p w14:paraId="2723E365">
            <w:pPr>
              <w:jc w:val="center"/>
              <w:rPr>
                <w:rFonts w:hint="default" w:ascii="Times New Roman" w:hAnsi="Times New Roman" w:eastAsia="宋体" w:cs="Times New Roman"/>
                <w:i w:val="0"/>
                <w:iCs w:val="0"/>
                <w:color w:val="auto"/>
                <w:sz w:val="21"/>
                <w:szCs w:val="21"/>
                <w:u w:val="none"/>
              </w:rPr>
            </w:pPr>
          </w:p>
        </w:tc>
        <w:tc>
          <w:tcPr>
            <w:tcW w:w="373" w:type="pct"/>
            <w:tcBorders>
              <w:tl2br w:val="nil"/>
              <w:tr2bl w:val="nil"/>
            </w:tcBorders>
            <w:shd w:val="clear" w:color="auto" w:fill="auto"/>
            <w:noWrap/>
            <w:vAlign w:val="center"/>
          </w:tcPr>
          <w:p w14:paraId="4026C5BD">
            <w:pPr>
              <w:jc w:val="center"/>
              <w:rPr>
                <w:rFonts w:hint="default" w:ascii="Times New Roman" w:hAnsi="Times New Roman" w:eastAsia="宋体" w:cs="Times New Roman"/>
                <w:i w:val="0"/>
                <w:iCs w:val="0"/>
                <w:color w:val="auto"/>
                <w:sz w:val="21"/>
                <w:szCs w:val="21"/>
                <w:u w:val="none"/>
              </w:rPr>
            </w:pPr>
          </w:p>
        </w:tc>
      </w:tr>
      <w:tr w14:paraId="15B57D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5" w:hRule="atLeast"/>
        </w:trPr>
        <w:tc>
          <w:tcPr>
            <w:tcW w:w="746" w:type="pct"/>
            <w:gridSpan w:val="2"/>
            <w:tcBorders>
              <w:tl2br w:val="nil"/>
              <w:tr2bl w:val="nil"/>
            </w:tcBorders>
            <w:shd w:val="clear" w:color="auto" w:fill="auto"/>
            <w:vAlign w:val="center"/>
          </w:tcPr>
          <w:p w14:paraId="31DB200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矿山道路</w:t>
            </w:r>
          </w:p>
        </w:tc>
        <w:tc>
          <w:tcPr>
            <w:tcW w:w="412" w:type="pct"/>
            <w:tcBorders>
              <w:tl2br w:val="nil"/>
              <w:tr2bl w:val="nil"/>
            </w:tcBorders>
            <w:shd w:val="clear" w:color="auto" w:fill="auto"/>
            <w:vAlign w:val="center"/>
          </w:tcPr>
          <w:p w14:paraId="1BCCC42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0.0000</w:t>
            </w:r>
          </w:p>
        </w:tc>
        <w:tc>
          <w:tcPr>
            <w:tcW w:w="401" w:type="pct"/>
            <w:tcBorders>
              <w:tl2br w:val="nil"/>
              <w:tr2bl w:val="nil"/>
            </w:tcBorders>
            <w:shd w:val="clear" w:color="auto" w:fill="auto"/>
            <w:vAlign w:val="center"/>
          </w:tcPr>
          <w:p w14:paraId="5357191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0.1624</w:t>
            </w:r>
          </w:p>
        </w:tc>
        <w:tc>
          <w:tcPr>
            <w:tcW w:w="504" w:type="pct"/>
            <w:tcBorders>
              <w:tl2br w:val="nil"/>
              <w:tr2bl w:val="nil"/>
            </w:tcBorders>
            <w:shd w:val="clear" w:color="auto" w:fill="auto"/>
            <w:vAlign w:val="center"/>
          </w:tcPr>
          <w:p w14:paraId="1CDB005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0.1624</w:t>
            </w:r>
          </w:p>
        </w:tc>
        <w:tc>
          <w:tcPr>
            <w:tcW w:w="279" w:type="pct"/>
            <w:tcBorders>
              <w:tl2br w:val="nil"/>
              <w:tr2bl w:val="nil"/>
            </w:tcBorders>
            <w:shd w:val="clear" w:color="auto" w:fill="auto"/>
            <w:noWrap/>
            <w:vAlign w:val="center"/>
          </w:tcPr>
          <w:p w14:paraId="36C55866">
            <w:pPr>
              <w:jc w:val="center"/>
              <w:rPr>
                <w:rFonts w:hint="default" w:ascii="Times New Roman" w:hAnsi="Times New Roman" w:eastAsia="宋体" w:cs="Times New Roman"/>
                <w:i w:val="0"/>
                <w:iCs w:val="0"/>
                <w:color w:val="auto"/>
                <w:sz w:val="21"/>
                <w:szCs w:val="21"/>
                <w:u w:val="none"/>
              </w:rPr>
            </w:pPr>
          </w:p>
        </w:tc>
        <w:tc>
          <w:tcPr>
            <w:tcW w:w="270" w:type="pct"/>
            <w:tcBorders>
              <w:tl2br w:val="nil"/>
              <w:tr2bl w:val="nil"/>
            </w:tcBorders>
            <w:shd w:val="clear" w:color="auto" w:fill="auto"/>
            <w:noWrap/>
            <w:vAlign w:val="center"/>
          </w:tcPr>
          <w:p w14:paraId="4BC7199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487</w:t>
            </w:r>
          </w:p>
        </w:tc>
        <w:tc>
          <w:tcPr>
            <w:tcW w:w="372" w:type="pct"/>
            <w:tcBorders>
              <w:tl2br w:val="nil"/>
              <w:tr2bl w:val="nil"/>
            </w:tcBorders>
            <w:shd w:val="clear" w:color="auto" w:fill="auto"/>
            <w:noWrap/>
            <w:vAlign w:val="center"/>
          </w:tcPr>
          <w:p w14:paraId="221E920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406</w:t>
            </w:r>
          </w:p>
        </w:tc>
        <w:tc>
          <w:tcPr>
            <w:tcW w:w="372" w:type="pct"/>
            <w:tcBorders>
              <w:tl2br w:val="nil"/>
              <w:tr2bl w:val="nil"/>
            </w:tcBorders>
            <w:shd w:val="clear" w:color="auto" w:fill="auto"/>
            <w:noWrap/>
            <w:vAlign w:val="center"/>
          </w:tcPr>
          <w:p w14:paraId="01E26B2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0.1624</w:t>
            </w:r>
          </w:p>
        </w:tc>
        <w:tc>
          <w:tcPr>
            <w:tcW w:w="446" w:type="pct"/>
            <w:tcBorders>
              <w:tl2br w:val="nil"/>
              <w:tr2bl w:val="nil"/>
            </w:tcBorders>
            <w:shd w:val="clear" w:color="auto" w:fill="auto"/>
            <w:noWrap/>
            <w:vAlign w:val="center"/>
          </w:tcPr>
          <w:p w14:paraId="4EA561BE">
            <w:pPr>
              <w:jc w:val="center"/>
              <w:rPr>
                <w:rFonts w:hint="default" w:ascii="Times New Roman" w:hAnsi="Times New Roman" w:eastAsia="宋体" w:cs="Times New Roman"/>
                <w:i w:val="0"/>
                <w:iCs w:val="0"/>
                <w:color w:val="auto"/>
                <w:sz w:val="21"/>
                <w:szCs w:val="21"/>
                <w:u w:val="none"/>
              </w:rPr>
            </w:pPr>
          </w:p>
        </w:tc>
        <w:tc>
          <w:tcPr>
            <w:tcW w:w="372" w:type="pct"/>
            <w:tcBorders>
              <w:tl2br w:val="nil"/>
              <w:tr2bl w:val="nil"/>
            </w:tcBorders>
            <w:shd w:val="clear" w:color="auto" w:fill="auto"/>
            <w:noWrap/>
            <w:vAlign w:val="center"/>
          </w:tcPr>
          <w:p w14:paraId="66A4161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0.1624</w:t>
            </w:r>
          </w:p>
        </w:tc>
        <w:tc>
          <w:tcPr>
            <w:tcW w:w="446" w:type="pct"/>
            <w:tcBorders>
              <w:tl2br w:val="nil"/>
              <w:tr2bl w:val="nil"/>
            </w:tcBorders>
            <w:shd w:val="clear" w:color="auto" w:fill="auto"/>
            <w:noWrap/>
            <w:vAlign w:val="center"/>
          </w:tcPr>
          <w:p w14:paraId="0DE3E2B6">
            <w:pPr>
              <w:jc w:val="center"/>
              <w:rPr>
                <w:rFonts w:hint="default" w:ascii="Times New Roman" w:hAnsi="Times New Roman" w:eastAsia="宋体" w:cs="Times New Roman"/>
                <w:i w:val="0"/>
                <w:iCs w:val="0"/>
                <w:color w:val="auto"/>
                <w:sz w:val="21"/>
                <w:szCs w:val="21"/>
                <w:u w:val="none"/>
              </w:rPr>
            </w:pPr>
          </w:p>
        </w:tc>
        <w:tc>
          <w:tcPr>
            <w:tcW w:w="373" w:type="pct"/>
            <w:tcBorders>
              <w:tl2br w:val="nil"/>
              <w:tr2bl w:val="nil"/>
            </w:tcBorders>
            <w:shd w:val="clear" w:color="auto" w:fill="auto"/>
            <w:noWrap/>
            <w:vAlign w:val="center"/>
          </w:tcPr>
          <w:p w14:paraId="6368ADE9">
            <w:pPr>
              <w:jc w:val="center"/>
              <w:rPr>
                <w:rFonts w:hint="default" w:ascii="Times New Roman" w:hAnsi="Times New Roman" w:eastAsia="宋体" w:cs="Times New Roman"/>
                <w:i w:val="0"/>
                <w:iCs w:val="0"/>
                <w:color w:val="auto"/>
                <w:sz w:val="21"/>
                <w:szCs w:val="21"/>
                <w:u w:val="none"/>
              </w:rPr>
            </w:pPr>
          </w:p>
        </w:tc>
      </w:tr>
      <w:tr w14:paraId="63A3FF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746" w:type="pct"/>
            <w:gridSpan w:val="2"/>
            <w:tcBorders>
              <w:tl2br w:val="nil"/>
              <w:tr2bl w:val="nil"/>
            </w:tcBorders>
            <w:shd w:val="clear" w:color="auto" w:fill="auto"/>
            <w:vAlign w:val="center"/>
          </w:tcPr>
          <w:p w14:paraId="47EDC72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表土堆场</w:t>
            </w:r>
          </w:p>
        </w:tc>
        <w:tc>
          <w:tcPr>
            <w:tcW w:w="412" w:type="pct"/>
            <w:tcBorders>
              <w:tl2br w:val="nil"/>
              <w:tr2bl w:val="nil"/>
            </w:tcBorders>
            <w:shd w:val="clear" w:color="auto" w:fill="auto"/>
            <w:vAlign w:val="center"/>
          </w:tcPr>
          <w:p w14:paraId="2D90A0E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0.0000</w:t>
            </w:r>
          </w:p>
        </w:tc>
        <w:tc>
          <w:tcPr>
            <w:tcW w:w="401" w:type="pct"/>
            <w:tcBorders>
              <w:tl2br w:val="nil"/>
              <w:tr2bl w:val="nil"/>
            </w:tcBorders>
            <w:shd w:val="clear" w:color="auto" w:fill="auto"/>
            <w:vAlign w:val="center"/>
          </w:tcPr>
          <w:p w14:paraId="5F17AD1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0.3093</w:t>
            </w:r>
          </w:p>
        </w:tc>
        <w:tc>
          <w:tcPr>
            <w:tcW w:w="504" w:type="pct"/>
            <w:tcBorders>
              <w:tl2br w:val="nil"/>
              <w:tr2bl w:val="nil"/>
            </w:tcBorders>
            <w:shd w:val="clear" w:color="auto" w:fill="auto"/>
            <w:vAlign w:val="center"/>
          </w:tcPr>
          <w:p w14:paraId="799551E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0.3093</w:t>
            </w:r>
          </w:p>
        </w:tc>
        <w:tc>
          <w:tcPr>
            <w:tcW w:w="279" w:type="pct"/>
            <w:tcBorders>
              <w:tl2br w:val="nil"/>
              <w:tr2bl w:val="nil"/>
            </w:tcBorders>
            <w:shd w:val="clear" w:color="auto" w:fill="auto"/>
            <w:noWrap/>
            <w:vAlign w:val="center"/>
          </w:tcPr>
          <w:p w14:paraId="454C732D">
            <w:pPr>
              <w:jc w:val="center"/>
              <w:rPr>
                <w:rFonts w:hint="default" w:ascii="Times New Roman" w:hAnsi="Times New Roman" w:eastAsia="宋体" w:cs="Times New Roman"/>
                <w:i w:val="0"/>
                <w:iCs w:val="0"/>
                <w:color w:val="auto"/>
                <w:sz w:val="21"/>
                <w:szCs w:val="21"/>
                <w:u w:val="none"/>
              </w:rPr>
            </w:pPr>
          </w:p>
        </w:tc>
        <w:tc>
          <w:tcPr>
            <w:tcW w:w="270" w:type="pct"/>
            <w:tcBorders>
              <w:tl2br w:val="nil"/>
              <w:tr2bl w:val="nil"/>
            </w:tcBorders>
            <w:shd w:val="clear" w:color="auto" w:fill="auto"/>
            <w:noWrap/>
            <w:vAlign w:val="center"/>
          </w:tcPr>
          <w:p w14:paraId="4DECF87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928</w:t>
            </w:r>
          </w:p>
        </w:tc>
        <w:tc>
          <w:tcPr>
            <w:tcW w:w="372" w:type="pct"/>
            <w:tcBorders>
              <w:tl2br w:val="nil"/>
              <w:tr2bl w:val="nil"/>
            </w:tcBorders>
            <w:shd w:val="clear" w:color="auto" w:fill="auto"/>
            <w:noWrap/>
            <w:vAlign w:val="center"/>
          </w:tcPr>
          <w:p w14:paraId="6DD0F2E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773</w:t>
            </w:r>
          </w:p>
        </w:tc>
        <w:tc>
          <w:tcPr>
            <w:tcW w:w="372" w:type="pct"/>
            <w:tcBorders>
              <w:tl2br w:val="nil"/>
              <w:tr2bl w:val="nil"/>
            </w:tcBorders>
            <w:shd w:val="clear" w:color="auto" w:fill="auto"/>
            <w:noWrap/>
            <w:vAlign w:val="center"/>
          </w:tcPr>
          <w:p w14:paraId="2D8838F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0.3093</w:t>
            </w:r>
          </w:p>
        </w:tc>
        <w:tc>
          <w:tcPr>
            <w:tcW w:w="446" w:type="pct"/>
            <w:tcBorders>
              <w:tl2br w:val="nil"/>
              <w:tr2bl w:val="nil"/>
            </w:tcBorders>
            <w:shd w:val="clear" w:color="auto" w:fill="auto"/>
            <w:noWrap/>
            <w:vAlign w:val="center"/>
          </w:tcPr>
          <w:p w14:paraId="179CB823">
            <w:pPr>
              <w:jc w:val="center"/>
              <w:rPr>
                <w:rFonts w:hint="default" w:ascii="Times New Roman" w:hAnsi="Times New Roman" w:eastAsia="宋体" w:cs="Times New Roman"/>
                <w:i w:val="0"/>
                <w:iCs w:val="0"/>
                <w:color w:val="auto"/>
                <w:sz w:val="21"/>
                <w:szCs w:val="21"/>
                <w:u w:val="none"/>
              </w:rPr>
            </w:pPr>
          </w:p>
        </w:tc>
        <w:tc>
          <w:tcPr>
            <w:tcW w:w="372" w:type="pct"/>
            <w:tcBorders>
              <w:tl2br w:val="nil"/>
              <w:tr2bl w:val="nil"/>
            </w:tcBorders>
            <w:shd w:val="clear" w:color="auto" w:fill="auto"/>
            <w:noWrap/>
            <w:vAlign w:val="center"/>
          </w:tcPr>
          <w:p w14:paraId="5586937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0.3093</w:t>
            </w:r>
          </w:p>
        </w:tc>
        <w:tc>
          <w:tcPr>
            <w:tcW w:w="446" w:type="pct"/>
            <w:tcBorders>
              <w:tl2br w:val="nil"/>
              <w:tr2bl w:val="nil"/>
            </w:tcBorders>
            <w:shd w:val="clear" w:color="auto" w:fill="auto"/>
            <w:noWrap/>
            <w:vAlign w:val="center"/>
          </w:tcPr>
          <w:p w14:paraId="6FD1E9A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145</w:t>
            </w:r>
          </w:p>
        </w:tc>
        <w:tc>
          <w:tcPr>
            <w:tcW w:w="373" w:type="pct"/>
            <w:tcBorders>
              <w:tl2br w:val="nil"/>
              <w:tr2bl w:val="nil"/>
            </w:tcBorders>
            <w:shd w:val="clear" w:color="auto" w:fill="auto"/>
            <w:noWrap/>
            <w:vAlign w:val="center"/>
          </w:tcPr>
          <w:p w14:paraId="538C7B9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0.4330</w:t>
            </w:r>
          </w:p>
        </w:tc>
      </w:tr>
      <w:tr w14:paraId="52F646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5" w:hRule="atLeast"/>
        </w:trPr>
        <w:tc>
          <w:tcPr>
            <w:tcW w:w="746" w:type="pct"/>
            <w:gridSpan w:val="2"/>
            <w:tcBorders>
              <w:tl2br w:val="nil"/>
              <w:tr2bl w:val="nil"/>
            </w:tcBorders>
            <w:shd w:val="clear" w:color="auto" w:fill="auto"/>
            <w:vAlign w:val="center"/>
          </w:tcPr>
          <w:p w14:paraId="60ABAA1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合     计</w:t>
            </w:r>
          </w:p>
        </w:tc>
        <w:tc>
          <w:tcPr>
            <w:tcW w:w="412" w:type="pct"/>
            <w:tcBorders>
              <w:tl2br w:val="nil"/>
              <w:tr2bl w:val="nil"/>
            </w:tcBorders>
            <w:shd w:val="clear" w:color="auto" w:fill="auto"/>
            <w:vAlign w:val="center"/>
          </w:tcPr>
          <w:p w14:paraId="461E5BF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0.1810</w:t>
            </w:r>
          </w:p>
        </w:tc>
        <w:tc>
          <w:tcPr>
            <w:tcW w:w="401" w:type="pct"/>
            <w:tcBorders>
              <w:tl2br w:val="nil"/>
              <w:tr2bl w:val="nil"/>
            </w:tcBorders>
            <w:shd w:val="clear" w:color="auto" w:fill="auto"/>
            <w:vAlign w:val="center"/>
          </w:tcPr>
          <w:p w14:paraId="4EA1520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3.8935</w:t>
            </w:r>
          </w:p>
        </w:tc>
        <w:tc>
          <w:tcPr>
            <w:tcW w:w="504" w:type="pct"/>
            <w:tcBorders>
              <w:tl2br w:val="nil"/>
              <w:tr2bl w:val="nil"/>
            </w:tcBorders>
            <w:shd w:val="clear" w:color="auto" w:fill="auto"/>
            <w:vAlign w:val="center"/>
          </w:tcPr>
          <w:p w14:paraId="5A40A3F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eastAsia="宋体" w:cs="Times New Roman"/>
                <w:i w:val="0"/>
                <w:iCs w:val="0"/>
                <w:color w:val="auto"/>
                <w:kern w:val="0"/>
                <w:sz w:val="21"/>
                <w:szCs w:val="21"/>
                <w:u w:val="none"/>
                <w:lang w:val="en-US" w:eastAsia="zh-CN" w:bidi="ar"/>
              </w:rPr>
              <w:t>3.2066</w:t>
            </w:r>
          </w:p>
        </w:tc>
        <w:tc>
          <w:tcPr>
            <w:tcW w:w="279" w:type="pct"/>
            <w:tcBorders>
              <w:tl2br w:val="nil"/>
              <w:tr2bl w:val="nil"/>
            </w:tcBorders>
            <w:shd w:val="clear" w:color="auto" w:fill="auto"/>
            <w:noWrap/>
            <w:vAlign w:val="center"/>
          </w:tcPr>
          <w:p w14:paraId="273DB35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543</w:t>
            </w:r>
          </w:p>
        </w:tc>
        <w:tc>
          <w:tcPr>
            <w:tcW w:w="270" w:type="pct"/>
            <w:tcBorders>
              <w:tl2br w:val="nil"/>
              <w:tr2bl w:val="nil"/>
            </w:tcBorders>
            <w:shd w:val="clear" w:color="auto" w:fill="auto"/>
            <w:noWrap/>
            <w:vAlign w:val="center"/>
          </w:tcPr>
          <w:p w14:paraId="4A52D2C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9621</w:t>
            </w:r>
          </w:p>
        </w:tc>
        <w:tc>
          <w:tcPr>
            <w:tcW w:w="372" w:type="pct"/>
            <w:tcBorders>
              <w:tl2br w:val="nil"/>
              <w:tr2bl w:val="nil"/>
            </w:tcBorders>
            <w:shd w:val="clear" w:color="auto" w:fill="auto"/>
            <w:noWrap/>
            <w:vAlign w:val="center"/>
          </w:tcPr>
          <w:p w14:paraId="5D4E6E7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8016</w:t>
            </w:r>
          </w:p>
        </w:tc>
        <w:tc>
          <w:tcPr>
            <w:tcW w:w="372" w:type="pct"/>
            <w:tcBorders>
              <w:tl2br w:val="nil"/>
              <w:tr2bl w:val="nil"/>
            </w:tcBorders>
            <w:shd w:val="clear" w:color="auto" w:fill="auto"/>
            <w:noWrap/>
            <w:vAlign w:val="center"/>
          </w:tcPr>
          <w:p w14:paraId="272A582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3.2066</w:t>
            </w:r>
          </w:p>
        </w:tc>
        <w:tc>
          <w:tcPr>
            <w:tcW w:w="446" w:type="pct"/>
            <w:tcBorders>
              <w:tl2br w:val="nil"/>
              <w:tr2bl w:val="nil"/>
            </w:tcBorders>
            <w:shd w:val="clear" w:color="auto" w:fill="auto"/>
            <w:noWrap/>
            <w:vAlign w:val="center"/>
          </w:tcPr>
          <w:p w14:paraId="4BD8B4D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2480</w:t>
            </w:r>
          </w:p>
        </w:tc>
        <w:tc>
          <w:tcPr>
            <w:tcW w:w="372" w:type="pct"/>
            <w:tcBorders>
              <w:tl2br w:val="nil"/>
              <w:tr2bl w:val="nil"/>
            </w:tcBorders>
            <w:shd w:val="clear" w:color="auto" w:fill="auto"/>
            <w:noWrap/>
            <w:vAlign w:val="center"/>
          </w:tcPr>
          <w:p w14:paraId="6EE305D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1.5345</w:t>
            </w:r>
          </w:p>
        </w:tc>
        <w:tc>
          <w:tcPr>
            <w:tcW w:w="446" w:type="pct"/>
            <w:tcBorders>
              <w:tl2br w:val="nil"/>
              <w:tr2bl w:val="nil"/>
            </w:tcBorders>
            <w:shd w:val="clear" w:color="auto" w:fill="auto"/>
            <w:noWrap/>
            <w:vAlign w:val="center"/>
          </w:tcPr>
          <w:p w14:paraId="0922D1B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145</w:t>
            </w:r>
          </w:p>
        </w:tc>
        <w:tc>
          <w:tcPr>
            <w:tcW w:w="373" w:type="pct"/>
            <w:tcBorders>
              <w:tl2br w:val="nil"/>
              <w:tr2bl w:val="nil"/>
            </w:tcBorders>
            <w:shd w:val="clear" w:color="auto" w:fill="auto"/>
            <w:noWrap/>
            <w:vAlign w:val="center"/>
          </w:tcPr>
          <w:p w14:paraId="724BF95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0.4330</w:t>
            </w:r>
          </w:p>
        </w:tc>
      </w:tr>
    </w:tbl>
    <w:p w14:paraId="434B3119">
      <w:pPr>
        <w:pStyle w:val="14"/>
        <w:rPr>
          <w:rFonts w:hint="default"/>
          <w:color w:val="auto"/>
        </w:rPr>
        <w:sectPr>
          <w:pgSz w:w="16838" w:h="11906" w:orient="landscape"/>
          <w:pgMar w:top="1800" w:right="1440" w:bottom="1800" w:left="1440" w:header="851" w:footer="992" w:gutter="0"/>
          <w:pgBorders w:offsetFrom="page">
            <w:top w:val="none" w:sz="0" w:space="0"/>
            <w:left w:val="none" w:sz="0" w:space="0"/>
            <w:bottom w:val="none" w:sz="0" w:space="0"/>
            <w:right w:val="none" w:sz="0" w:space="0"/>
          </w:pgBorders>
          <w:pgNumType w:fmt="decimal"/>
          <w:cols w:space="720" w:num="1"/>
          <w:docGrid w:type="lines" w:linePitch="312" w:charSpace="0"/>
        </w:sectPr>
      </w:pPr>
    </w:p>
    <w:bookmarkEnd w:id="211"/>
    <w:p w14:paraId="6A1DEC29">
      <w:pPr>
        <w:keepNext/>
        <w:keepLines/>
        <w:widowControl w:val="0"/>
        <w:spacing w:before="260" w:after="260" w:line="415" w:lineRule="auto"/>
        <w:outlineLvl w:val="1"/>
        <w:rPr>
          <w:rFonts w:hint="default" w:ascii="Times New Roman" w:hAnsi="Times New Roman" w:eastAsia="黑体" w:cs="Times New Roman"/>
          <w:bCs/>
          <w:color w:val="auto"/>
          <w:sz w:val="30"/>
          <w:szCs w:val="30"/>
          <w:highlight w:val="none"/>
        </w:rPr>
      </w:pPr>
      <w:bookmarkStart w:id="212" w:name="_Toc508869988"/>
      <w:bookmarkStart w:id="213" w:name="_Toc485629728"/>
      <w:bookmarkStart w:id="214" w:name="_Toc23855653"/>
      <w:bookmarkStart w:id="215" w:name="_Toc18165"/>
      <w:bookmarkStart w:id="216" w:name="_Toc21463"/>
      <w:r>
        <w:rPr>
          <w:rFonts w:hint="default" w:ascii="Times New Roman" w:hAnsi="Times New Roman" w:eastAsia="黑体" w:cs="Times New Roman"/>
          <w:bCs/>
          <w:color w:val="auto"/>
          <w:sz w:val="30"/>
          <w:szCs w:val="30"/>
          <w:highlight w:val="none"/>
        </w:rPr>
        <w:t>四、含水层破坏修复</w:t>
      </w:r>
      <w:bookmarkEnd w:id="212"/>
      <w:bookmarkEnd w:id="213"/>
      <w:bookmarkEnd w:id="214"/>
      <w:bookmarkEnd w:id="215"/>
      <w:bookmarkEnd w:id="216"/>
    </w:p>
    <w:p w14:paraId="7C099ADB">
      <w:pPr>
        <w:spacing w:after="0" w:line="360" w:lineRule="auto"/>
        <w:ind w:firstLine="0" w:firstLineChars="0"/>
        <w:outlineLvl w:val="2"/>
        <w:rPr>
          <w:rFonts w:hint="default" w:ascii="Times New Roman" w:hAnsi="Times New Roman" w:cs="Times New Roman"/>
          <w:b/>
          <w:color w:val="auto"/>
          <w:sz w:val="28"/>
          <w:szCs w:val="28"/>
          <w:highlight w:val="none"/>
          <w:lang w:eastAsia="zh-CN"/>
        </w:rPr>
      </w:pPr>
      <w:bookmarkStart w:id="217" w:name="_Toc20367"/>
      <w:bookmarkStart w:id="218" w:name="_Toc16451"/>
      <w:bookmarkStart w:id="219" w:name="_Toc485629729"/>
      <w:bookmarkStart w:id="220" w:name="_Toc31530"/>
      <w:bookmarkStart w:id="221" w:name="_Toc508869989"/>
      <w:bookmarkStart w:id="222" w:name="_Toc25900"/>
      <w:bookmarkStart w:id="223" w:name="_Toc23855654"/>
      <w:r>
        <w:rPr>
          <w:rFonts w:hint="default" w:ascii="Times New Roman" w:hAnsi="Times New Roman" w:cs="Times New Roman"/>
          <w:b/>
          <w:color w:val="auto"/>
          <w:sz w:val="28"/>
          <w:szCs w:val="28"/>
          <w:highlight w:val="none"/>
          <w:lang w:eastAsia="zh-CN"/>
        </w:rPr>
        <w:t>（一）目标任务</w:t>
      </w:r>
      <w:bookmarkEnd w:id="217"/>
      <w:bookmarkEnd w:id="218"/>
    </w:p>
    <w:p w14:paraId="06946172">
      <w:pPr>
        <w:spacing w:after="0" w:line="360" w:lineRule="auto"/>
        <w:ind w:firstLine="48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根据含水层结构及地下水赋存条件，结合采矿工程设置，在矿山地质环境问题现状分析和预测分析的基础上，采用合理的措施修复矿山地下含水层。</w:t>
      </w:r>
    </w:p>
    <w:p w14:paraId="7836AF61">
      <w:pPr>
        <w:numPr>
          <w:ilvl w:val="0"/>
          <w:numId w:val="2"/>
        </w:numPr>
        <w:spacing w:after="0" w:line="360" w:lineRule="auto"/>
        <w:ind w:firstLine="0" w:firstLineChars="0"/>
        <w:outlineLvl w:val="2"/>
        <w:rPr>
          <w:rFonts w:hint="default" w:ascii="Times New Roman" w:hAnsi="Times New Roman" w:cs="Times New Roman"/>
          <w:b/>
          <w:color w:val="auto"/>
          <w:sz w:val="28"/>
          <w:szCs w:val="28"/>
          <w:highlight w:val="none"/>
          <w:lang w:eastAsia="zh-CN"/>
        </w:rPr>
      </w:pPr>
      <w:bookmarkStart w:id="224" w:name="_Toc6720"/>
      <w:bookmarkStart w:id="225" w:name="_Toc4529"/>
      <w:r>
        <w:rPr>
          <w:rFonts w:hint="default" w:ascii="Times New Roman" w:hAnsi="Times New Roman" w:cs="Times New Roman"/>
          <w:b/>
          <w:color w:val="auto"/>
          <w:sz w:val="28"/>
          <w:szCs w:val="28"/>
          <w:highlight w:val="none"/>
          <w:lang w:eastAsia="zh-CN"/>
        </w:rPr>
        <w:t>工程设计</w:t>
      </w:r>
      <w:bookmarkEnd w:id="224"/>
      <w:bookmarkEnd w:id="225"/>
    </w:p>
    <w:p w14:paraId="1CA9A511">
      <w:pPr>
        <w:spacing w:after="0" w:line="360" w:lineRule="auto"/>
        <w:ind w:firstLine="48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矿山为露天开采，依据地下水的赋存条件和埋藏特征，充水因素主要为大气降水补给，矿山开采完成后，两处露天采坑积水利用涵管排出，坑底复垦为林地，因地下水系统具有封闭性、自循环、难修复等特点，闭坑后对地下含水层采用自然恢复的修复方式。</w:t>
      </w:r>
    </w:p>
    <w:p w14:paraId="1D82817D">
      <w:pPr>
        <w:numPr>
          <w:ilvl w:val="0"/>
          <w:numId w:val="2"/>
        </w:numPr>
        <w:spacing w:after="0" w:line="360" w:lineRule="auto"/>
        <w:ind w:firstLine="0" w:firstLineChars="0"/>
        <w:outlineLvl w:val="2"/>
        <w:rPr>
          <w:rFonts w:hint="default" w:ascii="Times New Roman" w:hAnsi="Times New Roman" w:cs="Times New Roman"/>
          <w:b/>
          <w:color w:val="auto"/>
          <w:sz w:val="28"/>
          <w:szCs w:val="28"/>
          <w:highlight w:val="none"/>
          <w:lang w:eastAsia="zh-CN"/>
        </w:rPr>
      </w:pPr>
      <w:bookmarkStart w:id="226" w:name="_Toc32288"/>
      <w:bookmarkStart w:id="227" w:name="_Toc4636"/>
      <w:r>
        <w:rPr>
          <w:rFonts w:hint="default" w:ascii="Times New Roman" w:hAnsi="Times New Roman" w:cs="Times New Roman"/>
          <w:b/>
          <w:color w:val="auto"/>
          <w:sz w:val="28"/>
          <w:szCs w:val="28"/>
          <w:highlight w:val="none"/>
          <w:lang w:eastAsia="zh-CN"/>
        </w:rPr>
        <w:t>技术措施</w:t>
      </w:r>
      <w:bookmarkEnd w:id="226"/>
      <w:bookmarkEnd w:id="227"/>
    </w:p>
    <w:p w14:paraId="79C8730A">
      <w:pPr>
        <w:spacing w:after="0" w:line="360" w:lineRule="auto"/>
        <w:ind w:firstLine="48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闭坑后对地下含水层采用自然恢复的修复方式。地下水含水层受损程度轻微，短期内无法恢复，靠其缓慢再风化自然恢复。</w:t>
      </w:r>
    </w:p>
    <w:p w14:paraId="2700F2FA">
      <w:pPr>
        <w:spacing w:after="0" w:line="360" w:lineRule="auto"/>
        <w:ind w:firstLine="0" w:firstLineChars="0"/>
        <w:outlineLvl w:val="2"/>
        <w:rPr>
          <w:rFonts w:hint="default" w:ascii="Times New Roman" w:hAnsi="Times New Roman" w:cs="Times New Roman"/>
          <w:b/>
          <w:color w:val="auto"/>
          <w:sz w:val="28"/>
          <w:szCs w:val="28"/>
          <w:highlight w:val="none"/>
          <w:lang w:eastAsia="zh-CN"/>
        </w:rPr>
      </w:pPr>
      <w:bookmarkStart w:id="228" w:name="_Toc412"/>
      <w:bookmarkStart w:id="229" w:name="_Toc11109"/>
      <w:r>
        <w:rPr>
          <w:rFonts w:hint="default" w:ascii="Times New Roman" w:hAnsi="Times New Roman" w:cs="Times New Roman"/>
          <w:b/>
          <w:color w:val="auto"/>
          <w:sz w:val="28"/>
          <w:szCs w:val="28"/>
          <w:highlight w:val="none"/>
          <w:lang w:eastAsia="zh-CN"/>
        </w:rPr>
        <w:t>（四）主要工程量</w:t>
      </w:r>
      <w:bookmarkEnd w:id="228"/>
      <w:bookmarkEnd w:id="229"/>
    </w:p>
    <w:p w14:paraId="0D1DB169">
      <w:pPr>
        <w:spacing w:after="0" w:line="360" w:lineRule="auto"/>
        <w:ind w:firstLine="480"/>
        <w:rPr>
          <w:rFonts w:hint="default" w:ascii="Times New Roman" w:hAnsi="Times New Roman" w:cs="Times New Roman"/>
          <w:b/>
          <w:color w:val="auto"/>
          <w:sz w:val="24"/>
          <w:szCs w:val="24"/>
          <w:highlight w:val="none"/>
          <w:lang w:eastAsia="zh-CN"/>
        </w:rPr>
      </w:pPr>
      <w:r>
        <w:rPr>
          <w:rFonts w:hint="default" w:ascii="Times New Roman" w:hAnsi="Times New Roman" w:cs="Times New Roman"/>
          <w:color w:val="auto"/>
          <w:sz w:val="24"/>
          <w:szCs w:val="24"/>
          <w:highlight w:val="none"/>
          <w:lang w:eastAsia="zh-CN"/>
        </w:rPr>
        <w:t>综上所述，对受到影响和破坏的含水层在终采后采取自然恢复的方法，因此并无实际工程量。</w:t>
      </w:r>
    </w:p>
    <w:p w14:paraId="2220CE60">
      <w:pPr>
        <w:keepNext/>
        <w:keepLines/>
        <w:widowControl w:val="0"/>
        <w:spacing w:before="260" w:after="260" w:line="415" w:lineRule="auto"/>
        <w:outlineLvl w:val="1"/>
        <w:rPr>
          <w:rFonts w:hint="default" w:ascii="Times New Roman" w:hAnsi="Times New Roman" w:eastAsia="黑体" w:cs="Times New Roman"/>
          <w:bCs/>
          <w:color w:val="auto"/>
          <w:sz w:val="30"/>
          <w:szCs w:val="30"/>
          <w:highlight w:val="none"/>
        </w:rPr>
      </w:pPr>
      <w:r>
        <w:rPr>
          <w:rFonts w:hint="default" w:ascii="Times New Roman" w:hAnsi="Times New Roman" w:eastAsia="黑体" w:cs="Times New Roman"/>
          <w:bCs/>
          <w:color w:val="auto"/>
          <w:sz w:val="30"/>
          <w:szCs w:val="30"/>
          <w:highlight w:val="none"/>
        </w:rPr>
        <w:t>五、水土环境污染修复</w:t>
      </w:r>
      <w:bookmarkEnd w:id="219"/>
      <w:bookmarkEnd w:id="220"/>
      <w:bookmarkEnd w:id="221"/>
      <w:bookmarkEnd w:id="222"/>
      <w:bookmarkEnd w:id="223"/>
    </w:p>
    <w:p w14:paraId="4C5EC79A">
      <w:pPr>
        <w:spacing w:after="0" w:line="360" w:lineRule="auto"/>
        <w:ind w:firstLine="0" w:firstLineChars="0"/>
        <w:outlineLvl w:val="2"/>
        <w:rPr>
          <w:rFonts w:hint="default" w:ascii="Times New Roman" w:hAnsi="Times New Roman" w:cs="Times New Roman"/>
          <w:b/>
          <w:color w:val="auto"/>
          <w:sz w:val="28"/>
          <w:szCs w:val="28"/>
          <w:highlight w:val="none"/>
          <w:lang w:eastAsia="zh-CN"/>
        </w:rPr>
      </w:pPr>
      <w:bookmarkStart w:id="230" w:name="_Toc30319"/>
      <w:bookmarkStart w:id="231" w:name="_Toc2802"/>
      <w:bookmarkStart w:id="232" w:name="_Toc14079"/>
      <w:bookmarkStart w:id="233" w:name="_Toc28527"/>
      <w:bookmarkStart w:id="234" w:name="_Toc4978676"/>
      <w:bookmarkStart w:id="235" w:name="_Toc23855655"/>
      <w:bookmarkStart w:id="236" w:name="_Toc485629739"/>
      <w:bookmarkStart w:id="237" w:name="_Toc508869992"/>
      <w:r>
        <w:rPr>
          <w:rFonts w:hint="default" w:ascii="Times New Roman" w:hAnsi="Times New Roman" w:cs="Times New Roman"/>
          <w:b/>
          <w:color w:val="auto"/>
          <w:sz w:val="28"/>
          <w:szCs w:val="28"/>
          <w:highlight w:val="none"/>
          <w:lang w:eastAsia="zh-CN"/>
        </w:rPr>
        <w:t>（一）目标任务</w:t>
      </w:r>
      <w:bookmarkEnd w:id="230"/>
      <w:bookmarkEnd w:id="231"/>
    </w:p>
    <w:p w14:paraId="583B220B">
      <w:pPr>
        <w:spacing w:after="0" w:line="360" w:lineRule="auto"/>
        <w:ind w:firstLine="48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根据矿山开采条件，结合实际情况，在矿山地质环境问题现状分析和预测分析的基础上，采用合理的措施治理水土环境污染。</w:t>
      </w:r>
    </w:p>
    <w:p w14:paraId="1065BDE8">
      <w:pPr>
        <w:numPr>
          <w:ilvl w:val="0"/>
          <w:numId w:val="3"/>
        </w:numPr>
        <w:spacing w:after="0" w:line="360" w:lineRule="auto"/>
        <w:ind w:firstLine="0" w:firstLineChars="0"/>
        <w:outlineLvl w:val="2"/>
        <w:rPr>
          <w:rFonts w:hint="default" w:ascii="Times New Roman" w:hAnsi="Times New Roman" w:cs="Times New Roman"/>
          <w:b/>
          <w:color w:val="auto"/>
          <w:sz w:val="28"/>
          <w:szCs w:val="28"/>
          <w:highlight w:val="none"/>
          <w:lang w:eastAsia="zh-CN"/>
        </w:rPr>
      </w:pPr>
      <w:bookmarkStart w:id="238" w:name="_Toc16702"/>
      <w:bookmarkStart w:id="239" w:name="_Toc15972"/>
      <w:r>
        <w:rPr>
          <w:rFonts w:hint="default" w:ascii="Times New Roman" w:hAnsi="Times New Roman" w:cs="Times New Roman"/>
          <w:b/>
          <w:color w:val="auto"/>
          <w:sz w:val="28"/>
          <w:szCs w:val="28"/>
          <w:highlight w:val="none"/>
          <w:lang w:eastAsia="zh-CN"/>
        </w:rPr>
        <w:t>工程设计</w:t>
      </w:r>
      <w:bookmarkEnd w:id="238"/>
      <w:bookmarkEnd w:id="239"/>
    </w:p>
    <w:p w14:paraId="32E160D8">
      <w:pPr>
        <w:spacing w:after="0" w:line="360" w:lineRule="auto"/>
        <w:ind w:firstLine="48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（1）水污染</w:t>
      </w:r>
    </w:p>
    <w:p w14:paraId="113A0F8C">
      <w:pPr>
        <w:spacing w:after="0" w:line="360" w:lineRule="auto"/>
        <w:ind w:firstLine="48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矿山废水主要为湿式凿岩用水及少量的生活污水，对地表水和地下水影响较小。开采矿石及围岩无有毒有害物质，</w:t>
      </w:r>
      <w:r>
        <w:rPr>
          <w:rFonts w:hint="default" w:ascii="Times New Roman" w:hAnsi="Times New Roman" w:cs="Times New Roman"/>
          <w:color w:val="auto"/>
          <w:sz w:val="24"/>
          <w:highlight w:val="none"/>
          <w:lang w:val="en-US" w:eastAsia="zh-CN"/>
        </w:rPr>
        <w:t>因此矿山</w:t>
      </w:r>
      <w:r>
        <w:rPr>
          <w:rFonts w:hint="default" w:ascii="Times New Roman" w:hAnsi="Times New Roman" w:cs="Times New Roman"/>
          <w:color w:val="auto"/>
          <w:sz w:val="24"/>
          <w:highlight w:val="none"/>
          <w:lang w:eastAsia="zh-CN"/>
        </w:rPr>
        <w:t>湿式凿岩用水</w:t>
      </w:r>
      <w:r>
        <w:rPr>
          <w:rFonts w:hint="default" w:ascii="Times New Roman" w:hAnsi="Times New Roman" w:cs="Times New Roman"/>
          <w:color w:val="auto"/>
          <w:sz w:val="24"/>
          <w:highlight w:val="none"/>
          <w:lang w:val="en-US" w:eastAsia="zh-CN"/>
        </w:rPr>
        <w:t>水质较好，沉淀后，排放至北侧沟谷中；</w:t>
      </w:r>
      <w:r>
        <w:rPr>
          <w:rFonts w:hint="default" w:ascii="Times New Roman" w:hAnsi="Times New Roman" w:cs="Times New Roman"/>
          <w:color w:val="auto"/>
          <w:sz w:val="24"/>
          <w:highlight w:val="none"/>
          <w:lang w:eastAsia="zh-CN"/>
        </w:rPr>
        <w:t>生活污水可在生活区设防渗池，定期清掏。对村屯农用井及环境造成影响很小。</w:t>
      </w:r>
    </w:p>
    <w:p w14:paraId="13C13741">
      <w:pPr>
        <w:spacing w:after="0" w:line="360" w:lineRule="auto"/>
        <w:ind w:firstLine="48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综上，采矿活动对居民生活用水及工矿企业生产用水影响小。</w:t>
      </w:r>
    </w:p>
    <w:p w14:paraId="55C3F7A9">
      <w:pPr>
        <w:spacing w:after="0" w:line="360" w:lineRule="auto"/>
        <w:ind w:firstLine="48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（2）土地污染</w:t>
      </w:r>
    </w:p>
    <w:p w14:paraId="19A1942D">
      <w:pPr>
        <w:spacing w:after="0" w:line="360" w:lineRule="auto"/>
        <w:ind w:firstLine="48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矿区生产产生的废石无污染，不会造成土壤环境污染，其他区域压占土地资源，破坏原生植被，但有害物质较少，周边林地植被发育较好，未受影响，土地污染轻微，且后期矿山实施土地复垦工程后，恢复了土地资源，对土地造成的污染可以自行恢复。</w:t>
      </w:r>
    </w:p>
    <w:p w14:paraId="43B55388">
      <w:pPr>
        <w:spacing w:after="0" w:line="360" w:lineRule="auto"/>
        <w:ind w:firstLine="48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（3）空气（粉尘）污染</w:t>
      </w:r>
    </w:p>
    <w:p w14:paraId="0D5E6505">
      <w:pPr>
        <w:spacing w:after="0" w:line="360" w:lineRule="auto"/>
        <w:ind w:firstLine="48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该项目生产过程中产生一定的粉尘，但矿山设置洒水设备，专人洒水灭灰，因此，矿山生产对空气污染较小。</w:t>
      </w:r>
    </w:p>
    <w:p w14:paraId="4A9B02AE">
      <w:pPr>
        <w:spacing w:after="0" w:line="360" w:lineRule="auto"/>
        <w:ind w:firstLine="48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（4）噪声污染</w:t>
      </w:r>
    </w:p>
    <w:p w14:paraId="61806F3C">
      <w:pPr>
        <w:spacing w:after="0" w:line="360" w:lineRule="auto"/>
        <w:ind w:firstLine="48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各高噪声生产设备均采取了有效的降噪、减噪措施，噪声大大降低，此外矿区周边无居民，噪声污染影响较小。</w:t>
      </w:r>
    </w:p>
    <w:p w14:paraId="6DB2FE1A">
      <w:pPr>
        <w:spacing w:after="0" w:line="360" w:lineRule="auto"/>
        <w:ind w:firstLine="0" w:firstLineChars="0"/>
        <w:outlineLvl w:val="2"/>
        <w:rPr>
          <w:rFonts w:hint="default" w:ascii="Times New Roman" w:hAnsi="Times New Roman" w:cs="Times New Roman"/>
          <w:b/>
          <w:color w:val="auto"/>
          <w:sz w:val="28"/>
          <w:szCs w:val="28"/>
          <w:highlight w:val="none"/>
          <w:lang w:eastAsia="zh-CN"/>
        </w:rPr>
      </w:pPr>
      <w:bookmarkStart w:id="240" w:name="_Toc9331"/>
      <w:bookmarkStart w:id="241" w:name="_Toc1202"/>
      <w:r>
        <w:rPr>
          <w:rFonts w:hint="default" w:ascii="Times New Roman" w:hAnsi="Times New Roman" w:cs="Times New Roman"/>
          <w:b/>
          <w:color w:val="auto"/>
          <w:sz w:val="28"/>
          <w:szCs w:val="28"/>
          <w:highlight w:val="none"/>
          <w:lang w:eastAsia="zh-CN"/>
        </w:rPr>
        <w:t>（三）技术措施</w:t>
      </w:r>
      <w:bookmarkEnd w:id="240"/>
      <w:bookmarkEnd w:id="241"/>
    </w:p>
    <w:p w14:paraId="4E1D031F">
      <w:pPr>
        <w:spacing w:after="0" w:line="360" w:lineRule="auto"/>
        <w:ind w:firstLine="48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矿石开采过程中不产生有毒废气、废水及有害物质。故对居民生活用水及工矿企业生产用水影响较小。</w:t>
      </w:r>
    </w:p>
    <w:p w14:paraId="0A2265A9">
      <w:pPr>
        <w:spacing w:after="0" w:line="360" w:lineRule="auto"/>
        <w:ind w:firstLine="0" w:firstLineChars="0"/>
        <w:outlineLvl w:val="2"/>
        <w:rPr>
          <w:rFonts w:hint="default" w:ascii="Times New Roman" w:hAnsi="Times New Roman" w:cs="Times New Roman"/>
          <w:b/>
          <w:color w:val="auto"/>
          <w:sz w:val="28"/>
          <w:szCs w:val="28"/>
          <w:highlight w:val="none"/>
          <w:lang w:eastAsia="zh-CN"/>
        </w:rPr>
      </w:pPr>
      <w:bookmarkStart w:id="242" w:name="_Toc13054"/>
      <w:bookmarkStart w:id="243" w:name="_Toc19436"/>
      <w:r>
        <w:rPr>
          <w:rFonts w:hint="default" w:ascii="Times New Roman" w:hAnsi="Times New Roman" w:cs="Times New Roman"/>
          <w:b/>
          <w:color w:val="auto"/>
          <w:sz w:val="28"/>
          <w:szCs w:val="28"/>
          <w:highlight w:val="none"/>
          <w:lang w:eastAsia="zh-CN"/>
        </w:rPr>
        <w:t>（四）主要工程量</w:t>
      </w:r>
      <w:bookmarkEnd w:id="242"/>
      <w:bookmarkEnd w:id="243"/>
    </w:p>
    <w:p w14:paraId="0B3D91E7">
      <w:pPr>
        <w:spacing w:after="0" w:line="360" w:lineRule="auto"/>
        <w:ind w:firstLine="48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经上述分析，矿山开采对水土环境影响较小，可忽略不计，因此无工程设置，亦无实际工程量。</w:t>
      </w:r>
    </w:p>
    <w:p w14:paraId="740A6DA3">
      <w:pPr>
        <w:keepNext/>
        <w:keepLines/>
        <w:widowControl w:val="0"/>
        <w:spacing w:before="260" w:after="260" w:line="415" w:lineRule="auto"/>
        <w:outlineLvl w:val="1"/>
        <w:rPr>
          <w:rFonts w:hint="default" w:ascii="Times New Roman" w:hAnsi="Times New Roman" w:eastAsia="黑体" w:cs="Times New Roman"/>
          <w:bCs/>
          <w:color w:val="auto"/>
          <w:sz w:val="30"/>
          <w:szCs w:val="30"/>
          <w:highlight w:val="none"/>
        </w:rPr>
      </w:pPr>
      <w:r>
        <w:rPr>
          <w:rFonts w:hint="default" w:ascii="Times New Roman" w:hAnsi="Times New Roman" w:eastAsia="黑体" w:cs="Times New Roman"/>
          <w:bCs/>
          <w:color w:val="auto"/>
          <w:sz w:val="30"/>
          <w:szCs w:val="30"/>
          <w:highlight w:val="none"/>
        </w:rPr>
        <w:t>六、矿山地质环境监测</w:t>
      </w:r>
      <w:bookmarkEnd w:id="232"/>
      <w:bookmarkEnd w:id="233"/>
      <w:bookmarkEnd w:id="234"/>
      <w:bookmarkEnd w:id="235"/>
    </w:p>
    <w:p w14:paraId="324FAABB">
      <w:pPr>
        <w:pStyle w:val="5"/>
        <w:rPr>
          <w:rFonts w:hint="default" w:ascii="Times New Roman" w:hAnsi="Times New Roman" w:eastAsia="黑体" w:cs="Times New Roman"/>
          <w:b w:val="0"/>
          <w:bCs w:val="0"/>
          <w:color w:val="auto"/>
          <w:szCs w:val="28"/>
          <w:highlight w:val="none"/>
        </w:rPr>
      </w:pPr>
      <w:bookmarkStart w:id="244" w:name="_Toc487105331"/>
      <w:bookmarkStart w:id="245" w:name="_Toc487105332"/>
      <w:r>
        <w:rPr>
          <w:rFonts w:hint="default" w:ascii="Times New Roman" w:hAnsi="Times New Roman" w:eastAsia="黑体" w:cs="Times New Roman"/>
          <w:b w:val="0"/>
          <w:bCs w:val="0"/>
          <w:color w:val="auto"/>
          <w:szCs w:val="28"/>
          <w:highlight w:val="none"/>
          <w:lang w:eastAsia="zh-CN"/>
        </w:rPr>
        <w:t>（</w:t>
      </w:r>
      <w:r>
        <w:rPr>
          <w:rFonts w:hint="default" w:ascii="Times New Roman" w:hAnsi="Times New Roman" w:eastAsia="黑体" w:cs="Times New Roman"/>
          <w:b w:val="0"/>
          <w:bCs w:val="0"/>
          <w:color w:val="auto"/>
          <w:szCs w:val="28"/>
          <w:highlight w:val="none"/>
        </w:rPr>
        <w:t>一）目标任务</w:t>
      </w:r>
    </w:p>
    <w:p w14:paraId="4B7BA1DE">
      <w:pPr>
        <w:spacing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为掌握矿山地质环境的变化趋势，为矿山安全生产及矿山地质环境保护与综合治理提供依据，矿山地质环境监测及预警是一种长期的、持续的、跟踪式的、深层次的和各阶段相互联系的工作，而不是随每次灾害的发生而开始和结束的活动。实施对矿山地质环境问题的动态监测，是预测地质灾害的重要手段，制定矿山地质环境问题监测方案应以内部监测与外部监测，普通监测与专业技术监测，经常性监测与阶段性监测相结合。</w:t>
      </w:r>
    </w:p>
    <w:bookmarkEnd w:id="244"/>
    <w:bookmarkEnd w:id="245"/>
    <w:p w14:paraId="58FFE81D">
      <w:pPr>
        <w:pStyle w:val="5"/>
        <w:rPr>
          <w:rFonts w:hint="default" w:ascii="Times New Roman" w:hAnsi="Times New Roman" w:eastAsia="黑体" w:cs="Times New Roman"/>
          <w:b w:val="0"/>
          <w:bCs w:val="0"/>
          <w:color w:val="auto"/>
          <w:szCs w:val="28"/>
          <w:highlight w:val="none"/>
        </w:rPr>
      </w:pPr>
      <w:bookmarkStart w:id="246" w:name="_Toc485629735"/>
      <w:bookmarkStart w:id="247" w:name="_Toc508869991"/>
      <w:bookmarkStart w:id="248" w:name="_Hlk4968235"/>
      <w:bookmarkStart w:id="249" w:name="_Hlk4312922"/>
      <w:r>
        <w:rPr>
          <w:rFonts w:hint="default" w:ascii="Times New Roman" w:hAnsi="Times New Roman" w:eastAsia="黑体" w:cs="Times New Roman"/>
          <w:b w:val="0"/>
          <w:bCs w:val="0"/>
          <w:color w:val="auto"/>
          <w:szCs w:val="28"/>
          <w:highlight w:val="none"/>
          <w:lang w:eastAsia="zh-CN"/>
        </w:rPr>
        <w:t>（</w:t>
      </w:r>
      <w:r>
        <w:rPr>
          <w:rFonts w:hint="default" w:ascii="Times New Roman" w:hAnsi="Times New Roman" w:eastAsia="黑体" w:cs="Times New Roman"/>
          <w:b w:val="0"/>
          <w:bCs w:val="0"/>
          <w:color w:val="auto"/>
          <w:szCs w:val="28"/>
          <w:highlight w:val="none"/>
        </w:rPr>
        <w:t>二）监测设计</w:t>
      </w:r>
    </w:p>
    <w:p w14:paraId="2A1494F3">
      <w:pPr>
        <w:spacing w:line="360" w:lineRule="auto"/>
        <w:ind w:firstLine="472" w:firstLineChars="196"/>
        <w:jc w:val="both"/>
        <w:rPr>
          <w:rFonts w:hint="default" w:ascii="Times New Roman" w:hAnsi="Times New Roman" w:cs="Times New Roman"/>
          <w:b/>
          <w:color w:val="auto"/>
          <w:kern w:val="0"/>
          <w:sz w:val="24"/>
          <w:highlight w:val="none"/>
        </w:rPr>
      </w:pPr>
      <w:r>
        <w:rPr>
          <w:rFonts w:hint="default" w:ascii="Times New Roman" w:hAnsi="Times New Roman" w:cs="Times New Roman"/>
          <w:b/>
          <w:color w:val="auto"/>
          <w:kern w:val="0"/>
          <w:sz w:val="24"/>
          <w:highlight w:val="none"/>
        </w:rPr>
        <w:t>1、</w:t>
      </w:r>
      <w:r>
        <w:rPr>
          <w:rFonts w:hint="default" w:ascii="Times New Roman" w:hAnsi="Times New Roman" w:cs="Times New Roman"/>
          <w:b/>
          <w:color w:val="auto"/>
          <w:kern w:val="0"/>
          <w:sz w:val="24"/>
          <w:highlight w:val="none"/>
          <w:lang w:val="en-US" w:eastAsia="zh-CN"/>
        </w:rPr>
        <w:t>地质灾害</w:t>
      </w:r>
      <w:r>
        <w:rPr>
          <w:rFonts w:hint="default" w:ascii="Times New Roman" w:hAnsi="Times New Roman" w:cs="Times New Roman"/>
          <w:b/>
          <w:color w:val="auto"/>
          <w:kern w:val="0"/>
          <w:sz w:val="24"/>
          <w:highlight w:val="none"/>
        </w:rPr>
        <w:t>监测</w:t>
      </w:r>
    </w:p>
    <w:p w14:paraId="38E0099C">
      <w:pPr>
        <w:adjustRightInd w:val="0"/>
        <w:spacing w:line="360" w:lineRule="auto"/>
        <w:ind w:firstLine="480" w:firstLineChars="200"/>
        <w:jc w:val="both"/>
        <w:textAlignment w:val="baseline"/>
        <w:rPr>
          <w:rFonts w:hint="default" w:ascii="Times New Roman" w:hAnsi="Times New Roman" w:cs="Times New Roman"/>
          <w:color w:val="auto"/>
          <w:kern w:val="0"/>
          <w:sz w:val="24"/>
          <w:szCs w:val="20"/>
          <w:highlight w:val="none"/>
        </w:rPr>
      </w:pPr>
      <w:r>
        <w:rPr>
          <w:rFonts w:hint="default" w:ascii="Times New Roman" w:hAnsi="Times New Roman" w:cs="Times New Roman"/>
          <w:color w:val="auto"/>
          <w:kern w:val="0"/>
          <w:sz w:val="24"/>
          <w:szCs w:val="20"/>
          <w:highlight w:val="none"/>
        </w:rPr>
        <w:t>对评估区范围内</w:t>
      </w:r>
      <w:r>
        <w:rPr>
          <w:rFonts w:hint="default" w:ascii="Times New Roman" w:hAnsi="Times New Roman" w:cs="Times New Roman"/>
          <w:color w:val="auto"/>
          <w:kern w:val="0"/>
          <w:sz w:val="24"/>
          <w:szCs w:val="20"/>
          <w:highlight w:val="none"/>
          <w:lang w:val="en-US" w:eastAsia="zh-CN"/>
        </w:rPr>
        <w:t>边坡稳定性进行巡查监测</w:t>
      </w:r>
      <w:r>
        <w:rPr>
          <w:rFonts w:hint="default" w:ascii="Times New Roman" w:hAnsi="Times New Roman" w:cs="Times New Roman"/>
          <w:color w:val="auto"/>
          <w:kern w:val="0"/>
          <w:sz w:val="24"/>
          <w:szCs w:val="20"/>
          <w:highlight w:val="none"/>
        </w:rPr>
        <w:t>。</w:t>
      </w:r>
    </w:p>
    <w:p w14:paraId="3093EB08">
      <w:pPr>
        <w:adjustRightInd w:val="0"/>
        <w:spacing w:line="360" w:lineRule="auto"/>
        <w:ind w:firstLine="480" w:firstLineChars="200"/>
        <w:jc w:val="both"/>
        <w:textAlignment w:val="baseline"/>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szCs w:val="20"/>
          <w:highlight w:val="none"/>
        </w:rPr>
        <w:t>监测方法和监测频率</w:t>
      </w:r>
      <w:r>
        <w:rPr>
          <w:rFonts w:hint="eastAsia" w:ascii="Times New Roman" w:hAnsi="Times New Roman" w:cs="Times New Roman"/>
          <w:color w:val="auto"/>
          <w:kern w:val="0"/>
          <w:sz w:val="24"/>
          <w:szCs w:val="20"/>
          <w:highlight w:val="none"/>
          <w:lang w:eastAsia="zh-CN"/>
        </w:rPr>
        <w:t>：</w:t>
      </w:r>
      <w:r>
        <w:rPr>
          <w:rFonts w:hint="default" w:ascii="Times New Roman" w:hAnsi="Times New Roman" w:cs="Times New Roman"/>
          <w:color w:val="auto"/>
          <w:kern w:val="0"/>
          <w:sz w:val="24"/>
          <w:szCs w:val="20"/>
          <w:highlight w:val="none"/>
        </w:rPr>
        <w:t>由矿山企业指派专业人员，定期利用高精度测量仪器对该</w:t>
      </w:r>
      <w:r>
        <w:rPr>
          <w:rFonts w:hint="default" w:ascii="Times New Roman" w:hAnsi="Times New Roman" w:cs="Times New Roman"/>
          <w:color w:val="auto"/>
          <w:kern w:val="0"/>
          <w:sz w:val="24"/>
          <w:szCs w:val="20"/>
          <w:highlight w:val="none"/>
          <w:lang w:val="en-US" w:eastAsia="zh-CN"/>
        </w:rPr>
        <w:t>4</w:t>
      </w:r>
      <w:r>
        <w:rPr>
          <w:rFonts w:hint="default" w:ascii="Times New Roman" w:hAnsi="Times New Roman" w:cs="Times New Roman"/>
          <w:color w:val="auto"/>
          <w:kern w:val="0"/>
          <w:sz w:val="24"/>
          <w:szCs w:val="20"/>
          <w:highlight w:val="none"/>
        </w:rPr>
        <w:t>个监测点的高程及坐标进行准确测量，预测地面的变形趋势。</w:t>
      </w:r>
      <w:r>
        <w:rPr>
          <w:rFonts w:hint="default" w:ascii="Times New Roman" w:hAnsi="Times New Roman" w:cs="Times New Roman"/>
          <w:color w:val="auto"/>
          <w:kern w:val="0"/>
          <w:sz w:val="24"/>
          <w:highlight w:val="none"/>
        </w:rPr>
        <w:t>监测频率每月</w:t>
      </w:r>
      <w:r>
        <w:rPr>
          <w:rFonts w:hint="default" w:ascii="Times New Roman" w:hAnsi="Times New Roman" w:cs="Times New Roman"/>
          <w:color w:val="auto"/>
          <w:kern w:val="0"/>
          <w:sz w:val="24"/>
          <w:highlight w:val="none"/>
          <w:lang w:val="en-US" w:eastAsia="zh-CN"/>
        </w:rPr>
        <w:t>监测1</w:t>
      </w:r>
      <w:r>
        <w:rPr>
          <w:rFonts w:hint="default" w:ascii="Times New Roman" w:hAnsi="Times New Roman" w:cs="Times New Roman"/>
          <w:color w:val="auto"/>
          <w:kern w:val="0"/>
          <w:sz w:val="24"/>
          <w:highlight w:val="none"/>
        </w:rPr>
        <w:t>次，</w:t>
      </w:r>
      <w:r>
        <w:rPr>
          <w:rFonts w:hint="eastAsia" w:cs="Times New Roman"/>
          <w:color w:val="auto"/>
          <w:kern w:val="0"/>
          <w:sz w:val="24"/>
          <w:highlight w:val="none"/>
          <w:lang w:val="en-US" w:eastAsia="zh-CN"/>
        </w:rPr>
        <w:t>7</w:t>
      </w:r>
      <w:r>
        <w:rPr>
          <w:rFonts w:hint="default" w:ascii="Times New Roman" w:hAnsi="Times New Roman" w:cs="Times New Roman"/>
          <w:color w:val="auto"/>
          <w:kern w:val="0"/>
          <w:sz w:val="24"/>
          <w:highlight w:val="none"/>
        </w:rPr>
        <w:t>、</w:t>
      </w:r>
      <w:r>
        <w:rPr>
          <w:rFonts w:hint="eastAsia" w:cs="Times New Roman"/>
          <w:color w:val="auto"/>
          <w:kern w:val="0"/>
          <w:sz w:val="24"/>
          <w:highlight w:val="none"/>
          <w:lang w:val="en-US" w:eastAsia="zh-CN"/>
        </w:rPr>
        <w:t>8</w:t>
      </w:r>
      <w:r>
        <w:rPr>
          <w:rFonts w:hint="default" w:ascii="Times New Roman" w:hAnsi="Times New Roman" w:cs="Times New Roman"/>
          <w:color w:val="auto"/>
          <w:kern w:val="0"/>
          <w:sz w:val="24"/>
          <w:highlight w:val="none"/>
        </w:rPr>
        <w:t>、</w:t>
      </w:r>
      <w:r>
        <w:rPr>
          <w:rFonts w:hint="eastAsia" w:cs="Times New Roman"/>
          <w:color w:val="auto"/>
          <w:kern w:val="0"/>
          <w:sz w:val="24"/>
          <w:highlight w:val="none"/>
          <w:lang w:val="en-US" w:eastAsia="zh-CN"/>
        </w:rPr>
        <w:t>9</w:t>
      </w:r>
      <w:r>
        <w:rPr>
          <w:rFonts w:hint="default" w:ascii="Times New Roman" w:hAnsi="Times New Roman" w:cs="Times New Roman"/>
          <w:color w:val="auto"/>
          <w:kern w:val="0"/>
          <w:sz w:val="24"/>
          <w:highlight w:val="none"/>
        </w:rPr>
        <w:t>为雨季加密监测频率，</w:t>
      </w:r>
      <w:r>
        <w:rPr>
          <w:rFonts w:hint="eastAsia" w:cs="Times New Roman"/>
          <w:color w:val="auto"/>
          <w:kern w:val="0"/>
          <w:sz w:val="24"/>
          <w:highlight w:val="none"/>
          <w:lang w:val="en-US" w:eastAsia="zh-CN"/>
        </w:rPr>
        <w:t>7</w:t>
      </w:r>
      <w:r>
        <w:rPr>
          <w:rFonts w:hint="default" w:ascii="Times New Roman" w:hAnsi="Times New Roman" w:cs="Times New Roman"/>
          <w:color w:val="auto"/>
          <w:kern w:val="0"/>
          <w:sz w:val="24"/>
          <w:highlight w:val="none"/>
        </w:rPr>
        <w:t>、</w:t>
      </w:r>
      <w:r>
        <w:rPr>
          <w:rFonts w:hint="eastAsia" w:cs="Times New Roman"/>
          <w:color w:val="auto"/>
          <w:kern w:val="0"/>
          <w:sz w:val="24"/>
          <w:highlight w:val="none"/>
          <w:lang w:val="en-US" w:eastAsia="zh-CN"/>
        </w:rPr>
        <w:t>8</w:t>
      </w:r>
      <w:r>
        <w:rPr>
          <w:rFonts w:hint="default" w:ascii="Times New Roman" w:hAnsi="Times New Roman" w:cs="Times New Roman"/>
          <w:color w:val="auto"/>
          <w:kern w:val="0"/>
          <w:sz w:val="24"/>
          <w:highlight w:val="none"/>
        </w:rPr>
        <w:t>、</w:t>
      </w:r>
      <w:r>
        <w:rPr>
          <w:rFonts w:hint="eastAsia" w:cs="Times New Roman"/>
          <w:color w:val="auto"/>
          <w:kern w:val="0"/>
          <w:sz w:val="24"/>
          <w:highlight w:val="none"/>
          <w:lang w:val="en-US" w:eastAsia="zh-CN"/>
        </w:rPr>
        <w:t>9</w:t>
      </w:r>
      <w:r>
        <w:rPr>
          <w:rFonts w:hint="default" w:ascii="Times New Roman" w:hAnsi="Times New Roman" w:cs="Times New Roman"/>
          <w:color w:val="auto"/>
          <w:kern w:val="0"/>
          <w:sz w:val="24"/>
          <w:highlight w:val="none"/>
        </w:rPr>
        <w:t>每个月监测频率</w:t>
      </w:r>
      <w:r>
        <w:rPr>
          <w:rFonts w:hint="eastAsia" w:cs="Times New Roman"/>
          <w:color w:val="auto"/>
          <w:kern w:val="0"/>
          <w:sz w:val="24"/>
          <w:highlight w:val="none"/>
          <w:lang w:val="en-US" w:eastAsia="zh-CN"/>
        </w:rPr>
        <w:t>2</w:t>
      </w:r>
      <w:r>
        <w:rPr>
          <w:rFonts w:hint="default" w:ascii="Times New Roman" w:hAnsi="Times New Roman" w:cs="Times New Roman"/>
          <w:color w:val="auto"/>
          <w:kern w:val="0"/>
          <w:sz w:val="24"/>
          <w:highlight w:val="none"/>
        </w:rPr>
        <w:t>次，故</w:t>
      </w:r>
      <w:r>
        <w:rPr>
          <w:rFonts w:hint="default" w:ascii="Times New Roman" w:hAnsi="Times New Roman" w:cs="Times New Roman"/>
          <w:color w:val="auto"/>
          <w:kern w:val="0"/>
          <w:sz w:val="24"/>
          <w:highlight w:val="none"/>
          <w:lang w:val="en-US" w:eastAsia="zh-CN"/>
        </w:rPr>
        <w:t>每</w:t>
      </w:r>
      <w:r>
        <w:rPr>
          <w:rFonts w:hint="default" w:ascii="Times New Roman" w:hAnsi="Times New Roman" w:cs="Times New Roman"/>
          <w:color w:val="auto"/>
          <w:kern w:val="0"/>
          <w:sz w:val="24"/>
          <w:highlight w:val="none"/>
        </w:rPr>
        <w:t>年监测频率</w:t>
      </w:r>
      <w:r>
        <w:rPr>
          <w:rFonts w:hint="eastAsia" w:cs="Times New Roman"/>
          <w:color w:val="auto"/>
          <w:kern w:val="0"/>
          <w:sz w:val="24"/>
          <w:highlight w:val="none"/>
          <w:lang w:val="en-US" w:eastAsia="zh-CN"/>
        </w:rPr>
        <w:t>15</w:t>
      </w:r>
      <w:r>
        <w:rPr>
          <w:rFonts w:hint="default" w:ascii="Times New Roman" w:hAnsi="Times New Roman" w:cs="Times New Roman"/>
          <w:color w:val="auto"/>
          <w:kern w:val="0"/>
          <w:sz w:val="24"/>
          <w:highlight w:val="none"/>
        </w:rPr>
        <w:t>次。</w:t>
      </w:r>
    </w:p>
    <w:p w14:paraId="4FFDC105">
      <w:pPr>
        <w:adjustRightInd w:val="0"/>
        <w:spacing w:line="360" w:lineRule="auto"/>
        <w:ind w:firstLine="480" w:firstLineChars="200"/>
        <w:jc w:val="both"/>
        <w:textAlignment w:val="baseline"/>
        <w:rPr>
          <w:rFonts w:hint="default" w:ascii="Times New Roman" w:hAnsi="Times New Roman" w:cs="Times New Roman"/>
          <w:color w:val="auto"/>
          <w:kern w:val="0"/>
          <w:sz w:val="24"/>
          <w:szCs w:val="20"/>
          <w:highlight w:val="none"/>
        </w:rPr>
      </w:pPr>
      <w:r>
        <w:rPr>
          <w:rFonts w:hint="default" w:ascii="Times New Roman" w:hAnsi="Times New Roman" w:cs="Times New Roman"/>
          <w:color w:val="auto"/>
          <w:kern w:val="0"/>
          <w:sz w:val="24"/>
          <w:szCs w:val="20"/>
          <w:highlight w:val="none"/>
        </w:rPr>
        <w:t>监测总时间为</w:t>
      </w:r>
      <w:r>
        <w:rPr>
          <w:rFonts w:hint="eastAsia" w:cs="Times New Roman"/>
          <w:color w:val="auto"/>
          <w:kern w:val="0"/>
          <w:sz w:val="24"/>
          <w:szCs w:val="20"/>
          <w:highlight w:val="none"/>
          <w:lang w:val="en-US" w:eastAsia="zh-CN"/>
        </w:rPr>
        <w:t>7.72</w:t>
      </w:r>
      <w:r>
        <w:rPr>
          <w:rFonts w:hint="default" w:ascii="Times New Roman" w:hAnsi="Times New Roman" w:cs="Times New Roman"/>
          <w:color w:val="auto"/>
          <w:kern w:val="0"/>
          <w:sz w:val="24"/>
          <w:szCs w:val="20"/>
          <w:highlight w:val="none"/>
        </w:rPr>
        <w:t>年。</w:t>
      </w:r>
    </w:p>
    <w:p w14:paraId="28062DB4">
      <w:pPr>
        <w:spacing w:line="360" w:lineRule="auto"/>
        <w:ind w:firstLine="472" w:firstLineChars="196"/>
        <w:jc w:val="both"/>
        <w:rPr>
          <w:rFonts w:hint="default" w:ascii="Times New Roman" w:hAnsi="Times New Roman" w:cs="Times New Roman"/>
          <w:b/>
          <w:color w:val="auto"/>
          <w:kern w:val="0"/>
          <w:sz w:val="24"/>
          <w:highlight w:val="none"/>
        </w:rPr>
      </w:pPr>
      <w:r>
        <w:rPr>
          <w:rFonts w:hint="default" w:ascii="Times New Roman" w:hAnsi="Times New Roman" w:cs="Times New Roman"/>
          <w:b/>
          <w:color w:val="auto"/>
          <w:kern w:val="0"/>
          <w:sz w:val="24"/>
          <w:highlight w:val="none"/>
          <w:lang w:val="en-US" w:eastAsia="zh-CN"/>
        </w:rPr>
        <w:t>2</w:t>
      </w:r>
      <w:r>
        <w:rPr>
          <w:rFonts w:hint="default" w:ascii="Times New Roman" w:hAnsi="Times New Roman" w:cs="Times New Roman"/>
          <w:b/>
          <w:color w:val="auto"/>
          <w:kern w:val="0"/>
          <w:sz w:val="24"/>
          <w:highlight w:val="none"/>
        </w:rPr>
        <w:t>、含水层监测</w:t>
      </w:r>
    </w:p>
    <w:p w14:paraId="61CFF319">
      <w:pPr>
        <w:spacing w:line="360" w:lineRule="auto"/>
        <w:ind w:firstLine="470" w:firstLineChars="196"/>
        <w:jc w:val="both"/>
        <w:rPr>
          <w:rFonts w:hint="eastAsia" w:ascii="Times New Roman" w:hAnsi="Times New Roman" w:eastAsia="宋体" w:cs="Times New Roman"/>
          <w:color w:val="auto"/>
          <w:kern w:val="0"/>
          <w:sz w:val="24"/>
          <w:highlight w:val="none"/>
          <w:lang w:eastAsia="zh-CN"/>
        </w:rPr>
      </w:pPr>
      <w:r>
        <w:rPr>
          <w:rFonts w:hint="default"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rPr>
        <w:t>1）地下水位自动监测法</w:t>
      </w:r>
    </w:p>
    <w:p w14:paraId="57C5463B">
      <w:pPr>
        <w:spacing w:line="360" w:lineRule="auto"/>
        <w:ind w:firstLine="470" w:firstLineChars="196"/>
        <w:jc w:val="both"/>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采用地下水位自动监测仪，自动采集和数据传输。具有成本低、效率高，不受工作环境、气候条件限制。</w:t>
      </w:r>
    </w:p>
    <w:p w14:paraId="3B133184">
      <w:pPr>
        <w:spacing w:line="360" w:lineRule="auto"/>
        <w:ind w:firstLine="470" w:firstLineChars="196"/>
        <w:jc w:val="both"/>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rPr>
        <w:t>2）地下水采样送检测试法</w:t>
      </w:r>
    </w:p>
    <w:p w14:paraId="654C1214">
      <w:pPr>
        <w:spacing w:line="360" w:lineRule="auto"/>
        <w:ind w:firstLine="470" w:firstLineChars="196"/>
        <w:jc w:val="both"/>
        <w:rPr>
          <w:rFonts w:hint="default" w:ascii="Times New Roman" w:hAnsi="Times New Roman" w:eastAsia="宋体" w:cs="Times New Roman"/>
          <w:color w:val="auto"/>
          <w:kern w:val="0"/>
          <w:sz w:val="24"/>
          <w:highlight w:val="none"/>
          <w:lang w:val="en-US" w:eastAsia="zh-CN"/>
        </w:rPr>
      </w:pPr>
      <w:r>
        <w:rPr>
          <w:rFonts w:hint="default" w:ascii="Times New Roman" w:hAnsi="Times New Roman" w:cs="Times New Roman"/>
          <w:color w:val="auto"/>
          <w:kern w:val="0"/>
          <w:sz w:val="24"/>
          <w:highlight w:val="none"/>
        </w:rPr>
        <w:t>井下采取水样时需在水平面下大于3m处，井口采取时需抽水10min以上，水温、水位、水量、pH、电导率、氧化还原电位、溶解氧、浊度、Ca</w:t>
      </w:r>
      <w:r>
        <w:rPr>
          <w:rFonts w:hint="default" w:ascii="Times New Roman" w:hAnsi="Times New Roman" w:cs="Times New Roman"/>
          <w:color w:val="auto"/>
          <w:kern w:val="0"/>
          <w:sz w:val="24"/>
          <w:highlight w:val="none"/>
          <w:vertAlign w:val="superscript"/>
        </w:rPr>
        <w:t>2+</w:t>
      </w:r>
      <w:r>
        <w:rPr>
          <w:rFonts w:hint="default" w:ascii="Times New Roman" w:hAnsi="Times New Roman" w:cs="Times New Roman"/>
          <w:color w:val="auto"/>
          <w:kern w:val="0"/>
          <w:sz w:val="24"/>
          <w:highlight w:val="none"/>
        </w:rPr>
        <w:t>和</w:t>
      </w:r>
      <w:r>
        <w:rPr>
          <w:rFonts w:hint="eastAsia" w:cs="Times New Roman"/>
          <w:color w:val="auto"/>
          <w:kern w:val="0"/>
          <w:sz w:val="24"/>
          <w:highlight w:val="none"/>
          <w:lang w:val="en-US" w:eastAsia="zh-CN"/>
        </w:rPr>
        <w:t>H</w:t>
      </w:r>
      <w:r>
        <w:rPr>
          <w:rFonts w:hint="default" w:ascii="Times New Roman" w:hAnsi="Times New Roman" w:cs="Times New Roman"/>
          <w:color w:val="auto"/>
          <w:kern w:val="0"/>
          <w:sz w:val="24"/>
          <w:highlight w:val="none"/>
        </w:rPr>
        <w:t>CO</w:t>
      </w:r>
      <w:r>
        <w:rPr>
          <w:rFonts w:hint="default" w:ascii="Times New Roman" w:hAnsi="Times New Roman" w:cs="Times New Roman"/>
          <w:color w:val="auto"/>
          <w:kern w:val="0"/>
          <w:sz w:val="24"/>
          <w:highlight w:val="none"/>
          <w:vertAlign w:val="subscript"/>
        </w:rPr>
        <w:t>3</w:t>
      </w:r>
      <w:r>
        <w:rPr>
          <w:rFonts w:hint="default" w:ascii="Times New Roman" w:hAnsi="Times New Roman" w:cs="Times New Roman"/>
          <w:color w:val="auto"/>
          <w:kern w:val="0"/>
          <w:sz w:val="24"/>
          <w:highlight w:val="none"/>
          <w:vertAlign w:val="superscript"/>
        </w:rPr>
        <w:t>-</w:t>
      </w:r>
      <w:r>
        <w:rPr>
          <w:rFonts w:hint="default" w:ascii="Times New Roman" w:hAnsi="Times New Roman" w:cs="Times New Roman"/>
          <w:color w:val="auto"/>
          <w:kern w:val="0"/>
          <w:sz w:val="24"/>
          <w:highlight w:val="none"/>
        </w:rPr>
        <w:t>要求现场测量，计数保留两位小数。采样器进行前期处理，容器做到定点、定项，现场密封样品，贴上水样标签。监测频率每月1次，</w:t>
      </w:r>
      <w:r>
        <w:rPr>
          <w:rFonts w:hint="default" w:ascii="Times New Roman" w:hAnsi="Times New Roman" w:cs="Times New Roman"/>
          <w:color w:val="auto"/>
          <w:kern w:val="0"/>
          <w:sz w:val="24"/>
          <w:highlight w:val="none"/>
          <w:lang w:eastAsia="zh-CN"/>
        </w:rPr>
        <w:t>每年</w:t>
      </w:r>
      <w:r>
        <w:rPr>
          <w:rFonts w:hint="default" w:ascii="Times New Roman" w:hAnsi="Times New Roman" w:cs="Times New Roman"/>
          <w:color w:val="auto"/>
          <w:kern w:val="0"/>
          <w:sz w:val="24"/>
          <w:highlight w:val="none"/>
        </w:rPr>
        <w:t>监测频率1</w:t>
      </w:r>
      <w:r>
        <w:rPr>
          <w:rFonts w:hint="eastAsia" w:cs="Times New Roman"/>
          <w:color w:val="auto"/>
          <w:kern w:val="0"/>
          <w:sz w:val="24"/>
          <w:highlight w:val="none"/>
          <w:lang w:val="en-US" w:eastAsia="zh-CN"/>
        </w:rPr>
        <w:t>2</w:t>
      </w:r>
      <w:r>
        <w:rPr>
          <w:rFonts w:hint="default" w:ascii="Times New Roman" w:hAnsi="Times New Roman" w:cs="Times New Roman"/>
          <w:color w:val="auto"/>
          <w:kern w:val="0"/>
          <w:sz w:val="24"/>
          <w:highlight w:val="none"/>
        </w:rPr>
        <w:t>次。</w:t>
      </w:r>
      <w:r>
        <w:rPr>
          <w:rFonts w:hint="default" w:ascii="Times New Roman" w:hAnsi="Times New Roman" w:cs="Times New Roman"/>
          <w:color w:val="auto"/>
          <w:kern w:val="0"/>
          <w:sz w:val="24"/>
          <w:highlight w:val="none"/>
          <w:lang w:val="en-US" w:eastAsia="zh-CN"/>
        </w:rPr>
        <w:t>地下水水质监测每年监测</w:t>
      </w:r>
      <w:r>
        <w:rPr>
          <w:rFonts w:hint="eastAsia" w:cs="Times New Roman"/>
          <w:color w:val="auto"/>
          <w:kern w:val="0"/>
          <w:sz w:val="24"/>
          <w:highlight w:val="none"/>
          <w:lang w:val="en-US" w:eastAsia="zh-CN"/>
        </w:rPr>
        <w:t>3</w:t>
      </w:r>
      <w:r>
        <w:rPr>
          <w:rFonts w:hint="default" w:ascii="Times New Roman" w:hAnsi="Times New Roman" w:cs="Times New Roman"/>
          <w:color w:val="auto"/>
          <w:kern w:val="0"/>
          <w:sz w:val="24"/>
          <w:highlight w:val="none"/>
          <w:lang w:val="en-US" w:eastAsia="zh-CN"/>
        </w:rPr>
        <w:t>次。</w:t>
      </w:r>
    </w:p>
    <w:p w14:paraId="539E52A2">
      <w:pPr>
        <w:adjustRightInd w:val="0"/>
        <w:spacing w:line="360" w:lineRule="auto"/>
        <w:ind w:firstLine="480" w:firstLineChars="200"/>
        <w:jc w:val="both"/>
        <w:textAlignment w:val="baseline"/>
        <w:rPr>
          <w:rFonts w:hint="default" w:ascii="Times New Roman" w:hAnsi="Times New Roman" w:cs="Times New Roman"/>
          <w:color w:val="auto"/>
          <w:kern w:val="0"/>
          <w:sz w:val="24"/>
          <w:szCs w:val="20"/>
          <w:highlight w:val="none"/>
        </w:rPr>
      </w:pPr>
      <w:r>
        <w:rPr>
          <w:rFonts w:hint="default" w:ascii="Times New Roman" w:hAnsi="Times New Roman" w:cs="Times New Roman"/>
          <w:color w:val="auto"/>
          <w:kern w:val="0"/>
          <w:sz w:val="24"/>
          <w:szCs w:val="20"/>
          <w:highlight w:val="none"/>
        </w:rPr>
        <w:t>监测总时间为</w:t>
      </w:r>
      <w:r>
        <w:rPr>
          <w:rFonts w:hint="eastAsia" w:cs="Times New Roman"/>
          <w:color w:val="auto"/>
          <w:kern w:val="0"/>
          <w:sz w:val="24"/>
          <w:szCs w:val="20"/>
          <w:highlight w:val="none"/>
          <w:lang w:val="en-US" w:eastAsia="zh-CN"/>
        </w:rPr>
        <w:t>7.72</w:t>
      </w:r>
      <w:r>
        <w:rPr>
          <w:rFonts w:hint="default" w:ascii="Times New Roman" w:hAnsi="Times New Roman" w:cs="Times New Roman"/>
          <w:color w:val="auto"/>
          <w:kern w:val="0"/>
          <w:sz w:val="24"/>
          <w:szCs w:val="20"/>
          <w:highlight w:val="none"/>
        </w:rPr>
        <w:t>年。</w:t>
      </w:r>
    </w:p>
    <w:p w14:paraId="11505BEE">
      <w:pPr>
        <w:pStyle w:val="5"/>
        <w:rPr>
          <w:rFonts w:hint="default" w:ascii="Times New Roman" w:hAnsi="Times New Roman" w:eastAsia="黑体" w:cs="Times New Roman"/>
          <w:b w:val="0"/>
          <w:bCs w:val="0"/>
          <w:color w:val="auto"/>
          <w:szCs w:val="28"/>
          <w:highlight w:val="none"/>
        </w:rPr>
      </w:pPr>
      <w:r>
        <w:rPr>
          <w:rFonts w:hint="default" w:ascii="Times New Roman" w:hAnsi="Times New Roman" w:eastAsia="黑体" w:cs="Times New Roman"/>
          <w:b w:val="0"/>
          <w:bCs w:val="0"/>
          <w:color w:val="auto"/>
          <w:szCs w:val="28"/>
          <w:highlight w:val="none"/>
          <w:lang w:eastAsia="zh-CN"/>
        </w:rPr>
        <w:t>（</w:t>
      </w:r>
      <w:r>
        <w:rPr>
          <w:rFonts w:hint="default" w:ascii="Times New Roman" w:hAnsi="Times New Roman" w:eastAsia="黑体" w:cs="Times New Roman"/>
          <w:b w:val="0"/>
          <w:bCs w:val="0"/>
          <w:color w:val="auto"/>
          <w:szCs w:val="28"/>
          <w:highlight w:val="none"/>
        </w:rPr>
        <w:t>三）主要工程量</w:t>
      </w:r>
    </w:p>
    <w:p w14:paraId="59C3D6C7">
      <w:pPr>
        <w:autoSpaceDE w:val="0"/>
        <w:autoSpaceDN w:val="0"/>
        <w:spacing w:line="360" w:lineRule="auto"/>
        <w:ind w:firstLine="480" w:firstLineChars="200"/>
        <w:rPr>
          <w:rFonts w:hint="default" w:ascii="Times New Roman" w:hAnsi="Times New Roman" w:cs="Times New Roman"/>
          <w:color w:val="auto"/>
          <w:sz w:val="24"/>
          <w:highlight w:val="none"/>
        </w:rPr>
      </w:pPr>
      <w:bookmarkStart w:id="250" w:name="_Hlk18389530"/>
      <w:r>
        <w:rPr>
          <w:rFonts w:hint="default" w:ascii="Times New Roman" w:hAnsi="Times New Roman" w:cs="Times New Roman"/>
          <w:color w:val="auto"/>
          <w:sz w:val="24"/>
          <w:highlight w:val="none"/>
        </w:rPr>
        <w:t>边坡稳定性监测共</w:t>
      </w:r>
      <w:r>
        <w:rPr>
          <w:rFonts w:hint="eastAsia" w:cs="Times New Roman"/>
          <w:color w:val="auto"/>
          <w:sz w:val="24"/>
          <w:highlight w:val="none"/>
          <w:lang w:val="en-US" w:eastAsia="zh-CN"/>
        </w:rPr>
        <w:t>15</w:t>
      </w:r>
      <w:r>
        <w:rPr>
          <w:rFonts w:hint="default" w:ascii="Times New Roman" w:hAnsi="Times New Roman" w:cs="Times New Roman"/>
          <w:color w:val="auto"/>
          <w:sz w:val="24"/>
          <w:highlight w:val="none"/>
        </w:rPr>
        <w:t>次/年×</w:t>
      </w:r>
      <w:r>
        <w:rPr>
          <w:rFonts w:hint="eastAsia" w:cs="Times New Roman"/>
          <w:color w:val="auto"/>
          <w:kern w:val="0"/>
          <w:sz w:val="24"/>
          <w:szCs w:val="20"/>
          <w:highlight w:val="none"/>
          <w:lang w:val="en-US" w:eastAsia="zh-CN"/>
        </w:rPr>
        <w:t>7.72</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lang w:val="en-US" w:eastAsia="zh-CN"/>
        </w:rPr>
        <w:t>11</w:t>
      </w:r>
      <w:r>
        <w:rPr>
          <w:rFonts w:hint="eastAsia" w:cs="Times New Roman"/>
          <w:color w:val="auto"/>
          <w:sz w:val="24"/>
          <w:highlight w:val="none"/>
          <w:lang w:val="en-US" w:eastAsia="zh-CN"/>
        </w:rPr>
        <w:t>6</w:t>
      </w:r>
      <w:r>
        <w:rPr>
          <w:rFonts w:hint="default" w:ascii="Times New Roman" w:hAnsi="Times New Roman" w:cs="Times New Roman"/>
          <w:color w:val="auto"/>
          <w:sz w:val="24"/>
          <w:highlight w:val="none"/>
        </w:rPr>
        <w:t>次；</w:t>
      </w:r>
    </w:p>
    <w:p w14:paraId="28086E30">
      <w:pPr>
        <w:autoSpaceDE w:val="0"/>
        <w:autoSpaceDN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地下水水位监测共1</w:t>
      </w:r>
      <w:r>
        <w:rPr>
          <w:rFonts w:hint="eastAsia" w:cs="Times New Roman"/>
          <w:color w:val="auto"/>
          <w:sz w:val="24"/>
          <w:highlight w:val="none"/>
          <w:lang w:val="en-US" w:eastAsia="zh-CN"/>
        </w:rPr>
        <w:t>2</w:t>
      </w:r>
      <w:r>
        <w:rPr>
          <w:rFonts w:hint="default" w:ascii="Times New Roman" w:hAnsi="Times New Roman" w:cs="Times New Roman"/>
          <w:color w:val="auto"/>
          <w:sz w:val="24"/>
          <w:highlight w:val="none"/>
        </w:rPr>
        <w:t>次/年×</w:t>
      </w:r>
      <w:r>
        <w:rPr>
          <w:rFonts w:hint="eastAsia" w:cs="Times New Roman"/>
          <w:color w:val="auto"/>
          <w:kern w:val="0"/>
          <w:sz w:val="24"/>
          <w:szCs w:val="20"/>
          <w:highlight w:val="none"/>
          <w:lang w:val="en-US" w:eastAsia="zh-CN"/>
        </w:rPr>
        <w:t>7.72</w:t>
      </w:r>
      <w:r>
        <w:rPr>
          <w:rFonts w:hint="default" w:ascii="Times New Roman" w:hAnsi="Times New Roman" w:cs="Times New Roman"/>
          <w:color w:val="auto"/>
          <w:sz w:val="24"/>
          <w:highlight w:val="none"/>
        </w:rPr>
        <w:t>年=</w:t>
      </w:r>
      <w:r>
        <w:rPr>
          <w:rFonts w:hint="eastAsia" w:cs="Times New Roman"/>
          <w:color w:val="auto"/>
          <w:sz w:val="24"/>
          <w:highlight w:val="none"/>
          <w:lang w:val="en-US" w:eastAsia="zh-CN"/>
        </w:rPr>
        <w:t>93</w:t>
      </w:r>
      <w:r>
        <w:rPr>
          <w:rFonts w:hint="default" w:ascii="Times New Roman" w:hAnsi="Times New Roman" w:cs="Times New Roman"/>
          <w:color w:val="auto"/>
          <w:sz w:val="24"/>
          <w:highlight w:val="none"/>
        </w:rPr>
        <w:t>次；</w:t>
      </w:r>
    </w:p>
    <w:p w14:paraId="0739F4D1">
      <w:pPr>
        <w:autoSpaceDE w:val="0"/>
        <w:autoSpaceDN w:val="0"/>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地下水</w:t>
      </w:r>
      <w:r>
        <w:rPr>
          <w:rFonts w:hint="default" w:ascii="Times New Roman" w:hAnsi="Times New Roman" w:cs="Times New Roman"/>
          <w:color w:val="auto"/>
          <w:sz w:val="24"/>
          <w:highlight w:val="none"/>
          <w:lang w:val="en-US" w:eastAsia="zh-CN"/>
        </w:rPr>
        <w:t>水质</w:t>
      </w:r>
      <w:r>
        <w:rPr>
          <w:rFonts w:hint="default" w:ascii="Times New Roman" w:hAnsi="Times New Roman" w:cs="Times New Roman"/>
          <w:color w:val="auto"/>
          <w:sz w:val="24"/>
          <w:highlight w:val="none"/>
        </w:rPr>
        <w:t>监测共</w:t>
      </w:r>
      <w:r>
        <w:rPr>
          <w:rFonts w:hint="eastAsia" w:cs="Times New Roman"/>
          <w:color w:val="auto"/>
          <w:sz w:val="24"/>
          <w:highlight w:val="none"/>
          <w:lang w:val="en-US" w:eastAsia="zh-CN"/>
        </w:rPr>
        <w:t>3</w:t>
      </w:r>
      <w:r>
        <w:rPr>
          <w:rFonts w:hint="default" w:ascii="Times New Roman" w:hAnsi="Times New Roman" w:cs="Times New Roman"/>
          <w:color w:val="auto"/>
          <w:sz w:val="24"/>
          <w:highlight w:val="none"/>
        </w:rPr>
        <w:t>次/年×</w:t>
      </w:r>
      <w:r>
        <w:rPr>
          <w:rFonts w:hint="eastAsia" w:cs="Times New Roman"/>
          <w:color w:val="auto"/>
          <w:kern w:val="0"/>
          <w:sz w:val="24"/>
          <w:szCs w:val="20"/>
          <w:highlight w:val="none"/>
          <w:lang w:val="en-US" w:eastAsia="zh-CN"/>
        </w:rPr>
        <w:t>7.72</w:t>
      </w:r>
      <w:r>
        <w:rPr>
          <w:rFonts w:hint="default" w:ascii="Times New Roman" w:hAnsi="Times New Roman" w:cs="Times New Roman"/>
          <w:color w:val="auto"/>
          <w:sz w:val="24"/>
          <w:highlight w:val="none"/>
        </w:rPr>
        <w:t>年</w:t>
      </w:r>
      <w:r>
        <w:rPr>
          <w:rFonts w:hint="default" w:ascii="Times New Roman" w:hAnsi="Times New Roman" w:cs="Times New Roman"/>
          <w:color w:val="auto"/>
          <w:kern w:val="0"/>
          <w:sz w:val="24"/>
          <w:szCs w:val="20"/>
          <w:highlight w:val="none"/>
        </w:rPr>
        <w:t>=</w:t>
      </w:r>
      <w:r>
        <w:rPr>
          <w:rFonts w:hint="eastAsia" w:cs="Times New Roman"/>
          <w:color w:val="auto"/>
          <w:sz w:val="24"/>
          <w:highlight w:val="none"/>
          <w:lang w:val="en-US" w:eastAsia="zh-CN"/>
        </w:rPr>
        <w:t>23</w:t>
      </w:r>
      <w:r>
        <w:rPr>
          <w:rFonts w:hint="default" w:ascii="Times New Roman" w:hAnsi="Times New Roman" w:cs="Times New Roman"/>
          <w:color w:val="auto"/>
          <w:sz w:val="24"/>
          <w:highlight w:val="none"/>
        </w:rPr>
        <w:t>次</w:t>
      </w:r>
      <w:r>
        <w:rPr>
          <w:rFonts w:hint="default" w:ascii="Times New Roman" w:hAnsi="Times New Roman" w:cs="Times New Roman"/>
          <w:color w:val="auto"/>
          <w:sz w:val="24"/>
          <w:highlight w:val="none"/>
          <w:lang w:eastAsia="zh-CN"/>
        </w:rPr>
        <w:t>。</w:t>
      </w:r>
    </w:p>
    <w:bookmarkEnd w:id="250"/>
    <w:p w14:paraId="57C857DC">
      <w:pPr>
        <w:keepNext/>
        <w:keepLines/>
        <w:widowControl w:val="0"/>
        <w:spacing w:before="260" w:after="260" w:line="415" w:lineRule="auto"/>
        <w:outlineLvl w:val="1"/>
        <w:rPr>
          <w:rFonts w:hint="default" w:ascii="Times New Roman" w:hAnsi="Times New Roman" w:eastAsia="黑体" w:cs="Times New Roman"/>
          <w:bCs/>
          <w:color w:val="auto"/>
          <w:sz w:val="30"/>
          <w:szCs w:val="30"/>
          <w:highlight w:val="none"/>
        </w:rPr>
      </w:pPr>
      <w:bookmarkStart w:id="251" w:name="_Toc550"/>
      <w:bookmarkStart w:id="252" w:name="_Toc13317"/>
      <w:r>
        <w:rPr>
          <w:rFonts w:hint="default" w:ascii="Times New Roman" w:hAnsi="Times New Roman" w:eastAsia="黑体" w:cs="Times New Roman"/>
          <w:bCs/>
          <w:color w:val="auto"/>
          <w:sz w:val="30"/>
          <w:szCs w:val="30"/>
          <w:highlight w:val="none"/>
        </w:rPr>
        <w:t>七、矿区土地复垦监测和管护</w:t>
      </w:r>
      <w:bookmarkEnd w:id="246"/>
      <w:bookmarkEnd w:id="247"/>
      <w:bookmarkEnd w:id="251"/>
      <w:bookmarkEnd w:id="252"/>
    </w:p>
    <w:p w14:paraId="0BA643C7">
      <w:pPr>
        <w:pStyle w:val="5"/>
        <w:rPr>
          <w:rFonts w:hint="default" w:ascii="Times New Roman" w:hAnsi="Times New Roman" w:eastAsia="黑体" w:cs="Times New Roman"/>
          <w:b w:val="0"/>
          <w:bCs w:val="0"/>
          <w:color w:val="auto"/>
          <w:szCs w:val="28"/>
          <w:highlight w:val="none"/>
        </w:rPr>
      </w:pPr>
      <w:bookmarkStart w:id="253" w:name="_Toc485629736"/>
      <w:r>
        <w:rPr>
          <w:rFonts w:hint="default" w:ascii="Times New Roman" w:hAnsi="Times New Roman" w:eastAsia="黑体" w:cs="Times New Roman"/>
          <w:b w:val="0"/>
          <w:bCs w:val="0"/>
          <w:color w:val="auto"/>
          <w:szCs w:val="28"/>
          <w:highlight w:val="none"/>
          <w:lang w:eastAsia="zh-CN"/>
        </w:rPr>
        <w:t>（</w:t>
      </w:r>
      <w:r>
        <w:rPr>
          <w:rFonts w:hint="default" w:ascii="Times New Roman" w:hAnsi="Times New Roman" w:eastAsia="黑体" w:cs="Times New Roman"/>
          <w:b w:val="0"/>
          <w:bCs w:val="0"/>
          <w:color w:val="auto"/>
          <w:szCs w:val="28"/>
          <w:highlight w:val="none"/>
        </w:rPr>
        <w:t>一）目标任务</w:t>
      </w:r>
      <w:bookmarkEnd w:id="253"/>
    </w:p>
    <w:p w14:paraId="3F2FDB74">
      <w:pPr>
        <w:autoSpaceDE w:val="0"/>
        <w:autoSpaceDN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土地复垦监测是督促落实土地复垦责任的重要途径，保障复垦能够按时、保质、保量完成，调整土地复垦方案中复垦目标、标准、措施及计划安排，预防发生重大事故和减少土地造成损毁，为实现土地复垦科学化、规范化、标准化提供依据。</w:t>
      </w:r>
    </w:p>
    <w:p w14:paraId="2EBA2BCE">
      <w:pPr>
        <w:pStyle w:val="5"/>
        <w:rPr>
          <w:rFonts w:hint="default" w:ascii="Times New Roman" w:hAnsi="Times New Roman" w:eastAsia="黑体" w:cs="Times New Roman"/>
          <w:b w:val="0"/>
          <w:bCs w:val="0"/>
          <w:color w:val="auto"/>
          <w:szCs w:val="28"/>
          <w:highlight w:val="none"/>
        </w:rPr>
      </w:pPr>
      <w:bookmarkStart w:id="254" w:name="_Toc485629737"/>
      <w:r>
        <w:rPr>
          <w:rFonts w:hint="default" w:ascii="Times New Roman" w:hAnsi="Times New Roman" w:eastAsia="黑体" w:cs="Times New Roman"/>
          <w:b w:val="0"/>
          <w:bCs w:val="0"/>
          <w:color w:val="auto"/>
          <w:szCs w:val="28"/>
          <w:highlight w:val="none"/>
          <w:lang w:eastAsia="zh-CN"/>
        </w:rPr>
        <w:t>（</w:t>
      </w:r>
      <w:r>
        <w:rPr>
          <w:rFonts w:hint="default" w:ascii="Times New Roman" w:hAnsi="Times New Roman" w:eastAsia="黑体" w:cs="Times New Roman"/>
          <w:b w:val="0"/>
          <w:bCs w:val="0"/>
          <w:color w:val="auto"/>
          <w:szCs w:val="28"/>
          <w:highlight w:val="none"/>
        </w:rPr>
        <w:t>二）措施和内容</w:t>
      </w:r>
      <w:bookmarkEnd w:id="254"/>
    </w:p>
    <w:p w14:paraId="3D796526">
      <w:pPr>
        <w:autoSpaceDE w:val="0"/>
        <w:autoSpaceDN w:val="0"/>
        <w:spacing w:line="360" w:lineRule="auto"/>
        <w:ind w:firstLine="482" w:firstLineChars="200"/>
        <w:rPr>
          <w:rFonts w:hint="default" w:ascii="Times New Roman" w:hAnsi="Times New Roman" w:cs="Times New Roman"/>
          <w:b/>
          <w:color w:val="auto"/>
          <w:sz w:val="24"/>
          <w:highlight w:val="none"/>
        </w:rPr>
      </w:pPr>
      <w:r>
        <w:rPr>
          <w:rFonts w:hint="eastAsia" w:ascii="Times New Roman" w:hAnsi="Times New Roman" w:cs="Times New Roman"/>
          <w:b/>
          <w:color w:val="auto"/>
          <w:sz w:val="24"/>
          <w:highlight w:val="none"/>
          <w:lang w:val="en-US" w:eastAsia="zh-CN"/>
        </w:rPr>
        <w:t>1、</w:t>
      </w:r>
      <w:r>
        <w:rPr>
          <w:rFonts w:hint="eastAsia" w:cs="Times New Roman"/>
          <w:b/>
          <w:color w:val="auto"/>
          <w:sz w:val="24"/>
          <w:highlight w:val="none"/>
          <w:lang w:val="en-US" w:eastAsia="zh-CN"/>
        </w:rPr>
        <w:t>土地复垦</w:t>
      </w:r>
      <w:r>
        <w:rPr>
          <w:rFonts w:hint="default" w:ascii="Times New Roman" w:hAnsi="Times New Roman" w:cs="Times New Roman"/>
          <w:b/>
          <w:color w:val="auto"/>
          <w:sz w:val="24"/>
          <w:highlight w:val="none"/>
        </w:rPr>
        <w:t>监测 </w:t>
      </w:r>
    </w:p>
    <w:p w14:paraId="720A81D8">
      <w:pPr>
        <w:pStyle w:val="142"/>
        <w:shd w:val="clear" w:color="auto" w:fill="FFFFFF"/>
        <w:spacing w:before="0" w:beforeAutospacing="0" w:after="0" w:afterAutospacing="0"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区的土地复垦监测方法以调查与巡查为主，辅以临时监测，以满足矿山生产过程中土地损毁及复垦变化的特点，确保监测工作的顺利进行。调查与巡查是指定期采取线路调查或全面调查，利用手持GPS、照相机、标杆、尺子等工具管护测量，监测人员定期对土地损毁情况、水土保持情况、复垦工程措施实施情况、植物生长情况、总体复垦效果等进行监测记录。主要是复垦工程进度与复垦质量，按照土地复垦质量要求进行监测。</w:t>
      </w:r>
    </w:p>
    <w:p w14:paraId="7FA45490">
      <w:pPr>
        <w:autoSpaceDE w:val="0"/>
        <w:autoSpaceDN w:val="0"/>
        <w:spacing w:line="360" w:lineRule="auto"/>
        <w:ind w:firstLine="482" w:firstLineChars="200"/>
        <w:rPr>
          <w:rFonts w:hint="default" w:ascii="Times New Roman" w:hAnsi="Times New Roman" w:cs="Times New Roman"/>
          <w:b/>
          <w:color w:val="auto"/>
          <w:sz w:val="24"/>
          <w:highlight w:val="none"/>
        </w:rPr>
      </w:pPr>
      <w:r>
        <w:rPr>
          <w:rFonts w:hint="eastAsia" w:ascii="Times New Roman" w:hAnsi="Times New Roman" w:cs="Times New Roman"/>
          <w:b/>
          <w:color w:val="auto"/>
          <w:sz w:val="24"/>
          <w:highlight w:val="none"/>
          <w:lang w:val="en-US" w:eastAsia="zh-CN"/>
        </w:rPr>
        <w:t>2、</w:t>
      </w:r>
      <w:r>
        <w:rPr>
          <w:rFonts w:hint="default" w:ascii="Times New Roman" w:hAnsi="Times New Roman" w:cs="Times New Roman"/>
          <w:b/>
          <w:color w:val="auto"/>
          <w:sz w:val="24"/>
          <w:highlight w:val="none"/>
        </w:rPr>
        <w:t>管护措施</w:t>
      </w:r>
    </w:p>
    <w:p w14:paraId="722363A7">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为了确保植物栽植成活，促使其正常生长发育，从而发挥其更大、更有效的综合作用，在栽植后，必须采取各种措施来创造适合其生长发育的环境。管护的土地类型为耕地和林地，具体养护管理措施总结如下：</w:t>
      </w:r>
    </w:p>
    <w:p w14:paraId="54D0EF19">
      <w:pPr>
        <w:spacing w:line="360" w:lineRule="auto"/>
        <w:ind w:firstLine="480" w:firstLineChars="200"/>
        <w:rPr>
          <w:rFonts w:hint="default" w:ascii="Times New Roman" w:hAnsi="Times New Roman" w:cs="Times New Roman"/>
          <w:color w:val="auto"/>
          <w:sz w:val="24"/>
          <w:highlight w:val="none"/>
        </w:rPr>
      </w:pP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1</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栽植后派专人管护，禁止放牧、挖沙取土等破坏行为。</w:t>
      </w:r>
    </w:p>
    <w:p w14:paraId="1D9C858F">
      <w:pPr>
        <w:spacing w:line="360" w:lineRule="auto"/>
        <w:ind w:firstLine="480" w:firstLineChars="200"/>
        <w:rPr>
          <w:rFonts w:hint="default" w:ascii="Times New Roman" w:hAnsi="Times New Roman" w:cs="Times New Roman"/>
          <w:color w:val="auto"/>
          <w:sz w:val="24"/>
          <w:highlight w:val="none"/>
        </w:rPr>
      </w:pP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2</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除草、打草</w:t>
      </w:r>
    </w:p>
    <w:p w14:paraId="55FCAE4A">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为了减少病菌和害虫的潜伏，保持作物的健康、绿地的整洁，必须经常除杂草。除草</w:t>
      </w:r>
      <w:r>
        <w:rPr>
          <w:rFonts w:hint="default" w:ascii="Times New Roman" w:hAnsi="Times New Roman" w:cs="Times New Roman"/>
          <w:color w:val="auto"/>
          <w:sz w:val="24"/>
          <w:highlight w:val="none"/>
          <w:lang w:eastAsia="zh-CN"/>
        </w:rPr>
        <w:t>应及时</w:t>
      </w:r>
      <w:r>
        <w:rPr>
          <w:rFonts w:hint="default" w:ascii="Times New Roman" w:hAnsi="Times New Roman" w:cs="Times New Roman"/>
          <w:color w:val="auto"/>
          <w:sz w:val="24"/>
          <w:highlight w:val="none"/>
        </w:rPr>
        <w:t>，掌握</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除早、除小、除了</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的原则。对紫花苜蓿定期打草，去长，剪下来的草打碎作为绿肥撒在乔木周围。</w:t>
      </w:r>
    </w:p>
    <w:p w14:paraId="735B90FE">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按照技术规程3年除草、打草6次，前两年每年各两次，后两年每年各一次</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复垦期和管护期共4年）。</w:t>
      </w:r>
    </w:p>
    <w:p w14:paraId="4110EBAA">
      <w:pPr>
        <w:spacing w:line="360" w:lineRule="auto"/>
        <w:ind w:firstLine="480" w:firstLineChars="200"/>
        <w:rPr>
          <w:rFonts w:hint="default" w:ascii="Times New Roman" w:hAnsi="Times New Roman" w:cs="Times New Roman"/>
          <w:color w:val="auto"/>
          <w:sz w:val="24"/>
          <w:highlight w:val="none"/>
        </w:rPr>
      </w:pP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3</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对于林地，对种植树苗定期补种。</w:t>
      </w:r>
    </w:p>
    <w:p w14:paraId="5B0D664A">
      <w:pPr>
        <w:spacing w:line="360" w:lineRule="auto"/>
        <w:ind w:firstLine="480" w:firstLineChars="200"/>
        <w:rPr>
          <w:rFonts w:hint="default" w:ascii="Times New Roman" w:hAnsi="Times New Roman" w:cs="Times New Roman"/>
          <w:color w:val="auto"/>
          <w:sz w:val="24"/>
          <w:highlight w:val="none"/>
        </w:rPr>
      </w:pP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4</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病虫害防治</w:t>
      </w:r>
    </w:p>
    <w:p w14:paraId="0852B269">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在栽植时，应将多种作物相互隔离；同时将枯叶除尽，阻断病虫传播蔓延。当病虫害发生后有计划</w:t>
      </w:r>
      <w:r>
        <w:rPr>
          <w:rFonts w:hint="eastAsia" w:cs="Times New Roman"/>
          <w:color w:val="auto"/>
          <w:sz w:val="24"/>
          <w:highlight w:val="none"/>
          <w:lang w:eastAsia="zh-CN"/>
        </w:rPr>
        <w:t>地</w:t>
      </w:r>
      <w:r>
        <w:rPr>
          <w:rFonts w:hint="default" w:ascii="Times New Roman" w:hAnsi="Times New Roman" w:cs="Times New Roman"/>
          <w:color w:val="auto"/>
          <w:sz w:val="24"/>
          <w:highlight w:val="none"/>
        </w:rPr>
        <w:t>扑灭，把损失降到最低。此外还要严格检查进出。</w:t>
      </w:r>
    </w:p>
    <w:p w14:paraId="03F33A5C">
      <w:pPr>
        <w:spacing w:line="360" w:lineRule="auto"/>
        <w:ind w:firstLine="480" w:firstLineChars="200"/>
        <w:rPr>
          <w:rFonts w:hint="default" w:ascii="Times New Roman" w:hAnsi="Times New Roman" w:cs="Times New Roman"/>
          <w:color w:val="auto"/>
          <w:sz w:val="24"/>
          <w:highlight w:val="none"/>
        </w:rPr>
      </w:pP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5</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林地要做好防火工作。</w:t>
      </w:r>
    </w:p>
    <w:p w14:paraId="2E7D1125">
      <w:pPr>
        <w:pStyle w:val="5"/>
        <w:rPr>
          <w:rFonts w:hint="default" w:ascii="Times New Roman" w:hAnsi="Times New Roman" w:eastAsia="黑体" w:cs="Times New Roman"/>
          <w:b w:val="0"/>
          <w:bCs w:val="0"/>
          <w:color w:val="auto"/>
          <w:szCs w:val="28"/>
          <w:highlight w:val="none"/>
        </w:rPr>
      </w:pPr>
      <w:bookmarkStart w:id="255" w:name="_Toc485629738"/>
      <w:r>
        <w:rPr>
          <w:rFonts w:hint="default" w:ascii="Times New Roman" w:hAnsi="Times New Roman" w:eastAsia="黑体" w:cs="Times New Roman"/>
          <w:b w:val="0"/>
          <w:bCs w:val="0"/>
          <w:color w:val="auto"/>
          <w:szCs w:val="28"/>
          <w:highlight w:val="none"/>
          <w:lang w:eastAsia="zh-CN"/>
        </w:rPr>
        <w:t>（</w:t>
      </w:r>
      <w:r>
        <w:rPr>
          <w:rFonts w:hint="default" w:ascii="Times New Roman" w:hAnsi="Times New Roman" w:eastAsia="黑体" w:cs="Times New Roman"/>
          <w:b w:val="0"/>
          <w:bCs w:val="0"/>
          <w:color w:val="auto"/>
          <w:szCs w:val="28"/>
          <w:highlight w:val="none"/>
        </w:rPr>
        <w:t>三）主要工程量</w:t>
      </w:r>
      <w:bookmarkEnd w:id="255"/>
    </w:p>
    <w:p w14:paraId="3671B07A">
      <w:pPr>
        <w:autoSpaceDE w:val="0"/>
        <w:autoSpaceDN w:val="0"/>
        <w:adjustRightInd w:val="0"/>
        <w:spacing w:line="360" w:lineRule="auto"/>
        <w:ind w:firstLine="480"/>
        <w:rPr>
          <w:rFonts w:hint="default" w:ascii="Times New Roman" w:hAnsi="Times New Roman" w:eastAsia="宋体" w:cs="Times New Roman"/>
          <w:color w:val="auto"/>
          <w:sz w:val="24"/>
          <w:highlight w:val="none"/>
          <w:lang w:val="en-US" w:eastAsia="zh-CN"/>
        </w:rPr>
      </w:pPr>
      <w:bookmarkStart w:id="256" w:name="_Hlk26866914"/>
      <w:r>
        <w:rPr>
          <w:rFonts w:hint="default" w:ascii="Times New Roman" w:hAnsi="Times New Roman" w:cs="Times New Roman"/>
          <w:color w:val="auto"/>
          <w:sz w:val="24"/>
          <w:highlight w:val="none"/>
        </w:rPr>
        <w:t>根据《土壤环境监测技术规范》</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HJ/T</w:t>
      </w:r>
      <w:r>
        <w:rPr>
          <w:rFonts w:hint="eastAsia" w:ascii="Times New Roman" w:hAnsi="Times New Roman" w:cs="Times New Roman"/>
          <w:color w:val="auto"/>
          <w:sz w:val="24"/>
          <w:highlight w:val="none"/>
          <w:lang w:val="en-US" w:eastAsia="zh-CN"/>
        </w:rPr>
        <w:t xml:space="preserve"> </w:t>
      </w:r>
      <w:r>
        <w:rPr>
          <w:rFonts w:hint="default" w:ascii="Times New Roman" w:hAnsi="Times New Roman" w:cs="Times New Roman"/>
          <w:color w:val="auto"/>
          <w:sz w:val="24"/>
          <w:highlight w:val="none"/>
        </w:rPr>
        <w:t>166-2004）的相关规定，</w:t>
      </w:r>
      <w:bookmarkStart w:id="257" w:name="_Hlk18389599"/>
      <w:r>
        <w:rPr>
          <w:rFonts w:hint="default" w:ascii="Times New Roman" w:hAnsi="Times New Roman" w:cs="Times New Roman"/>
          <w:color w:val="auto"/>
          <w:sz w:val="24"/>
          <w:highlight w:val="none"/>
        </w:rPr>
        <w:t>监测频率</w:t>
      </w:r>
      <w:r>
        <w:rPr>
          <w:rFonts w:hint="eastAsia" w:cs="Times New Roman"/>
          <w:color w:val="auto"/>
          <w:sz w:val="24"/>
          <w:highlight w:val="none"/>
          <w:lang w:val="en-US" w:eastAsia="zh-CN"/>
        </w:rPr>
        <w:t>4</w:t>
      </w:r>
      <w:r>
        <w:rPr>
          <w:rFonts w:hint="default" w:ascii="Times New Roman" w:hAnsi="Times New Roman" w:cs="Times New Roman"/>
          <w:color w:val="auto"/>
          <w:sz w:val="24"/>
          <w:highlight w:val="none"/>
        </w:rPr>
        <w:t>次/年，监测</w:t>
      </w:r>
      <w:r>
        <w:rPr>
          <w:rFonts w:hint="eastAsia" w:cs="Times New Roman"/>
          <w:color w:val="auto"/>
          <w:sz w:val="24"/>
          <w:highlight w:val="none"/>
          <w:lang w:val="en-US" w:eastAsia="zh-CN"/>
        </w:rPr>
        <w:t>7.72</w:t>
      </w:r>
      <w:r>
        <w:rPr>
          <w:rFonts w:hint="default" w:ascii="Times New Roman" w:hAnsi="Times New Roman" w:cs="Times New Roman"/>
          <w:color w:val="auto"/>
          <w:sz w:val="24"/>
          <w:highlight w:val="none"/>
        </w:rPr>
        <w:t>年</w:t>
      </w:r>
      <w:r>
        <w:rPr>
          <w:rFonts w:hint="eastAsia" w:cs="Times New Roman"/>
          <w:color w:val="auto"/>
          <w:sz w:val="24"/>
          <w:highlight w:val="none"/>
          <w:lang w:eastAsia="zh-CN"/>
        </w:rPr>
        <w:t>，</w:t>
      </w:r>
      <w:r>
        <w:rPr>
          <w:rFonts w:hint="eastAsia" w:cs="Times New Roman"/>
          <w:color w:val="auto"/>
          <w:sz w:val="24"/>
          <w:highlight w:val="none"/>
          <w:lang w:val="en-US" w:eastAsia="zh-CN"/>
        </w:rPr>
        <w:t>共监测31次。</w:t>
      </w:r>
    </w:p>
    <w:p w14:paraId="564D621C">
      <w:pPr>
        <w:spacing w:line="360" w:lineRule="auto"/>
        <w:ind w:firstLine="480" w:firstLineChars="200"/>
        <w:rPr>
          <w:rFonts w:hint="default" w:ascii="Times New Roman" w:hAnsi="Times New Roman" w:cs="Times New Roman"/>
          <w:color w:val="auto"/>
          <w:sz w:val="24"/>
          <w:highlight w:val="none"/>
        </w:rPr>
        <w:sectPr>
          <w:pgSz w:w="11906" w:h="16838"/>
          <w:pgMar w:top="1440" w:right="1800" w:bottom="1440" w:left="1800" w:header="851" w:footer="992" w:gutter="0"/>
          <w:pgBorders w:offsetFrom="page">
            <w:top w:val="none" w:sz="0" w:space="0"/>
            <w:left w:val="none" w:sz="0" w:space="0"/>
            <w:bottom w:val="none" w:sz="0" w:space="0"/>
            <w:right w:val="none" w:sz="0" w:space="0"/>
          </w:pgBorders>
          <w:pgNumType w:fmt="decimal"/>
          <w:cols w:space="720" w:num="1"/>
          <w:docGrid w:type="lines" w:linePitch="312" w:charSpace="0"/>
        </w:sectPr>
      </w:pPr>
      <w:r>
        <w:rPr>
          <w:rFonts w:hint="default" w:ascii="Times New Roman" w:hAnsi="Times New Roman" w:cs="Times New Roman"/>
          <w:color w:val="auto"/>
          <w:sz w:val="24"/>
          <w:highlight w:val="none"/>
        </w:rPr>
        <w:t>管护</w:t>
      </w:r>
      <w:r>
        <w:rPr>
          <w:rFonts w:hint="default" w:ascii="Times New Roman" w:hAnsi="Times New Roman" w:cs="Times New Roman"/>
          <w:color w:val="auto"/>
          <w:sz w:val="24"/>
          <w:highlight w:val="none"/>
          <w:lang w:val="en-US" w:eastAsia="zh-CN"/>
        </w:rPr>
        <w:t>乔木林地</w:t>
      </w:r>
      <w:r>
        <w:rPr>
          <w:rFonts w:hint="eastAsia" w:cs="Times New Roman"/>
          <w:color w:val="auto"/>
          <w:sz w:val="24"/>
          <w:highlight w:val="none"/>
          <w:lang w:val="en-US" w:eastAsia="zh-CN"/>
        </w:rPr>
        <w:t>3.2066</w:t>
      </w:r>
      <w:r>
        <w:rPr>
          <w:rFonts w:hint="default" w:ascii="Times New Roman" w:hAnsi="Times New Roman" w:cs="Times New Roman"/>
          <w:color w:val="auto"/>
          <w:sz w:val="24"/>
          <w:highlight w:val="none"/>
          <w:lang w:val="en-US" w:eastAsia="zh-CN"/>
        </w:rPr>
        <w:t>hm</w:t>
      </w:r>
      <w:r>
        <w:rPr>
          <w:rFonts w:hint="default" w:ascii="Times New Roman" w:hAnsi="Times New Roman" w:cs="Times New Roman"/>
          <w:color w:val="auto"/>
          <w:sz w:val="24"/>
          <w:highlight w:val="none"/>
          <w:vertAlign w:val="superscript"/>
          <w:lang w:val="en-US" w:eastAsia="zh-CN"/>
        </w:rPr>
        <w:t>2</w:t>
      </w:r>
      <w:r>
        <w:rPr>
          <w:rFonts w:hint="default" w:ascii="Times New Roman" w:hAnsi="Times New Roman" w:cs="Times New Roman"/>
          <w:color w:val="auto"/>
          <w:sz w:val="24"/>
          <w:highlight w:val="none"/>
        </w:rPr>
        <w:t>，管护期3年。</w:t>
      </w:r>
    </w:p>
    <w:bookmarkEnd w:id="248"/>
    <w:bookmarkEnd w:id="249"/>
    <w:bookmarkEnd w:id="256"/>
    <w:bookmarkEnd w:id="257"/>
    <w:p w14:paraId="5CD8949D">
      <w:pPr>
        <w:pStyle w:val="3"/>
        <w:jc w:val="center"/>
        <w:rPr>
          <w:rFonts w:hint="default" w:ascii="Times New Roman" w:hAnsi="Times New Roman" w:cs="Times New Roman"/>
          <w:bCs w:val="0"/>
          <w:color w:val="auto"/>
          <w:sz w:val="24"/>
          <w:szCs w:val="24"/>
          <w:highlight w:val="none"/>
        </w:rPr>
      </w:pPr>
      <w:bookmarkStart w:id="258" w:name="_Toc21723"/>
      <w:bookmarkStart w:id="259" w:name="_Toc6565"/>
      <w:bookmarkStart w:id="260" w:name="_Toc23855657"/>
      <w:r>
        <w:rPr>
          <w:rFonts w:hint="default" w:ascii="Times New Roman" w:hAnsi="Times New Roman" w:eastAsia="黑体" w:cs="Times New Roman"/>
          <w:b w:val="0"/>
          <w:color w:val="auto"/>
          <w:sz w:val="32"/>
          <w:szCs w:val="32"/>
          <w:highlight w:val="none"/>
        </w:rPr>
        <w:t>第六章  矿山地质环境治理与土地复垦工作部署</w:t>
      </w:r>
      <w:bookmarkEnd w:id="236"/>
      <w:bookmarkEnd w:id="237"/>
      <w:bookmarkEnd w:id="258"/>
      <w:bookmarkEnd w:id="259"/>
      <w:bookmarkEnd w:id="260"/>
    </w:p>
    <w:p w14:paraId="568C223E">
      <w:pPr>
        <w:keepNext/>
        <w:keepLines/>
        <w:widowControl w:val="0"/>
        <w:spacing w:before="260" w:after="260" w:line="415" w:lineRule="auto"/>
        <w:outlineLvl w:val="1"/>
        <w:rPr>
          <w:rFonts w:hint="default" w:ascii="Times New Roman" w:hAnsi="Times New Roman" w:eastAsia="黑体" w:cs="Times New Roman"/>
          <w:bCs/>
          <w:color w:val="auto"/>
          <w:sz w:val="30"/>
          <w:szCs w:val="30"/>
          <w:highlight w:val="none"/>
        </w:rPr>
      </w:pPr>
      <w:bookmarkStart w:id="261" w:name="_Toc508869993"/>
      <w:bookmarkStart w:id="262" w:name="_Toc30238"/>
      <w:bookmarkStart w:id="263" w:name="_Toc485629740"/>
      <w:bookmarkStart w:id="264" w:name="_Toc28640"/>
      <w:bookmarkStart w:id="265" w:name="_Toc23855658"/>
      <w:r>
        <w:rPr>
          <w:rFonts w:hint="default" w:ascii="Times New Roman" w:hAnsi="Times New Roman" w:eastAsia="黑体" w:cs="Times New Roman"/>
          <w:bCs/>
          <w:color w:val="auto"/>
          <w:sz w:val="30"/>
          <w:szCs w:val="30"/>
          <w:highlight w:val="none"/>
        </w:rPr>
        <w:t>一、总体工作部署</w:t>
      </w:r>
      <w:bookmarkEnd w:id="261"/>
      <w:bookmarkEnd w:id="262"/>
      <w:bookmarkEnd w:id="263"/>
      <w:bookmarkEnd w:id="264"/>
      <w:bookmarkEnd w:id="265"/>
    </w:p>
    <w:p w14:paraId="49806402">
      <w:pPr>
        <w:autoSpaceDE w:val="0"/>
        <w:autoSpaceDN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方案</w:t>
      </w:r>
      <w:r>
        <w:rPr>
          <w:rFonts w:hint="eastAsia" w:ascii="Times New Roman" w:hAnsi="Times New Roman" w:cs="Times New Roman"/>
          <w:color w:val="auto"/>
          <w:sz w:val="24"/>
          <w:highlight w:val="none"/>
          <w:lang w:eastAsia="zh-CN"/>
        </w:rPr>
        <w:t>”</w:t>
      </w:r>
      <w:r>
        <w:rPr>
          <w:rFonts w:hint="eastAsia" w:cs="Times New Roman"/>
          <w:color w:val="auto"/>
          <w:sz w:val="24"/>
          <w:highlight w:val="none"/>
          <w:lang w:val="en-US" w:eastAsia="zh-CN"/>
        </w:rPr>
        <w:t>生产剩余服务年限3.72</w:t>
      </w:r>
      <w:r>
        <w:rPr>
          <w:rFonts w:hint="eastAsia" w:ascii="Times New Roman" w:hAnsi="Times New Roman" w:cs="Times New Roman"/>
          <w:color w:val="auto"/>
          <w:sz w:val="24"/>
          <w:highlight w:val="none"/>
          <w:lang w:val="en-US" w:eastAsia="zh-CN"/>
        </w:rPr>
        <w:t>年</w:t>
      </w:r>
      <w:r>
        <w:rPr>
          <w:rFonts w:hint="default" w:ascii="Times New Roman" w:hAnsi="Times New Roman" w:cs="Times New Roman"/>
          <w:color w:val="auto"/>
          <w:sz w:val="24"/>
          <w:highlight w:val="none"/>
        </w:rPr>
        <w:t>、1年复垦期加3年管护期，确定方案适用年限为</w:t>
      </w:r>
      <w:r>
        <w:rPr>
          <w:rFonts w:hint="eastAsia" w:cs="Times New Roman"/>
          <w:color w:val="auto"/>
          <w:sz w:val="24"/>
          <w:highlight w:val="none"/>
          <w:lang w:val="en-US" w:eastAsia="zh-CN"/>
        </w:rPr>
        <w:t>7.72</w:t>
      </w:r>
      <w:r>
        <w:rPr>
          <w:rFonts w:hint="default" w:ascii="Times New Roman" w:hAnsi="Times New Roman" w:cs="Times New Roman"/>
          <w:color w:val="auto"/>
          <w:sz w:val="24"/>
          <w:highlight w:val="none"/>
          <w:lang w:eastAsia="zh-CN"/>
        </w:rPr>
        <w:t>年</w:t>
      </w:r>
      <w:r>
        <w:rPr>
          <w:rFonts w:hint="default" w:ascii="Times New Roman" w:hAnsi="Times New Roman" w:cs="Times New Roman"/>
          <w:color w:val="auto"/>
          <w:sz w:val="24"/>
          <w:highlight w:val="none"/>
        </w:rPr>
        <w:t>，即</w:t>
      </w:r>
      <w:r>
        <w:rPr>
          <w:rFonts w:hint="default" w:ascii="Times New Roman" w:hAnsi="Times New Roman" w:cs="Times New Roman"/>
          <w:color w:val="auto"/>
          <w:sz w:val="24"/>
          <w:highlight w:val="none"/>
          <w:lang w:eastAsia="zh-CN"/>
        </w:rPr>
        <w:t>202</w:t>
      </w:r>
      <w:r>
        <w:rPr>
          <w:rFonts w:hint="default"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lang w:eastAsia="zh-CN"/>
        </w:rPr>
        <w:t>年</w:t>
      </w:r>
      <w:r>
        <w:rPr>
          <w:rFonts w:hint="eastAsia" w:cs="Times New Roman"/>
          <w:color w:val="auto"/>
          <w:sz w:val="24"/>
          <w:highlight w:val="none"/>
          <w:lang w:val="en-US" w:eastAsia="zh-CN"/>
        </w:rPr>
        <w:t>5</w:t>
      </w:r>
      <w:r>
        <w:rPr>
          <w:rFonts w:hint="default" w:ascii="Times New Roman" w:hAnsi="Times New Roman" w:cs="Times New Roman"/>
          <w:color w:val="auto"/>
          <w:sz w:val="24"/>
          <w:highlight w:val="none"/>
          <w:lang w:eastAsia="zh-CN"/>
        </w:rPr>
        <w:t>月～</w:t>
      </w:r>
      <w:r>
        <w:rPr>
          <w:rFonts w:hint="eastAsia" w:cs="Times New Roman"/>
          <w:color w:val="auto"/>
          <w:sz w:val="24"/>
          <w:highlight w:val="none"/>
          <w:lang w:eastAsia="zh-CN"/>
        </w:rPr>
        <w:t>2031年12月</w:t>
      </w:r>
      <w:r>
        <w:rPr>
          <w:rFonts w:hint="default" w:ascii="Times New Roman" w:hAnsi="Times New Roman" w:cs="Times New Roman"/>
          <w:color w:val="auto"/>
          <w:sz w:val="24"/>
          <w:highlight w:val="none"/>
        </w:rPr>
        <w:t>。根据</w:t>
      </w:r>
      <w:r>
        <w:rPr>
          <w:rFonts w:hint="eastAsia" w:cs="Times New Roman"/>
          <w:color w:val="auto"/>
          <w:sz w:val="24"/>
          <w:highlight w:val="none"/>
          <w:lang w:eastAsia="zh-CN"/>
        </w:rPr>
        <w:t>北大湖采石场</w:t>
      </w:r>
      <w:r>
        <w:rPr>
          <w:rFonts w:hint="default" w:ascii="Times New Roman" w:hAnsi="Times New Roman" w:cs="Times New Roman"/>
          <w:color w:val="auto"/>
          <w:sz w:val="24"/>
          <w:highlight w:val="none"/>
        </w:rPr>
        <w:t>开采方式和对土地的损毁形式，具体复垦工程计划安排见下表：</w:t>
      </w:r>
    </w:p>
    <w:p w14:paraId="064E9494">
      <w:pPr>
        <w:pStyle w:val="90"/>
        <w:autoSpaceDE w:val="0"/>
        <w:autoSpaceDN w:val="0"/>
        <w:rPr>
          <w:rFonts w:hint="default" w:ascii="Times New Roman" w:hAnsi="Times New Roman" w:eastAsia="黑体" w:cs="Times New Roman"/>
          <w:b w:val="0"/>
          <w:bCs/>
          <w:color w:val="auto"/>
          <w:highlight w:val="none"/>
        </w:rPr>
      </w:pPr>
      <w:r>
        <w:rPr>
          <w:rFonts w:hint="default" w:ascii="Times New Roman" w:hAnsi="Times New Roman" w:eastAsia="黑体" w:cs="Times New Roman"/>
          <w:b w:val="0"/>
          <w:bCs/>
          <w:color w:val="auto"/>
          <w:highlight w:val="none"/>
        </w:rPr>
        <w:t xml:space="preserve">表6-1 </w:t>
      </w:r>
      <w:r>
        <w:rPr>
          <w:rFonts w:hint="eastAsia" w:ascii="Times New Roman" w:hAnsi="Times New Roman" w:cs="Times New Roman"/>
          <w:b w:val="0"/>
          <w:bCs/>
          <w:color w:val="auto"/>
          <w:highlight w:val="none"/>
          <w:lang w:eastAsia="zh-CN"/>
        </w:rPr>
        <w:t>北大湖采石场</w:t>
      </w:r>
      <w:r>
        <w:rPr>
          <w:rFonts w:hint="default" w:ascii="Times New Roman" w:hAnsi="Times New Roman" w:eastAsia="黑体" w:cs="Times New Roman"/>
          <w:b w:val="0"/>
          <w:bCs/>
          <w:color w:val="auto"/>
          <w:highlight w:val="none"/>
        </w:rPr>
        <w:t>环境治理与土地复垦计划安排表</w:t>
      </w:r>
    </w:p>
    <w:tbl>
      <w:tblPr>
        <w:tblStyle w:val="34"/>
        <w:tblW w:w="8757"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384"/>
        <w:gridCol w:w="1843"/>
        <w:gridCol w:w="1134"/>
        <w:gridCol w:w="4396"/>
      </w:tblGrid>
      <w:tr w14:paraId="140EFFB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1384" w:type="dxa"/>
            <w:vMerge w:val="restart"/>
            <w:noWrap w:val="0"/>
            <w:vAlign w:val="center"/>
          </w:tcPr>
          <w:p w14:paraId="1A6816F5">
            <w:pPr>
              <w:jc w:val="center"/>
              <w:rPr>
                <w:rFonts w:hint="default" w:ascii="Times New Roman" w:hAnsi="Times New Roman" w:cs="Times New Roman"/>
                <w:color w:val="auto"/>
                <w:kern w:val="0"/>
                <w:szCs w:val="21"/>
                <w:highlight w:val="none"/>
              </w:rPr>
            </w:pPr>
            <w:bookmarkStart w:id="266" w:name="_Hlk60039578"/>
            <w:r>
              <w:rPr>
                <w:rFonts w:hint="default" w:ascii="Times New Roman" w:hAnsi="Times New Roman" w:cs="Times New Roman"/>
                <w:color w:val="auto"/>
                <w:kern w:val="0"/>
                <w:szCs w:val="21"/>
                <w:highlight w:val="none"/>
              </w:rPr>
              <w:t>分期</w:t>
            </w:r>
          </w:p>
        </w:tc>
        <w:tc>
          <w:tcPr>
            <w:tcW w:w="1843" w:type="dxa"/>
            <w:vMerge w:val="restart"/>
            <w:noWrap w:val="0"/>
            <w:vAlign w:val="center"/>
          </w:tcPr>
          <w:p w14:paraId="11EB4D5D">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复垦时间</w:t>
            </w:r>
          </w:p>
        </w:tc>
        <w:tc>
          <w:tcPr>
            <w:tcW w:w="1134" w:type="dxa"/>
            <w:vMerge w:val="restart"/>
            <w:noWrap w:val="0"/>
            <w:vAlign w:val="center"/>
          </w:tcPr>
          <w:p w14:paraId="018A3003">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复垦单元</w:t>
            </w:r>
          </w:p>
        </w:tc>
        <w:tc>
          <w:tcPr>
            <w:tcW w:w="4396" w:type="dxa"/>
            <w:vMerge w:val="restart"/>
            <w:noWrap w:val="0"/>
            <w:vAlign w:val="center"/>
          </w:tcPr>
          <w:p w14:paraId="6A1524D3">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具体任务</w:t>
            </w:r>
          </w:p>
        </w:tc>
      </w:tr>
      <w:tr w14:paraId="2D30486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1384" w:type="dxa"/>
            <w:vMerge w:val="continue"/>
            <w:noWrap w:val="0"/>
            <w:vAlign w:val="center"/>
          </w:tcPr>
          <w:p w14:paraId="338EA1C8">
            <w:pPr>
              <w:jc w:val="center"/>
              <w:rPr>
                <w:rFonts w:hint="default" w:ascii="Times New Roman" w:hAnsi="Times New Roman" w:cs="Times New Roman"/>
                <w:color w:val="auto"/>
                <w:kern w:val="0"/>
                <w:szCs w:val="21"/>
                <w:highlight w:val="none"/>
              </w:rPr>
            </w:pPr>
          </w:p>
        </w:tc>
        <w:tc>
          <w:tcPr>
            <w:tcW w:w="1843" w:type="dxa"/>
            <w:vMerge w:val="continue"/>
            <w:noWrap w:val="0"/>
            <w:vAlign w:val="center"/>
          </w:tcPr>
          <w:p w14:paraId="77CFBE31">
            <w:pPr>
              <w:jc w:val="center"/>
              <w:rPr>
                <w:rFonts w:hint="default" w:ascii="Times New Roman" w:hAnsi="Times New Roman" w:cs="Times New Roman"/>
                <w:color w:val="auto"/>
                <w:kern w:val="0"/>
                <w:szCs w:val="21"/>
                <w:highlight w:val="none"/>
              </w:rPr>
            </w:pPr>
          </w:p>
        </w:tc>
        <w:tc>
          <w:tcPr>
            <w:tcW w:w="1134" w:type="dxa"/>
            <w:vMerge w:val="continue"/>
            <w:noWrap w:val="0"/>
            <w:vAlign w:val="center"/>
          </w:tcPr>
          <w:p w14:paraId="6DAC6B1A">
            <w:pPr>
              <w:jc w:val="center"/>
              <w:rPr>
                <w:rFonts w:hint="default" w:ascii="Times New Roman" w:hAnsi="Times New Roman" w:cs="Times New Roman"/>
                <w:color w:val="auto"/>
                <w:kern w:val="0"/>
                <w:szCs w:val="21"/>
                <w:highlight w:val="none"/>
              </w:rPr>
            </w:pPr>
          </w:p>
        </w:tc>
        <w:tc>
          <w:tcPr>
            <w:tcW w:w="4396" w:type="dxa"/>
            <w:vMerge w:val="continue"/>
            <w:noWrap w:val="0"/>
            <w:vAlign w:val="center"/>
          </w:tcPr>
          <w:p w14:paraId="1E3E08F5">
            <w:pPr>
              <w:jc w:val="center"/>
              <w:rPr>
                <w:rFonts w:hint="default" w:ascii="Times New Roman" w:hAnsi="Times New Roman" w:cs="Times New Roman"/>
                <w:color w:val="auto"/>
                <w:kern w:val="0"/>
                <w:szCs w:val="21"/>
                <w:highlight w:val="none"/>
              </w:rPr>
            </w:pPr>
          </w:p>
        </w:tc>
      </w:tr>
      <w:tr w14:paraId="6962738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19" w:hRule="atLeast"/>
        </w:trPr>
        <w:tc>
          <w:tcPr>
            <w:tcW w:w="1384" w:type="dxa"/>
            <w:noWrap w:val="0"/>
            <w:vAlign w:val="center"/>
          </w:tcPr>
          <w:p w14:paraId="077F8093">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val="en-US" w:eastAsia="zh-CN"/>
              </w:rPr>
              <w:t>生产</w:t>
            </w:r>
            <w:r>
              <w:rPr>
                <w:rFonts w:hint="default" w:ascii="Times New Roman" w:hAnsi="Times New Roman" w:cs="Times New Roman"/>
                <w:color w:val="auto"/>
                <w:kern w:val="0"/>
                <w:szCs w:val="21"/>
                <w:highlight w:val="none"/>
              </w:rPr>
              <w:t>期</w:t>
            </w:r>
          </w:p>
          <w:p w14:paraId="7F5770A2">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rPr>
              <w:t>近</w:t>
            </w:r>
            <w:r>
              <w:rPr>
                <w:rFonts w:hint="eastAsia" w:cs="Times New Roman"/>
                <w:color w:val="auto"/>
                <w:kern w:val="0"/>
                <w:szCs w:val="21"/>
                <w:highlight w:val="none"/>
                <w:lang w:val="en-US" w:eastAsia="zh-CN"/>
              </w:rPr>
              <w:t>3.72</w:t>
            </w:r>
            <w:r>
              <w:rPr>
                <w:rFonts w:hint="default" w:ascii="Times New Roman" w:hAnsi="Times New Roman" w:cs="Times New Roman"/>
                <w:color w:val="auto"/>
                <w:kern w:val="0"/>
                <w:szCs w:val="21"/>
                <w:highlight w:val="none"/>
              </w:rPr>
              <w:t>年）</w:t>
            </w:r>
          </w:p>
        </w:tc>
        <w:tc>
          <w:tcPr>
            <w:tcW w:w="1843" w:type="dxa"/>
            <w:noWrap w:val="0"/>
            <w:vAlign w:val="center"/>
          </w:tcPr>
          <w:p w14:paraId="47482C31">
            <w:pPr>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rPr>
              <w:t>202</w:t>
            </w:r>
            <w:r>
              <w:rPr>
                <w:rFonts w:hint="default" w:ascii="Times New Roman" w:hAnsi="Times New Roman" w:cs="Times New Roman"/>
                <w:color w:val="auto"/>
                <w:kern w:val="0"/>
                <w:szCs w:val="21"/>
                <w:highlight w:val="none"/>
                <w:lang w:val="en-US" w:eastAsia="zh-CN"/>
              </w:rPr>
              <w:t>4</w:t>
            </w:r>
            <w:r>
              <w:rPr>
                <w:rFonts w:hint="default" w:ascii="Times New Roman" w:hAnsi="Times New Roman" w:cs="Times New Roman"/>
                <w:color w:val="auto"/>
                <w:kern w:val="0"/>
                <w:szCs w:val="21"/>
                <w:highlight w:val="none"/>
              </w:rPr>
              <w:t>.</w:t>
            </w:r>
            <w:r>
              <w:rPr>
                <w:rFonts w:hint="eastAsia" w:cs="Times New Roman"/>
                <w:color w:val="auto"/>
                <w:kern w:val="0"/>
                <w:szCs w:val="21"/>
                <w:highlight w:val="none"/>
                <w:lang w:val="en-US" w:eastAsia="zh-CN"/>
              </w:rPr>
              <w:t>5</w:t>
            </w:r>
            <w:r>
              <w:rPr>
                <w:rFonts w:hint="default" w:ascii="Times New Roman" w:hAnsi="Times New Roman" w:cs="Times New Roman"/>
                <w:color w:val="auto"/>
                <w:kern w:val="0"/>
                <w:szCs w:val="21"/>
                <w:highlight w:val="none"/>
              </w:rPr>
              <w:t>～20</w:t>
            </w:r>
            <w:r>
              <w:rPr>
                <w:rFonts w:hint="default" w:ascii="Times New Roman" w:hAnsi="Times New Roman" w:cs="Times New Roman"/>
                <w:color w:val="auto"/>
                <w:kern w:val="0"/>
                <w:szCs w:val="21"/>
                <w:highlight w:val="none"/>
                <w:lang w:val="en-US" w:eastAsia="zh-CN"/>
              </w:rPr>
              <w:t>2</w:t>
            </w:r>
            <w:r>
              <w:rPr>
                <w:rFonts w:hint="eastAsia" w:cs="Times New Roman"/>
                <w:color w:val="auto"/>
                <w:kern w:val="0"/>
                <w:szCs w:val="21"/>
                <w:highlight w:val="none"/>
                <w:lang w:val="en-US" w:eastAsia="zh-CN"/>
              </w:rPr>
              <w:t>7.12</w:t>
            </w:r>
          </w:p>
        </w:tc>
        <w:tc>
          <w:tcPr>
            <w:tcW w:w="1134" w:type="dxa"/>
            <w:noWrap w:val="0"/>
            <w:vAlign w:val="center"/>
          </w:tcPr>
          <w:p w14:paraId="62EF6948">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全矿区</w:t>
            </w:r>
          </w:p>
        </w:tc>
        <w:tc>
          <w:tcPr>
            <w:tcW w:w="4396" w:type="dxa"/>
            <w:noWrap w:val="0"/>
            <w:vAlign w:val="center"/>
          </w:tcPr>
          <w:p w14:paraId="560C43C6">
            <w:pPr>
              <w:ind w:firstLine="42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设置警示牌、网围栏</w:t>
            </w:r>
            <w:r>
              <w:rPr>
                <w:rFonts w:hint="default" w:ascii="Times New Roman" w:hAnsi="Times New Roman" w:cs="Times New Roman"/>
                <w:color w:val="auto"/>
                <w:highlight w:val="none"/>
              </w:rPr>
              <w:t>。</w:t>
            </w:r>
          </w:p>
          <w:p w14:paraId="5C72254F">
            <w:pPr>
              <w:ind w:firstLine="420" w:firstLineChars="200"/>
              <w:jc w:val="both"/>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对拟损毁土地进行表土剥离和养护。</w:t>
            </w:r>
          </w:p>
          <w:p w14:paraId="0476888E">
            <w:pPr>
              <w:pStyle w:val="28"/>
              <w:keepNext w:val="0"/>
              <w:keepLines w:val="0"/>
              <w:pageBreakBefore w:val="0"/>
              <w:widowControl/>
              <w:kinsoku/>
              <w:wordWrap/>
              <w:overflowPunct/>
              <w:topLinePunct w:val="0"/>
              <w:autoSpaceDE/>
              <w:autoSpaceDN/>
              <w:bidi w:val="0"/>
              <w:adjustRightInd/>
              <w:snapToGrid/>
              <w:ind w:left="0" w:firstLine="40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服务年限</w:t>
            </w:r>
            <w:r>
              <w:rPr>
                <w:rFonts w:hint="default" w:ascii="Times New Roman" w:hAnsi="Times New Roman" w:cs="Times New Roman"/>
                <w:color w:val="auto"/>
                <w:highlight w:val="none"/>
                <w:lang w:val="en-US" w:eastAsia="zh-CN"/>
              </w:rPr>
              <w:t>期间</w:t>
            </w:r>
            <w:r>
              <w:rPr>
                <w:rFonts w:hint="default" w:ascii="Times New Roman" w:hAnsi="Times New Roman" w:cs="Times New Roman"/>
                <w:color w:val="auto"/>
                <w:highlight w:val="none"/>
              </w:rPr>
              <w:t>，在不影响其他</w:t>
            </w:r>
            <w:r>
              <w:rPr>
                <w:rFonts w:hint="default" w:ascii="Times New Roman" w:hAnsi="Times New Roman" w:cs="Times New Roman"/>
                <w:color w:val="auto"/>
                <w:highlight w:val="none"/>
                <w:lang w:eastAsia="zh-CN"/>
              </w:rPr>
              <w:t>区域</w:t>
            </w:r>
            <w:r>
              <w:rPr>
                <w:rFonts w:hint="default" w:ascii="Times New Roman" w:hAnsi="Times New Roman" w:cs="Times New Roman"/>
                <w:color w:val="auto"/>
                <w:highlight w:val="none"/>
              </w:rPr>
              <w:t>正常生产的情况下，对</w:t>
            </w:r>
            <w:r>
              <w:rPr>
                <w:rFonts w:hint="default" w:ascii="Times New Roman" w:hAnsi="Times New Roman" w:cs="Times New Roman"/>
                <w:color w:val="auto"/>
                <w:highlight w:val="none"/>
                <w:lang w:val="en-US" w:eastAsia="zh-CN"/>
              </w:rPr>
              <w:t>以往露天开采使用的建筑物、土地等</w:t>
            </w:r>
            <w:r>
              <w:rPr>
                <w:rFonts w:hint="default" w:ascii="Times New Roman" w:hAnsi="Times New Roman" w:cs="Times New Roman"/>
                <w:color w:val="auto"/>
                <w:highlight w:val="none"/>
              </w:rPr>
              <w:t>进行恢复治理与土地复垦工作。</w:t>
            </w:r>
          </w:p>
        </w:tc>
      </w:tr>
      <w:tr w14:paraId="65B5A20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384" w:type="dxa"/>
            <w:vMerge w:val="restart"/>
            <w:noWrap w:val="0"/>
            <w:vAlign w:val="center"/>
          </w:tcPr>
          <w:p w14:paraId="3A676FCD">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闭矿后期</w:t>
            </w:r>
          </w:p>
          <w:p w14:paraId="079C0A45">
            <w:pPr>
              <w:jc w:val="center"/>
              <w:rPr>
                <w:rFonts w:hint="eastAsia" w:ascii="Times New Roman" w:hAnsi="Times New Roman" w:eastAsia="宋体" w:cs="Times New Roman"/>
                <w:color w:val="auto"/>
                <w:kern w:val="0"/>
                <w:szCs w:val="21"/>
                <w:highlight w:val="none"/>
                <w:lang w:eastAsia="zh-CN"/>
              </w:rPr>
            </w:pPr>
            <w:r>
              <w:rPr>
                <w:rFonts w:hint="eastAsia" w:cs="Times New Roman"/>
                <w:color w:val="auto"/>
                <w:kern w:val="0"/>
                <w:szCs w:val="21"/>
                <w:highlight w:val="none"/>
                <w:lang w:eastAsia="zh-CN"/>
              </w:rPr>
              <w:t>（</w:t>
            </w:r>
            <w:r>
              <w:rPr>
                <w:rFonts w:hint="eastAsia" w:cs="Times New Roman"/>
                <w:color w:val="auto"/>
                <w:kern w:val="0"/>
                <w:szCs w:val="21"/>
                <w:highlight w:val="none"/>
                <w:lang w:val="en-US" w:eastAsia="zh-CN"/>
              </w:rPr>
              <w:t>4年</w:t>
            </w:r>
            <w:r>
              <w:rPr>
                <w:rFonts w:hint="eastAsia" w:cs="Times New Roman"/>
                <w:color w:val="auto"/>
                <w:kern w:val="0"/>
                <w:szCs w:val="21"/>
                <w:highlight w:val="none"/>
                <w:lang w:eastAsia="zh-CN"/>
              </w:rPr>
              <w:t>）</w:t>
            </w:r>
          </w:p>
        </w:tc>
        <w:tc>
          <w:tcPr>
            <w:tcW w:w="1843" w:type="dxa"/>
            <w:noWrap w:val="0"/>
            <w:vAlign w:val="center"/>
          </w:tcPr>
          <w:p w14:paraId="634198A6">
            <w:pPr>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rPr>
              <w:t>20</w:t>
            </w:r>
            <w:r>
              <w:rPr>
                <w:rFonts w:hint="eastAsia" w:cs="Times New Roman"/>
                <w:color w:val="auto"/>
                <w:kern w:val="0"/>
                <w:szCs w:val="21"/>
                <w:highlight w:val="none"/>
                <w:lang w:val="en-US" w:eastAsia="zh-CN"/>
              </w:rPr>
              <w:t>28.1</w:t>
            </w:r>
            <w:r>
              <w:rPr>
                <w:rFonts w:hint="default" w:ascii="Times New Roman" w:hAnsi="Times New Roman" w:cs="Times New Roman"/>
                <w:color w:val="auto"/>
                <w:kern w:val="0"/>
                <w:szCs w:val="21"/>
                <w:highlight w:val="none"/>
              </w:rPr>
              <w:t>～20</w:t>
            </w:r>
            <w:r>
              <w:rPr>
                <w:rFonts w:hint="eastAsia" w:cs="Times New Roman"/>
                <w:color w:val="auto"/>
                <w:kern w:val="0"/>
                <w:szCs w:val="21"/>
                <w:highlight w:val="none"/>
                <w:lang w:val="en-US" w:eastAsia="zh-CN"/>
              </w:rPr>
              <w:t>28.12</w:t>
            </w:r>
          </w:p>
        </w:tc>
        <w:tc>
          <w:tcPr>
            <w:tcW w:w="1134" w:type="dxa"/>
            <w:noWrap w:val="0"/>
            <w:vAlign w:val="center"/>
          </w:tcPr>
          <w:p w14:paraId="7159EBF1">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全矿区</w:t>
            </w:r>
          </w:p>
        </w:tc>
        <w:tc>
          <w:tcPr>
            <w:tcW w:w="4396" w:type="dxa"/>
            <w:noWrap w:val="0"/>
            <w:vAlign w:val="center"/>
          </w:tcPr>
          <w:p w14:paraId="5FACB085">
            <w:pPr>
              <w:ind w:firstLine="420"/>
              <w:jc w:val="both"/>
              <w:rPr>
                <w:rFonts w:hint="default" w:ascii="Times New Roman" w:hAnsi="Times New Roman" w:eastAsia="宋体" w:cs="Times New Roman"/>
                <w:bCs/>
                <w:color w:val="auto"/>
                <w:szCs w:val="21"/>
                <w:highlight w:val="none"/>
                <w:lang w:val="en-US" w:eastAsia="zh-CN"/>
              </w:rPr>
            </w:pPr>
            <w:bookmarkStart w:id="267" w:name="_Hlk62774760"/>
            <w:r>
              <w:rPr>
                <w:rFonts w:hint="default" w:ascii="Times New Roman" w:hAnsi="Times New Roman" w:cs="Times New Roman"/>
                <w:bCs/>
                <w:color w:val="auto"/>
                <w:szCs w:val="21"/>
                <w:highlight w:val="none"/>
              </w:rPr>
              <w:t>闭矿后期进行矿山地质环境恢复治理和土地复垦。对需要治理的</w:t>
            </w:r>
            <w:r>
              <w:rPr>
                <w:rFonts w:hint="default" w:ascii="Times New Roman" w:hAnsi="Times New Roman" w:cs="Times New Roman"/>
                <w:bCs/>
                <w:color w:val="auto"/>
                <w:szCs w:val="21"/>
                <w:highlight w:val="none"/>
                <w:lang w:val="en-US" w:eastAsia="zh-CN"/>
              </w:rPr>
              <w:t>区域</w:t>
            </w:r>
            <w:r>
              <w:rPr>
                <w:rFonts w:hint="default" w:ascii="Times New Roman" w:hAnsi="Times New Roman" w:cs="Times New Roman"/>
                <w:bCs/>
                <w:color w:val="auto"/>
                <w:szCs w:val="21"/>
                <w:highlight w:val="none"/>
              </w:rPr>
              <w:t>平整复垦、恢复植被</w:t>
            </w:r>
            <w:r>
              <w:rPr>
                <w:rFonts w:hint="default" w:ascii="Times New Roman" w:hAnsi="Times New Roman" w:cs="Times New Roman"/>
                <w:bCs/>
                <w:color w:val="auto"/>
                <w:szCs w:val="21"/>
                <w:highlight w:val="none"/>
                <w:lang w:eastAsia="zh-CN"/>
              </w:rPr>
              <w:t>、</w:t>
            </w:r>
            <w:r>
              <w:rPr>
                <w:rFonts w:hint="default" w:ascii="Times New Roman" w:hAnsi="Times New Roman" w:cs="Times New Roman"/>
                <w:bCs/>
                <w:color w:val="auto"/>
                <w:szCs w:val="21"/>
                <w:highlight w:val="none"/>
              </w:rPr>
              <w:t>拆除工业广场上的建筑物工程，对地表硬化过的场地清除硬覆盖，利用建筑垃圾、硬覆盖对</w:t>
            </w:r>
            <w:r>
              <w:rPr>
                <w:rFonts w:hint="eastAsia" w:cs="Times New Roman"/>
                <w:bCs/>
                <w:color w:val="auto"/>
                <w:szCs w:val="21"/>
                <w:highlight w:val="none"/>
                <w:lang w:val="en-US" w:eastAsia="zh-CN"/>
              </w:rPr>
              <w:t>坑底</w:t>
            </w:r>
            <w:r>
              <w:rPr>
                <w:rFonts w:hint="default" w:ascii="Times New Roman" w:hAnsi="Times New Roman" w:cs="Times New Roman"/>
                <w:bCs/>
                <w:color w:val="auto"/>
                <w:szCs w:val="21"/>
                <w:highlight w:val="none"/>
              </w:rPr>
              <w:t>进行回填。对待复垦单元平整土地，对复垦单元场地覆土、种植</w:t>
            </w:r>
            <w:r>
              <w:rPr>
                <w:rFonts w:hint="default" w:ascii="Times New Roman" w:hAnsi="Times New Roman" w:cs="Times New Roman"/>
                <w:bCs/>
                <w:color w:val="auto"/>
                <w:szCs w:val="21"/>
                <w:highlight w:val="none"/>
                <w:lang w:eastAsia="zh-CN"/>
              </w:rPr>
              <w:t>落叶松</w:t>
            </w:r>
            <w:r>
              <w:rPr>
                <w:rFonts w:hint="default" w:ascii="Times New Roman" w:hAnsi="Times New Roman" w:cs="Times New Roman"/>
                <w:bCs/>
                <w:color w:val="auto"/>
                <w:szCs w:val="21"/>
                <w:highlight w:val="none"/>
              </w:rPr>
              <w:t>、撒播草种</w:t>
            </w:r>
            <w:r>
              <w:rPr>
                <w:rFonts w:hint="default" w:ascii="Times New Roman" w:hAnsi="Times New Roman" w:cs="Times New Roman"/>
                <w:bCs/>
                <w:color w:val="auto"/>
                <w:szCs w:val="21"/>
                <w:highlight w:val="none"/>
                <w:lang w:val="en-US" w:eastAsia="zh-CN"/>
              </w:rPr>
              <w:t>等。</w:t>
            </w:r>
          </w:p>
          <w:bookmarkEnd w:id="267"/>
          <w:p w14:paraId="0FE9C101">
            <w:pPr>
              <w:ind w:firstLine="1680" w:firstLineChars="800"/>
              <w:rPr>
                <w:rFonts w:hint="default" w:ascii="Times New Roman" w:hAnsi="Times New Roman" w:cs="Times New Roman"/>
                <w:color w:val="auto"/>
                <w:szCs w:val="21"/>
                <w:highlight w:val="none"/>
              </w:rPr>
            </w:pPr>
            <w:r>
              <w:rPr>
                <w:rFonts w:hint="default" w:ascii="Times New Roman" w:hAnsi="Times New Roman" w:cs="Times New Roman"/>
                <w:bCs/>
                <w:color w:val="auto"/>
                <w:szCs w:val="21"/>
                <w:highlight w:val="none"/>
              </w:rPr>
              <w:t>监测。</w:t>
            </w:r>
          </w:p>
        </w:tc>
      </w:tr>
      <w:tr w14:paraId="3A61A7D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384" w:type="dxa"/>
            <w:vMerge w:val="continue"/>
            <w:noWrap w:val="0"/>
            <w:vAlign w:val="center"/>
          </w:tcPr>
          <w:p w14:paraId="7CADDA4C">
            <w:pPr>
              <w:jc w:val="center"/>
              <w:rPr>
                <w:rFonts w:hint="default" w:ascii="Times New Roman" w:hAnsi="Times New Roman" w:cs="Times New Roman"/>
                <w:color w:val="auto"/>
                <w:kern w:val="0"/>
                <w:szCs w:val="21"/>
                <w:highlight w:val="none"/>
              </w:rPr>
            </w:pPr>
          </w:p>
        </w:tc>
        <w:tc>
          <w:tcPr>
            <w:tcW w:w="1843" w:type="dxa"/>
            <w:noWrap w:val="0"/>
            <w:vAlign w:val="center"/>
          </w:tcPr>
          <w:p w14:paraId="13EEC150">
            <w:pPr>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rPr>
              <w:t>20</w:t>
            </w:r>
            <w:r>
              <w:rPr>
                <w:rFonts w:hint="eastAsia" w:cs="Times New Roman"/>
                <w:color w:val="auto"/>
                <w:kern w:val="0"/>
                <w:szCs w:val="21"/>
                <w:highlight w:val="none"/>
                <w:lang w:val="en-US" w:eastAsia="zh-CN"/>
              </w:rPr>
              <w:t>29.1</w:t>
            </w:r>
            <w:r>
              <w:rPr>
                <w:rFonts w:hint="default" w:ascii="Times New Roman" w:hAnsi="Times New Roman" w:cs="Times New Roman"/>
                <w:color w:val="auto"/>
                <w:kern w:val="0"/>
                <w:szCs w:val="21"/>
                <w:highlight w:val="none"/>
              </w:rPr>
              <w:t>～20</w:t>
            </w:r>
            <w:r>
              <w:rPr>
                <w:rFonts w:hint="eastAsia" w:cs="Times New Roman"/>
                <w:color w:val="auto"/>
                <w:kern w:val="0"/>
                <w:szCs w:val="21"/>
                <w:highlight w:val="none"/>
                <w:lang w:val="en-US" w:eastAsia="zh-CN"/>
              </w:rPr>
              <w:t>29.12</w:t>
            </w:r>
          </w:p>
        </w:tc>
        <w:tc>
          <w:tcPr>
            <w:tcW w:w="1134" w:type="dxa"/>
            <w:noWrap w:val="0"/>
            <w:vAlign w:val="center"/>
          </w:tcPr>
          <w:p w14:paraId="7D2B4BA9">
            <w:pPr>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全矿区</w:t>
            </w:r>
          </w:p>
        </w:tc>
        <w:tc>
          <w:tcPr>
            <w:tcW w:w="4396" w:type="dxa"/>
            <w:noWrap w:val="0"/>
            <w:vAlign w:val="center"/>
          </w:tcPr>
          <w:p w14:paraId="678A7A48">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监测、管护</w:t>
            </w:r>
          </w:p>
        </w:tc>
      </w:tr>
      <w:tr w14:paraId="7139B6C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384" w:type="dxa"/>
            <w:vMerge w:val="continue"/>
            <w:noWrap w:val="0"/>
            <w:vAlign w:val="center"/>
          </w:tcPr>
          <w:p w14:paraId="24DAE1AB">
            <w:pPr>
              <w:jc w:val="center"/>
              <w:rPr>
                <w:rFonts w:hint="default" w:ascii="Times New Roman" w:hAnsi="Times New Roman" w:cs="Times New Roman"/>
                <w:color w:val="auto"/>
                <w:kern w:val="0"/>
                <w:szCs w:val="21"/>
                <w:highlight w:val="none"/>
              </w:rPr>
            </w:pPr>
          </w:p>
        </w:tc>
        <w:tc>
          <w:tcPr>
            <w:tcW w:w="1843" w:type="dxa"/>
            <w:noWrap w:val="0"/>
            <w:vAlign w:val="center"/>
          </w:tcPr>
          <w:p w14:paraId="720181E1">
            <w:pPr>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rPr>
              <w:t>20</w:t>
            </w:r>
            <w:r>
              <w:rPr>
                <w:rFonts w:hint="eastAsia" w:ascii="Times New Roman" w:hAnsi="Times New Roman" w:cs="Times New Roman"/>
                <w:color w:val="auto"/>
                <w:kern w:val="0"/>
                <w:szCs w:val="21"/>
                <w:highlight w:val="none"/>
                <w:lang w:val="en-US" w:eastAsia="zh-CN"/>
              </w:rPr>
              <w:t>30</w:t>
            </w:r>
            <w:r>
              <w:rPr>
                <w:rFonts w:hint="eastAsia" w:cs="Times New Roman"/>
                <w:color w:val="auto"/>
                <w:kern w:val="0"/>
                <w:szCs w:val="21"/>
                <w:highlight w:val="none"/>
                <w:lang w:val="en-US" w:eastAsia="zh-CN"/>
              </w:rPr>
              <w:t>.1</w:t>
            </w:r>
            <w:r>
              <w:rPr>
                <w:rFonts w:hint="default" w:ascii="Times New Roman" w:hAnsi="Times New Roman" w:cs="Times New Roman"/>
                <w:color w:val="auto"/>
                <w:kern w:val="0"/>
                <w:szCs w:val="21"/>
                <w:highlight w:val="none"/>
              </w:rPr>
              <w:t>～20</w:t>
            </w:r>
            <w:r>
              <w:rPr>
                <w:rFonts w:hint="eastAsia" w:ascii="Times New Roman" w:hAnsi="Times New Roman" w:cs="Times New Roman"/>
                <w:color w:val="auto"/>
                <w:kern w:val="0"/>
                <w:szCs w:val="21"/>
                <w:highlight w:val="none"/>
                <w:lang w:val="en-US" w:eastAsia="zh-CN"/>
              </w:rPr>
              <w:t>30</w:t>
            </w:r>
            <w:r>
              <w:rPr>
                <w:rFonts w:hint="eastAsia" w:cs="Times New Roman"/>
                <w:color w:val="auto"/>
                <w:kern w:val="0"/>
                <w:szCs w:val="21"/>
                <w:highlight w:val="none"/>
                <w:lang w:val="en-US" w:eastAsia="zh-CN"/>
              </w:rPr>
              <w:t>.12</w:t>
            </w:r>
          </w:p>
        </w:tc>
        <w:tc>
          <w:tcPr>
            <w:tcW w:w="1134" w:type="dxa"/>
            <w:noWrap w:val="0"/>
            <w:vAlign w:val="center"/>
          </w:tcPr>
          <w:p w14:paraId="47038EA1">
            <w:pPr>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全矿区</w:t>
            </w:r>
          </w:p>
        </w:tc>
        <w:tc>
          <w:tcPr>
            <w:tcW w:w="4396" w:type="dxa"/>
            <w:noWrap w:val="0"/>
            <w:vAlign w:val="center"/>
          </w:tcPr>
          <w:p w14:paraId="045442A2">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监测、管护</w:t>
            </w:r>
          </w:p>
        </w:tc>
      </w:tr>
      <w:tr w14:paraId="67EE87F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384" w:type="dxa"/>
            <w:vMerge w:val="continue"/>
            <w:noWrap w:val="0"/>
            <w:vAlign w:val="center"/>
          </w:tcPr>
          <w:p w14:paraId="47EFADA1">
            <w:pPr>
              <w:jc w:val="center"/>
              <w:rPr>
                <w:rFonts w:hint="default" w:ascii="Times New Roman" w:hAnsi="Times New Roman" w:cs="Times New Roman"/>
                <w:color w:val="auto"/>
                <w:kern w:val="0"/>
                <w:szCs w:val="21"/>
                <w:highlight w:val="none"/>
              </w:rPr>
            </w:pPr>
          </w:p>
        </w:tc>
        <w:tc>
          <w:tcPr>
            <w:tcW w:w="1843" w:type="dxa"/>
            <w:noWrap w:val="0"/>
            <w:vAlign w:val="center"/>
          </w:tcPr>
          <w:p w14:paraId="1A674DAA">
            <w:pPr>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rPr>
              <w:t>20</w:t>
            </w:r>
            <w:r>
              <w:rPr>
                <w:rFonts w:hint="eastAsia" w:ascii="Times New Roman" w:hAnsi="Times New Roman" w:cs="Times New Roman"/>
                <w:color w:val="auto"/>
                <w:kern w:val="0"/>
                <w:szCs w:val="21"/>
                <w:highlight w:val="none"/>
                <w:lang w:val="en-US" w:eastAsia="zh-CN"/>
              </w:rPr>
              <w:t>31</w:t>
            </w:r>
            <w:r>
              <w:rPr>
                <w:rFonts w:hint="eastAsia" w:cs="Times New Roman"/>
                <w:color w:val="auto"/>
                <w:kern w:val="0"/>
                <w:szCs w:val="21"/>
                <w:highlight w:val="none"/>
                <w:lang w:val="en-US" w:eastAsia="zh-CN"/>
              </w:rPr>
              <w:t>.1</w:t>
            </w:r>
            <w:r>
              <w:rPr>
                <w:rFonts w:hint="default" w:ascii="Times New Roman" w:hAnsi="Times New Roman" w:cs="Times New Roman"/>
                <w:color w:val="auto"/>
                <w:kern w:val="0"/>
                <w:szCs w:val="21"/>
                <w:highlight w:val="none"/>
              </w:rPr>
              <w:t>～20</w:t>
            </w:r>
            <w:r>
              <w:rPr>
                <w:rFonts w:hint="eastAsia" w:ascii="Times New Roman" w:hAnsi="Times New Roman" w:cs="Times New Roman"/>
                <w:color w:val="auto"/>
                <w:kern w:val="0"/>
                <w:szCs w:val="21"/>
                <w:highlight w:val="none"/>
                <w:lang w:val="en-US" w:eastAsia="zh-CN"/>
              </w:rPr>
              <w:t>31</w:t>
            </w:r>
            <w:r>
              <w:rPr>
                <w:rFonts w:hint="eastAsia" w:cs="Times New Roman"/>
                <w:color w:val="auto"/>
                <w:kern w:val="0"/>
                <w:szCs w:val="21"/>
                <w:highlight w:val="none"/>
                <w:lang w:val="en-US" w:eastAsia="zh-CN"/>
              </w:rPr>
              <w:t>.12</w:t>
            </w:r>
          </w:p>
        </w:tc>
        <w:tc>
          <w:tcPr>
            <w:tcW w:w="1134" w:type="dxa"/>
            <w:noWrap w:val="0"/>
            <w:vAlign w:val="center"/>
          </w:tcPr>
          <w:p w14:paraId="6F1D81D7">
            <w:pPr>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全矿区</w:t>
            </w:r>
          </w:p>
        </w:tc>
        <w:tc>
          <w:tcPr>
            <w:tcW w:w="4396" w:type="dxa"/>
            <w:noWrap w:val="0"/>
            <w:vAlign w:val="center"/>
          </w:tcPr>
          <w:p w14:paraId="64315824">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监测、管护、验收</w:t>
            </w:r>
          </w:p>
        </w:tc>
      </w:tr>
      <w:bookmarkEnd w:id="266"/>
    </w:tbl>
    <w:p w14:paraId="2F31E9D4">
      <w:pPr>
        <w:keepNext/>
        <w:keepLines/>
        <w:widowControl w:val="0"/>
        <w:spacing w:before="260" w:after="260" w:line="415" w:lineRule="auto"/>
        <w:outlineLvl w:val="1"/>
        <w:rPr>
          <w:rFonts w:hint="default" w:ascii="Times New Roman" w:hAnsi="Times New Roman" w:eastAsia="黑体" w:cs="Times New Roman"/>
          <w:bCs/>
          <w:color w:val="auto"/>
          <w:sz w:val="30"/>
          <w:szCs w:val="30"/>
          <w:highlight w:val="none"/>
        </w:rPr>
      </w:pPr>
      <w:bookmarkStart w:id="268" w:name="_Toc2644"/>
      <w:bookmarkStart w:id="269" w:name="_Toc508869994"/>
      <w:bookmarkStart w:id="270" w:name="_Toc23855659"/>
      <w:bookmarkStart w:id="271" w:name="_Toc3671"/>
      <w:bookmarkStart w:id="272" w:name="_Toc485629741"/>
      <w:r>
        <w:rPr>
          <w:rFonts w:hint="default" w:ascii="Times New Roman" w:hAnsi="Times New Roman" w:eastAsia="黑体" w:cs="Times New Roman"/>
          <w:bCs/>
          <w:color w:val="auto"/>
          <w:sz w:val="30"/>
          <w:szCs w:val="30"/>
          <w:highlight w:val="none"/>
        </w:rPr>
        <w:t>二、阶段实施计划</w:t>
      </w:r>
      <w:bookmarkEnd w:id="268"/>
      <w:bookmarkEnd w:id="269"/>
      <w:bookmarkEnd w:id="270"/>
      <w:bookmarkEnd w:id="271"/>
      <w:bookmarkEnd w:id="272"/>
    </w:p>
    <w:p w14:paraId="00EF496A">
      <w:pPr>
        <w:spacing w:line="360" w:lineRule="auto"/>
        <w:ind w:firstLine="460" w:firstLineChars="192"/>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根据矿山开发利用方案及矿山实际情况对矿山地质环境恢复治理与土地复垦进行分期部署，可分为</w:t>
      </w:r>
      <w:r>
        <w:rPr>
          <w:rFonts w:hint="eastAsia" w:cs="Times New Roman"/>
          <w:color w:val="auto"/>
          <w:sz w:val="24"/>
          <w:highlight w:val="none"/>
          <w:lang w:val="en-US" w:eastAsia="zh-CN"/>
        </w:rPr>
        <w:t>两</w:t>
      </w:r>
      <w:r>
        <w:rPr>
          <w:rFonts w:hint="default" w:ascii="Times New Roman" w:hAnsi="Times New Roman" w:cs="Times New Roman"/>
          <w:color w:val="auto"/>
          <w:sz w:val="24"/>
          <w:highlight w:val="none"/>
        </w:rPr>
        <w:t>期：生产期、闭矿后期。</w:t>
      </w:r>
    </w:p>
    <w:p w14:paraId="4D26BC8F">
      <w:pPr>
        <w:spacing w:line="360" w:lineRule="auto"/>
        <w:ind w:firstLine="463" w:firstLineChars="192"/>
        <w:jc w:val="both"/>
        <w:rPr>
          <w:rFonts w:hint="default" w:ascii="Times New Roman" w:hAnsi="Times New Roman" w:cs="Times New Roman"/>
          <w:color w:val="auto"/>
          <w:sz w:val="24"/>
          <w:highlight w:val="none"/>
        </w:rPr>
      </w:pPr>
      <w:bookmarkStart w:id="273" w:name="_Toc485629742"/>
      <w:r>
        <w:rPr>
          <w:rFonts w:hint="default" w:ascii="Times New Roman" w:hAnsi="Times New Roman" w:cs="Times New Roman"/>
          <w:b/>
          <w:color w:val="auto"/>
          <w:sz w:val="24"/>
          <w:highlight w:val="none"/>
        </w:rPr>
        <w:t>生产期</w:t>
      </w:r>
      <w:r>
        <w:rPr>
          <w:rFonts w:hint="default" w:ascii="Times New Roman" w:hAnsi="Times New Roman" w:cs="Times New Roman"/>
          <w:color w:val="auto"/>
          <w:sz w:val="24"/>
          <w:highlight w:val="none"/>
        </w:rPr>
        <w:t>：2024</w:t>
      </w:r>
      <w:r>
        <w:rPr>
          <w:rFonts w:hint="eastAsia" w:cs="Times New Roman"/>
          <w:color w:val="auto"/>
          <w:sz w:val="24"/>
          <w:highlight w:val="none"/>
          <w:lang w:val="en-US" w:eastAsia="zh-CN"/>
        </w:rPr>
        <w:t>年</w:t>
      </w:r>
      <w:r>
        <w:rPr>
          <w:rFonts w:hint="default" w:ascii="Times New Roman" w:hAnsi="Times New Roman" w:cs="Times New Roman"/>
          <w:color w:val="auto"/>
          <w:sz w:val="24"/>
          <w:highlight w:val="none"/>
        </w:rPr>
        <w:t>5</w:t>
      </w:r>
      <w:r>
        <w:rPr>
          <w:rFonts w:hint="eastAsia" w:cs="Times New Roman"/>
          <w:color w:val="auto"/>
          <w:sz w:val="24"/>
          <w:highlight w:val="none"/>
          <w:lang w:val="en-US" w:eastAsia="zh-CN"/>
        </w:rPr>
        <w:t>月至</w:t>
      </w:r>
      <w:r>
        <w:rPr>
          <w:rFonts w:hint="default" w:ascii="Times New Roman" w:hAnsi="Times New Roman" w:cs="Times New Roman"/>
          <w:color w:val="auto"/>
          <w:sz w:val="24"/>
          <w:highlight w:val="none"/>
        </w:rPr>
        <w:t>2027</w:t>
      </w:r>
      <w:r>
        <w:rPr>
          <w:rFonts w:hint="eastAsia" w:cs="Times New Roman"/>
          <w:color w:val="auto"/>
          <w:sz w:val="24"/>
          <w:highlight w:val="none"/>
          <w:lang w:val="en-US" w:eastAsia="zh-CN"/>
        </w:rPr>
        <w:t>年</w:t>
      </w:r>
      <w:r>
        <w:rPr>
          <w:rFonts w:hint="default" w:ascii="Times New Roman" w:hAnsi="Times New Roman" w:cs="Times New Roman"/>
          <w:color w:val="auto"/>
          <w:sz w:val="24"/>
          <w:highlight w:val="none"/>
        </w:rPr>
        <w:t>12</w:t>
      </w:r>
      <w:r>
        <w:rPr>
          <w:rFonts w:hint="eastAsia" w:cs="Times New Roman"/>
          <w:color w:val="auto"/>
          <w:sz w:val="24"/>
          <w:highlight w:val="none"/>
          <w:lang w:val="en-US" w:eastAsia="zh-CN"/>
        </w:rPr>
        <w:t>月</w:t>
      </w:r>
      <w:r>
        <w:rPr>
          <w:rFonts w:hint="default" w:ascii="Times New Roman" w:hAnsi="Times New Roman" w:cs="Times New Roman"/>
          <w:color w:val="auto"/>
          <w:sz w:val="24"/>
          <w:highlight w:val="none"/>
        </w:rPr>
        <w:t>，重点要解决矿山地质环境现存问题。对</w:t>
      </w:r>
      <w:r>
        <w:rPr>
          <w:rFonts w:hint="eastAsia" w:cs="Times New Roman"/>
          <w:color w:val="auto"/>
          <w:sz w:val="24"/>
          <w:highlight w:val="none"/>
          <w:lang w:val="en-US" w:eastAsia="zh-CN"/>
        </w:rPr>
        <w:t>露天采坑</w:t>
      </w:r>
      <w:r>
        <w:rPr>
          <w:rFonts w:hint="default" w:ascii="Times New Roman" w:hAnsi="Times New Roman" w:cs="Times New Roman"/>
          <w:color w:val="auto"/>
          <w:sz w:val="24"/>
          <w:highlight w:val="none"/>
        </w:rPr>
        <w:t>周围设立警示牌</w:t>
      </w:r>
      <w:r>
        <w:rPr>
          <w:rFonts w:hint="default" w:ascii="Times New Roman" w:hAnsi="Times New Roman" w:cs="Times New Roman"/>
          <w:color w:val="auto"/>
          <w:sz w:val="24"/>
          <w:highlight w:val="none"/>
          <w:lang w:val="en-US" w:eastAsia="zh-CN"/>
        </w:rPr>
        <w:t>和网围栏</w:t>
      </w:r>
      <w:r>
        <w:rPr>
          <w:rFonts w:hint="default" w:ascii="Times New Roman" w:hAnsi="Times New Roman" w:cs="Times New Roman"/>
          <w:bCs/>
          <w:color w:val="auto"/>
          <w:sz w:val="24"/>
          <w:highlight w:val="none"/>
        </w:rPr>
        <w:t>。在生产过程中，</w:t>
      </w:r>
      <w:r>
        <w:rPr>
          <w:rFonts w:hint="default" w:ascii="Times New Roman" w:hAnsi="Times New Roman" w:cs="Times New Roman"/>
          <w:bCs/>
          <w:color w:val="auto"/>
          <w:sz w:val="24"/>
          <w:highlight w:val="none"/>
          <w:lang w:val="en-US" w:eastAsia="zh-CN"/>
        </w:rPr>
        <w:t>对可能引发地质灾害的区域进行监测</w:t>
      </w:r>
      <w:r>
        <w:rPr>
          <w:rFonts w:hint="default" w:ascii="Times New Roman" w:hAnsi="Times New Roman" w:cs="Times New Roman"/>
          <w:bCs/>
          <w:color w:val="auto"/>
          <w:sz w:val="24"/>
          <w:highlight w:val="none"/>
        </w:rPr>
        <w:t>，</w:t>
      </w:r>
      <w:r>
        <w:rPr>
          <w:rFonts w:hint="default" w:ascii="Times New Roman" w:hAnsi="Times New Roman" w:cs="Times New Roman"/>
          <w:color w:val="auto"/>
          <w:sz w:val="24"/>
          <w:highlight w:val="none"/>
        </w:rPr>
        <w:t>针对采矿活动影响区，在矿山开发过程中做好矿山地质环境保护。做好日常监测。在不影响其他</w:t>
      </w:r>
      <w:r>
        <w:rPr>
          <w:rFonts w:hint="default" w:ascii="Times New Roman" w:hAnsi="Times New Roman" w:cs="Times New Roman"/>
          <w:color w:val="auto"/>
          <w:sz w:val="24"/>
          <w:highlight w:val="none"/>
          <w:lang w:eastAsia="zh-CN"/>
        </w:rPr>
        <w:t>区域</w:t>
      </w:r>
      <w:r>
        <w:rPr>
          <w:rFonts w:hint="default" w:ascii="Times New Roman" w:hAnsi="Times New Roman" w:cs="Times New Roman"/>
          <w:color w:val="auto"/>
          <w:sz w:val="24"/>
          <w:highlight w:val="none"/>
        </w:rPr>
        <w:t>正常生产的情况下，对</w:t>
      </w:r>
      <w:r>
        <w:rPr>
          <w:rFonts w:hint="default" w:ascii="Times New Roman" w:hAnsi="Times New Roman" w:cs="Times New Roman"/>
          <w:color w:val="auto"/>
          <w:sz w:val="24"/>
          <w:highlight w:val="none"/>
          <w:lang w:val="en-US" w:eastAsia="zh-CN"/>
        </w:rPr>
        <w:t>项目损毁土地</w:t>
      </w:r>
      <w:r>
        <w:rPr>
          <w:rFonts w:hint="default" w:ascii="Times New Roman" w:hAnsi="Times New Roman" w:cs="Times New Roman"/>
          <w:color w:val="auto"/>
          <w:sz w:val="24"/>
          <w:highlight w:val="none"/>
        </w:rPr>
        <w:t>进行恢复治理与土地复垦工作</w:t>
      </w:r>
      <w:r>
        <w:rPr>
          <w:rFonts w:hint="default" w:ascii="Times New Roman" w:hAnsi="Times New Roman" w:cs="Times New Roman"/>
          <w:color w:val="auto"/>
          <w:sz w:val="24"/>
          <w:highlight w:val="none"/>
          <w:lang w:eastAsia="zh-CN"/>
        </w:rPr>
        <w:t>，</w:t>
      </w:r>
      <w:r>
        <w:rPr>
          <w:rFonts w:hint="default" w:ascii="Times New Roman" w:hAnsi="Times New Roman" w:cs="Times New Roman"/>
          <w:bCs/>
          <w:color w:val="auto"/>
          <w:sz w:val="24"/>
          <w:highlight w:val="none"/>
        </w:rPr>
        <w:t>体现边开采边治理的原则。</w:t>
      </w:r>
    </w:p>
    <w:p w14:paraId="73EABEF2">
      <w:pPr>
        <w:spacing w:line="360" w:lineRule="auto"/>
        <w:ind w:firstLine="463" w:firstLineChars="192"/>
        <w:rPr>
          <w:rFonts w:hint="default" w:ascii="Times New Roman" w:hAnsi="Times New Roman" w:cs="Times New Roman"/>
          <w:color w:val="auto"/>
          <w:sz w:val="24"/>
          <w:highlight w:val="none"/>
        </w:rPr>
      </w:pPr>
      <w:r>
        <w:rPr>
          <w:rFonts w:hint="default" w:ascii="Times New Roman" w:hAnsi="Times New Roman" w:cs="Times New Roman"/>
          <w:b/>
          <w:color w:val="auto"/>
          <w:sz w:val="24"/>
          <w:highlight w:val="none"/>
        </w:rPr>
        <w:t>闭矿后期</w:t>
      </w:r>
      <w:r>
        <w:rPr>
          <w:rFonts w:hint="default" w:ascii="Times New Roman" w:hAnsi="Times New Roman" w:cs="Times New Roman"/>
          <w:color w:val="auto"/>
          <w:sz w:val="24"/>
          <w:highlight w:val="none"/>
        </w:rPr>
        <w:t>：20</w:t>
      </w:r>
      <w:r>
        <w:rPr>
          <w:rFonts w:hint="eastAsia" w:cs="Times New Roman"/>
          <w:color w:val="auto"/>
          <w:sz w:val="24"/>
          <w:highlight w:val="none"/>
          <w:lang w:val="en-US" w:eastAsia="zh-CN"/>
        </w:rPr>
        <w:t>28</w:t>
      </w:r>
      <w:r>
        <w:rPr>
          <w:rFonts w:hint="default" w:ascii="Times New Roman" w:hAnsi="Times New Roman" w:cs="Times New Roman"/>
          <w:color w:val="auto"/>
          <w:sz w:val="24"/>
          <w:highlight w:val="none"/>
        </w:rPr>
        <w:t>年</w:t>
      </w:r>
      <w:r>
        <w:rPr>
          <w:rFonts w:hint="eastAsia" w:cs="Times New Roman"/>
          <w:color w:val="auto"/>
          <w:sz w:val="24"/>
          <w:highlight w:val="none"/>
          <w:lang w:val="en-US" w:eastAsia="zh-CN"/>
        </w:rPr>
        <w:t>1</w:t>
      </w:r>
      <w:r>
        <w:rPr>
          <w:rFonts w:hint="default" w:ascii="Times New Roman" w:hAnsi="Times New Roman" w:cs="Times New Roman"/>
          <w:color w:val="auto"/>
          <w:sz w:val="24"/>
          <w:highlight w:val="none"/>
        </w:rPr>
        <w:t>月至20</w:t>
      </w:r>
      <w:r>
        <w:rPr>
          <w:rFonts w:hint="eastAsia" w:cs="Times New Roman"/>
          <w:color w:val="auto"/>
          <w:sz w:val="24"/>
          <w:highlight w:val="none"/>
          <w:lang w:val="en-US" w:eastAsia="zh-CN"/>
        </w:rPr>
        <w:t>31</w:t>
      </w:r>
      <w:r>
        <w:rPr>
          <w:rFonts w:hint="default" w:ascii="Times New Roman" w:hAnsi="Times New Roman" w:cs="Times New Roman"/>
          <w:color w:val="auto"/>
          <w:sz w:val="24"/>
          <w:highlight w:val="none"/>
        </w:rPr>
        <w:t>年</w:t>
      </w:r>
      <w:r>
        <w:rPr>
          <w:rFonts w:hint="eastAsia" w:cs="Times New Roman"/>
          <w:color w:val="auto"/>
          <w:sz w:val="24"/>
          <w:highlight w:val="none"/>
          <w:lang w:val="en-US" w:eastAsia="zh-CN"/>
        </w:rPr>
        <w:t>12</w:t>
      </w:r>
      <w:r>
        <w:rPr>
          <w:rFonts w:hint="default" w:ascii="Times New Roman" w:hAnsi="Times New Roman" w:cs="Times New Roman"/>
          <w:color w:val="auto"/>
          <w:sz w:val="24"/>
          <w:highlight w:val="none"/>
        </w:rPr>
        <w:t>月，做好闭矿矿山环境恢复治理、土地复垦，矿山地质灾害治理仍然是工作的重点。闭矿后期进行矿山地质环境恢复治理和土地复垦。</w:t>
      </w:r>
      <w:r>
        <w:rPr>
          <w:rFonts w:hint="default" w:ascii="Times New Roman" w:hAnsi="Times New Roman" w:cs="Times New Roman"/>
          <w:bCs/>
          <w:color w:val="auto"/>
          <w:sz w:val="24"/>
          <w:highlight w:val="none"/>
        </w:rPr>
        <w:t>拆除工业广场上的建筑物工程，对地表硬化过的场地清除硬覆盖，利用建筑垃圾、硬覆盖</w:t>
      </w:r>
      <w:r>
        <w:rPr>
          <w:rFonts w:hint="eastAsia" w:cs="Times New Roman"/>
          <w:bCs/>
          <w:color w:val="auto"/>
          <w:sz w:val="24"/>
          <w:highlight w:val="none"/>
          <w:lang w:val="en-US" w:eastAsia="zh-CN"/>
        </w:rPr>
        <w:t>等</w:t>
      </w:r>
      <w:r>
        <w:rPr>
          <w:rFonts w:hint="default" w:ascii="Times New Roman" w:hAnsi="Times New Roman" w:cs="Times New Roman"/>
          <w:bCs/>
          <w:color w:val="auto"/>
          <w:sz w:val="24"/>
          <w:highlight w:val="none"/>
        </w:rPr>
        <w:t>对</w:t>
      </w:r>
      <w:r>
        <w:rPr>
          <w:rFonts w:hint="eastAsia" w:cs="Times New Roman"/>
          <w:bCs/>
          <w:color w:val="auto"/>
          <w:sz w:val="24"/>
          <w:highlight w:val="none"/>
          <w:lang w:val="en-US" w:eastAsia="zh-CN"/>
        </w:rPr>
        <w:t>坑底</w:t>
      </w:r>
      <w:r>
        <w:rPr>
          <w:rFonts w:hint="default" w:ascii="Times New Roman" w:hAnsi="Times New Roman" w:cs="Times New Roman"/>
          <w:bCs/>
          <w:color w:val="auto"/>
          <w:sz w:val="24"/>
          <w:highlight w:val="none"/>
        </w:rPr>
        <w:t>进行回填。对待复垦单元平整土地，对复垦单元场地覆土、种植</w:t>
      </w:r>
      <w:r>
        <w:rPr>
          <w:rFonts w:hint="default" w:ascii="Times New Roman" w:hAnsi="Times New Roman" w:cs="Times New Roman"/>
          <w:bCs/>
          <w:color w:val="auto"/>
          <w:sz w:val="24"/>
          <w:highlight w:val="none"/>
          <w:lang w:eastAsia="zh-CN"/>
        </w:rPr>
        <w:t>落叶松</w:t>
      </w:r>
      <w:r>
        <w:rPr>
          <w:rFonts w:hint="default" w:ascii="Times New Roman" w:hAnsi="Times New Roman" w:cs="Times New Roman"/>
          <w:bCs/>
          <w:color w:val="auto"/>
          <w:sz w:val="24"/>
          <w:highlight w:val="none"/>
        </w:rPr>
        <w:t>、撒播草种。</w:t>
      </w:r>
      <w:r>
        <w:rPr>
          <w:rFonts w:hint="default" w:ascii="Times New Roman" w:hAnsi="Times New Roman" w:cs="Times New Roman"/>
          <w:color w:val="auto"/>
          <w:sz w:val="24"/>
          <w:highlight w:val="none"/>
        </w:rPr>
        <w:t>恢复土地资源和植被，使整个矿区生态环境得到明显改善和重建。做好复垦区土壤质量监测、管护，申请验收。</w:t>
      </w:r>
    </w:p>
    <w:p w14:paraId="3961143F">
      <w:pPr>
        <w:pStyle w:val="4"/>
        <w:spacing w:before="156" w:beforeLines="50" w:after="156" w:afterLines="50" w:line="240" w:lineRule="auto"/>
        <w:ind w:firstLine="0" w:firstLineChars="0"/>
        <w:rPr>
          <w:rFonts w:hint="default" w:ascii="Times New Roman" w:hAnsi="Times New Roman" w:cs="Times New Roman"/>
          <w:color w:val="auto"/>
          <w:sz w:val="30"/>
          <w:szCs w:val="30"/>
          <w:highlight w:val="none"/>
          <w:lang w:eastAsia="zh-CN"/>
        </w:rPr>
      </w:pPr>
      <w:bookmarkStart w:id="274" w:name="_Toc18357"/>
      <w:bookmarkStart w:id="275" w:name="_Toc24395"/>
      <w:bookmarkStart w:id="276" w:name="_Toc7704"/>
      <w:r>
        <w:rPr>
          <w:rFonts w:hint="default" w:ascii="Times New Roman" w:hAnsi="Times New Roman" w:cs="Times New Roman"/>
          <w:color w:val="auto"/>
          <w:sz w:val="30"/>
          <w:szCs w:val="30"/>
          <w:highlight w:val="none"/>
          <w:lang w:eastAsia="zh-CN"/>
        </w:rPr>
        <w:t>三、近期年度工作安排</w:t>
      </w:r>
      <w:bookmarkEnd w:id="274"/>
      <w:bookmarkEnd w:id="275"/>
      <w:bookmarkEnd w:id="276"/>
    </w:p>
    <w:p w14:paraId="191F7F61">
      <w:pPr>
        <w:spacing w:line="360" w:lineRule="auto"/>
        <w:ind w:firstLine="460" w:firstLineChars="192"/>
        <w:jc w:val="both"/>
        <w:rPr>
          <w:rFonts w:hint="default" w:ascii="Times New Roman" w:hAnsi="Times New Roman" w:cs="Times New Roman"/>
          <w:color w:val="auto"/>
          <w:sz w:val="24"/>
          <w:highlight w:val="none"/>
        </w:rPr>
      </w:pPr>
      <w:r>
        <w:rPr>
          <w:rFonts w:hint="eastAsia" w:ascii="Times New Roman" w:hAnsi="Times New Roman" w:cs="Times New Roman"/>
          <w:color w:val="auto"/>
          <w:sz w:val="24"/>
          <w:szCs w:val="24"/>
          <w:highlight w:val="none"/>
          <w:lang w:val="en-US" w:eastAsia="zh-CN"/>
        </w:rPr>
        <w:t>由于本矿山剩余年限仅剩3.72年，本方案服务年限为7年，即2024年5月～2031年12月。近期年度工作安排同阶段生产计划相同。</w:t>
      </w:r>
      <w:r>
        <w:rPr>
          <w:rFonts w:hint="default" w:ascii="Times New Roman" w:hAnsi="Times New Roman" w:cs="Times New Roman"/>
          <w:color w:val="auto"/>
          <w:sz w:val="24"/>
          <w:highlight w:val="none"/>
        </w:rPr>
        <w:t>涉及</w:t>
      </w:r>
      <w:r>
        <w:rPr>
          <w:rFonts w:hint="default" w:ascii="Times New Roman" w:hAnsi="Times New Roman" w:cs="Times New Roman"/>
          <w:color w:val="auto"/>
          <w:sz w:val="24"/>
          <w:highlight w:val="none"/>
          <w:lang w:val="en-US" w:eastAsia="zh-CN"/>
        </w:rPr>
        <w:t>的</w:t>
      </w:r>
      <w:r>
        <w:rPr>
          <w:rFonts w:hint="default" w:ascii="Times New Roman" w:hAnsi="Times New Roman" w:cs="Times New Roman"/>
          <w:color w:val="auto"/>
          <w:sz w:val="24"/>
          <w:highlight w:val="none"/>
        </w:rPr>
        <w:t>具体工程量详见表6-2。</w:t>
      </w:r>
    </w:p>
    <w:p w14:paraId="6DB23815">
      <w:pPr>
        <w:shd w:val="clear" w:color="auto" w:fill="auto"/>
        <w:spacing w:after="0" w:line="360" w:lineRule="auto"/>
        <w:ind w:firstLine="480"/>
        <w:rPr>
          <w:rStyle w:val="187"/>
          <w:rFonts w:hint="default" w:ascii="Times New Roman" w:hAnsi="Times New Roman" w:cs="Times New Roman"/>
          <w:color w:val="auto"/>
          <w:spacing w:val="0"/>
          <w:sz w:val="24"/>
          <w:highlight w:val="none"/>
        </w:rPr>
      </w:pPr>
    </w:p>
    <w:p w14:paraId="409CE0B4">
      <w:pPr>
        <w:rPr>
          <w:rStyle w:val="187"/>
          <w:rFonts w:hint="default" w:ascii="Times New Roman" w:hAnsi="Times New Roman" w:cs="Times New Roman"/>
          <w:color w:val="auto"/>
          <w:spacing w:val="0"/>
          <w:sz w:val="24"/>
          <w:highlight w:val="none"/>
        </w:rPr>
      </w:pPr>
      <w:r>
        <w:rPr>
          <w:rStyle w:val="187"/>
          <w:rFonts w:hint="default" w:ascii="Times New Roman" w:hAnsi="Times New Roman" w:cs="Times New Roman"/>
          <w:color w:val="auto"/>
          <w:spacing w:val="0"/>
          <w:sz w:val="24"/>
          <w:highlight w:val="none"/>
        </w:rPr>
        <w:br w:type="page"/>
      </w:r>
    </w:p>
    <w:p w14:paraId="3623C191">
      <w:pPr>
        <w:pStyle w:val="90"/>
        <w:autoSpaceDE w:val="0"/>
        <w:autoSpaceDN w:val="0"/>
        <w:rPr>
          <w:rFonts w:hint="default" w:ascii="Times New Roman" w:hAnsi="Times New Roman" w:eastAsia="黑体" w:cs="Times New Roman"/>
          <w:b w:val="0"/>
          <w:bCs/>
          <w:color w:val="auto"/>
          <w:highlight w:val="none"/>
        </w:rPr>
      </w:pPr>
      <w:r>
        <w:rPr>
          <w:rFonts w:hint="default" w:ascii="Times New Roman" w:hAnsi="Times New Roman" w:eastAsia="黑体" w:cs="Times New Roman"/>
          <w:b w:val="0"/>
          <w:bCs/>
          <w:color w:val="auto"/>
          <w:highlight w:val="none"/>
        </w:rPr>
        <w:t>表6-2</w:t>
      </w:r>
      <w:r>
        <w:rPr>
          <w:rFonts w:hint="eastAsia" w:ascii="Times New Roman" w:hAnsi="Times New Roman" w:cs="Times New Roman"/>
          <w:b w:val="0"/>
          <w:bCs/>
          <w:color w:val="auto"/>
          <w:highlight w:val="none"/>
          <w:lang w:val="en-US" w:eastAsia="zh-CN"/>
        </w:rPr>
        <w:t xml:space="preserve">  </w:t>
      </w:r>
      <w:r>
        <w:rPr>
          <w:rFonts w:hint="eastAsia" w:ascii="Times New Roman" w:hAnsi="Times New Roman" w:cs="Times New Roman"/>
          <w:b w:val="0"/>
          <w:bCs/>
          <w:color w:val="auto"/>
          <w:highlight w:val="none"/>
          <w:lang w:eastAsia="zh-CN"/>
        </w:rPr>
        <w:t>北大湖采石场</w:t>
      </w:r>
      <w:r>
        <w:rPr>
          <w:rFonts w:hint="default" w:ascii="Times New Roman" w:hAnsi="Times New Roman" w:eastAsia="黑体" w:cs="Times New Roman"/>
          <w:b w:val="0"/>
          <w:bCs/>
          <w:color w:val="auto"/>
          <w:highlight w:val="none"/>
        </w:rPr>
        <w:t>环境治理与土地复垦计划安排表</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0"/>
        <w:gridCol w:w="1883"/>
        <w:gridCol w:w="1316"/>
        <w:gridCol w:w="3960"/>
      </w:tblGrid>
      <w:tr w14:paraId="65C5B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pct"/>
            <w:noWrap w:val="0"/>
            <w:vAlign w:val="center"/>
          </w:tcPr>
          <w:p w14:paraId="3419E89A">
            <w:pPr>
              <w:jc w:val="center"/>
              <w:rPr>
                <w:rFonts w:hint="default" w:ascii="Times New Roman" w:hAnsi="Times New Roman" w:cs="Times New Roman"/>
                <w:color w:val="auto"/>
                <w:szCs w:val="21"/>
                <w:highlight w:val="none"/>
              </w:rPr>
            </w:pPr>
            <w:bookmarkStart w:id="277" w:name="_Hlk84824901"/>
            <w:r>
              <w:rPr>
                <w:rFonts w:hint="default" w:ascii="Times New Roman" w:hAnsi="Times New Roman" w:cs="Times New Roman"/>
                <w:color w:val="auto"/>
                <w:kern w:val="0"/>
                <w:szCs w:val="21"/>
                <w:highlight w:val="none"/>
              </w:rPr>
              <w:t>分期</w:t>
            </w:r>
          </w:p>
        </w:tc>
        <w:tc>
          <w:tcPr>
            <w:tcW w:w="1105" w:type="pct"/>
            <w:noWrap w:val="0"/>
            <w:vAlign w:val="center"/>
          </w:tcPr>
          <w:p w14:paraId="20CB300D">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治理复垦时间</w:t>
            </w:r>
          </w:p>
        </w:tc>
        <w:tc>
          <w:tcPr>
            <w:tcW w:w="772" w:type="pct"/>
            <w:noWrap w:val="0"/>
            <w:vAlign w:val="center"/>
          </w:tcPr>
          <w:p w14:paraId="490E3D62">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治理复垦单元</w:t>
            </w:r>
          </w:p>
        </w:tc>
        <w:tc>
          <w:tcPr>
            <w:tcW w:w="2323" w:type="pct"/>
            <w:noWrap w:val="0"/>
            <w:vAlign w:val="center"/>
          </w:tcPr>
          <w:p w14:paraId="78587665">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主要工程措施</w:t>
            </w:r>
          </w:p>
        </w:tc>
      </w:tr>
      <w:tr w14:paraId="26F7C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pct"/>
            <w:vMerge w:val="restart"/>
            <w:noWrap w:val="0"/>
            <w:vAlign w:val="center"/>
          </w:tcPr>
          <w:p w14:paraId="3BDFD430">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val="en-US" w:eastAsia="zh-CN"/>
              </w:rPr>
              <w:t>生产</w:t>
            </w:r>
            <w:r>
              <w:rPr>
                <w:rFonts w:hint="default" w:ascii="Times New Roman" w:hAnsi="Times New Roman" w:cs="Times New Roman"/>
                <w:color w:val="auto"/>
                <w:kern w:val="0"/>
                <w:szCs w:val="21"/>
                <w:highlight w:val="none"/>
              </w:rPr>
              <w:t>期</w:t>
            </w:r>
          </w:p>
          <w:p w14:paraId="77245A81">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rPr>
              <w:t>近</w:t>
            </w:r>
            <w:r>
              <w:rPr>
                <w:rFonts w:hint="eastAsia" w:cs="Times New Roman"/>
                <w:color w:val="auto"/>
                <w:kern w:val="0"/>
                <w:szCs w:val="21"/>
                <w:highlight w:val="none"/>
                <w:lang w:val="en-US" w:eastAsia="zh-CN"/>
              </w:rPr>
              <w:t>3.72</w:t>
            </w:r>
            <w:r>
              <w:rPr>
                <w:rFonts w:hint="default" w:ascii="Times New Roman" w:hAnsi="Times New Roman" w:cs="Times New Roman"/>
                <w:color w:val="auto"/>
                <w:kern w:val="0"/>
                <w:szCs w:val="21"/>
                <w:highlight w:val="none"/>
              </w:rPr>
              <w:t>年）</w:t>
            </w:r>
          </w:p>
        </w:tc>
        <w:tc>
          <w:tcPr>
            <w:tcW w:w="1105" w:type="pct"/>
            <w:shd w:val="clear" w:color="auto" w:fill="auto"/>
            <w:noWrap w:val="0"/>
            <w:vAlign w:val="center"/>
          </w:tcPr>
          <w:p w14:paraId="14F06049">
            <w:pP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Cs w:val="21"/>
                <w:highlight w:val="none"/>
              </w:rPr>
              <w:t>202</w:t>
            </w:r>
            <w:r>
              <w:rPr>
                <w:rFonts w:hint="default" w:ascii="Times New Roman" w:hAnsi="Times New Roman" w:cs="Times New Roman"/>
                <w:color w:val="auto"/>
                <w:kern w:val="0"/>
                <w:szCs w:val="21"/>
                <w:highlight w:val="none"/>
                <w:lang w:val="en-US" w:eastAsia="zh-CN"/>
              </w:rPr>
              <w:t>4</w:t>
            </w:r>
            <w:r>
              <w:rPr>
                <w:rFonts w:hint="default" w:ascii="Times New Roman" w:hAnsi="Times New Roman" w:cs="Times New Roman"/>
                <w:color w:val="auto"/>
                <w:kern w:val="0"/>
                <w:szCs w:val="21"/>
                <w:highlight w:val="none"/>
              </w:rPr>
              <w:t>.</w:t>
            </w:r>
            <w:r>
              <w:rPr>
                <w:rFonts w:hint="eastAsia" w:cs="Times New Roman"/>
                <w:color w:val="auto"/>
                <w:kern w:val="0"/>
                <w:szCs w:val="21"/>
                <w:highlight w:val="none"/>
                <w:lang w:val="en-US" w:eastAsia="zh-CN"/>
              </w:rPr>
              <w:t>5</w:t>
            </w:r>
            <w:r>
              <w:rPr>
                <w:rFonts w:hint="default" w:ascii="Times New Roman" w:hAnsi="Times New Roman" w:cs="Times New Roman"/>
                <w:color w:val="auto"/>
                <w:kern w:val="0"/>
                <w:szCs w:val="21"/>
                <w:highlight w:val="none"/>
              </w:rPr>
              <w:t>～20</w:t>
            </w:r>
            <w:r>
              <w:rPr>
                <w:rFonts w:hint="default" w:ascii="Times New Roman" w:hAnsi="Times New Roman" w:cs="Times New Roman"/>
                <w:color w:val="auto"/>
                <w:kern w:val="0"/>
                <w:szCs w:val="21"/>
                <w:highlight w:val="none"/>
                <w:lang w:val="en-US" w:eastAsia="zh-CN"/>
              </w:rPr>
              <w:t>2</w:t>
            </w:r>
            <w:r>
              <w:rPr>
                <w:rFonts w:hint="eastAsia" w:cs="Times New Roman"/>
                <w:color w:val="auto"/>
                <w:kern w:val="0"/>
                <w:szCs w:val="21"/>
                <w:highlight w:val="none"/>
                <w:lang w:val="en-US" w:eastAsia="zh-CN"/>
              </w:rPr>
              <w:t>5.4</w:t>
            </w:r>
          </w:p>
        </w:tc>
        <w:tc>
          <w:tcPr>
            <w:tcW w:w="1316" w:type="dxa"/>
            <w:noWrap w:val="0"/>
            <w:vAlign w:val="center"/>
          </w:tcPr>
          <w:p w14:paraId="65AC01F6">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全矿区</w:t>
            </w:r>
          </w:p>
        </w:tc>
        <w:tc>
          <w:tcPr>
            <w:tcW w:w="2323" w:type="pct"/>
            <w:noWrap w:val="0"/>
            <w:vAlign w:val="center"/>
          </w:tcPr>
          <w:p w14:paraId="30592178">
            <w:pPr>
              <w:ind w:firstLine="420" w:firstLineChars="200"/>
              <w:jc w:val="both"/>
              <w:rPr>
                <w:rFonts w:hint="default"/>
                <w:color w:val="auto"/>
                <w:highlight w:val="none"/>
              </w:rPr>
            </w:pPr>
            <w:r>
              <w:rPr>
                <w:rFonts w:hint="default"/>
                <w:color w:val="auto"/>
                <w:highlight w:val="none"/>
                <w:lang w:val="en-US" w:eastAsia="zh-CN"/>
              </w:rPr>
              <w:t>设置网围栏</w:t>
            </w:r>
            <w:r>
              <w:rPr>
                <w:rFonts w:hint="eastAsia"/>
                <w:color w:val="auto"/>
                <w:highlight w:val="none"/>
                <w:lang w:val="en-US" w:eastAsia="zh-CN"/>
              </w:rPr>
              <w:t>780</w:t>
            </w:r>
            <w:r>
              <w:rPr>
                <w:rFonts w:hint="default"/>
                <w:color w:val="auto"/>
                <w:highlight w:val="none"/>
                <w:lang w:val="en-US" w:eastAsia="zh-CN"/>
              </w:rPr>
              <w:t>m，设立警示牌</w:t>
            </w:r>
            <w:r>
              <w:rPr>
                <w:rFonts w:hint="eastAsia"/>
                <w:color w:val="auto"/>
                <w:highlight w:val="none"/>
                <w:lang w:val="en-US" w:eastAsia="zh-CN"/>
              </w:rPr>
              <w:t>10</w:t>
            </w:r>
            <w:r>
              <w:rPr>
                <w:rFonts w:hint="default"/>
                <w:color w:val="auto"/>
                <w:highlight w:val="none"/>
                <w:lang w:val="en-US" w:eastAsia="zh-CN"/>
              </w:rPr>
              <w:t>个。</w:t>
            </w:r>
          </w:p>
          <w:p w14:paraId="79568A9E">
            <w:pPr>
              <w:ind w:firstLine="420" w:firstLineChars="200"/>
              <w:jc w:val="both"/>
              <w:rPr>
                <w:rFonts w:hint="default" w:eastAsia="宋体"/>
                <w:color w:val="auto"/>
                <w:highlight w:val="none"/>
                <w:lang w:val="en-US" w:eastAsia="zh-CN"/>
              </w:rPr>
            </w:pPr>
            <w:r>
              <w:rPr>
                <w:rFonts w:hint="eastAsia"/>
                <w:color w:val="auto"/>
                <w:highlight w:val="none"/>
                <w:lang w:val="en-US" w:eastAsia="zh-CN"/>
              </w:rPr>
              <w:t>表土剥离及运输543m</w:t>
            </w:r>
            <w:r>
              <w:rPr>
                <w:rFonts w:hint="eastAsia"/>
                <w:color w:val="auto"/>
                <w:highlight w:val="none"/>
                <w:vertAlign w:val="superscript"/>
                <w:lang w:val="en-US" w:eastAsia="zh-CN"/>
              </w:rPr>
              <w:t>3</w:t>
            </w:r>
            <w:r>
              <w:rPr>
                <w:rFonts w:hint="eastAsia"/>
                <w:color w:val="auto"/>
                <w:highlight w:val="none"/>
                <w:lang w:val="en-US" w:eastAsia="zh-CN"/>
              </w:rPr>
              <w:t>、编织袋拦挡145m</w:t>
            </w:r>
            <w:r>
              <w:rPr>
                <w:rFonts w:hint="eastAsia"/>
                <w:color w:val="auto"/>
                <w:highlight w:val="none"/>
                <w:vertAlign w:val="superscript"/>
                <w:lang w:val="en-US" w:eastAsia="zh-CN"/>
              </w:rPr>
              <w:t>3</w:t>
            </w:r>
            <w:r>
              <w:rPr>
                <w:rFonts w:hint="eastAsia"/>
                <w:color w:val="auto"/>
                <w:highlight w:val="none"/>
                <w:lang w:val="en-US" w:eastAsia="zh-CN"/>
              </w:rPr>
              <w:t>、表土养护0.4330hm</w:t>
            </w:r>
            <w:r>
              <w:rPr>
                <w:rFonts w:hint="eastAsia"/>
                <w:color w:val="auto"/>
                <w:highlight w:val="none"/>
                <w:vertAlign w:val="superscript"/>
                <w:lang w:val="en-US" w:eastAsia="zh-CN"/>
              </w:rPr>
              <w:t>2</w:t>
            </w:r>
            <w:r>
              <w:rPr>
                <w:rFonts w:hint="eastAsia"/>
                <w:color w:val="auto"/>
                <w:highlight w:val="none"/>
                <w:lang w:val="en-US" w:eastAsia="zh-CN"/>
              </w:rPr>
              <w:t>。</w:t>
            </w:r>
          </w:p>
          <w:p w14:paraId="59E5A5D8">
            <w:pPr>
              <w:ind w:firstLine="420" w:firstLineChars="200"/>
              <w:jc w:val="both"/>
              <w:rPr>
                <w:rFonts w:hint="default"/>
                <w:color w:val="auto"/>
                <w:highlight w:val="none"/>
                <w:lang w:val="en-US" w:eastAsia="zh-CN"/>
              </w:rPr>
            </w:pPr>
            <w:r>
              <w:rPr>
                <w:rFonts w:hint="eastAsia"/>
                <w:color w:val="auto"/>
                <w:highlight w:val="none"/>
                <w:lang w:val="en-US" w:eastAsia="zh-CN"/>
              </w:rPr>
              <w:t>边坡稳定性</w:t>
            </w:r>
            <w:r>
              <w:rPr>
                <w:rFonts w:hint="default"/>
                <w:color w:val="auto"/>
                <w:highlight w:val="none"/>
                <w:lang w:val="en-US" w:eastAsia="zh-CN"/>
              </w:rPr>
              <w:t>监测</w:t>
            </w:r>
            <w:r>
              <w:rPr>
                <w:rFonts w:hint="eastAsia"/>
                <w:color w:val="auto"/>
                <w:highlight w:val="none"/>
                <w:lang w:val="en-US" w:eastAsia="zh-CN"/>
              </w:rPr>
              <w:t>15</w:t>
            </w:r>
            <w:r>
              <w:rPr>
                <w:rFonts w:hint="default"/>
                <w:color w:val="auto"/>
                <w:highlight w:val="none"/>
              </w:rPr>
              <w:t>次； 地下水水位监测共</w:t>
            </w:r>
            <w:r>
              <w:rPr>
                <w:rFonts w:hint="eastAsia"/>
                <w:color w:val="auto"/>
                <w:highlight w:val="none"/>
                <w:lang w:val="en-US" w:eastAsia="zh-CN"/>
              </w:rPr>
              <w:t>12</w:t>
            </w:r>
            <w:r>
              <w:rPr>
                <w:rFonts w:hint="default"/>
                <w:color w:val="auto"/>
                <w:highlight w:val="none"/>
              </w:rPr>
              <w:t>次； 地下水水质监测共</w:t>
            </w:r>
            <w:r>
              <w:rPr>
                <w:rFonts w:hint="eastAsia"/>
                <w:color w:val="auto"/>
                <w:highlight w:val="none"/>
                <w:lang w:val="en-US" w:eastAsia="zh-CN"/>
              </w:rPr>
              <w:t>3</w:t>
            </w:r>
            <w:r>
              <w:rPr>
                <w:rFonts w:hint="default"/>
                <w:color w:val="auto"/>
                <w:highlight w:val="none"/>
              </w:rPr>
              <w:t>次。</w:t>
            </w:r>
            <w:r>
              <w:rPr>
                <w:rFonts w:hint="default"/>
                <w:color w:val="auto"/>
                <w:highlight w:val="none"/>
                <w:lang w:val="en-US" w:eastAsia="zh-CN"/>
              </w:rPr>
              <w:t>土地复垦</w:t>
            </w:r>
            <w:r>
              <w:rPr>
                <w:rFonts w:hint="eastAsia"/>
                <w:color w:val="auto"/>
                <w:highlight w:val="none"/>
                <w:lang w:val="en-US" w:eastAsia="zh-CN"/>
              </w:rPr>
              <w:t>4</w:t>
            </w:r>
            <w:r>
              <w:rPr>
                <w:rFonts w:hint="default"/>
                <w:color w:val="auto"/>
                <w:highlight w:val="none"/>
                <w:lang w:val="en-US" w:eastAsia="zh-CN"/>
              </w:rPr>
              <w:t>次。</w:t>
            </w:r>
          </w:p>
        </w:tc>
      </w:tr>
      <w:tr w14:paraId="7AC0C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pct"/>
            <w:vMerge w:val="continue"/>
            <w:noWrap w:val="0"/>
            <w:vAlign w:val="center"/>
          </w:tcPr>
          <w:p w14:paraId="1E030225">
            <w:pPr>
              <w:jc w:val="center"/>
              <w:rPr>
                <w:rFonts w:hint="default" w:ascii="Times New Roman" w:hAnsi="Times New Roman" w:cs="Times New Roman"/>
                <w:color w:val="auto"/>
                <w:kern w:val="0"/>
                <w:szCs w:val="21"/>
                <w:highlight w:val="none"/>
              </w:rPr>
            </w:pPr>
          </w:p>
        </w:tc>
        <w:tc>
          <w:tcPr>
            <w:tcW w:w="1105" w:type="pct"/>
            <w:noWrap w:val="0"/>
            <w:vAlign w:val="center"/>
          </w:tcPr>
          <w:p w14:paraId="58CC6B1B">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kern w:val="0"/>
                <w:szCs w:val="21"/>
                <w:highlight w:val="none"/>
              </w:rPr>
              <w:t>202</w:t>
            </w:r>
            <w:r>
              <w:rPr>
                <w:rFonts w:hint="default" w:ascii="Times New Roman" w:hAnsi="Times New Roman" w:cs="Times New Roman"/>
                <w:color w:val="auto"/>
                <w:kern w:val="0"/>
                <w:szCs w:val="21"/>
                <w:highlight w:val="none"/>
                <w:lang w:val="en-US" w:eastAsia="zh-CN"/>
              </w:rPr>
              <w:t>5</w:t>
            </w:r>
            <w:r>
              <w:rPr>
                <w:rFonts w:hint="default" w:ascii="Times New Roman" w:hAnsi="Times New Roman" w:cs="Times New Roman"/>
                <w:color w:val="auto"/>
                <w:kern w:val="0"/>
                <w:szCs w:val="21"/>
                <w:highlight w:val="none"/>
              </w:rPr>
              <w:t>.</w:t>
            </w:r>
            <w:r>
              <w:rPr>
                <w:rFonts w:hint="eastAsia" w:ascii="Times New Roman" w:hAnsi="Times New Roman" w:cs="Times New Roman"/>
                <w:color w:val="auto"/>
                <w:kern w:val="0"/>
                <w:szCs w:val="21"/>
                <w:highlight w:val="none"/>
                <w:lang w:val="en-US" w:eastAsia="zh-CN"/>
              </w:rPr>
              <w:t>5</w:t>
            </w:r>
            <w:r>
              <w:rPr>
                <w:rFonts w:hint="default" w:ascii="Times New Roman" w:hAnsi="Times New Roman" w:cs="Times New Roman"/>
                <w:color w:val="auto"/>
                <w:kern w:val="0"/>
                <w:szCs w:val="21"/>
                <w:highlight w:val="none"/>
              </w:rPr>
              <w:t>～202</w:t>
            </w:r>
            <w:r>
              <w:rPr>
                <w:rFonts w:hint="default" w:ascii="Times New Roman" w:hAnsi="Times New Roman" w:cs="Times New Roman"/>
                <w:color w:val="auto"/>
                <w:kern w:val="0"/>
                <w:szCs w:val="21"/>
                <w:highlight w:val="none"/>
                <w:lang w:val="en-US" w:eastAsia="zh-CN"/>
              </w:rPr>
              <w:t>6.</w:t>
            </w:r>
            <w:r>
              <w:rPr>
                <w:rFonts w:hint="eastAsia" w:ascii="Times New Roman" w:hAnsi="Times New Roman" w:cs="Times New Roman"/>
                <w:color w:val="auto"/>
                <w:kern w:val="0"/>
                <w:szCs w:val="21"/>
                <w:highlight w:val="none"/>
                <w:lang w:val="en-US" w:eastAsia="zh-CN"/>
              </w:rPr>
              <w:t>4</w:t>
            </w:r>
          </w:p>
        </w:tc>
        <w:tc>
          <w:tcPr>
            <w:tcW w:w="1316" w:type="dxa"/>
            <w:noWrap w:val="0"/>
            <w:vAlign w:val="center"/>
          </w:tcPr>
          <w:p w14:paraId="350B453D">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全矿区</w:t>
            </w:r>
          </w:p>
        </w:tc>
        <w:tc>
          <w:tcPr>
            <w:tcW w:w="2323" w:type="pct"/>
            <w:noWrap w:val="0"/>
            <w:vAlign w:val="center"/>
          </w:tcPr>
          <w:p w14:paraId="4CFBE099">
            <w:pPr>
              <w:ind w:firstLine="420" w:firstLineChars="200"/>
              <w:jc w:val="both"/>
              <w:rPr>
                <w:rFonts w:hint="default"/>
                <w:color w:val="auto"/>
                <w:highlight w:val="none"/>
                <w:lang w:val="en-US" w:eastAsia="zh-CN"/>
              </w:rPr>
            </w:pPr>
            <w:r>
              <w:rPr>
                <w:rFonts w:hint="eastAsia"/>
                <w:color w:val="auto"/>
                <w:highlight w:val="none"/>
                <w:lang w:val="en-US" w:eastAsia="zh-CN"/>
              </w:rPr>
              <w:t>原有办公室及临时堆料场拆除建筑物92m</w:t>
            </w:r>
            <w:r>
              <w:rPr>
                <w:rFonts w:hint="eastAsia"/>
                <w:color w:val="auto"/>
                <w:highlight w:val="none"/>
                <w:vertAlign w:val="superscript"/>
                <w:lang w:val="en-US" w:eastAsia="zh-CN"/>
              </w:rPr>
              <w:t>3</w:t>
            </w:r>
            <w:r>
              <w:rPr>
                <w:rFonts w:hint="eastAsia"/>
                <w:color w:val="auto"/>
                <w:highlight w:val="none"/>
                <w:lang w:val="en-US" w:eastAsia="zh-CN"/>
              </w:rPr>
              <w:t>、清理硬覆盖236m</w:t>
            </w:r>
            <w:r>
              <w:rPr>
                <w:rFonts w:hint="eastAsia"/>
                <w:color w:val="auto"/>
                <w:highlight w:val="none"/>
                <w:vertAlign w:val="superscript"/>
                <w:lang w:val="en-US" w:eastAsia="zh-CN"/>
              </w:rPr>
              <w:t>3</w:t>
            </w:r>
            <w:r>
              <w:rPr>
                <w:rFonts w:hint="eastAsia"/>
                <w:color w:val="auto"/>
                <w:highlight w:val="none"/>
                <w:lang w:val="en-US" w:eastAsia="zh-CN"/>
              </w:rPr>
              <w:t>、运输建筑垃圾及硬覆盖328m</w:t>
            </w:r>
            <w:r>
              <w:rPr>
                <w:rFonts w:hint="eastAsia"/>
                <w:color w:val="auto"/>
                <w:highlight w:val="none"/>
                <w:vertAlign w:val="superscript"/>
                <w:lang w:val="en-US" w:eastAsia="zh-CN"/>
              </w:rPr>
              <w:t>3</w:t>
            </w:r>
            <w:r>
              <w:rPr>
                <w:rFonts w:hint="eastAsia"/>
                <w:color w:val="auto"/>
                <w:highlight w:val="none"/>
                <w:lang w:val="en-US" w:eastAsia="zh-CN"/>
              </w:rPr>
              <w:t>。场地平整177m</w:t>
            </w:r>
            <w:r>
              <w:rPr>
                <w:rFonts w:hint="eastAsia"/>
                <w:color w:val="auto"/>
                <w:highlight w:val="none"/>
                <w:vertAlign w:val="superscript"/>
                <w:lang w:val="en-US" w:eastAsia="zh-CN"/>
              </w:rPr>
              <w:t>3</w:t>
            </w:r>
            <w:r>
              <w:rPr>
                <w:rFonts w:hint="eastAsia"/>
                <w:color w:val="auto"/>
                <w:highlight w:val="none"/>
                <w:lang w:val="en-US" w:eastAsia="zh-CN"/>
              </w:rPr>
              <w:t>。</w:t>
            </w:r>
          </w:p>
          <w:p w14:paraId="323BCEA6">
            <w:pPr>
              <w:ind w:firstLine="420" w:firstLineChars="200"/>
              <w:jc w:val="both"/>
              <w:rPr>
                <w:rFonts w:hint="default" w:ascii="Times New Roman" w:hAnsi="Times New Roman" w:cs="Times New Roman"/>
                <w:color w:val="auto"/>
                <w:szCs w:val="21"/>
                <w:highlight w:val="none"/>
              </w:rPr>
            </w:pPr>
            <w:r>
              <w:rPr>
                <w:rFonts w:hint="eastAsia"/>
                <w:color w:val="auto"/>
                <w:highlight w:val="none"/>
                <w:lang w:val="en-US" w:eastAsia="zh-CN"/>
              </w:rPr>
              <w:t>边坡稳定性</w:t>
            </w:r>
            <w:r>
              <w:rPr>
                <w:rFonts w:hint="default"/>
                <w:color w:val="auto"/>
                <w:highlight w:val="none"/>
                <w:lang w:val="en-US" w:eastAsia="zh-CN"/>
              </w:rPr>
              <w:t>监测</w:t>
            </w:r>
            <w:r>
              <w:rPr>
                <w:rFonts w:hint="eastAsia"/>
                <w:color w:val="auto"/>
                <w:highlight w:val="none"/>
                <w:lang w:val="en-US" w:eastAsia="zh-CN"/>
              </w:rPr>
              <w:t>15</w:t>
            </w:r>
            <w:r>
              <w:rPr>
                <w:rFonts w:hint="default"/>
                <w:color w:val="auto"/>
                <w:highlight w:val="none"/>
              </w:rPr>
              <w:t>次； 地下水水位监测共</w:t>
            </w:r>
            <w:r>
              <w:rPr>
                <w:rFonts w:hint="eastAsia"/>
                <w:color w:val="auto"/>
                <w:highlight w:val="none"/>
                <w:lang w:val="en-US" w:eastAsia="zh-CN"/>
              </w:rPr>
              <w:t>12</w:t>
            </w:r>
            <w:r>
              <w:rPr>
                <w:rFonts w:hint="default"/>
                <w:color w:val="auto"/>
                <w:highlight w:val="none"/>
              </w:rPr>
              <w:t>次； 地下水水质监测共</w:t>
            </w:r>
            <w:r>
              <w:rPr>
                <w:rFonts w:hint="eastAsia"/>
                <w:color w:val="auto"/>
                <w:highlight w:val="none"/>
                <w:lang w:val="en-US" w:eastAsia="zh-CN"/>
              </w:rPr>
              <w:t>3</w:t>
            </w:r>
            <w:r>
              <w:rPr>
                <w:rFonts w:hint="default"/>
                <w:color w:val="auto"/>
                <w:highlight w:val="none"/>
              </w:rPr>
              <w:t>次。</w:t>
            </w:r>
            <w:r>
              <w:rPr>
                <w:rFonts w:hint="default"/>
                <w:color w:val="auto"/>
                <w:highlight w:val="none"/>
                <w:lang w:val="en-US" w:eastAsia="zh-CN"/>
              </w:rPr>
              <w:t>土地复垦</w:t>
            </w:r>
            <w:r>
              <w:rPr>
                <w:rFonts w:hint="eastAsia"/>
                <w:color w:val="auto"/>
                <w:highlight w:val="none"/>
                <w:lang w:val="en-US" w:eastAsia="zh-CN"/>
              </w:rPr>
              <w:t>4</w:t>
            </w:r>
            <w:r>
              <w:rPr>
                <w:rFonts w:hint="default"/>
                <w:color w:val="auto"/>
                <w:highlight w:val="none"/>
                <w:lang w:val="en-US" w:eastAsia="zh-CN"/>
              </w:rPr>
              <w:t>次。</w:t>
            </w:r>
          </w:p>
        </w:tc>
      </w:tr>
      <w:tr w14:paraId="132AF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pct"/>
            <w:vMerge w:val="continue"/>
            <w:noWrap w:val="0"/>
            <w:vAlign w:val="center"/>
          </w:tcPr>
          <w:p w14:paraId="371C3871">
            <w:pPr>
              <w:jc w:val="center"/>
              <w:rPr>
                <w:rFonts w:hint="default" w:ascii="Times New Roman" w:hAnsi="Times New Roman" w:cs="Times New Roman"/>
                <w:color w:val="auto"/>
                <w:kern w:val="0"/>
                <w:szCs w:val="21"/>
                <w:highlight w:val="none"/>
              </w:rPr>
            </w:pPr>
          </w:p>
        </w:tc>
        <w:tc>
          <w:tcPr>
            <w:tcW w:w="1105" w:type="pct"/>
            <w:shd w:val="clear" w:color="auto" w:fill="auto"/>
            <w:noWrap w:val="0"/>
            <w:vAlign w:val="center"/>
          </w:tcPr>
          <w:p w14:paraId="75ABBC49">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0"/>
                <w:szCs w:val="21"/>
                <w:highlight w:val="none"/>
              </w:rPr>
              <w:t>202</w:t>
            </w:r>
            <w:r>
              <w:rPr>
                <w:rFonts w:hint="eastAsia" w:ascii="Times New Roman" w:hAnsi="Times New Roman" w:cs="Times New Roman"/>
                <w:color w:val="auto"/>
                <w:kern w:val="0"/>
                <w:szCs w:val="21"/>
                <w:highlight w:val="none"/>
                <w:lang w:val="en-US" w:eastAsia="zh-CN"/>
              </w:rPr>
              <w:t>6</w:t>
            </w:r>
            <w:r>
              <w:rPr>
                <w:rFonts w:hint="default" w:ascii="Times New Roman" w:hAnsi="Times New Roman" w:cs="Times New Roman"/>
                <w:color w:val="auto"/>
                <w:kern w:val="0"/>
                <w:szCs w:val="21"/>
                <w:highlight w:val="none"/>
              </w:rPr>
              <w:t>.</w:t>
            </w:r>
            <w:r>
              <w:rPr>
                <w:rFonts w:hint="eastAsia" w:ascii="Times New Roman" w:hAnsi="Times New Roman" w:cs="Times New Roman"/>
                <w:color w:val="auto"/>
                <w:kern w:val="0"/>
                <w:szCs w:val="21"/>
                <w:highlight w:val="none"/>
                <w:lang w:val="en-US" w:eastAsia="zh-CN"/>
              </w:rPr>
              <w:t>5</w:t>
            </w:r>
            <w:r>
              <w:rPr>
                <w:rFonts w:hint="default" w:ascii="Times New Roman" w:hAnsi="Times New Roman" w:cs="Times New Roman"/>
                <w:color w:val="auto"/>
                <w:kern w:val="0"/>
                <w:szCs w:val="21"/>
                <w:highlight w:val="none"/>
              </w:rPr>
              <w:t>～202</w:t>
            </w:r>
            <w:r>
              <w:rPr>
                <w:rFonts w:hint="eastAsia" w:ascii="Times New Roman" w:hAnsi="Times New Roman" w:cs="Times New Roman"/>
                <w:color w:val="auto"/>
                <w:kern w:val="0"/>
                <w:szCs w:val="21"/>
                <w:highlight w:val="none"/>
                <w:lang w:val="en-US" w:eastAsia="zh-CN"/>
              </w:rPr>
              <w:t>7</w:t>
            </w:r>
            <w:r>
              <w:rPr>
                <w:rFonts w:hint="default" w:ascii="Times New Roman" w:hAnsi="Times New Roman" w:cs="Times New Roman"/>
                <w:color w:val="auto"/>
                <w:kern w:val="0"/>
                <w:szCs w:val="21"/>
                <w:highlight w:val="none"/>
                <w:lang w:val="en-US" w:eastAsia="zh-CN"/>
              </w:rPr>
              <w:t>.</w:t>
            </w:r>
            <w:r>
              <w:rPr>
                <w:rFonts w:hint="eastAsia" w:ascii="Times New Roman" w:hAnsi="Times New Roman" w:cs="Times New Roman"/>
                <w:color w:val="auto"/>
                <w:kern w:val="0"/>
                <w:szCs w:val="21"/>
                <w:highlight w:val="none"/>
                <w:lang w:val="en-US" w:eastAsia="zh-CN"/>
              </w:rPr>
              <w:t>4</w:t>
            </w:r>
          </w:p>
        </w:tc>
        <w:tc>
          <w:tcPr>
            <w:tcW w:w="1316" w:type="dxa"/>
            <w:noWrap w:val="0"/>
            <w:vAlign w:val="center"/>
          </w:tcPr>
          <w:p w14:paraId="52E4D677">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全矿区</w:t>
            </w:r>
          </w:p>
        </w:tc>
        <w:tc>
          <w:tcPr>
            <w:tcW w:w="2323" w:type="pct"/>
            <w:noWrap w:val="0"/>
            <w:vAlign w:val="center"/>
          </w:tcPr>
          <w:p w14:paraId="69796C74">
            <w:pPr>
              <w:ind w:firstLine="420" w:firstLineChars="200"/>
              <w:jc w:val="both"/>
              <w:rPr>
                <w:rFonts w:hint="default"/>
                <w:color w:val="auto"/>
                <w:highlight w:val="none"/>
                <w:lang w:val="en-US" w:eastAsia="zh-CN"/>
              </w:rPr>
            </w:pPr>
            <w:r>
              <w:rPr>
                <w:rFonts w:hint="eastAsia"/>
                <w:color w:val="auto"/>
                <w:highlight w:val="none"/>
                <w:lang w:val="en-US" w:eastAsia="zh-CN"/>
              </w:rPr>
              <w:t>原有办公室及临时堆料场土地翻耕0.1178hm</w:t>
            </w:r>
            <w:r>
              <w:rPr>
                <w:rFonts w:hint="eastAsia"/>
                <w:color w:val="auto"/>
                <w:highlight w:val="none"/>
                <w:vertAlign w:val="superscript"/>
                <w:lang w:val="en-US" w:eastAsia="zh-CN"/>
              </w:rPr>
              <w:t>2</w:t>
            </w:r>
            <w:r>
              <w:rPr>
                <w:rFonts w:hint="eastAsia"/>
                <w:color w:val="auto"/>
                <w:highlight w:val="none"/>
                <w:vertAlign w:val="baseline"/>
                <w:lang w:val="en-US" w:eastAsia="zh-CN"/>
              </w:rPr>
              <w:t>、</w:t>
            </w:r>
            <w:r>
              <w:rPr>
                <w:rFonts w:hint="eastAsia"/>
                <w:color w:val="auto"/>
                <w:highlight w:val="none"/>
                <w:lang w:val="en-US" w:eastAsia="zh-CN"/>
              </w:rPr>
              <w:t>表土运输及回填353m</w:t>
            </w:r>
            <w:r>
              <w:rPr>
                <w:rFonts w:hint="eastAsia"/>
                <w:color w:val="auto"/>
                <w:highlight w:val="none"/>
                <w:vertAlign w:val="superscript"/>
                <w:lang w:val="en-US" w:eastAsia="zh-CN"/>
              </w:rPr>
              <w:t>3</w:t>
            </w:r>
            <w:r>
              <w:rPr>
                <w:rFonts w:hint="eastAsia"/>
                <w:color w:val="auto"/>
                <w:highlight w:val="none"/>
                <w:lang w:val="en-US" w:eastAsia="zh-CN"/>
              </w:rPr>
              <w:t>、栽植乔木295株、播撒草籽0.1178hm</w:t>
            </w:r>
            <w:r>
              <w:rPr>
                <w:rFonts w:hint="eastAsia"/>
                <w:color w:val="auto"/>
                <w:highlight w:val="none"/>
                <w:vertAlign w:val="superscript"/>
                <w:lang w:val="en-US" w:eastAsia="zh-CN"/>
              </w:rPr>
              <w:t>2</w:t>
            </w:r>
            <w:r>
              <w:rPr>
                <w:rFonts w:hint="eastAsia"/>
                <w:color w:val="auto"/>
                <w:highlight w:val="none"/>
                <w:lang w:val="en-US" w:eastAsia="zh-CN"/>
              </w:rPr>
              <w:t>。</w:t>
            </w:r>
          </w:p>
          <w:p w14:paraId="73CCD712">
            <w:pPr>
              <w:ind w:firstLine="420" w:firstLineChars="200"/>
              <w:jc w:val="both"/>
              <w:rPr>
                <w:rFonts w:hint="default" w:ascii="Times New Roman" w:hAnsi="Times New Roman" w:cs="Times New Roman"/>
                <w:color w:val="auto"/>
                <w:szCs w:val="21"/>
                <w:highlight w:val="none"/>
              </w:rPr>
            </w:pPr>
            <w:r>
              <w:rPr>
                <w:rFonts w:hint="eastAsia"/>
                <w:color w:val="auto"/>
                <w:highlight w:val="none"/>
                <w:lang w:val="en-US" w:eastAsia="zh-CN"/>
              </w:rPr>
              <w:t>边坡稳定性</w:t>
            </w:r>
            <w:r>
              <w:rPr>
                <w:rFonts w:hint="default"/>
                <w:color w:val="auto"/>
                <w:highlight w:val="none"/>
                <w:lang w:val="en-US" w:eastAsia="zh-CN"/>
              </w:rPr>
              <w:t>监测</w:t>
            </w:r>
            <w:r>
              <w:rPr>
                <w:rFonts w:hint="eastAsia"/>
                <w:color w:val="auto"/>
                <w:highlight w:val="none"/>
                <w:lang w:val="en-US" w:eastAsia="zh-CN"/>
              </w:rPr>
              <w:t>15</w:t>
            </w:r>
            <w:r>
              <w:rPr>
                <w:rFonts w:hint="default"/>
                <w:color w:val="auto"/>
                <w:highlight w:val="none"/>
              </w:rPr>
              <w:t>次； 地下水水位监测共</w:t>
            </w:r>
            <w:r>
              <w:rPr>
                <w:rFonts w:hint="eastAsia"/>
                <w:color w:val="auto"/>
                <w:highlight w:val="none"/>
                <w:lang w:val="en-US" w:eastAsia="zh-CN"/>
              </w:rPr>
              <w:t>12</w:t>
            </w:r>
            <w:r>
              <w:rPr>
                <w:rFonts w:hint="default"/>
                <w:color w:val="auto"/>
                <w:highlight w:val="none"/>
              </w:rPr>
              <w:t>次；地下水水质监测共</w:t>
            </w:r>
            <w:r>
              <w:rPr>
                <w:rFonts w:hint="eastAsia"/>
                <w:color w:val="auto"/>
                <w:highlight w:val="none"/>
                <w:lang w:val="en-US" w:eastAsia="zh-CN"/>
              </w:rPr>
              <w:t>3</w:t>
            </w:r>
            <w:r>
              <w:rPr>
                <w:rFonts w:hint="default"/>
                <w:color w:val="auto"/>
                <w:highlight w:val="none"/>
              </w:rPr>
              <w:t>次。</w:t>
            </w:r>
            <w:r>
              <w:rPr>
                <w:rFonts w:hint="default"/>
                <w:color w:val="auto"/>
                <w:highlight w:val="none"/>
                <w:lang w:val="en-US" w:eastAsia="zh-CN"/>
              </w:rPr>
              <w:t>土地复垦</w:t>
            </w:r>
            <w:r>
              <w:rPr>
                <w:rFonts w:hint="eastAsia"/>
                <w:color w:val="auto"/>
                <w:highlight w:val="none"/>
                <w:lang w:val="en-US" w:eastAsia="zh-CN"/>
              </w:rPr>
              <w:t>4</w:t>
            </w:r>
            <w:r>
              <w:rPr>
                <w:rFonts w:hint="default"/>
                <w:color w:val="auto"/>
                <w:highlight w:val="none"/>
                <w:lang w:val="en-US" w:eastAsia="zh-CN"/>
              </w:rPr>
              <w:t>次。</w:t>
            </w:r>
          </w:p>
        </w:tc>
      </w:tr>
      <w:tr w14:paraId="7AAFE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pct"/>
            <w:vMerge w:val="continue"/>
            <w:noWrap w:val="0"/>
            <w:vAlign w:val="center"/>
          </w:tcPr>
          <w:p w14:paraId="5F7F69EF">
            <w:pPr>
              <w:jc w:val="center"/>
              <w:rPr>
                <w:rFonts w:hint="default" w:ascii="Times New Roman" w:hAnsi="Times New Roman" w:cs="Times New Roman"/>
                <w:color w:val="auto"/>
                <w:kern w:val="0"/>
                <w:szCs w:val="21"/>
                <w:highlight w:val="none"/>
              </w:rPr>
            </w:pPr>
          </w:p>
        </w:tc>
        <w:tc>
          <w:tcPr>
            <w:tcW w:w="1105" w:type="pct"/>
            <w:noWrap w:val="0"/>
            <w:vAlign w:val="center"/>
          </w:tcPr>
          <w:p w14:paraId="68324229">
            <w:pPr>
              <w:jc w:val="center"/>
              <w:rPr>
                <w:rFonts w:hint="default" w:ascii="Times New Roman" w:hAnsi="Times New Roman" w:cs="Times New Roman"/>
                <w:color w:val="auto"/>
                <w:kern w:val="0"/>
                <w:szCs w:val="21"/>
                <w:highlight w:val="none"/>
                <w:lang w:val="en-US"/>
              </w:rPr>
            </w:pPr>
            <w:r>
              <w:rPr>
                <w:rFonts w:hint="default" w:ascii="Times New Roman" w:hAnsi="Times New Roman" w:cs="Times New Roman"/>
                <w:color w:val="auto"/>
                <w:kern w:val="0"/>
                <w:szCs w:val="21"/>
                <w:highlight w:val="none"/>
              </w:rPr>
              <w:t>202</w:t>
            </w:r>
            <w:r>
              <w:rPr>
                <w:rFonts w:hint="eastAsia" w:ascii="Times New Roman" w:hAnsi="Times New Roman" w:cs="Times New Roman"/>
                <w:color w:val="auto"/>
                <w:kern w:val="0"/>
                <w:szCs w:val="21"/>
                <w:highlight w:val="none"/>
                <w:lang w:val="en-US" w:eastAsia="zh-CN"/>
              </w:rPr>
              <w:t>7</w:t>
            </w:r>
            <w:r>
              <w:rPr>
                <w:rFonts w:hint="default" w:ascii="Times New Roman" w:hAnsi="Times New Roman" w:cs="Times New Roman"/>
                <w:color w:val="auto"/>
                <w:kern w:val="0"/>
                <w:szCs w:val="21"/>
                <w:highlight w:val="none"/>
              </w:rPr>
              <w:t>.</w:t>
            </w:r>
            <w:r>
              <w:rPr>
                <w:rFonts w:hint="eastAsia" w:ascii="Times New Roman" w:hAnsi="Times New Roman" w:cs="Times New Roman"/>
                <w:color w:val="auto"/>
                <w:kern w:val="0"/>
                <w:szCs w:val="21"/>
                <w:highlight w:val="none"/>
                <w:lang w:val="en-US" w:eastAsia="zh-CN"/>
              </w:rPr>
              <w:t>5</w:t>
            </w:r>
            <w:r>
              <w:rPr>
                <w:rFonts w:hint="default" w:ascii="Times New Roman" w:hAnsi="Times New Roman" w:cs="Times New Roman"/>
                <w:color w:val="auto"/>
                <w:kern w:val="0"/>
                <w:szCs w:val="21"/>
                <w:highlight w:val="none"/>
              </w:rPr>
              <w:t>～202</w:t>
            </w:r>
            <w:r>
              <w:rPr>
                <w:rFonts w:hint="eastAsia" w:ascii="Times New Roman" w:hAnsi="Times New Roman" w:cs="Times New Roman"/>
                <w:color w:val="auto"/>
                <w:kern w:val="0"/>
                <w:szCs w:val="21"/>
                <w:highlight w:val="none"/>
                <w:lang w:val="en-US" w:eastAsia="zh-CN"/>
              </w:rPr>
              <w:t>7</w:t>
            </w:r>
            <w:r>
              <w:rPr>
                <w:rFonts w:hint="default" w:ascii="Times New Roman" w:hAnsi="Times New Roman" w:cs="Times New Roman"/>
                <w:color w:val="auto"/>
                <w:kern w:val="0"/>
                <w:szCs w:val="21"/>
                <w:highlight w:val="none"/>
                <w:lang w:val="en-US" w:eastAsia="zh-CN"/>
              </w:rPr>
              <w:t>.</w:t>
            </w:r>
            <w:r>
              <w:rPr>
                <w:rFonts w:hint="eastAsia" w:ascii="Times New Roman" w:hAnsi="Times New Roman" w:cs="Times New Roman"/>
                <w:color w:val="auto"/>
                <w:kern w:val="0"/>
                <w:szCs w:val="21"/>
                <w:highlight w:val="none"/>
                <w:lang w:val="en-US" w:eastAsia="zh-CN"/>
              </w:rPr>
              <w:t>12</w:t>
            </w:r>
          </w:p>
        </w:tc>
        <w:tc>
          <w:tcPr>
            <w:tcW w:w="1316" w:type="dxa"/>
            <w:noWrap w:val="0"/>
            <w:vAlign w:val="center"/>
          </w:tcPr>
          <w:p w14:paraId="0FFD8444">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全矿区</w:t>
            </w:r>
          </w:p>
        </w:tc>
        <w:tc>
          <w:tcPr>
            <w:tcW w:w="2323" w:type="pct"/>
            <w:noWrap w:val="0"/>
            <w:vAlign w:val="center"/>
          </w:tcPr>
          <w:p w14:paraId="0D83FCA8">
            <w:pPr>
              <w:ind w:firstLine="420" w:firstLineChars="200"/>
              <w:jc w:val="both"/>
              <w:rPr>
                <w:rFonts w:hint="default" w:ascii="Times New Roman" w:hAnsi="Times New Roman" w:cs="Times New Roman"/>
                <w:color w:val="auto"/>
                <w:szCs w:val="21"/>
                <w:highlight w:val="none"/>
              </w:rPr>
            </w:pPr>
            <w:r>
              <w:rPr>
                <w:rFonts w:hint="eastAsia"/>
                <w:color w:val="auto"/>
                <w:highlight w:val="none"/>
                <w:lang w:val="en-US" w:eastAsia="zh-CN"/>
              </w:rPr>
              <w:t>边坡稳定性</w:t>
            </w:r>
            <w:r>
              <w:rPr>
                <w:rFonts w:hint="default"/>
                <w:color w:val="auto"/>
                <w:highlight w:val="none"/>
                <w:lang w:val="en-US" w:eastAsia="zh-CN"/>
              </w:rPr>
              <w:t>监测</w:t>
            </w:r>
            <w:r>
              <w:rPr>
                <w:rFonts w:hint="eastAsia"/>
                <w:color w:val="auto"/>
                <w:highlight w:val="none"/>
                <w:lang w:val="en-US" w:eastAsia="zh-CN"/>
              </w:rPr>
              <w:t>11</w:t>
            </w:r>
            <w:r>
              <w:rPr>
                <w:rFonts w:hint="default"/>
                <w:color w:val="auto"/>
                <w:highlight w:val="none"/>
              </w:rPr>
              <w:t>次； 地下水水位监测共</w:t>
            </w:r>
            <w:r>
              <w:rPr>
                <w:rFonts w:hint="eastAsia"/>
                <w:color w:val="auto"/>
                <w:highlight w:val="none"/>
                <w:lang w:val="en-US" w:eastAsia="zh-CN"/>
              </w:rPr>
              <w:t>9</w:t>
            </w:r>
            <w:r>
              <w:rPr>
                <w:rFonts w:hint="default"/>
                <w:color w:val="auto"/>
                <w:highlight w:val="none"/>
              </w:rPr>
              <w:t>次； 地下水水质监测共</w:t>
            </w:r>
            <w:r>
              <w:rPr>
                <w:rFonts w:hint="eastAsia"/>
                <w:color w:val="auto"/>
                <w:highlight w:val="none"/>
                <w:lang w:val="en-US" w:eastAsia="zh-CN"/>
              </w:rPr>
              <w:t>2</w:t>
            </w:r>
            <w:r>
              <w:rPr>
                <w:rFonts w:hint="default"/>
                <w:color w:val="auto"/>
                <w:highlight w:val="none"/>
              </w:rPr>
              <w:t>次。</w:t>
            </w:r>
            <w:r>
              <w:rPr>
                <w:rFonts w:hint="default"/>
                <w:color w:val="auto"/>
                <w:highlight w:val="none"/>
                <w:lang w:val="en-US" w:eastAsia="zh-CN"/>
              </w:rPr>
              <w:t>土地复垦</w:t>
            </w:r>
            <w:r>
              <w:rPr>
                <w:rFonts w:hint="eastAsia"/>
                <w:color w:val="auto"/>
                <w:highlight w:val="none"/>
                <w:lang w:val="en-US" w:eastAsia="zh-CN"/>
              </w:rPr>
              <w:t>3</w:t>
            </w:r>
            <w:r>
              <w:rPr>
                <w:rFonts w:hint="default"/>
                <w:color w:val="auto"/>
                <w:highlight w:val="none"/>
                <w:lang w:val="en-US" w:eastAsia="zh-CN"/>
              </w:rPr>
              <w:t>次。</w:t>
            </w:r>
          </w:p>
        </w:tc>
      </w:tr>
      <w:tr w14:paraId="7BC33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pct"/>
            <w:vMerge w:val="restart"/>
            <w:noWrap w:val="0"/>
            <w:vAlign w:val="center"/>
          </w:tcPr>
          <w:p w14:paraId="0723B553">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闭矿后期</w:t>
            </w:r>
          </w:p>
          <w:p w14:paraId="7109E957">
            <w:pPr>
              <w:jc w:val="center"/>
              <w:rPr>
                <w:rFonts w:hint="default" w:ascii="Times New Roman" w:hAnsi="Times New Roman" w:cs="Times New Roman"/>
                <w:color w:val="auto"/>
                <w:kern w:val="0"/>
                <w:szCs w:val="21"/>
                <w:highlight w:val="none"/>
              </w:rPr>
            </w:pPr>
            <w:r>
              <w:rPr>
                <w:rFonts w:hint="eastAsia" w:cs="Times New Roman"/>
                <w:color w:val="auto"/>
                <w:kern w:val="0"/>
                <w:szCs w:val="21"/>
                <w:highlight w:val="none"/>
                <w:lang w:eastAsia="zh-CN"/>
              </w:rPr>
              <w:t>（</w:t>
            </w:r>
            <w:r>
              <w:rPr>
                <w:rFonts w:hint="eastAsia" w:cs="Times New Roman"/>
                <w:color w:val="auto"/>
                <w:kern w:val="0"/>
                <w:szCs w:val="21"/>
                <w:highlight w:val="none"/>
                <w:lang w:val="en-US" w:eastAsia="zh-CN"/>
              </w:rPr>
              <w:t>4年</w:t>
            </w:r>
            <w:r>
              <w:rPr>
                <w:rFonts w:hint="eastAsia" w:cs="Times New Roman"/>
                <w:color w:val="auto"/>
                <w:kern w:val="0"/>
                <w:szCs w:val="21"/>
                <w:highlight w:val="none"/>
                <w:lang w:eastAsia="zh-CN"/>
              </w:rPr>
              <w:t>）</w:t>
            </w:r>
          </w:p>
        </w:tc>
        <w:tc>
          <w:tcPr>
            <w:tcW w:w="1105" w:type="pct"/>
            <w:noWrap w:val="0"/>
            <w:vAlign w:val="center"/>
          </w:tcPr>
          <w:p w14:paraId="26474D4A">
            <w:pPr>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highlight w:val="none"/>
                <w:lang w:val="en-US" w:eastAsia="zh-CN"/>
              </w:rPr>
              <w:t>2028.1</w:t>
            </w:r>
            <w:r>
              <w:rPr>
                <w:rFonts w:hint="default" w:ascii="Times New Roman" w:hAnsi="Times New Roman" w:cs="Times New Roman"/>
                <w:color w:val="auto"/>
                <w:kern w:val="0"/>
                <w:szCs w:val="21"/>
                <w:highlight w:val="none"/>
              </w:rPr>
              <w:t>～</w:t>
            </w:r>
            <w:r>
              <w:rPr>
                <w:rFonts w:hint="eastAsia" w:ascii="Times New Roman" w:hAnsi="Times New Roman" w:cs="Times New Roman"/>
                <w:color w:val="auto"/>
                <w:kern w:val="0"/>
                <w:szCs w:val="21"/>
                <w:highlight w:val="none"/>
                <w:lang w:val="en-US" w:eastAsia="zh-CN"/>
              </w:rPr>
              <w:t>2028.12</w:t>
            </w:r>
          </w:p>
        </w:tc>
        <w:tc>
          <w:tcPr>
            <w:tcW w:w="1316" w:type="dxa"/>
            <w:noWrap w:val="0"/>
            <w:vAlign w:val="center"/>
          </w:tcPr>
          <w:p w14:paraId="674B123D">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全矿区</w:t>
            </w:r>
          </w:p>
        </w:tc>
        <w:tc>
          <w:tcPr>
            <w:tcW w:w="2323" w:type="pct"/>
            <w:noWrap w:val="0"/>
            <w:vAlign w:val="center"/>
          </w:tcPr>
          <w:p w14:paraId="03897785">
            <w:pPr>
              <w:ind w:firstLine="420" w:firstLineChars="200"/>
              <w:jc w:val="both"/>
              <w:rPr>
                <w:rFonts w:hint="default" w:cs="Times New Roman"/>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边坡清理</w:t>
            </w:r>
            <w:r>
              <w:rPr>
                <w:rFonts w:hint="eastAsia" w:cs="Times New Roman"/>
                <w:bCs/>
                <w:color w:val="auto"/>
                <w:sz w:val="21"/>
                <w:szCs w:val="21"/>
                <w:highlight w:val="none"/>
                <w:lang w:val="en-US" w:eastAsia="zh-CN"/>
              </w:rPr>
              <w:t>586</w:t>
            </w:r>
            <w:r>
              <w:rPr>
                <w:rFonts w:hint="default" w:ascii="Times New Roman" w:hAnsi="Times New Roman" w:cs="Times New Roman"/>
                <w:bCs/>
                <w:color w:val="auto"/>
                <w:sz w:val="21"/>
                <w:szCs w:val="21"/>
                <w:highlight w:val="none"/>
                <w:lang w:val="en-US" w:eastAsia="zh-CN"/>
              </w:rPr>
              <w:t>m</w:t>
            </w:r>
            <w:r>
              <w:rPr>
                <w:rFonts w:hint="default" w:ascii="Times New Roman" w:hAnsi="Times New Roman" w:cs="Times New Roman"/>
                <w:bCs/>
                <w:color w:val="auto"/>
                <w:sz w:val="21"/>
                <w:szCs w:val="21"/>
                <w:highlight w:val="none"/>
                <w:vertAlign w:val="superscript"/>
                <w:lang w:val="en-US" w:eastAsia="zh-CN"/>
              </w:rPr>
              <w:t>3</w:t>
            </w:r>
            <w:r>
              <w:rPr>
                <w:rFonts w:hint="default" w:ascii="Times New Roman" w:hAnsi="Times New Roman" w:cs="Times New Roman"/>
                <w:bCs/>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拆除</w:t>
            </w:r>
            <w:r>
              <w:rPr>
                <w:rFonts w:hint="eastAsia" w:cs="Times New Roman"/>
                <w:color w:val="auto"/>
                <w:sz w:val="21"/>
                <w:szCs w:val="21"/>
                <w:highlight w:val="none"/>
                <w:lang w:val="en-US" w:eastAsia="zh-CN"/>
              </w:rPr>
              <w:t>建筑物342</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清除硬覆盖325m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vertAlign w:val="baseline"/>
                <w:lang w:val="en-US" w:eastAsia="zh-CN"/>
              </w:rPr>
              <w:t>运输建筑垃圾</w:t>
            </w:r>
            <w:r>
              <w:rPr>
                <w:rFonts w:hint="eastAsia" w:cs="Times New Roman"/>
                <w:color w:val="auto"/>
                <w:sz w:val="21"/>
                <w:szCs w:val="21"/>
                <w:highlight w:val="none"/>
                <w:vertAlign w:val="baseline"/>
                <w:lang w:val="en-US" w:eastAsia="zh-CN"/>
              </w:rPr>
              <w:t>及硬覆盖667</w:t>
            </w:r>
            <w:r>
              <w:rPr>
                <w:rFonts w:hint="default" w:ascii="Times New Roman" w:hAnsi="Times New Roman" w:cs="Times New Roman"/>
                <w:color w:val="auto"/>
                <w:sz w:val="21"/>
                <w:szCs w:val="21"/>
                <w:highlight w:val="none"/>
                <w:vertAlign w:val="baseline"/>
                <w:lang w:val="en-US" w:eastAsia="zh-CN"/>
              </w:rPr>
              <w:t>m</w:t>
            </w:r>
            <w:r>
              <w:rPr>
                <w:rFonts w:hint="default" w:ascii="Times New Roman" w:hAnsi="Times New Roman" w:cs="Times New Roman"/>
                <w:color w:val="auto"/>
                <w:sz w:val="21"/>
                <w:szCs w:val="21"/>
                <w:highlight w:val="none"/>
                <w:vertAlign w:val="superscript"/>
                <w:lang w:val="en-US" w:eastAsia="zh-CN"/>
              </w:rPr>
              <w:t>3</w:t>
            </w:r>
            <w:r>
              <w:rPr>
                <w:rFonts w:hint="eastAsia" w:cs="Times New Roman"/>
                <w:bCs/>
                <w:color w:val="auto"/>
                <w:sz w:val="21"/>
                <w:szCs w:val="21"/>
                <w:highlight w:val="none"/>
                <w:lang w:eastAsia="zh-CN"/>
              </w:rPr>
              <w:t>、</w:t>
            </w:r>
            <w:r>
              <w:rPr>
                <w:rFonts w:hint="eastAsia" w:cs="Times New Roman"/>
                <w:bCs/>
                <w:color w:val="auto"/>
                <w:sz w:val="21"/>
                <w:szCs w:val="21"/>
                <w:highlight w:val="none"/>
                <w:lang w:val="en-US" w:eastAsia="zh-CN"/>
              </w:rPr>
              <w:t>废渣回填11705m</w:t>
            </w:r>
            <w:r>
              <w:rPr>
                <w:rFonts w:hint="eastAsia" w:cs="Times New Roman"/>
                <w:bCs/>
                <w:color w:val="auto"/>
                <w:sz w:val="21"/>
                <w:szCs w:val="21"/>
                <w:highlight w:val="none"/>
                <w:vertAlign w:val="superscript"/>
                <w:lang w:val="en-US" w:eastAsia="zh-CN"/>
              </w:rPr>
              <w:t>3</w:t>
            </w:r>
            <w:r>
              <w:rPr>
                <w:rFonts w:hint="eastAsia" w:cs="Times New Roman"/>
                <w:bCs/>
                <w:color w:val="auto"/>
                <w:sz w:val="21"/>
                <w:szCs w:val="21"/>
                <w:highlight w:val="none"/>
                <w:lang w:val="en-US" w:eastAsia="zh-CN"/>
              </w:rPr>
              <w:t>、</w:t>
            </w:r>
            <w:r>
              <w:rPr>
                <w:rFonts w:hint="default" w:ascii="Times New Roman" w:hAnsi="Times New Roman" w:cs="Times New Roman"/>
                <w:bCs/>
                <w:color w:val="auto"/>
                <w:sz w:val="21"/>
                <w:szCs w:val="21"/>
                <w:highlight w:val="none"/>
              </w:rPr>
              <w:t>场地平整</w:t>
            </w:r>
            <w:r>
              <w:rPr>
                <w:rFonts w:hint="eastAsia" w:cs="Times New Roman"/>
                <w:bCs/>
                <w:color w:val="auto"/>
                <w:sz w:val="21"/>
                <w:szCs w:val="21"/>
                <w:highlight w:val="none"/>
                <w:lang w:val="en-US" w:eastAsia="zh-CN"/>
              </w:rPr>
              <w:t>4634</w:t>
            </w:r>
            <w:r>
              <w:rPr>
                <w:rFonts w:hint="default" w:ascii="Times New Roman" w:hAnsi="Times New Roman" w:cs="Times New Roman"/>
                <w:bCs/>
                <w:color w:val="auto"/>
                <w:sz w:val="21"/>
                <w:szCs w:val="21"/>
                <w:highlight w:val="none"/>
                <w:lang w:eastAsia="zh-CN"/>
              </w:rPr>
              <w:t>m</w:t>
            </w:r>
            <w:r>
              <w:rPr>
                <w:rFonts w:hint="default" w:ascii="Times New Roman" w:hAnsi="Times New Roman" w:cs="Times New Roman"/>
                <w:bCs/>
                <w:color w:val="auto"/>
                <w:sz w:val="21"/>
                <w:szCs w:val="21"/>
                <w:highlight w:val="none"/>
                <w:vertAlign w:val="superscript"/>
                <w:lang w:eastAsia="zh-CN"/>
              </w:rPr>
              <w:t>3</w:t>
            </w:r>
            <w:r>
              <w:rPr>
                <w:rFonts w:hint="eastAsia" w:cs="Times New Roman"/>
                <w:bCs/>
                <w:color w:val="auto"/>
                <w:sz w:val="21"/>
                <w:szCs w:val="21"/>
                <w:highlight w:val="none"/>
                <w:lang w:eastAsia="zh-CN"/>
              </w:rPr>
              <w:t>、排水涵管钻设</w:t>
            </w:r>
            <w:r>
              <w:rPr>
                <w:rFonts w:hint="eastAsia" w:cs="Times New Roman"/>
                <w:bCs/>
                <w:color w:val="auto"/>
                <w:sz w:val="21"/>
                <w:szCs w:val="21"/>
                <w:highlight w:val="none"/>
                <w:lang w:val="en-US" w:eastAsia="zh-CN"/>
              </w:rPr>
              <w:t>36m。</w:t>
            </w:r>
          </w:p>
          <w:p w14:paraId="03F8199F">
            <w:pPr>
              <w:ind w:firstLine="420" w:firstLineChars="200"/>
              <w:jc w:val="both"/>
              <w:rPr>
                <w:rFonts w:hint="eastAsia"/>
                <w:color w:val="auto"/>
                <w:sz w:val="21"/>
                <w:szCs w:val="21"/>
                <w:highlight w:val="none"/>
                <w:lang w:val="en-US" w:eastAsia="zh-CN"/>
              </w:rPr>
            </w:pPr>
            <w:r>
              <w:rPr>
                <w:rFonts w:hint="eastAsia" w:cs="Times New Roman"/>
                <w:color w:val="auto"/>
                <w:sz w:val="21"/>
                <w:szCs w:val="21"/>
                <w:highlight w:val="none"/>
                <w:lang w:val="en-US" w:eastAsia="zh-CN"/>
              </w:rPr>
              <w:t>土地翻耕1.4167hm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表土运输</w:t>
            </w:r>
            <w:r>
              <w:rPr>
                <w:rFonts w:hint="eastAsia" w:cs="Times New Roman"/>
                <w:color w:val="auto"/>
                <w:sz w:val="21"/>
                <w:szCs w:val="21"/>
                <w:highlight w:val="none"/>
                <w:lang w:val="en-US" w:eastAsia="zh-CN"/>
              </w:rPr>
              <w:t>及回填9268</w:t>
            </w:r>
            <w:r>
              <w:rPr>
                <w:rFonts w:hint="default" w:ascii="Times New Roman" w:hAnsi="Times New Roman" w:cs="Times New Roman"/>
                <w:color w:val="auto"/>
                <w:sz w:val="21"/>
                <w:szCs w:val="21"/>
                <w:highlight w:val="none"/>
                <w:lang w:eastAsia="zh-CN"/>
              </w:rPr>
              <w:t>m</w:t>
            </w:r>
            <w:r>
              <w:rPr>
                <w:rFonts w:hint="default" w:ascii="Times New Roman" w:hAnsi="Times New Roman" w:cs="Times New Roman"/>
                <w:color w:val="auto"/>
                <w:sz w:val="21"/>
                <w:szCs w:val="21"/>
                <w:highlight w:val="none"/>
                <w:vertAlign w:val="superscript"/>
                <w:lang w:eastAsia="zh-CN"/>
              </w:rPr>
              <w:t>3</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种植</w:t>
            </w:r>
            <w:r>
              <w:rPr>
                <w:rFonts w:hint="default" w:ascii="Times New Roman" w:hAnsi="Times New Roman" w:cs="Times New Roman"/>
                <w:color w:val="auto"/>
                <w:sz w:val="21"/>
                <w:szCs w:val="21"/>
                <w:highlight w:val="none"/>
                <w:lang w:eastAsia="zh-CN"/>
              </w:rPr>
              <w:t>落叶松</w:t>
            </w:r>
            <w:r>
              <w:rPr>
                <w:rFonts w:hint="eastAsia" w:cs="Times New Roman"/>
                <w:color w:val="auto"/>
                <w:sz w:val="21"/>
                <w:szCs w:val="21"/>
                <w:highlight w:val="none"/>
                <w:lang w:val="en-US" w:eastAsia="zh-CN"/>
              </w:rPr>
              <w:t>7721</w:t>
            </w:r>
            <w:r>
              <w:rPr>
                <w:rFonts w:hint="default" w:ascii="Times New Roman" w:hAnsi="Times New Roman" w:cs="Times New Roman"/>
                <w:color w:val="auto"/>
                <w:sz w:val="21"/>
                <w:szCs w:val="21"/>
                <w:highlight w:val="none"/>
              </w:rPr>
              <w:t>株，撒播草种面积</w:t>
            </w:r>
            <w:r>
              <w:rPr>
                <w:rFonts w:hint="eastAsia" w:cs="Times New Roman"/>
                <w:color w:val="auto"/>
                <w:kern w:val="0"/>
                <w:sz w:val="21"/>
                <w:szCs w:val="21"/>
                <w:highlight w:val="none"/>
                <w:lang w:val="en-US" w:eastAsia="zh-CN"/>
              </w:rPr>
              <w:t>3.0888</w:t>
            </w:r>
            <w:r>
              <w:rPr>
                <w:rFonts w:hint="default" w:ascii="Times New Roman" w:hAnsi="Times New Roman" w:cs="Times New Roman"/>
                <w:color w:val="auto"/>
                <w:sz w:val="21"/>
                <w:szCs w:val="21"/>
                <w:highlight w:val="none"/>
              </w:rPr>
              <w:t>h</w:t>
            </w:r>
            <w:r>
              <w:rPr>
                <w:rFonts w:hint="default" w:ascii="Times New Roman" w:hAnsi="Times New Roman" w:cs="Times New Roman"/>
                <w:color w:val="auto"/>
                <w:sz w:val="21"/>
                <w:szCs w:val="21"/>
                <w:highlight w:val="none"/>
                <w:lang w:eastAsia="zh-CN"/>
              </w:rPr>
              <w:t>m</w:t>
            </w:r>
            <w:r>
              <w:rPr>
                <w:rFonts w:hint="default" w:ascii="Times New Roman" w:hAnsi="Times New Roman" w:cs="Times New Roman"/>
                <w:color w:val="auto"/>
                <w:sz w:val="21"/>
                <w:szCs w:val="21"/>
                <w:highlight w:val="none"/>
                <w:vertAlign w:val="superscript"/>
                <w:lang w:eastAsia="zh-CN"/>
              </w:rPr>
              <w:t>2</w:t>
            </w:r>
            <w:r>
              <w:rPr>
                <w:rFonts w:hint="eastAsia" w:cs="Times New Roman"/>
                <w:color w:val="auto"/>
                <w:sz w:val="21"/>
                <w:szCs w:val="21"/>
                <w:highlight w:val="none"/>
                <w:vertAlign w:val="baseline"/>
                <w:lang w:eastAsia="zh-CN"/>
              </w:rPr>
              <w:t>、</w:t>
            </w:r>
            <w:r>
              <w:rPr>
                <w:rFonts w:hint="default" w:ascii="Times New Roman" w:hAnsi="Times New Roman" w:cs="Times New Roman"/>
                <w:color w:val="auto"/>
                <w:sz w:val="21"/>
                <w:szCs w:val="21"/>
                <w:highlight w:val="none"/>
                <w:vertAlign w:val="baseline"/>
                <w:lang w:val="en-US" w:eastAsia="zh-CN"/>
              </w:rPr>
              <w:t>栽植爬山虎</w:t>
            </w:r>
            <w:r>
              <w:rPr>
                <w:rFonts w:hint="eastAsia" w:cs="Times New Roman"/>
                <w:color w:val="auto"/>
                <w:sz w:val="21"/>
                <w:szCs w:val="21"/>
                <w:highlight w:val="none"/>
                <w:vertAlign w:val="baseline"/>
                <w:lang w:val="en-US" w:eastAsia="zh-CN"/>
              </w:rPr>
              <w:t>2480</w:t>
            </w:r>
            <w:r>
              <w:rPr>
                <w:rFonts w:hint="default" w:ascii="Times New Roman" w:hAnsi="Times New Roman" w:cs="Times New Roman"/>
                <w:color w:val="auto"/>
                <w:sz w:val="21"/>
                <w:szCs w:val="21"/>
                <w:highlight w:val="none"/>
                <w:vertAlign w:val="baseline"/>
                <w:lang w:val="en-US" w:eastAsia="zh-CN"/>
              </w:rPr>
              <w:t>株</w:t>
            </w:r>
            <w:r>
              <w:rPr>
                <w:rFonts w:hint="eastAsia" w:cs="Times New Roman"/>
                <w:color w:val="auto"/>
                <w:sz w:val="21"/>
                <w:szCs w:val="21"/>
                <w:highlight w:val="none"/>
                <w:vertAlign w:val="baseline"/>
                <w:lang w:val="en-US" w:eastAsia="zh-CN"/>
              </w:rPr>
              <w:t>。</w:t>
            </w:r>
          </w:p>
          <w:p w14:paraId="410B06BC">
            <w:pPr>
              <w:ind w:firstLine="420" w:firstLineChars="200"/>
              <w:jc w:val="both"/>
              <w:rPr>
                <w:rFonts w:hint="default" w:ascii="Times New Roman" w:hAnsi="Times New Roman" w:cs="Times New Roman"/>
                <w:color w:val="auto"/>
                <w:szCs w:val="21"/>
                <w:highlight w:val="none"/>
              </w:rPr>
            </w:pPr>
            <w:r>
              <w:rPr>
                <w:rFonts w:hint="eastAsia"/>
                <w:color w:val="auto"/>
                <w:sz w:val="21"/>
                <w:szCs w:val="21"/>
                <w:highlight w:val="none"/>
                <w:lang w:val="en-US" w:eastAsia="zh-CN"/>
              </w:rPr>
              <w:t>边坡稳定性</w:t>
            </w:r>
            <w:r>
              <w:rPr>
                <w:rFonts w:hint="default"/>
                <w:color w:val="auto"/>
                <w:sz w:val="21"/>
                <w:szCs w:val="21"/>
                <w:highlight w:val="none"/>
                <w:lang w:val="en-US" w:eastAsia="zh-CN"/>
              </w:rPr>
              <w:t>监测</w:t>
            </w:r>
            <w:r>
              <w:rPr>
                <w:rFonts w:hint="eastAsia"/>
                <w:color w:val="auto"/>
                <w:sz w:val="21"/>
                <w:szCs w:val="21"/>
                <w:highlight w:val="none"/>
                <w:lang w:val="en-US" w:eastAsia="zh-CN"/>
              </w:rPr>
              <w:t>15</w:t>
            </w:r>
            <w:r>
              <w:rPr>
                <w:rFonts w:hint="default"/>
                <w:color w:val="auto"/>
                <w:sz w:val="21"/>
                <w:szCs w:val="21"/>
                <w:highlight w:val="none"/>
              </w:rPr>
              <w:t>次； 地下水水位监测共</w:t>
            </w:r>
            <w:r>
              <w:rPr>
                <w:rFonts w:hint="eastAsia"/>
                <w:color w:val="auto"/>
                <w:sz w:val="21"/>
                <w:szCs w:val="21"/>
                <w:highlight w:val="none"/>
                <w:lang w:val="en-US" w:eastAsia="zh-CN"/>
              </w:rPr>
              <w:t>12</w:t>
            </w:r>
            <w:r>
              <w:rPr>
                <w:rFonts w:hint="default"/>
                <w:color w:val="auto"/>
                <w:sz w:val="21"/>
                <w:szCs w:val="21"/>
                <w:highlight w:val="none"/>
              </w:rPr>
              <w:t>次； 地下水水质监测共</w:t>
            </w:r>
            <w:r>
              <w:rPr>
                <w:rFonts w:hint="eastAsia"/>
                <w:color w:val="auto"/>
                <w:sz w:val="21"/>
                <w:szCs w:val="21"/>
                <w:highlight w:val="none"/>
                <w:lang w:val="en-US" w:eastAsia="zh-CN"/>
              </w:rPr>
              <w:t>2</w:t>
            </w:r>
            <w:r>
              <w:rPr>
                <w:rFonts w:hint="default"/>
                <w:color w:val="auto"/>
                <w:sz w:val="21"/>
                <w:szCs w:val="21"/>
                <w:highlight w:val="none"/>
              </w:rPr>
              <w:t>次。</w:t>
            </w:r>
            <w:r>
              <w:rPr>
                <w:rFonts w:hint="default"/>
                <w:color w:val="auto"/>
                <w:sz w:val="21"/>
                <w:szCs w:val="21"/>
                <w:highlight w:val="none"/>
                <w:lang w:val="en-US" w:eastAsia="zh-CN"/>
              </w:rPr>
              <w:t>土地复垦</w:t>
            </w:r>
            <w:r>
              <w:rPr>
                <w:rFonts w:hint="eastAsia"/>
                <w:color w:val="auto"/>
                <w:sz w:val="21"/>
                <w:szCs w:val="21"/>
                <w:highlight w:val="none"/>
                <w:lang w:val="en-US" w:eastAsia="zh-CN"/>
              </w:rPr>
              <w:t>3</w:t>
            </w:r>
            <w:r>
              <w:rPr>
                <w:rFonts w:hint="default"/>
                <w:color w:val="auto"/>
                <w:sz w:val="21"/>
                <w:szCs w:val="21"/>
                <w:highlight w:val="none"/>
                <w:lang w:val="en-US" w:eastAsia="zh-CN"/>
              </w:rPr>
              <w:t>次。</w:t>
            </w:r>
          </w:p>
        </w:tc>
      </w:tr>
      <w:tr w14:paraId="51F8D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798" w:type="pct"/>
            <w:vMerge w:val="continue"/>
            <w:noWrap w:val="0"/>
            <w:vAlign w:val="center"/>
          </w:tcPr>
          <w:p w14:paraId="0FF1DB37">
            <w:pPr>
              <w:jc w:val="center"/>
              <w:rPr>
                <w:rFonts w:hint="default" w:ascii="Times New Roman" w:hAnsi="Times New Roman" w:cs="Times New Roman"/>
                <w:color w:val="auto"/>
                <w:kern w:val="0"/>
                <w:szCs w:val="21"/>
                <w:highlight w:val="none"/>
              </w:rPr>
            </w:pPr>
          </w:p>
        </w:tc>
        <w:tc>
          <w:tcPr>
            <w:tcW w:w="1883" w:type="dxa"/>
            <w:noWrap w:val="0"/>
            <w:vAlign w:val="center"/>
          </w:tcPr>
          <w:p w14:paraId="3C863304">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kern w:val="0"/>
                <w:szCs w:val="21"/>
                <w:highlight w:val="none"/>
              </w:rPr>
              <w:t>20</w:t>
            </w:r>
            <w:r>
              <w:rPr>
                <w:rFonts w:hint="eastAsia" w:cs="Times New Roman"/>
                <w:color w:val="auto"/>
                <w:kern w:val="0"/>
                <w:szCs w:val="21"/>
                <w:highlight w:val="none"/>
                <w:lang w:val="en-US" w:eastAsia="zh-CN"/>
              </w:rPr>
              <w:t>29.1</w:t>
            </w:r>
            <w:r>
              <w:rPr>
                <w:rFonts w:hint="default" w:ascii="Times New Roman" w:hAnsi="Times New Roman" w:cs="Times New Roman"/>
                <w:color w:val="auto"/>
                <w:kern w:val="0"/>
                <w:szCs w:val="21"/>
                <w:highlight w:val="none"/>
              </w:rPr>
              <w:t>～20</w:t>
            </w:r>
            <w:r>
              <w:rPr>
                <w:rFonts w:hint="eastAsia" w:cs="Times New Roman"/>
                <w:color w:val="auto"/>
                <w:kern w:val="0"/>
                <w:szCs w:val="21"/>
                <w:highlight w:val="none"/>
                <w:lang w:val="en-US" w:eastAsia="zh-CN"/>
              </w:rPr>
              <w:t>29.12</w:t>
            </w:r>
          </w:p>
        </w:tc>
        <w:tc>
          <w:tcPr>
            <w:tcW w:w="772" w:type="pct"/>
            <w:noWrap w:val="0"/>
            <w:vAlign w:val="center"/>
          </w:tcPr>
          <w:p w14:paraId="182E5C92">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全矿区</w:t>
            </w:r>
          </w:p>
        </w:tc>
        <w:tc>
          <w:tcPr>
            <w:tcW w:w="3960" w:type="dxa"/>
            <w:noWrap w:val="0"/>
            <w:vAlign w:val="center"/>
          </w:tcPr>
          <w:p w14:paraId="49D9D22F">
            <w:pPr>
              <w:ind w:firstLine="420" w:firstLineChars="200"/>
              <w:jc w:val="both"/>
              <w:rPr>
                <w:rFonts w:hint="default"/>
                <w:color w:val="auto"/>
                <w:highlight w:val="none"/>
                <w:lang w:val="en-US" w:eastAsia="zh-CN"/>
              </w:rPr>
            </w:pPr>
            <w:r>
              <w:rPr>
                <w:rFonts w:hint="eastAsia"/>
                <w:color w:val="auto"/>
                <w:highlight w:val="none"/>
                <w:lang w:val="en-US" w:eastAsia="zh-CN"/>
              </w:rPr>
              <w:t>边坡稳定性</w:t>
            </w:r>
            <w:r>
              <w:rPr>
                <w:rFonts w:hint="default"/>
                <w:color w:val="auto"/>
                <w:highlight w:val="none"/>
                <w:lang w:val="en-US" w:eastAsia="zh-CN"/>
              </w:rPr>
              <w:t>监测</w:t>
            </w:r>
            <w:r>
              <w:rPr>
                <w:rFonts w:hint="eastAsia"/>
                <w:color w:val="auto"/>
                <w:highlight w:val="none"/>
                <w:lang w:val="en-US" w:eastAsia="zh-CN"/>
              </w:rPr>
              <w:t>15</w:t>
            </w:r>
            <w:r>
              <w:rPr>
                <w:rFonts w:hint="default"/>
                <w:color w:val="auto"/>
                <w:highlight w:val="none"/>
              </w:rPr>
              <w:t>次； 地下水水位监测共</w:t>
            </w:r>
            <w:r>
              <w:rPr>
                <w:rFonts w:hint="eastAsia"/>
                <w:color w:val="auto"/>
                <w:highlight w:val="none"/>
                <w:lang w:val="en-US" w:eastAsia="zh-CN"/>
              </w:rPr>
              <w:t>12</w:t>
            </w:r>
            <w:r>
              <w:rPr>
                <w:rFonts w:hint="default"/>
                <w:color w:val="auto"/>
                <w:highlight w:val="none"/>
              </w:rPr>
              <w:t>次； 地下水水质监测共</w:t>
            </w:r>
            <w:r>
              <w:rPr>
                <w:rFonts w:hint="eastAsia"/>
                <w:color w:val="auto"/>
                <w:highlight w:val="none"/>
                <w:lang w:val="en-US" w:eastAsia="zh-CN"/>
              </w:rPr>
              <w:t>3</w:t>
            </w:r>
            <w:r>
              <w:rPr>
                <w:rFonts w:hint="default"/>
                <w:color w:val="auto"/>
                <w:highlight w:val="none"/>
              </w:rPr>
              <w:t>次。</w:t>
            </w:r>
            <w:r>
              <w:rPr>
                <w:rFonts w:hint="default"/>
                <w:color w:val="auto"/>
                <w:highlight w:val="none"/>
                <w:lang w:val="en-US" w:eastAsia="zh-CN"/>
              </w:rPr>
              <w:t>土地复垦</w:t>
            </w:r>
            <w:r>
              <w:rPr>
                <w:rFonts w:hint="eastAsia"/>
                <w:color w:val="auto"/>
                <w:highlight w:val="none"/>
                <w:lang w:val="en-US" w:eastAsia="zh-CN"/>
              </w:rPr>
              <w:t>4</w:t>
            </w:r>
            <w:r>
              <w:rPr>
                <w:rFonts w:hint="default"/>
                <w:color w:val="auto"/>
                <w:highlight w:val="none"/>
                <w:lang w:val="en-US" w:eastAsia="zh-CN"/>
              </w:rPr>
              <w:t>次。</w:t>
            </w:r>
            <w:r>
              <w:rPr>
                <w:rFonts w:hint="eastAsia"/>
                <w:color w:val="auto"/>
                <w:highlight w:val="none"/>
                <w:lang w:val="en-US" w:eastAsia="zh-CN"/>
              </w:rPr>
              <w:t>管护3.2066hm</w:t>
            </w:r>
            <w:r>
              <w:rPr>
                <w:rFonts w:hint="eastAsia"/>
                <w:color w:val="auto"/>
                <w:highlight w:val="none"/>
                <w:vertAlign w:val="superscript"/>
                <w:lang w:val="en-US" w:eastAsia="zh-CN"/>
              </w:rPr>
              <w:t>2</w:t>
            </w:r>
            <w:r>
              <w:rPr>
                <w:rFonts w:hint="eastAsia"/>
                <w:color w:val="auto"/>
                <w:highlight w:val="none"/>
                <w:lang w:val="en-US" w:eastAsia="zh-CN"/>
              </w:rPr>
              <w:t>。</w:t>
            </w:r>
          </w:p>
        </w:tc>
      </w:tr>
      <w:tr w14:paraId="611EB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pct"/>
            <w:vMerge w:val="continue"/>
            <w:noWrap w:val="0"/>
            <w:vAlign w:val="center"/>
          </w:tcPr>
          <w:p w14:paraId="3F588C90">
            <w:pPr>
              <w:jc w:val="center"/>
              <w:rPr>
                <w:rFonts w:hint="default" w:ascii="Times New Roman" w:hAnsi="Times New Roman" w:cs="Times New Roman"/>
                <w:color w:val="auto"/>
                <w:kern w:val="0"/>
                <w:szCs w:val="21"/>
                <w:highlight w:val="none"/>
              </w:rPr>
            </w:pPr>
          </w:p>
        </w:tc>
        <w:tc>
          <w:tcPr>
            <w:tcW w:w="1883" w:type="dxa"/>
            <w:noWrap w:val="0"/>
            <w:vAlign w:val="center"/>
          </w:tcPr>
          <w:p w14:paraId="165630A4">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kern w:val="0"/>
                <w:szCs w:val="21"/>
                <w:highlight w:val="none"/>
              </w:rPr>
              <w:t>20</w:t>
            </w:r>
            <w:r>
              <w:rPr>
                <w:rFonts w:hint="eastAsia" w:ascii="Times New Roman" w:hAnsi="Times New Roman" w:cs="Times New Roman"/>
                <w:color w:val="auto"/>
                <w:kern w:val="0"/>
                <w:szCs w:val="21"/>
                <w:highlight w:val="none"/>
                <w:lang w:val="en-US" w:eastAsia="zh-CN"/>
              </w:rPr>
              <w:t>30</w:t>
            </w:r>
            <w:r>
              <w:rPr>
                <w:rFonts w:hint="eastAsia" w:cs="Times New Roman"/>
                <w:color w:val="auto"/>
                <w:kern w:val="0"/>
                <w:szCs w:val="21"/>
                <w:highlight w:val="none"/>
                <w:lang w:val="en-US" w:eastAsia="zh-CN"/>
              </w:rPr>
              <w:t>.1</w:t>
            </w:r>
            <w:r>
              <w:rPr>
                <w:rFonts w:hint="default" w:ascii="Times New Roman" w:hAnsi="Times New Roman" w:cs="Times New Roman"/>
                <w:color w:val="auto"/>
                <w:kern w:val="0"/>
                <w:szCs w:val="21"/>
                <w:highlight w:val="none"/>
              </w:rPr>
              <w:t>～20</w:t>
            </w:r>
            <w:r>
              <w:rPr>
                <w:rFonts w:hint="eastAsia" w:ascii="Times New Roman" w:hAnsi="Times New Roman" w:cs="Times New Roman"/>
                <w:color w:val="auto"/>
                <w:kern w:val="0"/>
                <w:szCs w:val="21"/>
                <w:highlight w:val="none"/>
                <w:lang w:val="en-US" w:eastAsia="zh-CN"/>
              </w:rPr>
              <w:t>30</w:t>
            </w:r>
            <w:r>
              <w:rPr>
                <w:rFonts w:hint="eastAsia" w:cs="Times New Roman"/>
                <w:color w:val="auto"/>
                <w:kern w:val="0"/>
                <w:szCs w:val="21"/>
                <w:highlight w:val="none"/>
                <w:lang w:val="en-US" w:eastAsia="zh-CN"/>
              </w:rPr>
              <w:t>.12</w:t>
            </w:r>
          </w:p>
        </w:tc>
        <w:tc>
          <w:tcPr>
            <w:tcW w:w="772" w:type="pct"/>
            <w:noWrap w:val="0"/>
            <w:vAlign w:val="center"/>
          </w:tcPr>
          <w:p w14:paraId="42ECF232">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全矿区</w:t>
            </w:r>
          </w:p>
        </w:tc>
        <w:tc>
          <w:tcPr>
            <w:tcW w:w="3960" w:type="dxa"/>
            <w:noWrap w:val="0"/>
            <w:vAlign w:val="center"/>
          </w:tcPr>
          <w:p w14:paraId="7AB93942">
            <w:pPr>
              <w:ind w:firstLine="420" w:firstLineChars="200"/>
              <w:jc w:val="both"/>
              <w:rPr>
                <w:rFonts w:hint="default" w:ascii="Times New Roman" w:hAnsi="Times New Roman" w:cs="Times New Roman"/>
                <w:color w:val="auto"/>
                <w:szCs w:val="21"/>
                <w:highlight w:val="none"/>
              </w:rPr>
            </w:pPr>
            <w:r>
              <w:rPr>
                <w:rFonts w:hint="eastAsia"/>
                <w:color w:val="auto"/>
                <w:highlight w:val="none"/>
                <w:lang w:val="en-US" w:eastAsia="zh-CN"/>
              </w:rPr>
              <w:t>边坡稳定性</w:t>
            </w:r>
            <w:r>
              <w:rPr>
                <w:rFonts w:hint="default"/>
                <w:color w:val="auto"/>
                <w:highlight w:val="none"/>
                <w:lang w:val="en-US" w:eastAsia="zh-CN"/>
              </w:rPr>
              <w:t>监测</w:t>
            </w:r>
            <w:r>
              <w:rPr>
                <w:rFonts w:hint="eastAsia"/>
                <w:color w:val="auto"/>
                <w:highlight w:val="none"/>
                <w:lang w:val="en-US" w:eastAsia="zh-CN"/>
              </w:rPr>
              <w:t>15</w:t>
            </w:r>
            <w:r>
              <w:rPr>
                <w:rFonts w:hint="default"/>
                <w:color w:val="auto"/>
                <w:highlight w:val="none"/>
              </w:rPr>
              <w:t>次； 地下水水位监测共</w:t>
            </w:r>
            <w:r>
              <w:rPr>
                <w:rFonts w:hint="eastAsia"/>
                <w:color w:val="auto"/>
                <w:highlight w:val="none"/>
                <w:lang w:val="en-US" w:eastAsia="zh-CN"/>
              </w:rPr>
              <w:t>12</w:t>
            </w:r>
            <w:r>
              <w:rPr>
                <w:rFonts w:hint="default"/>
                <w:color w:val="auto"/>
                <w:highlight w:val="none"/>
              </w:rPr>
              <w:t>次； 地下水水质监测共</w:t>
            </w:r>
            <w:r>
              <w:rPr>
                <w:rFonts w:hint="eastAsia"/>
                <w:color w:val="auto"/>
                <w:highlight w:val="none"/>
                <w:lang w:val="en-US" w:eastAsia="zh-CN"/>
              </w:rPr>
              <w:t>3</w:t>
            </w:r>
            <w:r>
              <w:rPr>
                <w:rFonts w:hint="default"/>
                <w:color w:val="auto"/>
                <w:highlight w:val="none"/>
              </w:rPr>
              <w:t>次。</w:t>
            </w:r>
            <w:r>
              <w:rPr>
                <w:rFonts w:hint="default"/>
                <w:color w:val="auto"/>
                <w:highlight w:val="none"/>
                <w:lang w:val="en-US" w:eastAsia="zh-CN"/>
              </w:rPr>
              <w:t>土地复垦</w:t>
            </w:r>
            <w:r>
              <w:rPr>
                <w:rFonts w:hint="eastAsia"/>
                <w:color w:val="auto"/>
                <w:highlight w:val="none"/>
                <w:lang w:val="en-US" w:eastAsia="zh-CN"/>
              </w:rPr>
              <w:t>4</w:t>
            </w:r>
            <w:r>
              <w:rPr>
                <w:rFonts w:hint="default"/>
                <w:color w:val="auto"/>
                <w:highlight w:val="none"/>
                <w:lang w:val="en-US" w:eastAsia="zh-CN"/>
              </w:rPr>
              <w:t>次。</w:t>
            </w:r>
            <w:r>
              <w:rPr>
                <w:rFonts w:hint="eastAsia"/>
                <w:color w:val="auto"/>
                <w:highlight w:val="none"/>
                <w:lang w:val="en-US" w:eastAsia="zh-CN"/>
              </w:rPr>
              <w:t>管护3.2066hm</w:t>
            </w:r>
            <w:r>
              <w:rPr>
                <w:rFonts w:hint="eastAsia"/>
                <w:color w:val="auto"/>
                <w:highlight w:val="none"/>
                <w:vertAlign w:val="superscript"/>
                <w:lang w:val="en-US" w:eastAsia="zh-CN"/>
              </w:rPr>
              <w:t>2</w:t>
            </w:r>
            <w:r>
              <w:rPr>
                <w:rFonts w:hint="eastAsia"/>
                <w:color w:val="auto"/>
                <w:highlight w:val="none"/>
                <w:lang w:val="en-US" w:eastAsia="zh-CN"/>
              </w:rPr>
              <w:t>。</w:t>
            </w:r>
          </w:p>
        </w:tc>
      </w:tr>
      <w:tr w14:paraId="7E0A3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pct"/>
            <w:vMerge w:val="continue"/>
            <w:noWrap w:val="0"/>
            <w:vAlign w:val="center"/>
          </w:tcPr>
          <w:p w14:paraId="18DE8B8B">
            <w:pPr>
              <w:jc w:val="center"/>
              <w:rPr>
                <w:rFonts w:hint="default" w:ascii="Times New Roman" w:hAnsi="Times New Roman" w:cs="Times New Roman"/>
                <w:color w:val="auto"/>
                <w:kern w:val="0"/>
                <w:szCs w:val="21"/>
                <w:highlight w:val="none"/>
              </w:rPr>
            </w:pPr>
          </w:p>
        </w:tc>
        <w:tc>
          <w:tcPr>
            <w:tcW w:w="1883" w:type="dxa"/>
            <w:noWrap w:val="0"/>
            <w:vAlign w:val="center"/>
          </w:tcPr>
          <w:p w14:paraId="140562FA">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kern w:val="0"/>
                <w:szCs w:val="21"/>
                <w:highlight w:val="none"/>
              </w:rPr>
              <w:t>20</w:t>
            </w:r>
            <w:r>
              <w:rPr>
                <w:rFonts w:hint="eastAsia" w:ascii="Times New Roman" w:hAnsi="Times New Roman" w:cs="Times New Roman"/>
                <w:color w:val="auto"/>
                <w:kern w:val="0"/>
                <w:szCs w:val="21"/>
                <w:highlight w:val="none"/>
                <w:lang w:val="en-US" w:eastAsia="zh-CN"/>
              </w:rPr>
              <w:t>31</w:t>
            </w:r>
            <w:r>
              <w:rPr>
                <w:rFonts w:hint="eastAsia" w:cs="Times New Roman"/>
                <w:color w:val="auto"/>
                <w:kern w:val="0"/>
                <w:szCs w:val="21"/>
                <w:highlight w:val="none"/>
                <w:lang w:val="en-US" w:eastAsia="zh-CN"/>
              </w:rPr>
              <w:t>.1</w:t>
            </w:r>
            <w:r>
              <w:rPr>
                <w:rFonts w:hint="default" w:ascii="Times New Roman" w:hAnsi="Times New Roman" w:cs="Times New Roman"/>
                <w:color w:val="auto"/>
                <w:kern w:val="0"/>
                <w:szCs w:val="21"/>
                <w:highlight w:val="none"/>
              </w:rPr>
              <w:t>～20</w:t>
            </w:r>
            <w:r>
              <w:rPr>
                <w:rFonts w:hint="eastAsia" w:ascii="Times New Roman" w:hAnsi="Times New Roman" w:cs="Times New Roman"/>
                <w:color w:val="auto"/>
                <w:kern w:val="0"/>
                <w:szCs w:val="21"/>
                <w:highlight w:val="none"/>
                <w:lang w:val="en-US" w:eastAsia="zh-CN"/>
              </w:rPr>
              <w:t>31</w:t>
            </w:r>
            <w:r>
              <w:rPr>
                <w:rFonts w:hint="eastAsia" w:cs="Times New Roman"/>
                <w:color w:val="auto"/>
                <w:kern w:val="0"/>
                <w:szCs w:val="21"/>
                <w:highlight w:val="none"/>
                <w:lang w:val="en-US" w:eastAsia="zh-CN"/>
              </w:rPr>
              <w:t>.12</w:t>
            </w:r>
          </w:p>
        </w:tc>
        <w:tc>
          <w:tcPr>
            <w:tcW w:w="772" w:type="pct"/>
            <w:noWrap w:val="0"/>
            <w:vAlign w:val="center"/>
          </w:tcPr>
          <w:p w14:paraId="337D3DF0">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全矿区</w:t>
            </w:r>
          </w:p>
        </w:tc>
        <w:tc>
          <w:tcPr>
            <w:tcW w:w="3960" w:type="dxa"/>
            <w:noWrap w:val="0"/>
            <w:vAlign w:val="center"/>
          </w:tcPr>
          <w:p w14:paraId="1E8867F4">
            <w:pPr>
              <w:ind w:firstLine="420" w:firstLineChars="200"/>
              <w:jc w:val="both"/>
              <w:rPr>
                <w:rFonts w:hint="eastAsia"/>
                <w:color w:val="auto"/>
                <w:highlight w:val="none"/>
                <w:lang w:val="en-US" w:eastAsia="zh-CN"/>
              </w:rPr>
            </w:pPr>
            <w:r>
              <w:rPr>
                <w:rFonts w:hint="eastAsia"/>
                <w:color w:val="auto"/>
                <w:highlight w:val="none"/>
                <w:lang w:val="en-US" w:eastAsia="zh-CN"/>
              </w:rPr>
              <w:t>边坡稳定性</w:t>
            </w:r>
            <w:r>
              <w:rPr>
                <w:rFonts w:hint="default"/>
                <w:color w:val="auto"/>
                <w:highlight w:val="none"/>
                <w:lang w:val="en-US" w:eastAsia="zh-CN"/>
              </w:rPr>
              <w:t>监测</w:t>
            </w:r>
            <w:r>
              <w:rPr>
                <w:rFonts w:hint="eastAsia"/>
                <w:color w:val="auto"/>
                <w:highlight w:val="none"/>
                <w:lang w:val="en-US" w:eastAsia="zh-CN"/>
              </w:rPr>
              <w:t>15</w:t>
            </w:r>
            <w:r>
              <w:rPr>
                <w:rFonts w:hint="default"/>
                <w:color w:val="auto"/>
                <w:highlight w:val="none"/>
              </w:rPr>
              <w:t>次； 地下水水位监测共</w:t>
            </w:r>
            <w:r>
              <w:rPr>
                <w:rFonts w:hint="eastAsia"/>
                <w:color w:val="auto"/>
                <w:highlight w:val="none"/>
                <w:lang w:val="en-US" w:eastAsia="zh-CN"/>
              </w:rPr>
              <w:t>12</w:t>
            </w:r>
            <w:r>
              <w:rPr>
                <w:rFonts w:hint="default"/>
                <w:color w:val="auto"/>
                <w:highlight w:val="none"/>
              </w:rPr>
              <w:t>次；地下水水质监测共</w:t>
            </w:r>
            <w:r>
              <w:rPr>
                <w:rFonts w:hint="eastAsia"/>
                <w:color w:val="auto"/>
                <w:highlight w:val="none"/>
                <w:lang w:val="en-US" w:eastAsia="zh-CN"/>
              </w:rPr>
              <w:t>3</w:t>
            </w:r>
            <w:r>
              <w:rPr>
                <w:rFonts w:hint="default"/>
                <w:color w:val="auto"/>
                <w:highlight w:val="none"/>
              </w:rPr>
              <w:t>次。</w:t>
            </w:r>
            <w:r>
              <w:rPr>
                <w:rFonts w:hint="default"/>
                <w:color w:val="auto"/>
                <w:highlight w:val="none"/>
                <w:lang w:val="en-US" w:eastAsia="zh-CN"/>
              </w:rPr>
              <w:t>土地复垦</w:t>
            </w:r>
            <w:r>
              <w:rPr>
                <w:rFonts w:hint="eastAsia"/>
                <w:color w:val="auto"/>
                <w:highlight w:val="none"/>
                <w:lang w:val="en-US" w:eastAsia="zh-CN"/>
              </w:rPr>
              <w:t>4</w:t>
            </w:r>
            <w:r>
              <w:rPr>
                <w:rFonts w:hint="default"/>
                <w:color w:val="auto"/>
                <w:highlight w:val="none"/>
                <w:lang w:val="en-US" w:eastAsia="zh-CN"/>
              </w:rPr>
              <w:t>次。</w:t>
            </w:r>
            <w:r>
              <w:rPr>
                <w:rFonts w:hint="eastAsia"/>
                <w:color w:val="auto"/>
                <w:highlight w:val="none"/>
                <w:lang w:val="en-US" w:eastAsia="zh-CN"/>
              </w:rPr>
              <w:t>管护3.2066hm</w:t>
            </w:r>
            <w:r>
              <w:rPr>
                <w:rFonts w:hint="eastAsia"/>
                <w:color w:val="auto"/>
                <w:highlight w:val="none"/>
                <w:vertAlign w:val="superscript"/>
                <w:lang w:val="en-US" w:eastAsia="zh-CN"/>
              </w:rPr>
              <w:t>2</w:t>
            </w:r>
            <w:r>
              <w:rPr>
                <w:rFonts w:hint="eastAsia"/>
                <w:color w:val="auto"/>
                <w:highlight w:val="none"/>
                <w:lang w:val="en-US" w:eastAsia="zh-CN"/>
              </w:rPr>
              <w:t>。</w:t>
            </w:r>
          </w:p>
          <w:p w14:paraId="71F0D70F">
            <w:pPr>
              <w:ind w:firstLine="420" w:firstLineChars="200"/>
              <w:jc w:val="both"/>
              <w:rPr>
                <w:rFonts w:hint="default"/>
                <w:color w:val="auto"/>
                <w:highlight w:val="none"/>
                <w:lang w:val="en-US" w:eastAsia="zh-CN"/>
              </w:rPr>
            </w:pPr>
            <w:r>
              <w:rPr>
                <w:rFonts w:hint="eastAsia"/>
                <w:color w:val="auto"/>
                <w:highlight w:val="none"/>
                <w:lang w:val="en-US" w:eastAsia="zh-CN"/>
              </w:rPr>
              <w:t>验收。</w:t>
            </w:r>
          </w:p>
        </w:tc>
      </w:tr>
      <w:bookmarkEnd w:id="277"/>
    </w:tbl>
    <w:p w14:paraId="07BDB0E7">
      <w:pPr>
        <w:pStyle w:val="9"/>
        <w:spacing w:line="360" w:lineRule="auto"/>
        <w:ind w:firstLine="480" w:firstLineChars="200"/>
        <w:rPr>
          <w:rFonts w:hint="default" w:ascii="Times New Roman" w:hAnsi="Times New Roman" w:cs="Times New Roman"/>
          <w:color w:val="auto"/>
          <w:szCs w:val="24"/>
          <w:highlight w:val="none"/>
        </w:rPr>
        <w:sectPr>
          <w:pgSz w:w="11906" w:h="16838"/>
          <w:pgMar w:top="1440" w:right="1800" w:bottom="1440" w:left="1800" w:header="851" w:footer="992" w:gutter="0"/>
          <w:pgBorders w:offsetFrom="page">
            <w:top w:val="none" w:sz="0" w:space="0"/>
            <w:left w:val="none" w:sz="0" w:space="0"/>
            <w:bottom w:val="none" w:sz="0" w:space="0"/>
            <w:right w:val="none" w:sz="0" w:space="0"/>
          </w:pgBorders>
          <w:pgNumType w:fmt="decimal"/>
          <w:cols w:space="720" w:num="1"/>
          <w:docGrid w:type="lines" w:linePitch="312" w:charSpace="0"/>
        </w:sectPr>
      </w:pPr>
    </w:p>
    <w:bookmarkEnd w:id="273"/>
    <w:p w14:paraId="667D348E">
      <w:pPr>
        <w:pStyle w:val="3"/>
        <w:jc w:val="center"/>
        <w:rPr>
          <w:rFonts w:hint="default" w:ascii="Times New Roman" w:hAnsi="Times New Roman" w:eastAsia="黑体" w:cs="Times New Roman"/>
          <w:b w:val="0"/>
          <w:color w:val="auto"/>
          <w:sz w:val="32"/>
          <w:szCs w:val="32"/>
          <w:highlight w:val="none"/>
        </w:rPr>
      </w:pPr>
      <w:bookmarkStart w:id="278" w:name="_Toc31667"/>
      <w:bookmarkStart w:id="279" w:name="_Toc18850"/>
      <w:bookmarkStart w:id="280" w:name="_Toc23855660"/>
      <w:r>
        <w:rPr>
          <w:rFonts w:hint="default" w:ascii="Times New Roman" w:hAnsi="Times New Roman" w:eastAsia="黑体" w:cs="Times New Roman"/>
          <w:b w:val="0"/>
          <w:color w:val="auto"/>
          <w:sz w:val="32"/>
          <w:szCs w:val="32"/>
          <w:highlight w:val="none"/>
        </w:rPr>
        <w:t>第七章  经费估算与进度安排</w:t>
      </w:r>
      <w:bookmarkEnd w:id="278"/>
      <w:bookmarkEnd w:id="279"/>
      <w:bookmarkEnd w:id="280"/>
    </w:p>
    <w:p w14:paraId="332C6F09">
      <w:pPr>
        <w:keepNext/>
        <w:keepLines/>
        <w:widowControl w:val="0"/>
        <w:spacing w:before="260" w:after="260" w:line="415" w:lineRule="auto"/>
        <w:outlineLvl w:val="1"/>
        <w:rPr>
          <w:rFonts w:hint="default" w:ascii="Times New Roman" w:hAnsi="Times New Roman" w:eastAsia="黑体" w:cs="Times New Roman"/>
          <w:bCs/>
          <w:color w:val="auto"/>
          <w:sz w:val="30"/>
          <w:szCs w:val="30"/>
          <w:highlight w:val="none"/>
        </w:rPr>
      </w:pPr>
      <w:bookmarkStart w:id="281" w:name="_Toc23855661"/>
      <w:bookmarkStart w:id="282" w:name="_Toc487106186"/>
      <w:bookmarkStart w:id="283" w:name="_Toc11311"/>
      <w:bookmarkStart w:id="284" w:name="_Toc5305"/>
      <w:r>
        <w:rPr>
          <w:rFonts w:hint="default" w:ascii="Times New Roman" w:hAnsi="Times New Roman" w:eastAsia="黑体" w:cs="Times New Roman"/>
          <w:bCs/>
          <w:color w:val="auto"/>
          <w:sz w:val="30"/>
          <w:szCs w:val="30"/>
          <w:highlight w:val="none"/>
        </w:rPr>
        <w:t>一、经费估算依据</w:t>
      </w:r>
      <w:bookmarkEnd w:id="281"/>
      <w:bookmarkEnd w:id="282"/>
      <w:bookmarkEnd w:id="283"/>
      <w:bookmarkEnd w:id="284"/>
    </w:p>
    <w:p w14:paraId="5C948EFA">
      <w:pPr>
        <w:pStyle w:val="5"/>
        <w:rPr>
          <w:rFonts w:hint="default" w:ascii="Times New Roman" w:hAnsi="Times New Roman" w:eastAsia="黑体" w:cs="Times New Roman"/>
          <w:b w:val="0"/>
          <w:bCs w:val="0"/>
          <w:color w:val="auto"/>
          <w:szCs w:val="28"/>
          <w:highlight w:val="none"/>
        </w:rPr>
      </w:pPr>
      <w:r>
        <w:rPr>
          <w:rFonts w:hint="default" w:ascii="Times New Roman" w:hAnsi="Times New Roman" w:eastAsia="黑体" w:cs="Times New Roman"/>
          <w:b w:val="0"/>
          <w:bCs w:val="0"/>
          <w:color w:val="auto"/>
          <w:szCs w:val="28"/>
          <w:highlight w:val="none"/>
          <w:lang w:eastAsia="zh-CN"/>
        </w:rPr>
        <w:t>（</w:t>
      </w:r>
      <w:r>
        <w:rPr>
          <w:rFonts w:hint="default" w:ascii="Times New Roman" w:hAnsi="Times New Roman" w:eastAsia="黑体" w:cs="Times New Roman"/>
          <w:b w:val="0"/>
          <w:bCs w:val="0"/>
          <w:color w:val="auto"/>
          <w:szCs w:val="28"/>
          <w:highlight w:val="none"/>
        </w:rPr>
        <w:t>一）估算依据</w:t>
      </w:r>
    </w:p>
    <w:p w14:paraId="30F8FB53">
      <w:pPr>
        <w:autoSpaceDE w:val="0"/>
        <w:autoSpaceDN w:val="0"/>
        <w:spacing w:line="360" w:lineRule="auto"/>
        <w:ind w:firstLine="480" w:firstLineChars="200"/>
        <w:rPr>
          <w:rFonts w:hint="default" w:ascii="Times New Roman" w:hAnsi="Times New Roman" w:eastAsia="宋体" w:cs="Times New Roman"/>
          <w:color w:val="auto"/>
          <w:sz w:val="24"/>
          <w:highlight w:val="none"/>
          <w:lang w:eastAsia="zh-CN"/>
        </w:rPr>
      </w:pPr>
      <w:bookmarkStart w:id="285" w:name="_Toc487106187"/>
      <w:r>
        <w:rPr>
          <w:rFonts w:hint="default" w:ascii="Times New Roman" w:hAnsi="Times New Roman" w:cs="Times New Roman"/>
          <w:color w:val="auto"/>
          <w:sz w:val="24"/>
          <w:highlight w:val="none"/>
        </w:rPr>
        <w:t>1、《财政部 国土资源部关于印发&lt;土地开发整理项目预算定额标准&gt;的通知》</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财综</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2011</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128号）</w:t>
      </w:r>
      <w:r>
        <w:rPr>
          <w:rFonts w:hint="default" w:ascii="Times New Roman" w:hAnsi="Times New Roman" w:cs="Times New Roman"/>
          <w:color w:val="auto"/>
          <w:sz w:val="24"/>
          <w:highlight w:val="none"/>
          <w:lang w:eastAsia="zh-CN"/>
        </w:rPr>
        <w:t>；</w:t>
      </w:r>
    </w:p>
    <w:p w14:paraId="2F833F55">
      <w:pPr>
        <w:autoSpaceDE w:val="0"/>
        <w:autoSpaceDN w:val="0"/>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2、吉林省建设工程造价信息网发布的</w:t>
      </w:r>
      <w:r>
        <w:rPr>
          <w:rFonts w:hint="eastAsia" w:cs="Times New Roman"/>
          <w:color w:val="auto"/>
          <w:sz w:val="24"/>
          <w:highlight w:val="none"/>
          <w:lang w:val="en-US" w:eastAsia="zh-CN"/>
        </w:rPr>
        <w:t>永吉县</w:t>
      </w:r>
      <w:r>
        <w:rPr>
          <w:rFonts w:hint="default" w:ascii="Times New Roman" w:hAnsi="Times New Roman" w:cs="Times New Roman"/>
          <w:color w:val="auto"/>
          <w:sz w:val="24"/>
          <w:highlight w:val="none"/>
        </w:rPr>
        <w:t>202</w:t>
      </w:r>
      <w:r>
        <w:rPr>
          <w:rFonts w:hint="eastAsia" w:cs="Times New Roman"/>
          <w:color w:val="auto"/>
          <w:sz w:val="24"/>
          <w:highlight w:val="none"/>
          <w:lang w:val="en-US" w:eastAsia="zh-CN"/>
        </w:rPr>
        <w:t>5</w:t>
      </w:r>
      <w:r>
        <w:rPr>
          <w:rFonts w:hint="default" w:ascii="Times New Roman" w:hAnsi="Times New Roman" w:cs="Times New Roman"/>
          <w:color w:val="auto"/>
          <w:sz w:val="24"/>
          <w:highlight w:val="none"/>
        </w:rPr>
        <w:t>年</w:t>
      </w:r>
      <w:r>
        <w:rPr>
          <w:rFonts w:hint="eastAsia" w:cs="Times New Roman"/>
          <w:color w:val="auto"/>
          <w:sz w:val="24"/>
          <w:highlight w:val="none"/>
          <w:lang w:val="en-US" w:eastAsia="zh-CN"/>
        </w:rPr>
        <w:t>第二季度</w:t>
      </w:r>
      <w:r>
        <w:rPr>
          <w:rFonts w:hint="default" w:ascii="Times New Roman" w:hAnsi="Times New Roman" w:cs="Times New Roman"/>
          <w:color w:val="auto"/>
          <w:sz w:val="24"/>
          <w:highlight w:val="none"/>
        </w:rPr>
        <w:t>信息价格</w:t>
      </w:r>
      <w:r>
        <w:rPr>
          <w:rFonts w:hint="default" w:ascii="Times New Roman" w:hAnsi="Times New Roman" w:cs="Times New Roman"/>
          <w:color w:val="auto"/>
          <w:sz w:val="24"/>
          <w:highlight w:val="none"/>
          <w:lang w:eastAsia="zh-CN"/>
        </w:rPr>
        <w:t>；</w:t>
      </w:r>
    </w:p>
    <w:p w14:paraId="34FA10AF">
      <w:pPr>
        <w:autoSpaceDE w:val="0"/>
        <w:autoSpaceDN w:val="0"/>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3、《土地复垦方案编制规程》</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TD/T1031.1-2011）</w:t>
      </w:r>
      <w:r>
        <w:rPr>
          <w:rFonts w:hint="default" w:ascii="Times New Roman" w:hAnsi="Times New Roman" w:cs="Times New Roman"/>
          <w:color w:val="auto"/>
          <w:sz w:val="24"/>
          <w:highlight w:val="none"/>
          <w:lang w:eastAsia="zh-CN"/>
        </w:rPr>
        <w:t>；</w:t>
      </w:r>
    </w:p>
    <w:p w14:paraId="3D7C901B">
      <w:pPr>
        <w:autoSpaceDE w:val="0"/>
        <w:autoSpaceDN w:val="0"/>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4、《土地复垦条例》</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国务院令第592号）</w:t>
      </w:r>
      <w:r>
        <w:rPr>
          <w:rFonts w:hint="default" w:ascii="Times New Roman" w:hAnsi="Times New Roman" w:cs="Times New Roman"/>
          <w:color w:val="auto"/>
          <w:sz w:val="24"/>
          <w:highlight w:val="none"/>
          <w:lang w:eastAsia="zh-CN"/>
        </w:rPr>
        <w:t>；</w:t>
      </w:r>
    </w:p>
    <w:p w14:paraId="687538F1">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5、《国土资源部办公厅关于做好矿山地质环境保护与土地复垦方案编报有关工作的通知》</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国土资规〔2016〕21号）；</w:t>
      </w:r>
    </w:p>
    <w:p w14:paraId="7A30618E">
      <w:pPr>
        <w:autoSpaceDE w:val="0"/>
        <w:autoSpaceDN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6、《国土资源部关于印发土地整治工程营业税改征增值税计价依据调整过渡实施方案的通知》</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国土资厅发〔2017〕19）号；</w:t>
      </w:r>
    </w:p>
    <w:p w14:paraId="589EFC78">
      <w:pPr>
        <w:autoSpaceDE w:val="0"/>
        <w:autoSpaceDN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7、财政部、税务总局、海关总署公告2019年第39号《关于深化增值税改革有关政策的公告》；</w:t>
      </w:r>
    </w:p>
    <w:p w14:paraId="6DBABA5E">
      <w:pPr>
        <w:autoSpaceDE w:val="0"/>
        <w:autoSpaceDN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8、《吉林省自然资源厅关于采矿生产项目土地复垦费预存纳入矿山地质环境治理恢复基金管理有关问题的通知》</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吉自然资函〔2020〕266号）。</w:t>
      </w:r>
    </w:p>
    <w:p w14:paraId="0FC6FE5F">
      <w:pPr>
        <w:pStyle w:val="5"/>
        <w:rPr>
          <w:rFonts w:hint="default" w:ascii="Times New Roman" w:hAnsi="Times New Roman" w:eastAsia="黑体" w:cs="Times New Roman"/>
          <w:color w:val="auto"/>
          <w:szCs w:val="28"/>
          <w:highlight w:val="none"/>
        </w:rPr>
      </w:pPr>
      <w:r>
        <w:rPr>
          <w:rFonts w:hint="default" w:ascii="Times New Roman" w:hAnsi="Times New Roman" w:eastAsia="黑体" w:cs="Times New Roman"/>
          <w:color w:val="auto"/>
          <w:szCs w:val="28"/>
          <w:highlight w:val="none"/>
          <w:lang w:eastAsia="zh-CN"/>
        </w:rPr>
        <w:t>（</w:t>
      </w:r>
      <w:r>
        <w:rPr>
          <w:rFonts w:hint="default" w:ascii="Times New Roman" w:hAnsi="Times New Roman" w:eastAsia="黑体" w:cs="Times New Roman"/>
          <w:color w:val="auto"/>
          <w:szCs w:val="28"/>
          <w:highlight w:val="none"/>
        </w:rPr>
        <w:t>二）费用构成及计算标准</w:t>
      </w:r>
    </w:p>
    <w:p w14:paraId="165E0CB0">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土地复垦工程不需要购置复垦设备，该项费用不纳入取费构成。在计算中，以元为单位，取小数点后两位计到分，汇总后取整数计到万元。其中工程施工费、其他费用的计算标准依据《土地开发整理项目预算定额标准》，监测与管护费及预备费的计算标准参考《土地复垦方案编制实务》。</w:t>
      </w:r>
    </w:p>
    <w:p w14:paraId="5A3C7CDF">
      <w:pPr>
        <w:spacing w:line="360" w:lineRule="auto"/>
        <w:rPr>
          <w:rFonts w:hint="default" w:ascii="Times New Roman" w:hAnsi="Times New Roman" w:cs="Times New Roman"/>
          <w:color w:val="auto"/>
          <w:sz w:val="24"/>
          <w:highlight w:val="none"/>
        </w:rPr>
      </w:pPr>
      <w:r>
        <w:rPr>
          <w:rFonts w:hint="default" w:ascii="Times New Roman" w:hAnsi="Times New Roman" w:cs="Times New Roman"/>
          <w:b/>
          <w:color w:val="auto"/>
          <w:sz w:val="24"/>
          <w:highlight w:val="none"/>
          <w:lang w:eastAsia="zh-CN"/>
        </w:rPr>
        <w:t>（</w:t>
      </w:r>
      <w:r>
        <w:rPr>
          <w:rFonts w:hint="default" w:ascii="Times New Roman" w:hAnsi="Times New Roman" w:cs="Times New Roman"/>
          <w:b/>
          <w:color w:val="auto"/>
          <w:sz w:val="24"/>
          <w:highlight w:val="none"/>
        </w:rPr>
        <w:t>1）工程施工费：</w:t>
      </w:r>
      <w:r>
        <w:rPr>
          <w:rFonts w:hint="default" w:ascii="Times New Roman" w:hAnsi="Times New Roman" w:cs="Times New Roman"/>
          <w:color w:val="auto"/>
          <w:sz w:val="24"/>
          <w:highlight w:val="none"/>
        </w:rPr>
        <w:t>由直接费、间接费、利润和税金组成。</w:t>
      </w:r>
    </w:p>
    <w:p w14:paraId="7DC9D92B">
      <w:pPr>
        <w:spacing w:line="360" w:lineRule="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1）直接费：由直接工程费和措施费组成</w:t>
      </w:r>
    </w:p>
    <w:p w14:paraId="66D772D8">
      <w:pPr>
        <w:spacing w:line="360" w:lineRule="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①直接工程费：由人工费、材料费、施工机械使用费组成。</w:t>
      </w:r>
    </w:p>
    <w:p w14:paraId="49987D16">
      <w:pPr>
        <w:spacing w:line="360" w:lineRule="auto"/>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人工费：按《土地开发整理项目预算定额标准》计取。根据</w:t>
      </w:r>
      <w:r>
        <w:rPr>
          <w:rFonts w:hint="eastAsia" w:cs="Times New Roman"/>
          <w:color w:val="auto"/>
          <w:sz w:val="24"/>
          <w:highlight w:val="none"/>
          <w:lang w:eastAsia="zh-CN"/>
        </w:rPr>
        <w:t>永吉县</w:t>
      </w:r>
      <w:r>
        <w:rPr>
          <w:rFonts w:hint="default" w:ascii="Times New Roman" w:hAnsi="Times New Roman" w:cs="Times New Roman"/>
          <w:color w:val="auto"/>
          <w:sz w:val="24"/>
          <w:highlight w:val="none"/>
        </w:rPr>
        <w:t>当地工资情况，甲类工取51.04/日，乙类工取38.84/日。</w:t>
      </w:r>
    </w:p>
    <w:p w14:paraId="5D7CA5F5">
      <w:pPr>
        <w:spacing w:line="360" w:lineRule="auto"/>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材料费：材料费=定额材料用量×材料预算价格</w:t>
      </w:r>
    </w:p>
    <w:p w14:paraId="25F707AF">
      <w:pPr>
        <w:spacing w:line="360" w:lineRule="auto"/>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材料预算价格以材料到工地实际价格计算。</w:t>
      </w:r>
    </w:p>
    <w:p w14:paraId="2A6461FA">
      <w:pPr>
        <w:spacing w:line="360" w:lineRule="auto"/>
        <w:ind w:firstLine="480"/>
        <w:rPr>
          <w:rFonts w:hint="default" w:ascii="Times New Roman" w:hAnsi="Times New Roman" w:cs="Times New Roman"/>
          <w:b/>
          <w:color w:val="auto"/>
          <w:szCs w:val="21"/>
          <w:highlight w:val="none"/>
        </w:rPr>
      </w:pPr>
      <w:r>
        <w:rPr>
          <w:rFonts w:hint="default" w:ascii="Times New Roman" w:hAnsi="Times New Roman" w:cs="Times New Roman"/>
          <w:color w:val="auto"/>
          <w:sz w:val="24"/>
          <w:highlight w:val="none"/>
        </w:rPr>
        <w:t>施工机械使用费：施工机械使用费=定额机械使用量</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台班）×施工机械台班费</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元/台班）施工机械台班费按《土地开发整理项目施工机械台班费定额》计取。</w:t>
      </w:r>
    </w:p>
    <w:p w14:paraId="45AFB410">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②措施费：费率3.6%，包括临时设施费、冬雨季施工增加费、夜间施工增加费、施工辅助费、特殊地区施工增加费和安全施工措施费，计算基础为直接工程费。</w:t>
      </w:r>
    </w:p>
    <w:p w14:paraId="65460B0B">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2）间接费：由规费和企业管理费组成，计算基础为直接费。</w:t>
      </w:r>
    </w:p>
    <w:p w14:paraId="79E4F702">
      <w:pPr>
        <w:spacing w:line="360" w:lineRule="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3）利润：利润率取3%，计算基础为直接费和间接费之和。</w:t>
      </w:r>
    </w:p>
    <w:p w14:paraId="2CC7E8D0">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 xml:space="preserve"> 税金：费率取9%，根据财政部、税务总局、海关总署公告2019年第39 号《关于深化增值税改革有关政策的公告》的计算方式与标准，税金按增值税率9%计算。</w:t>
      </w:r>
    </w:p>
    <w:p w14:paraId="6673BB63">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税金＝</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直接费＋间接费＋利润＋材料价差）×9%</w:t>
      </w:r>
    </w:p>
    <w:p w14:paraId="7190C1C0">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以上各项费率标准和计算方法见表7-1。</w:t>
      </w:r>
    </w:p>
    <w:p w14:paraId="777FA6B4">
      <w:pPr>
        <w:pStyle w:val="90"/>
        <w:autoSpaceDE w:val="0"/>
        <w:autoSpaceDN w:val="0"/>
        <w:rPr>
          <w:rFonts w:hint="default" w:ascii="Times New Roman" w:hAnsi="Times New Roman" w:eastAsia="黑体" w:cs="Times New Roman"/>
          <w:b w:val="0"/>
          <w:bCs/>
          <w:color w:val="auto"/>
          <w:highlight w:val="none"/>
        </w:rPr>
      </w:pPr>
      <w:r>
        <w:rPr>
          <w:rFonts w:hint="default" w:ascii="Times New Roman" w:hAnsi="Times New Roman" w:eastAsia="黑体" w:cs="Times New Roman"/>
          <w:b w:val="0"/>
          <w:bCs/>
          <w:color w:val="auto"/>
          <w:highlight w:val="none"/>
        </w:rPr>
        <w:t>表7-1   费率标准及计算方法明细表</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116"/>
        <w:gridCol w:w="850"/>
        <w:gridCol w:w="977"/>
        <w:gridCol w:w="978"/>
        <w:gridCol w:w="3864"/>
      </w:tblGrid>
      <w:tr w14:paraId="302CB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737" w:type="dxa"/>
            <w:vMerge w:val="restart"/>
            <w:noWrap w:val="0"/>
            <w:vAlign w:val="center"/>
          </w:tcPr>
          <w:p w14:paraId="3966AFF6">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序号</w:t>
            </w:r>
          </w:p>
        </w:tc>
        <w:tc>
          <w:tcPr>
            <w:tcW w:w="1116" w:type="dxa"/>
            <w:vMerge w:val="restart"/>
            <w:noWrap w:val="0"/>
            <w:vAlign w:val="center"/>
          </w:tcPr>
          <w:p w14:paraId="62A16B64">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费用名称</w:t>
            </w:r>
          </w:p>
        </w:tc>
        <w:tc>
          <w:tcPr>
            <w:tcW w:w="2805" w:type="dxa"/>
            <w:gridSpan w:val="3"/>
            <w:noWrap w:val="0"/>
            <w:vAlign w:val="center"/>
          </w:tcPr>
          <w:p w14:paraId="77F84E7B">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费  率</w:t>
            </w:r>
          </w:p>
          <w:p w14:paraId="5890A395">
            <w:pPr>
              <w:spacing w:line="360" w:lineRule="auto"/>
              <w:jc w:val="center"/>
              <w:rPr>
                <w:rFonts w:hint="default" w:ascii="Times New Roman" w:hAnsi="Times New Roman" w:cs="Times New Roman"/>
                <w:color w:val="auto"/>
                <w:szCs w:val="21"/>
                <w:highlight w:val="none"/>
              </w:rPr>
            </w:pPr>
          </w:p>
        </w:tc>
        <w:tc>
          <w:tcPr>
            <w:tcW w:w="3864" w:type="dxa"/>
            <w:vMerge w:val="restart"/>
            <w:noWrap w:val="0"/>
            <w:vAlign w:val="center"/>
          </w:tcPr>
          <w:p w14:paraId="028BC913">
            <w:pPr>
              <w:spacing w:line="360" w:lineRule="auto"/>
              <w:ind w:firstLine="42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计算方法 </w:t>
            </w:r>
          </w:p>
        </w:tc>
      </w:tr>
      <w:tr w14:paraId="0F2EA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737" w:type="dxa"/>
            <w:vMerge w:val="continue"/>
            <w:noWrap w:val="0"/>
            <w:vAlign w:val="center"/>
          </w:tcPr>
          <w:p w14:paraId="0CCFCC2A">
            <w:pPr>
              <w:spacing w:line="360" w:lineRule="auto"/>
              <w:jc w:val="center"/>
              <w:rPr>
                <w:rFonts w:hint="default" w:ascii="Times New Roman" w:hAnsi="Times New Roman" w:cs="Times New Roman"/>
                <w:color w:val="auto"/>
                <w:szCs w:val="21"/>
                <w:highlight w:val="none"/>
              </w:rPr>
            </w:pPr>
          </w:p>
        </w:tc>
        <w:tc>
          <w:tcPr>
            <w:tcW w:w="1116" w:type="dxa"/>
            <w:vMerge w:val="continue"/>
            <w:noWrap w:val="0"/>
            <w:vAlign w:val="center"/>
          </w:tcPr>
          <w:p w14:paraId="2B533E93">
            <w:pPr>
              <w:spacing w:line="360" w:lineRule="auto"/>
              <w:jc w:val="center"/>
              <w:rPr>
                <w:rFonts w:hint="default" w:ascii="Times New Roman" w:hAnsi="Times New Roman" w:cs="Times New Roman"/>
                <w:color w:val="auto"/>
                <w:szCs w:val="21"/>
                <w:highlight w:val="none"/>
              </w:rPr>
            </w:pPr>
          </w:p>
        </w:tc>
        <w:tc>
          <w:tcPr>
            <w:tcW w:w="850" w:type="dxa"/>
            <w:noWrap w:val="0"/>
            <w:vAlign w:val="center"/>
          </w:tcPr>
          <w:p w14:paraId="174A094A">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土方</w:t>
            </w:r>
          </w:p>
        </w:tc>
        <w:tc>
          <w:tcPr>
            <w:tcW w:w="977" w:type="dxa"/>
            <w:noWrap w:val="0"/>
            <w:vAlign w:val="center"/>
          </w:tcPr>
          <w:p w14:paraId="3AE4480F">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砌体</w:t>
            </w:r>
          </w:p>
        </w:tc>
        <w:tc>
          <w:tcPr>
            <w:tcW w:w="978" w:type="dxa"/>
            <w:noWrap w:val="0"/>
            <w:vAlign w:val="center"/>
          </w:tcPr>
          <w:p w14:paraId="5812692F">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石方</w:t>
            </w:r>
          </w:p>
        </w:tc>
        <w:tc>
          <w:tcPr>
            <w:tcW w:w="3864" w:type="dxa"/>
            <w:vMerge w:val="continue"/>
            <w:noWrap w:val="0"/>
            <w:vAlign w:val="center"/>
          </w:tcPr>
          <w:p w14:paraId="2D7FF0CE">
            <w:pPr>
              <w:spacing w:line="360" w:lineRule="auto"/>
              <w:jc w:val="center"/>
              <w:rPr>
                <w:rFonts w:hint="default" w:ascii="Times New Roman" w:hAnsi="Times New Roman" w:cs="Times New Roman"/>
                <w:color w:val="auto"/>
                <w:szCs w:val="21"/>
                <w:highlight w:val="none"/>
              </w:rPr>
            </w:pPr>
          </w:p>
        </w:tc>
      </w:tr>
      <w:tr w14:paraId="7FCB2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2" w:hRule="exact"/>
          <w:jc w:val="center"/>
        </w:trPr>
        <w:tc>
          <w:tcPr>
            <w:tcW w:w="737" w:type="dxa"/>
            <w:noWrap w:val="0"/>
            <w:vAlign w:val="center"/>
          </w:tcPr>
          <w:p w14:paraId="3654D4CC">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1116" w:type="dxa"/>
            <w:noWrap w:val="0"/>
            <w:vAlign w:val="center"/>
          </w:tcPr>
          <w:p w14:paraId="67C24B78">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措施费</w:t>
            </w:r>
          </w:p>
        </w:tc>
        <w:tc>
          <w:tcPr>
            <w:tcW w:w="850" w:type="dxa"/>
            <w:noWrap w:val="0"/>
            <w:vAlign w:val="center"/>
          </w:tcPr>
          <w:p w14:paraId="2E014361">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3.6%</w:t>
            </w:r>
          </w:p>
        </w:tc>
        <w:tc>
          <w:tcPr>
            <w:tcW w:w="977" w:type="dxa"/>
            <w:noWrap w:val="0"/>
            <w:vAlign w:val="center"/>
          </w:tcPr>
          <w:p w14:paraId="46CB12DD">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3.6%</w:t>
            </w:r>
          </w:p>
        </w:tc>
        <w:tc>
          <w:tcPr>
            <w:tcW w:w="978" w:type="dxa"/>
            <w:noWrap w:val="0"/>
            <w:vAlign w:val="center"/>
          </w:tcPr>
          <w:p w14:paraId="67B9E382">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3.6%</w:t>
            </w:r>
          </w:p>
        </w:tc>
        <w:tc>
          <w:tcPr>
            <w:tcW w:w="3864" w:type="dxa"/>
            <w:noWrap w:val="0"/>
            <w:vAlign w:val="center"/>
          </w:tcPr>
          <w:p w14:paraId="1A231DD5">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直接工程费×费率</w:t>
            </w:r>
          </w:p>
        </w:tc>
      </w:tr>
      <w:tr w14:paraId="76C04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2" w:hRule="exact"/>
          <w:jc w:val="center"/>
        </w:trPr>
        <w:tc>
          <w:tcPr>
            <w:tcW w:w="737" w:type="dxa"/>
            <w:noWrap w:val="0"/>
            <w:vAlign w:val="center"/>
          </w:tcPr>
          <w:p w14:paraId="62FBEC5A">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w:t>
            </w:r>
          </w:p>
        </w:tc>
        <w:tc>
          <w:tcPr>
            <w:tcW w:w="1116" w:type="dxa"/>
            <w:noWrap w:val="0"/>
            <w:vAlign w:val="center"/>
          </w:tcPr>
          <w:p w14:paraId="393A0326">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间接费</w:t>
            </w:r>
          </w:p>
        </w:tc>
        <w:tc>
          <w:tcPr>
            <w:tcW w:w="850" w:type="dxa"/>
            <w:noWrap w:val="0"/>
            <w:vAlign w:val="center"/>
          </w:tcPr>
          <w:p w14:paraId="4813814B">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w:t>
            </w:r>
          </w:p>
        </w:tc>
        <w:tc>
          <w:tcPr>
            <w:tcW w:w="977" w:type="dxa"/>
            <w:noWrap w:val="0"/>
            <w:vAlign w:val="center"/>
          </w:tcPr>
          <w:p w14:paraId="34796781">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w:t>
            </w:r>
          </w:p>
        </w:tc>
        <w:tc>
          <w:tcPr>
            <w:tcW w:w="978" w:type="dxa"/>
            <w:noWrap w:val="0"/>
            <w:vAlign w:val="center"/>
          </w:tcPr>
          <w:p w14:paraId="2911900E">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7.2%</w:t>
            </w:r>
          </w:p>
        </w:tc>
        <w:tc>
          <w:tcPr>
            <w:tcW w:w="3864" w:type="dxa"/>
            <w:noWrap w:val="0"/>
            <w:vAlign w:val="center"/>
          </w:tcPr>
          <w:p w14:paraId="1E362EEF">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直接费×费率</w:t>
            </w:r>
          </w:p>
        </w:tc>
      </w:tr>
      <w:tr w14:paraId="3A45A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exact"/>
          <w:jc w:val="center"/>
        </w:trPr>
        <w:tc>
          <w:tcPr>
            <w:tcW w:w="737" w:type="dxa"/>
            <w:noWrap w:val="0"/>
            <w:vAlign w:val="center"/>
          </w:tcPr>
          <w:p w14:paraId="3F812144">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w:t>
            </w:r>
          </w:p>
        </w:tc>
        <w:tc>
          <w:tcPr>
            <w:tcW w:w="1116" w:type="dxa"/>
            <w:noWrap w:val="0"/>
            <w:vAlign w:val="center"/>
          </w:tcPr>
          <w:p w14:paraId="2EA39FFC">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利润</w:t>
            </w:r>
          </w:p>
        </w:tc>
        <w:tc>
          <w:tcPr>
            <w:tcW w:w="850" w:type="dxa"/>
            <w:noWrap w:val="0"/>
            <w:vAlign w:val="center"/>
          </w:tcPr>
          <w:p w14:paraId="4A408E08">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w:t>
            </w:r>
          </w:p>
        </w:tc>
        <w:tc>
          <w:tcPr>
            <w:tcW w:w="977" w:type="dxa"/>
            <w:noWrap w:val="0"/>
            <w:vAlign w:val="center"/>
          </w:tcPr>
          <w:p w14:paraId="5FC98BDE">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w:t>
            </w:r>
          </w:p>
        </w:tc>
        <w:tc>
          <w:tcPr>
            <w:tcW w:w="978" w:type="dxa"/>
            <w:noWrap w:val="0"/>
            <w:vAlign w:val="center"/>
          </w:tcPr>
          <w:p w14:paraId="53EF3A96">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w:t>
            </w:r>
          </w:p>
        </w:tc>
        <w:tc>
          <w:tcPr>
            <w:tcW w:w="3864" w:type="dxa"/>
            <w:noWrap w:val="0"/>
            <w:vAlign w:val="center"/>
          </w:tcPr>
          <w:p w14:paraId="4AB7D541">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直接费+间接费）×费率</w:t>
            </w:r>
          </w:p>
        </w:tc>
      </w:tr>
      <w:tr w14:paraId="4638D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2" w:hRule="exact"/>
          <w:jc w:val="center"/>
        </w:trPr>
        <w:tc>
          <w:tcPr>
            <w:tcW w:w="737" w:type="dxa"/>
            <w:noWrap w:val="0"/>
            <w:vAlign w:val="center"/>
          </w:tcPr>
          <w:p w14:paraId="5FA4D48B">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w:t>
            </w:r>
          </w:p>
        </w:tc>
        <w:tc>
          <w:tcPr>
            <w:tcW w:w="1116" w:type="dxa"/>
            <w:noWrap w:val="0"/>
            <w:vAlign w:val="center"/>
          </w:tcPr>
          <w:p w14:paraId="2E528D85">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税金</w:t>
            </w:r>
          </w:p>
        </w:tc>
        <w:tc>
          <w:tcPr>
            <w:tcW w:w="850" w:type="dxa"/>
            <w:noWrap w:val="0"/>
            <w:vAlign w:val="center"/>
          </w:tcPr>
          <w:p w14:paraId="204E425E">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w:t>
            </w:r>
          </w:p>
        </w:tc>
        <w:tc>
          <w:tcPr>
            <w:tcW w:w="977" w:type="dxa"/>
            <w:noWrap w:val="0"/>
            <w:vAlign w:val="center"/>
          </w:tcPr>
          <w:p w14:paraId="558D2231">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w:t>
            </w:r>
          </w:p>
        </w:tc>
        <w:tc>
          <w:tcPr>
            <w:tcW w:w="978" w:type="dxa"/>
            <w:noWrap w:val="0"/>
            <w:vAlign w:val="center"/>
          </w:tcPr>
          <w:p w14:paraId="3CC80673">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w:t>
            </w:r>
          </w:p>
        </w:tc>
        <w:tc>
          <w:tcPr>
            <w:tcW w:w="3864" w:type="dxa"/>
            <w:noWrap w:val="0"/>
            <w:vAlign w:val="center"/>
          </w:tcPr>
          <w:p w14:paraId="63C1F533">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直接费+间接费+利润+材料价差）×费率</w:t>
            </w:r>
          </w:p>
        </w:tc>
      </w:tr>
    </w:tbl>
    <w:p w14:paraId="0AEFE476">
      <w:pPr>
        <w:spacing w:line="360" w:lineRule="auto"/>
        <w:rPr>
          <w:rFonts w:hint="default" w:ascii="Times New Roman" w:hAnsi="Times New Roman" w:cs="Times New Roman"/>
          <w:color w:val="auto"/>
          <w:sz w:val="24"/>
          <w:highlight w:val="none"/>
        </w:rPr>
      </w:pPr>
      <w:r>
        <w:rPr>
          <w:rFonts w:hint="default" w:ascii="Times New Roman" w:hAnsi="Times New Roman" w:cs="Times New Roman"/>
          <w:b/>
          <w:color w:val="auto"/>
          <w:spacing w:val="-6"/>
          <w:sz w:val="24"/>
          <w:highlight w:val="none"/>
          <w:lang w:eastAsia="zh-CN"/>
        </w:rPr>
        <w:t>（</w:t>
      </w:r>
      <w:r>
        <w:rPr>
          <w:rFonts w:hint="default" w:ascii="Times New Roman" w:hAnsi="Times New Roman" w:cs="Times New Roman"/>
          <w:b/>
          <w:color w:val="auto"/>
          <w:spacing w:val="-6"/>
          <w:sz w:val="24"/>
          <w:highlight w:val="none"/>
        </w:rPr>
        <w:t>2）其他费用：</w:t>
      </w:r>
      <w:r>
        <w:rPr>
          <w:rFonts w:hint="default" w:ascii="Times New Roman" w:hAnsi="Times New Roman" w:cs="Times New Roman"/>
          <w:color w:val="auto"/>
          <w:spacing w:val="-6"/>
          <w:sz w:val="24"/>
          <w:highlight w:val="none"/>
        </w:rPr>
        <w:t>由前期工作费、工程监理费、竣工验收费、业主管理费</w:t>
      </w:r>
      <w:r>
        <w:rPr>
          <w:rFonts w:hint="default" w:ascii="Times New Roman" w:hAnsi="Times New Roman" w:cs="Times New Roman"/>
          <w:color w:val="auto"/>
          <w:spacing w:val="-6"/>
          <w:sz w:val="24"/>
          <w:highlight w:val="none"/>
          <w:lang w:val="en-US" w:eastAsia="zh-CN"/>
        </w:rPr>
        <w:t>组成</w:t>
      </w:r>
      <w:r>
        <w:rPr>
          <w:rFonts w:hint="default" w:ascii="Times New Roman" w:hAnsi="Times New Roman" w:cs="Times New Roman"/>
          <w:color w:val="auto"/>
          <w:spacing w:val="-6"/>
          <w:sz w:val="24"/>
          <w:highlight w:val="none"/>
        </w:rPr>
        <w:t>。</w:t>
      </w:r>
    </w:p>
    <w:p w14:paraId="7452093B">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1）前期费用</w:t>
      </w:r>
    </w:p>
    <w:p w14:paraId="61767440">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前期费用参考《财政部 国土资源部关于印发&lt;土地开发整理项目预算定额标准&gt;的通知》</w:t>
      </w:r>
      <w:r>
        <w:rPr>
          <w:rFonts w:hint="default"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rPr>
        <w:t>财综</w:t>
      </w:r>
      <w:r>
        <w:rPr>
          <w:rFonts w:hint="eastAsia" w:cs="Times New Roman"/>
          <w:color w:val="auto"/>
          <w:kern w:val="0"/>
          <w:sz w:val="24"/>
          <w:highlight w:val="none"/>
          <w:lang w:eastAsia="zh-CN"/>
        </w:rPr>
        <w:t>〔</w:t>
      </w:r>
      <w:r>
        <w:rPr>
          <w:rFonts w:hint="default" w:ascii="Times New Roman" w:hAnsi="Times New Roman" w:cs="Times New Roman"/>
          <w:color w:val="auto"/>
          <w:kern w:val="0"/>
          <w:sz w:val="24"/>
          <w:highlight w:val="none"/>
        </w:rPr>
        <w:t>2011</w:t>
      </w:r>
      <w:r>
        <w:rPr>
          <w:rFonts w:hint="eastAsia" w:cs="Times New Roman"/>
          <w:color w:val="auto"/>
          <w:kern w:val="0"/>
          <w:sz w:val="24"/>
          <w:highlight w:val="none"/>
          <w:lang w:eastAsia="zh-CN"/>
        </w:rPr>
        <w:t>〕</w:t>
      </w:r>
      <w:r>
        <w:rPr>
          <w:rFonts w:hint="default" w:ascii="Times New Roman" w:hAnsi="Times New Roman" w:cs="Times New Roman"/>
          <w:color w:val="auto"/>
          <w:kern w:val="0"/>
          <w:sz w:val="24"/>
          <w:highlight w:val="none"/>
        </w:rPr>
        <w:t>128号）和《国土资源部办公厅关于做好矿山地质环境保护与土地复垦方案编报有关工作的通知》</w:t>
      </w:r>
      <w:r>
        <w:rPr>
          <w:rFonts w:hint="default"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rPr>
        <w:t>国土资规〔2016〕21号</w:t>
      </w:r>
      <w:r>
        <w:rPr>
          <w:rFonts w:hint="default"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rPr>
        <w:t>中规定计取。</w:t>
      </w:r>
    </w:p>
    <w:p w14:paraId="4CA75B9C">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2）工程监理费</w:t>
      </w:r>
    </w:p>
    <w:p w14:paraId="7354E4BC">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按国家有关规定进行全程的监督与管理所发生的费用，依据《财政部 国土资源部关于印发&lt;土地开发整理项目预算定额标准&gt;的通知》</w:t>
      </w:r>
      <w:r>
        <w:rPr>
          <w:rFonts w:hint="default"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rPr>
        <w:t>财综</w:t>
      </w:r>
      <w:r>
        <w:rPr>
          <w:rFonts w:hint="eastAsia" w:cs="Times New Roman"/>
          <w:color w:val="auto"/>
          <w:kern w:val="0"/>
          <w:sz w:val="24"/>
          <w:highlight w:val="none"/>
          <w:lang w:eastAsia="zh-CN"/>
        </w:rPr>
        <w:t>〔</w:t>
      </w:r>
      <w:r>
        <w:rPr>
          <w:rFonts w:hint="default" w:ascii="Times New Roman" w:hAnsi="Times New Roman" w:cs="Times New Roman"/>
          <w:color w:val="auto"/>
          <w:kern w:val="0"/>
          <w:sz w:val="24"/>
          <w:highlight w:val="none"/>
        </w:rPr>
        <w:t>2011</w:t>
      </w:r>
      <w:r>
        <w:rPr>
          <w:rFonts w:hint="eastAsia" w:cs="Times New Roman"/>
          <w:color w:val="auto"/>
          <w:kern w:val="0"/>
          <w:sz w:val="24"/>
          <w:highlight w:val="none"/>
          <w:lang w:eastAsia="zh-CN"/>
        </w:rPr>
        <w:t>〕</w:t>
      </w:r>
      <w:r>
        <w:rPr>
          <w:rFonts w:hint="default" w:ascii="Times New Roman" w:hAnsi="Times New Roman" w:cs="Times New Roman"/>
          <w:color w:val="auto"/>
          <w:kern w:val="0"/>
          <w:sz w:val="24"/>
          <w:highlight w:val="none"/>
        </w:rPr>
        <w:t>128号）中的《土地开发整理项目预算编制规定》计取。</w:t>
      </w:r>
    </w:p>
    <w:p w14:paraId="1EEDB323">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3）竣工验收费</w:t>
      </w:r>
    </w:p>
    <w:p w14:paraId="4B93DF97">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竣工验收费依据《财政部 国土资源部关于印发&lt;土地开发整理项目预算定额标准&gt;的通知》</w:t>
      </w:r>
      <w:r>
        <w:rPr>
          <w:rFonts w:hint="default"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rPr>
        <w:t>财综</w:t>
      </w:r>
      <w:r>
        <w:rPr>
          <w:rFonts w:hint="eastAsia" w:cs="Times New Roman"/>
          <w:color w:val="auto"/>
          <w:kern w:val="0"/>
          <w:sz w:val="24"/>
          <w:highlight w:val="none"/>
          <w:lang w:eastAsia="zh-CN"/>
        </w:rPr>
        <w:t>〔</w:t>
      </w:r>
      <w:r>
        <w:rPr>
          <w:rFonts w:hint="default" w:ascii="Times New Roman" w:hAnsi="Times New Roman" w:cs="Times New Roman"/>
          <w:color w:val="auto"/>
          <w:kern w:val="0"/>
          <w:sz w:val="24"/>
          <w:highlight w:val="none"/>
        </w:rPr>
        <w:t>2011</w:t>
      </w:r>
      <w:r>
        <w:rPr>
          <w:rFonts w:hint="eastAsia" w:cs="Times New Roman"/>
          <w:color w:val="auto"/>
          <w:kern w:val="0"/>
          <w:sz w:val="24"/>
          <w:highlight w:val="none"/>
          <w:lang w:eastAsia="zh-CN"/>
        </w:rPr>
        <w:t>〕</w:t>
      </w:r>
      <w:r>
        <w:rPr>
          <w:rFonts w:hint="default" w:ascii="Times New Roman" w:hAnsi="Times New Roman" w:cs="Times New Roman"/>
          <w:color w:val="auto"/>
          <w:kern w:val="0"/>
          <w:sz w:val="24"/>
          <w:highlight w:val="none"/>
        </w:rPr>
        <w:t>128号）中的《土地开发整理项目预算编制规定》计取。</w:t>
      </w:r>
    </w:p>
    <w:p w14:paraId="27C8F0FF">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4）业主管理费</w:t>
      </w:r>
    </w:p>
    <w:p w14:paraId="33D5F358">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业主管理费依据《财政部 国土资源部关于印发&lt;土地开发整理项目预算定额标准&gt;的通知》</w:t>
      </w:r>
      <w:r>
        <w:rPr>
          <w:rFonts w:hint="default"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rPr>
        <w:t>财综</w:t>
      </w:r>
      <w:r>
        <w:rPr>
          <w:rFonts w:hint="eastAsia" w:cs="Times New Roman"/>
          <w:color w:val="auto"/>
          <w:kern w:val="0"/>
          <w:sz w:val="24"/>
          <w:highlight w:val="none"/>
          <w:lang w:eastAsia="zh-CN"/>
        </w:rPr>
        <w:t>〔</w:t>
      </w:r>
      <w:r>
        <w:rPr>
          <w:rFonts w:hint="default" w:ascii="Times New Roman" w:hAnsi="Times New Roman" w:cs="Times New Roman"/>
          <w:color w:val="auto"/>
          <w:kern w:val="0"/>
          <w:sz w:val="24"/>
          <w:highlight w:val="none"/>
        </w:rPr>
        <w:t>2011</w:t>
      </w:r>
      <w:r>
        <w:rPr>
          <w:rFonts w:hint="eastAsia" w:cs="Times New Roman"/>
          <w:color w:val="auto"/>
          <w:kern w:val="0"/>
          <w:sz w:val="24"/>
          <w:highlight w:val="none"/>
          <w:lang w:eastAsia="zh-CN"/>
        </w:rPr>
        <w:t>〕</w:t>
      </w:r>
      <w:r>
        <w:rPr>
          <w:rFonts w:hint="default" w:ascii="Times New Roman" w:hAnsi="Times New Roman" w:cs="Times New Roman"/>
          <w:color w:val="auto"/>
          <w:kern w:val="0"/>
          <w:sz w:val="24"/>
          <w:highlight w:val="none"/>
        </w:rPr>
        <w:t>128号）中的《土地开发整理项目预算编制规定》计取。</w:t>
      </w:r>
    </w:p>
    <w:p w14:paraId="3C261653">
      <w:pPr>
        <w:spacing w:line="360" w:lineRule="auto"/>
        <w:ind w:firstLine="118" w:firstLineChars="49"/>
        <w:rPr>
          <w:rFonts w:hint="default" w:ascii="Times New Roman" w:hAnsi="Times New Roman" w:cs="Times New Roman"/>
          <w:b/>
          <w:color w:val="auto"/>
          <w:spacing w:val="-6"/>
          <w:sz w:val="24"/>
          <w:highlight w:val="none"/>
        </w:rPr>
      </w:pPr>
      <w:r>
        <w:rPr>
          <w:rFonts w:hint="default" w:ascii="Times New Roman" w:hAnsi="Times New Roman" w:cs="Times New Roman"/>
          <w:b/>
          <w:color w:val="auto"/>
          <w:sz w:val="24"/>
          <w:highlight w:val="none"/>
          <w:lang w:eastAsia="zh-CN"/>
        </w:rPr>
        <w:t>（</w:t>
      </w:r>
      <w:r>
        <w:rPr>
          <w:rFonts w:hint="default" w:ascii="Times New Roman" w:hAnsi="Times New Roman" w:cs="Times New Roman"/>
          <w:b/>
          <w:color w:val="auto"/>
          <w:sz w:val="24"/>
          <w:highlight w:val="none"/>
        </w:rPr>
        <w:t>3）</w:t>
      </w:r>
      <w:r>
        <w:rPr>
          <w:rFonts w:hint="default" w:ascii="Times New Roman" w:hAnsi="Times New Roman" w:cs="Times New Roman"/>
          <w:b/>
          <w:color w:val="auto"/>
          <w:spacing w:val="-6"/>
          <w:sz w:val="24"/>
          <w:highlight w:val="none"/>
        </w:rPr>
        <w:t>监测费与管护费</w:t>
      </w:r>
    </w:p>
    <w:p w14:paraId="7D4D33E1">
      <w:pPr>
        <w:autoSpaceDE w:val="0"/>
        <w:autoSpaceDN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rPr>
        <w:t>恢复治理工程为监测费。</w:t>
      </w:r>
      <w:r>
        <w:rPr>
          <w:rFonts w:hint="default" w:ascii="Times New Roman" w:hAnsi="Times New Roman" w:cs="Times New Roman"/>
          <w:color w:val="auto"/>
          <w:kern w:val="0"/>
          <w:sz w:val="24"/>
          <w:highlight w:val="none"/>
        </w:rPr>
        <w:t>本方案监测费用按照市场价，</w:t>
      </w:r>
      <w:r>
        <w:rPr>
          <w:rFonts w:hint="eastAsia" w:cs="Times New Roman"/>
          <w:color w:val="auto"/>
          <w:sz w:val="24"/>
          <w:highlight w:val="none"/>
          <w:lang w:val="en-US" w:eastAsia="zh-CN"/>
        </w:rPr>
        <w:t>地质灾害监测300元/次，地下水水位监测150元/次，水质监测1000元/次。</w:t>
      </w:r>
    </w:p>
    <w:p w14:paraId="295A82E8">
      <w:pPr>
        <w:autoSpaceDE w:val="0"/>
        <w:autoSpaceDN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土地复垦工程包括监测与管护费。</w:t>
      </w:r>
      <w:r>
        <w:rPr>
          <w:rFonts w:hint="default" w:ascii="Times New Roman" w:hAnsi="Times New Roman" w:cs="Times New Roman"/>
          <w:color w:val="auto"/>
          <w:kern w:val="0"/>
          <w:sz w:val="24"/>
          <w:highlight w:val="none"/>
        </w:rPr>
        <w:t>本方案监测费用按照市场价，</w:t>
      </w:r>
      <w:r>
        <w:rPr>
          <w:rFonts w:hint="eastAsia" w:cs="Times New Roman"/>
          <w:color w:val="auto"/>
          <w:sz w:val="24"/>
          <w:highlight w:val="none"/>
          <w:lang w:val="en-US" w:eastAsia="zh-CN"/>
        </w:rPr>
        <w:t>土地复垦监测费300元/次，</w:t>
      </w:r>
      <w:r>
        <w:rPr>
          <w:rFonts w:hint="default" w:ascii="Times New Roman" w:hAnsi="Times New Roman" w:cs="Times New Roman"/>
          <w:color w:val="auto"/>
          <w:kern w:val="0"/>
          <w:sz w:val="24"/>
          <w:highlight w:val="none"/>
        </w:rPr>
        <w:t>管护费按</w:t>
      </w:r>
      <w:r>
        <w:rPr>
          <w:rFonts w:hint="eastAsia" w:cs="Times New Roman"/>
          <w:color w:val="auto"/>
          <w:kern w:val="0"/>
          <w:sz w:val="24"/>
          <w:highlight w:val="none"/>
          <w:lang w:eastAsia="zh-CN"/>
        </w:rPr>
        <w:t>永吉县</w:t>
      </w:r>
      <w:r>
        <w:rPr>
          <w:rFonts w:hint="default" w:ascii="Times New Roman" w:hAnsi="Times New Roman" w:cs="Times New Roman"/>
          <w:color w:val="auto"/>
          <w:kern w:val="0"/>
          <w:sz w:val="24"/>
          <w:highlight w:val="none"/>
        </w:rPr>
        <w:t>当地人工价4000元/h</w:t>
      </w:r>
      <w:r>
        <w:rPr>
          <w:rFonts w:hint="default" w:ascii="Times New Roman" w:hAnsi="Times New Roman" w:cs="Times New Roman"/>
          <w:color w:val="auto"/>
          <w:kern w:val="0"/>
          <w:sz w:val="24"/>
          <w:highlight w:val="none"/>
          <w:lang w:eastAsia="zh-CN"/>
        </w:rPr>
        <w:t>m</w:t>
      </w:r>
      <w:r>
        <w:rPr>
          <w:rFonts w:hint="default" w:ascii="Times New Roman" w:hAnsi="Times New Roman" w:cs="Times New Roman"/>
          <w:color w:val="auto"/>
          <w:kern w:val="0"/>
          <w:sz w:val="24"/>
          <w:highlight w:val="none"/>
          <w:vertAlign w:val="superscript"/>
          <w:lang w:eastAsia="zh-CN"/>
        </w:rPr>
        <w:t>2</w:t>
      </w:r>
      <w:r>
        <w:rPr>
          <w:rFonts w:hint="default" w:ascii="Times New Roman" w:hAnsi="Times New Roman" w:cs="Times New Roman"/>
          <w:color w:val="auto"/>
          <w:kern w:val="0"/>
          <w:sz w:val="24"/>
          <w:highlight w:val="none"/>
        </w:rPr>
        <w:t>年计取。</w:t>
      </w:r>
    </w:p>
    <w:p w14:paraId="251C9782">
      <w:pPr>
        <w:spacing w:line="360" w:lineRule="auto"/>
        <w:ind w:firstLine="120" w:firstLineChars="5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lang w:eastAsia="zh-CN"/>
        </w:rPr>
        <w:t>（</w:t>
      </w:r>
      <w:r>
        <w:rPr>
          <w:rFonts w:hint="default" w:ascii="Times New Roman" w:hAnsi="Times New Roman" w:cs="Times New Roman"/>
          <w:b/>
          <w:color w:val="auto"/>
          <w:sz w:val="24"/>
          <w:highlight w:val="none"/>
        </w:rPr>
        <w:t>4）预备费</w:t>
      </w:r>
    </w:p>
    <w:p w14:paraId="5610F75D">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预备费是指考虑了矿山地质环境治理与土地复垦期间可能发生的风险因素，从而导致治理费用增加的一项费用。预备费主要包括基本预备费</w:t>
      </w: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价差预备费和</w:t>
      </w:r>
      <w:r>
        <w:rPr>
          <w:rFonts w:hint="default" w:ascii="Times New Roman" w:hAnsi="Times New Roman" w:cs="Times New Roman"/>
          <w:color w:val="auto"/>
          <w:sz w:val="24"/>
          <w:highlight w:val="none"/>
        </w:rPr>
        <w:t>风险金。</w:t>
      </w:r>
    </w:p>
    <w:p w14:paraId="4D81BAAB">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①基本预备费指为解决在工程施工过程中因自然灾害、设计变更等所增加的费用。可按工程施工费、其他费用之和的3%计取。</w:t>
      </w:r>
    </w:p>
    <w:p w14:paraId="63050AEC">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②风险金是指可预见而目前技术上无法完全避免的恢复治理、土地复垦过程中可能发生风险的备用金。本项目按工程施工费5%计取</w:t>
      </w:r>
      <w:r>
        <w:rPr>
          <w:rFonts w:hint="eastAsia" w:ascii="Times New Roman" w:hAnsi="Times New Roman" w:cs="Times New Roman"/>
          <w:color w:val="auto"/>
          <w:sz w:val="24"/>
          <w:highlight w:val="none"/>
          <w:lang w:eastAsia="zh-CN"/>
        </w:rPr>
        <w:t>。</w:t>
      </w:r>
    </w:p>
    <w:p w14:paraId="62284538">
      <w:pPr>
        <w:pStyle w:val="156"/>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③价差预备费</w:t>
      </w:r>
    </w:p>
    <w:p w14:paraId="633981C5">
      <w:pPr>
        <w:pStyle w:val="156"/>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指工期较长的投资项目，在项目实施期间可能发生的材料、人工、设备、生产机械等价格上涨，以及费率、利率、汇率等变化，而引起项目投资的增加，需要事先预留的费用。本方案采取</w:t>
      </w:r>
      <w:r>
        <w:rPr>
          <w:rFonts w:hint="eastAsia" w:eastAsia="宋体" w:cs="Times New Roman"/>
          <w:color w:val="auto"/>
          <w:highlight w:val="none"/>
          <w:lang w:val="en-US" w:eastAsia="zh-CN"/>
        </w:rPr>
        <w:t>5</w:t>
      </w:r>
      <w:r>
        <w:rPr>
          <w:rFonts w:hint="default" w:ascii="Times New Roman" w:hAnsi="Times New Roman" w:eastAsia="宋体" w:cs="Times New Roman"/>
          <w:color w:val="auto"/>
          <w:highlight w:val="none"/>
        </w:rPr>
        <w:t>%的增长率进行计算。</w:t>
      </w:r>
    </w:p>
    <w:bookmarkEnd w:id="285"/>
    <w:p w14:paraId="282EE83F">
      <w:pPr>
        <w:pStyle w:val="4"/>
        <w:ind w:firstLine="0" w:firstLineChars="0"/>
        <w:rPr>
          <w:rFonts w:hint="default" w:ascii="Times New Roman" w:hAnsi="Times New Roman" w:eastAsia="黑体" w:cs="Times New Roman"/>
          <w:b w:val="0"/>
          <w:color w:val="auto"/>
          <w:sz w:val="30"/>
          <w:szCs w:val="30"/>
          <w:highlight w:val="none"/>
        </w:rPr>
      </w:pPr>
      <w:bookmarkStart w:id="286" w:name="_Toc23751"/>
      <w:bookmarkStart w:id="287" w:name="_Toc32211"/>
      <w:bookmarkStart w:id="288" w:name="_Toc23855662"/>
      <w:bookmarkStart w:id="289" w:name="_Hlk533700812"/>
      <w:r>
        <w:rPr>
          <w:rFonts w:hint="default" w:ascii="Times New Roman" w:hAnsi="Times New Roman" w:eastAsia="黑体" w:cs="Times New Roman"/>
          <w:b w:val="0"/>
          <w:color w:val="auto"/>
          <w:sz w:val="30"/>
          <w:szCs w:val="30"/>
          <w:highlight w:val="none"/>
        </w:rPr>
        <w:t>二、矿山地质环境治理工程经费估算</w:t>
      </w:r>
      <w:bookmarkEnd w:id="286"/>
      <w:bookmarkEnd w:id="287"/>
      <w:bookmarkEnd w:id="288"/>
    </w:p>
    <w:p w14:paraId="29D3F9D9">
      <w:pPr>
        <w:pStyle w:val="5"/>
        <w:rPr>
          <w:rFonts w:hint="default" w:ascii="Times New Roman" w:hAnsi="Times New Roman" w:eastAsia="黑体" w:cs="Times New Roman"/>
          <w:color w:val="auto"/>
          <w:szCs w:val="28"/>
          <w:highlight w:val="none"/>
        </w:rPr>
      </w:pPr>
      <w:r>
        <w:rPr>
          <w:rFonts w:hint="default" w:ascii="Times New Roman" w:hAnsi="Times New Roman" w:eastAsia="黑体" w:cs="Times New Roman"/>
          <w:color w:val="auto"/>
          <w:szCs w:val="28"/>
          <w:highlight w:val="none"/>
          <w:lang w:eastAsia="zh-CN"/>
        </w:rPr>
        <w:t>（</w:t>
      </w:r>
      <w:r>
        <w:rPr>
          <w:rFonts w:hint="default" w:ascii="Times New Roman" w:hAnsi="Times New Roman" w:eastAsia="黑体" w:cs="Times New Roman"/>
          <w:color w:val="auto"/>
          <w:szCs w:val="28"/>
          <w:highlight w:val="none"/>
        </w:rPr>
        <w:t>一）总投资估算</w:t>
      </w:r>
    </w:p>
    <w:p w14:paraId="00FA021B">
      <w:pPr>
        <w:spacing w:line="360" w:lineRule="auto"/>
        <w:ind w:firstLine="480" w:firstLineChars="200"/>
        <w:rPr>
          <w:rFonts w:hint="default" w:ascii="Times New Roman" w:hAnsi="Times New Roman" w:cs="Times New Roman"/>
          <w:color w:val="auto"/>
          <w:sz w:val="24"/>
          <w:highlight w:val="none"/>
        </w:rPr>
      </w:pPr>
      <w:r>
        <w:rPr>
          <w:rFonts w:hint="eastAsia" w:cs="Times New Roman"/>
          <w:color w:val="auto"/>
          <w:sz w:val="24"/>
          <w:highlight w:val="none"/>
          <w:lang w:eastAsia="zh-CN"/>
        </w:rPr>
        <w:t>北大湖采石场</w:t>
      </w:r>
      <w:r>
        <w:rPr>
          <w:rFonts w:hint="default" w:ascii="Times New Roman" w:hAnsi="Times New Roman" w:cs="Times New Roman"/>
          <w:color w:val="auto"/>
          <w:sz w:val="24"/>
          <w:highlight w:val="none"/>
        </w:rPr>
        <w:t>矿山地质环境治理工程经费估算为</w:t>
      </w:r>
      <w:r>
        <w:rPr>
          <w:rFonts w:hint="eastAsia" w:cs="Times New Roman"/>
          <w:color w:val="auto"/>
          <w:sz w:val="24"/>
          <w:highlight w:val="none"/>
          <w:lang w:val="en-US" w:eastAsia="zh-CN"/>
        </w:rPr>
        <w:t>44.01</w:t>
      </w:r>
      <w:r>
        <w:rPr>
          <w:rFonts w:hint="default" w:ascii="Times New Roman" w:hAnsi="Times New Roman" w:cs="Times New Roman"/>
          <w:color w:val="auto"/>
          <w:sz w:val="24"/>
          <w:highlight w:val="none"/>
        </w:rPr>
        <w:t>万元。其中工程施工费</w:t>
      </w:r>
      <w:r>
        <w:rPr>
          <w:rFonts w:hint="eastAsia" w:cs="Times New Roman"/>
          <w:color w:val="auto"/>
          <w:sz w:val="24"/>
          <w:highlight w:val="none"/>
          <w:lang w:val="en-US" w:eastAsia="zh-CN"/>
        </w:rPr>
        <w:t>30.13</w:t>
      </w:r>
      <w:r>
        <w:rPr>
          <w:rFonts w:hint="default" w:ascii="Times New Roman" w:hAnsi="Times New Roman" w:cs="Times New Roman"/>
          <w:color w:val="auto"/>
          <w:sz w:val="24"/>
          <w:highlight w:val="none"/>
        </w:rPr>
        <w:t>万元，监测费</w:t>
      </w:r>
      <w:r>
        <w:rPr>
          <w:rFonts w:hint="eastAsia" w:cs="Times New Roman"/>
          <w:color w:val="auto"/>
          <w:sz w:val="24"/>
          <w:highlight w:val="none"/>
          <w:lang w:val="en-US" w:eastAsia="zh-CN"/>
        </w:rPr>
        <w:t>7.17</w:t>
      </w:r>
      <w:r>
        <w:rPr>
          <w:rFonts w:hint="default" w:ascii="Times New Roman" w:hAnsi="Times New Roman" w:cs="Times New Roman"/>
          <w:color w:val="auto"/>
          <w:sz w:val="24"/>
          <w:highlight w:val="none"/>
        </w:rPr>
        <w:t>万元，其他费用</w:t>
      </w:r>
      <w:r>
        <w:rPr>
          <w:rFonts w:hint="eastAsia" w:cs="Times New Roman"/>
          <w:color w:val="auto"/>
          <w:sz w:val="24"/>
          <w:highlight w:val="none"/>
          <w:lang w:val="en-US" w:eastAsia="zh-CN"/>
        </w:rPr>
        <w:t>4.17</w:t>
      </w:r>
      <w:r>
        <w:rPr>
          <w:rFonts w:hint="default" w:ascii="Times New Roman" w:hAnsi="Times New Roman" w:cs="Times New Roman"/>
          <w:color w:val="auto"/>
          <w:sz w:val="24"/>
          <w:highlight w:val="none"/>
        </w:rPr>
        <w:t>万元，预备</w:t>
      </w:r>
      <w:r>
        <w:rPr>
          <w:rFonts w:hint="default" w:ascii="Times New Roman" w:hAnsi="Times New Roman" w:cs="Times New Roman"/>
          <w:color w:val="auto"/>
          <w:sz w:val="24"/>
          <w:highlight w:val="none"/>
          <w:lang w:val="en-US" w:eastAsia="zh-CN"/>
        </w:rPr>
        <w:t>费</w:t>
      </w:r>
      <w:r>
        <w:rPr>
          <w:rFonts w:hint="eastAsia" w:cs="Times New Roman"/>
          <w:color w:val="auto"/>
          <w:sz w:val="24"/>
          <w:highlight w:val="none"/>
          <w:lang w:val="en-US" w:eastAsia="zh-CN"/>
        </w:rPr>
        <w:t>2.54</w:t>
      </w:r>
      <w:r>
        <w:rPr>
          <w:rFonts w:hint="default" w:ascii="Times New Roman" w:hAnsi="Times New Roman" w:cs="Times New Roman"/>
          <w:color w:val="auto"/>
          <w:sz w:val="24"/>
          <w:highlight w:val="none"/>
        </w:rPr>
        <w:t>万元。</w:t>
      </w:r>
      <w:r>
        <w:rPr>
          <w:rFonts w:hint="default" w:ascii="Times New Roman" w:hAnsi="Times New Roman" w:cs="Times New Roman"/>
          <w:color w:val="auto"/>
          <w:sz w:val="24"/>
          <w:highlight w:val="none"/>
          <w:lang w:val="en-US" w:eastAsia="zh-CN"/>
        </w:rPr>
        <w:t>详见表7-2。</w:t>
      </w:r>
      <w:r>
        <w:rPr>
          <w:rFonts w:hint="default" w:ascii="Times New Roman" w:hAnsi="Times New Roman" w:cs="Times New Roman"/>
          <w:color w:val="auto"/>
          <w:sz w:val="24"/>
          <w:highlight w:val="none"/>
        </w:rPr>
        <w:t xml:space="preserve">       </w:t>
      </w:r>
    </w:p>
    <w:tbl>
      <w:tblPr>
        <w:tblStyle w:val="34"/>
        <w:tblW w:w="0" w:type="auto"/>
        <w:tblInd w:w="0" w:type="dxa"/>
        <w:tblLayout w:type="fixed"/>
        <w:tblCellMar>
          <w:top w:w="0" w:type="dxa"/>
          <w:left w:w="108" w:type="dxa"/>
          <w:bottom w:w="0" w:type="dxa"/>
          <w:right w:w="108" w:type="dxa"/>
        </w:tblCellMar>
      </w:tblPr>
      <w:tblGrid>
        <w:gridCol w:w="718"/>
        <w:gridCol w:w="2379"/>
        <w:gridCol w:w="2258"/>
        <w:gridCol w:w="3167"/>
      </w:tblGrid>
      <w:tr w14:paraId="1E99BA55">
        <w:tblPrEx>
          <w:tblCellMar>
            <w:top w:w="0" w:type="dxa"/>
            <w:left w:w="108" w:type="dxa"/>
            <w:bottom w:w="0" w:type="dxa"/>
            <w:right w:w="108" w:type="dxa"/>
          </w:tblCellMar>
        </w:tblPrEx>
        <w:trPr>
          <w:trHeight w:val="350" w:hRule="atLeast"/>
        </w:trPr>
        <w:tc>
          <w:tcPr>
            <w:tcW w:w="8522" w:type="dxa"/>
            <w:gridSpan w:val="4"/>
            <w:tcBorders>
              <w:top w:val="nil"/>
              <w:left w:val="nil"/>
              <w:bottom w:val="nil"/>
              <w:right w:val="nil"/>
            </w:tcBorders>
            <w:noWrap/>
            <w:vAlign w:val="bottom"/>
          </w:tcPr>
          <w:p w14:paraId="0774E45A">
            <w:pPr>
              <w:jc w:val="center"/>
              <w:rPr>
                <w:rFonts w:hint="default" w:ascii="Times New Roman" w:hAnsi="Times New Roman" w:cs="Times New Roman"/>
                <w:b/>
                <w:bCs/>
                <w:color w:val="auto"/>
                <w:sz w:val="20"/>
                <w:szCs w:val="20"/>
                <w:highlight w:val="none"/>
              </w:rPr>
            </w:pPr>
            <w:bookmarkStart w:id="290" w:name="_Hlk4311076"/>
            <w:r>
              <w:rPr>
                <w:rFonts w:hint="default" w:ascii="Times New Roman" w:hAnsi="Times New Roman" w:eastAsia="黑体" w:cs="Times New Roman"/>
                <w:b w:val="0"/>
                <w:bCs/>
                <w:color w:val="auto"/>
                <w:kern w:val="2"/>
                <w:sz w:val="21"/>
                <w:szCs w:val="21"/>
                <w:highlight w:val="none"/>
                <w:lang w:val="en-US" w:eastAsia="zh-CN" w:bidi="ar-SA"/>
              </w:rPr>
              <w:t>表7-2   矿山地质环境治理总投资估算表</w:t>
            </w:r>
          </w:p>
        </w:tc>
      </w:tr>
      <w:tr w14:paraId="1C90CC21">
        <w:tblPrEx>
          <w:tblCellMar>
            <w:top w:w="0" w:type="dxa"/>
            <w:left w:w="108" w:type="dxa"/>
            <w:bottom w:w="0" w:type="dxa"/>
            <w:right w:w="108" w:type="dxa"/>
          </w:tblCellMar>
        </w:tblPrEx>
        <w:trPr>
          <w:trHeight w:val="255" w:hRule="atLeast"/>
        </w:trPr>
        <w:tc>
          <w:tcPr>
            <w:tcW w:w="718" w:type="dxa"/>
            <w:tcBorders>
              <w:top w:val="single" w:color="auto" w:sz="4" w:space="0"/>
              <w:left w:val="single" w:color="auto" w:sz="4" w:space="0"/>
              <w:bottom w:val="single" w:color="auto" w:sz="4" w:space="0"/>
              <w:right w:val="single" w:color="auto" w:sz="4" w:space="0"/>
            </w:tcBorders>
            <w:noWrap/>
            <w:vAlign w:val="center"/>
          </w:tcPr>
          <w:p w14:paraId="148F2AC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序号</w:t>
            </w:r>
          </w:p>
        </w:tc>
        <w:tc>
          <w:tcPr>
            <w:tcW w:w="2379" w:type="dxa"/>
            <w:tcBorders>
              <w:top w:val="single" w:color="auto" w:sz="4" w:space="0"/>
              <w:left w:val="nil"/>
              <w:bottom w:val="single" w:color="auto" w:sz="4" w:space="0"/>
              <w:right w:val="single" w:color="auto" w:sz="4" w:space="0"/>
            </w:tcBorders>
            <w:noWrap/>
            <w:vAlign w:val="center"/>
          </w:tcPr>
          <w:p w14:paraId="6F9CBCE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工程或费用名称</w:t>
            </w:r>
          </w:p>
        </w:tc>
        <w:tc>
          <w:tcPr>
            <w:tcW w:w="2258" w:type="dxa"/>
            <w:tcBorders>
              <w:top w:val="single" w:color="auto" w:sz="4" w:space="0"/>
              <w:left w:val="nil"/>
              <w:bottom w:val="single" w:color="auto" w:sz="4" w:space="0"/>
              <w:right w:val="single" w:color="auto" w:sz="4" w:space="0"/>
            </w:tcBorders>
            <w:noWrap/>
            <w:vAlign w:val="center"/>
          </w:tcPr>
          <w:p w14:paraId="60E3BA8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预算金额</w:t>
            </w:r>
            <w:r>
              <w:rPr>
                <w:rFonts w:hint="eastAsia" w:ascii="Times New Roman" w:hAnsi="Times New Roman" w:eastAsia="宋体" w:cs="Times New Roman"/>
                <w:i w:val="0"/>
                <w:iCs w:val="0"/>
                <w:color w:val="auto"/>
                <w:kern w:val="0"/>
                <w:sz w:val="21"/>
                <w:szCs w:val="21"/>
                <w:highlight w:val="none"/>
                <w:u w:val="none"/>
                <w:lang w:val="en-US" w:eastAsia="zh-CN" w:bidi="ar"/>
              </w:rPr>
              <w:t>（万元）</w:t>
            </w:r>
          </w:p>
        </w:tc>
        <w:tc>
          <w:tcPr>
            <w:tcW w:w="3167" w:type="dxa"/>
            <w:tcBorders>
              <w:top w:val="single" w:color="auto" w:sz="4" w:space="0"/>
              <w:left w:val="nil"/>
              <w:bottom w:val="single" w:color="auto" w:sz="4" w:space="0"/>
              <w:right w:val="single" w:color="auto" w:sz="4" w:space="0"/>
            </w:tcBorders>
            <w:noWrap/>
            <w:vAlign w:val="center"/>
          </w:tcPr>
          <w:p w14:paraId="1F09A4B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各项费用占总费用的比例％</w:t>
            </w:r>
          </w:p>
        </w:tc>
      </w:tr>
      <w:tr w14:paraId="3C486EB6">
        <w:tblPrEx>
          <w:tblCellMar>
            <w:top w:w="0" w:type="dxa"/>
            <w:left w:w="108" w:type="dxa"/>
            <w:bottom w:w="0" w:type="dxa"/>
            <w:right w:w="108" w:type="dxa"/>
          </w:tblCellMar>
        </w:tblPrEx>
        <w:trPr>
          <w:trHeight w:val="255" w:hRule="atLeast"/>
        </w:trPr>
        <w:tc>
          <w:tcPr>
            <w:tcW w:w="718" w:type="dxa"/>
            <w:tcBorders>
              <w:top w:val="single" w:color="auto" w:sz="4" w:space="0"/>
              <w:left w:val="single" w:color="auto" w:sz="4" w:space="0"/>
              <w:bottom w:val="single" w:color="auto" w:sz="4" w:space="0"/>
              <w:right w:val="single" w:color="auto" w:sz="4" w:space="0"/>
            </w:tcBorders>
            <w:noWrap/>
            <w:vAlign w:val="center"/>
          </w:tcPr>
          <w:p w14:paraId="0215C01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w:t>
            </w:r>
          </w:p>
        </w:tc>
        <w:tc>
          <w:tcPr>
            <w:tcW w:w="2379" w:type="dxa"/>
            <w:tcBorders>
              <w:top w:val="single" w:color="auto" w:sz="4" w:space="0"/>
              <w:left w:val="nil"/>
              <w:bottom w:val="single" w:color="auto" w:sz="4" w:space="0"/>
              <w:right w:val="single" w:color="auto" w:sz="4" w:space="0"/>
            </w:tcBorders>
            <w:noWrap/>
            <w:vAlign w:val="center"/>
          </w:tcPr>
          <w:p w14:paraId="19F5B80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2258" w:type="dxa"/>
            <w:tcBorders>
              <w:top w:val="single" w:color="auto" w:sz="4" w:space="0"/>
              <w:left w:val="nil"/>
              <w:bottom w:val="single" w:color="auto" w:sz="4" w:space="0"/>
              <w:right w:val="single" w:color="auto" w:sz="4" w:space="0"/>
            </w:tcBorders>
            <w:noWrap/>
            <w:vAlign w:val="center"/>
          </w:tcPr>
          <w:p w14:paraId="43330FE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3167" w:type="dxa"/>
            <w:tcBorders>
              <w:top w:val="single" w:color="auto" w:sz="4" w:space="0"/>
              <w:left w:val="nil"/>
              <w:bottom w:val="single" w:color="auto" w:sz="4" w:space="0"/>
              <w:right w:val="single" w:color="auto" w:sz="4" w:space="0"/>
            </w:tcBorders>
            <w:noWrap/>
            <w:vAlign w:val="center"/>
          </w:tcPr>
          <w:p w14:paraId="177F5FF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r>
      <w:tr w14:paraId="7749DFC7">
        <w:tblPrEx>
          <w:tblCellMar>
            <w:top w:w="0" w:type="dxa"/>
            <w:left w:w="108" w:type="dxa"/>
            <w:bottom w:w="0" w:type="dxa"/>
            <w:right w:w="108" w:type="dxa"/>
          </w:tblCellMar>
        </w:tblPrEx>
        <w:trPr>
          <w:trHeight w:val="255" w:hRule="atLeast"/>
        </w:trPr>
        <w:tc>
          <w:tcPr>
            <w:tcW w:w="718" w:type="dxa"/>
            <w:tcBorders>
              <w:top w:val="single" w:color="auto" w:sz="4" w:space="0"/>
              <w:left w:val="single" w:color="auto" w:sz="4" w:space="0"/>
              <w:bottom w:val="single" w:color="auto" w:sz="4" w:space="0"/>
              <w:right w:val="single" w:color="auto" w:sz="4" w:space="0"/>
            </w:tcBorders>
            <w:noWrap/>
            <w:vAlign w:val="center"/>
          </w:tcPr>
          <w:p w14:paraId="10FFF7A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一</w:t>
            </w:r>
          </w:p>
        </w:tc>
        <w:tc>
          <w:tcPr>
            <w:tcW w:w="2379" w:type="dxa"/>
            <w:tcBorders>
              <w:top w:val="single" w:color="auto" w:sz="4" w:space="0"/>
              <w:left w:val="nil"/>
              <w:bottom w:val="single" w:color="auto" w:sz="4" w:space="0"/>
              <w:right w:val="single" w:color="auto" w:sz="4" w:space="0"/>
            </w:tcBorders>
            <w:noWrap/>
            <w:vAlign w:val="center"/>
          </w:tcPr>
          <w:p w14:paraId="68366AA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工程施工费</w:t>
            </w:r>
          </w:p>
        </w:tc>
        <w:tc>
          <w:tcPr>
            <w:tcW w:w="2258" w:type="dxa"/>
            <w:tcBorders>
              <w:top w:val="single" w:color="auto" w:sz="4" w:space="0"/>
              <w:left w:val="nil"/>
              <w:bottom w:val="single" w:color="auto" w:sz="4" w:space="0"/>
              <w:right w:val="single" w:color="auto" w:sz="4" w:space="0"/>
            </w:tcBorders>
            <w:noWrap/>
            <w:vAlign w:val="bottom"/>
          </w:tcPr>
          <w:p w14:paraId="093F72D9">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 xml:space="preserve">30.13 </w:t>
            </w:r>
          </w:p>
        </w:tc>
        <w:tc>
          <w:tcPr>
            <w:tcW w:w="3167" w:type="dxa"/>
            <w:tcBorders>
              <w:top w:val="single" w:color="auto" w:sz="4" w:space="0"/>
              <w:left w:val="nil"/>
              <w:bottom w:val="single" w:color="auto" w:sz="4" w:space="0"/>
              <w:right w:val="single" w:color="auto" w:sz="4" w:space="0"/>
            </w:tcBorders>
            <w:noWrap/>
            <w:vAlign w:val="center"/>
          </w:tcPr>
          <w:p w14:paraId="1EA22E6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69.29 </w:t>
            </w:r>
          </w:p>
        </w:tc>
      </w:tr>
      <w:tr w14:paraId="4C635E6B">
        <w:tblPrEx>
          <w:tblCellMar>
            <w:top w:w="0" w:type="dxa"/>
            <w:left w:w="108" w:type="dxa"/>
            <w:bottom w:w="0" w:type="dxa"/>
            <w:right w:w="108" w:type="dxa"/>
          </w:tblCellMar>
        </w:tblPrEx>
        <w:trPr>
          <w:trHeight w:val="255" w:hRule="atLeast"/>
        </w:trPr>
        <w:tc>
          <w:tcPr>
            <w:tcW w:w="718" w:type="dxa"/>
            <w:tcBorders>
              <w:top w:val="single" w:color="auto" w:sz="4" w:space="0"/>
              <w:left w:val="single" w:color="auto" w:sz="4" w:space="0"/>
              <w:bottom w:val="single" w:color="auto" w:sz="4" w:space="0"/>
              <w:right w:val="single" w:color="auto" w:sz="4" w:space="0"/>
            </w:tcBorders>
            <w:noWrap/>
            <w:vAlign w:val="center"/>
          </w:tcPr>
          <w:p w14:paraId="437C779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二</w:t>
            </w:r>
          </w:p>
        </w:tc>
        <w:tc>
          <w:tcPr>
            <w:tcW w:w="2379" w:type="dxa"/>
            <w:tcBorders>
              <w:top w:val="single" w:color="auto" w:sz="4" w:space="0"/>
              <w:left w:val="nil"/>
              <w:bottom w:val="single" w:color="auto" w:sz="4" w:space="0"/>
              <w:right w:val="single" w:color="auto" w:sz="4" w:space="0"/>
            </w:tcBorders>
            <w:noWrap/>
            <w:vAlign w:val="center"/>
          </w:tcPr>
          <w:p w14:paraId="2696C83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监测费用</w:t>
            </w:r>
          </w:p>
        </w:tc>
        <w:tc>
          <w:tcPr>
            <w:tcW w:w="2258" w:type="dxa"/>
            <w:tcBorders>
              <w:top w:val="single" w:color="auto" w:sz="4" w:space="0"/>
              <w:left w:val="nil"/>
              <w:bottom w:val="single" w:color="auto" w:sz="4" w:space="0"/>
              <w:right w:val="single" w:color="auto" w:sz="4" w:space="0"/>
            </w:tcBorders>
            <w:noWrap/>
            <w:vAlign w:val="bottom"/>
          </w:tcPr>
          <w:p w14:paraId="11D9FCC9">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 xml:space="preserve">7.17 </w:t>
            </w:r>
          </w:p>
        </w:tc>
        <w:tc>
          <w:tcPr>
            <w:tcW w:w="3167" w:type="dxa"/>
            <w:tcBorders>
              <w:top w:val="single" w:color="auto" w:sz="4" w:space="0"/>
              <w:left w:val="nil"/>
              <w:bottom w:val="single" w:color="auto" w:sz="4" w:space="0"/>
              <w:right w:val="single" w:color="auto" w:sz="4" w:space="0"/>
            </w:tcBorders>
            <w:noWrap/>
            <w:vAlign w:val="center"/>
          </w:tcPr>
          <w:p w14:paraId="698E747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15.10 </w:t>
            </w:r>
          </w:p>
        </w:tc>
      </w:tr>
      <w:tr w14:paraId="71A927AD">
        <w:tblPrEx>
          <w:tblCellMar>
            <w:top w:w="0" w:type="dxa"/>
            <w:left w:w="108" w:type="dxa"/>
            <w:bottom w:w="0" w:type="dxa"/>
            <w:right w:w="108" w:type="dxa"/>
          </w:tblCellMar>
        </w:tblPrEx>
        <w:trPr>
          <w:trHeight w:val="255" w:hRule="atLeast"/>
        </w:trPr>
        <w:tc>
          <w:tcPr>
            <w:tcW w:w="718" w:type="dxa"/>
            <w:tcBorders>
              <w:top w:val="single" w:color="auto" w:sz="4" w:space="0"/>
              <w:left w:val="single" w:color="auto" w:sz="4" w:space="0"/>
              <w:bottom w:val="single" w:color="auto" w:sz="4" w:space="0"/>
              <w:right w:val="single" w:color="auto" w:sz="4" w:space="0"/>
            </w:tcBorders>
            <w:noWrap/>
            <w:vAlign w:val="center"/>
          </w:tcPr>
          <w:p w14:paraId="11C76E1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三</w:t>
            </w:r>
          </w:p>
        </w:tc>
        <w:tc>
          <w:tcPr>
            <w:tcW w:w="2379" w:type="dxa"/>
            <w:tcBorders>
              <w:top w:val="single" w:color="auto" w:sz="4" w:space="0"/>
              <w:left w:val="nil"/>
              <w:bottom w:val="single" w:color="auto" w:sz="4" w:space="0"/>
              <w:right w:val="single" w:color="auto" w:sz="4" w:space="0"/>
            </w:tcBorders>
            <w:noWrap/>
            <w:vAlign w:val="center"/>
          </w:tcPr>
          <w:p w14:paraId="5B53678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其他费用</w:t>
            </w:r>
          </w:p>
        </w:tc>
        <w:tc>
          <w:tcPr>
            <w:tcW w:w="2258" w:type="dxa"/>
            <w:tcBorders>
              <w:top w:val="single" w:color="auto" w:sz="4" w:space="0"/>
              <w:left w:val="nil"/>
              <w:bottom w:val="single" w:color="auto" w:sz="4" w:space="0"/>
              <w:right w:val="single" w:color="auto" w:sz="4" w:space="0"/>
            </w:tcBorders>
            <w:noWrap/>
            <w:vAlign w:val="bottom"/>
          </w:tcPr>
          <w:p w14:paraId="5D1F82FE">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 xml:space="preserve">4.17 </w:t>
            </w:r>
          </w:p>
        </w:tc>
        <w:tc>
          <w:tcPr>
            <w:tcW w:w="3167" w:type="dxa"/>
            <w:tcBorders>
              <w:top w:val="single" w:color="auto" w:sz="4" w:space="0"/>
              <w:left w:val="nil"/>
              <w:bottom w:val="single" w:color="auto" w:sz="4" w:space="0"/>
              <w:right w:val="single" w:color="auto" w:sz="4" w:space="0"/>
            </w:tcBorders>
            <w:noWrap/>
            <w:vAlign w:val="center"/>
          </w:tcPr>
          <w:p w14:paraId="7B2A392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9.77 </w:t>
            </w:r>
          </w:p>
        </w:tc>
      </w:tr>
      <w:tr w14:paraId="7A284238">
        <w:tblPrEx>
          <w:tblCellMar>
            <w:top w:w="0" w:type="dxa"/>
            <w:left w:w="108" w:type="dxa"/>
            <w:bottom w:w="0" w:type="dxa"/>
            <w:right w:w="108" w:type="dxa"/>
          </w:tblCellMar>
        </w:tblPrEx>
        <w:trPr>
          <w:trHeight w:val="255" w:hRule="atLeast"/>
        </w:trPr>
        <w:tc>
          <w:tcPr>
            <w:tcW w:w="718" w:type="dxa"/>
            <w:tcBorders>
              <w:top w:val="single" w:color="auto" w:sz="4" w:space="0"/>
              <w:left w:val="single" w:color="auto" w:sz="4" w:space="0"/>
              <w:bottom w:val="single" w:color="auto" w:sz="4" w:space="0"/>
              <w:right w:val="single" w:color="auto" w:sz="4" w:space="0"/>
            </w:tcBorders>
            <w:noWrap/>
            <w:vAlign w:val="center"/>
          </w:tcPr>
          <w:p w14:paraId="5BC7403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四</w:t>
            </w:r>
          </w:p>
        </w:tc>
        <w:tc>
          <w:tcPr>
            <w:tcW w:w="2379" w:type="dxa"/>
            <w:tcBorders>
              <w:top w:val="single" w:color="auto" w:sz="4" w:space="0"/>
              <w:left w:val="nil"/>
              <w:bottom w:val="single" w:color="auto" w:sz="4" w:space="0"/>
              <w:right w:val="single" w:color="auto" w:sz="4" w:space="0"/>
            </w:tcBorders>
            <w:noWrap/>
            <w:vAlign w:val="center"/>
          </w:tcPr>
          <w:p w14:paraId="7305E4C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预备费</w:t>
            </w:r>
          </w:p>
        </w:tc>
        <w:tc>
          <w:tcPr>
            <w:tcW w:w="2258" w:type="dxa"/>
            <w:tcBorders>
              <w:top w:val="single" w:color="auto" w:sz="4" w:space="0"/>
              <w:left w:val="nil"/>
              <w:bottom w:val="single" w:color="auto" w:sz="4" w:space="0"/>
              <w:right w:val="single" w:color="auto" w:sz="4" w:space="0"/>
            </w:tcBorders>
            <w:noWrap/>
            <w:vAlign w:val="bottom"/>
          </w:tcPr>
          <w:p w14:paraId="673A6348">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 xml:space="preserve">2.54 </w:t>
            </w:r>
          </w:p>
        </w:tc>
        <w:tc>
          <w:tcPr>
            <w:tcW w:w="3167" w:type="dxa"/>
            <w:tcBorders>
              <w:top w:val="single" w:color="auto" w:sz="4" w:space="0"/>
              <w:left w:val="nil"/>
              <w:bottom w:val="single" w:color="auto" w:sz="4" w:space="0"/>
              <w:right w:val="single" w:color="auto" w:sz="4" w:space="0"/>
            </w:tcBorders>
            <w:noWrap/>
            <w:vAlign w:val="center"/>
          </w:tcPr>
          <w:p w14:paraId="6FB495B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5.84 </w:t>
            </w:r>
          </w:p>
        </w:tc>
      </w:tr>
      <w:tr w14:paraId="28162F5E">
        <w:tblPrEx>
          <w:tblCellMar>
            <w:top w:w="0" w:type="dxa"/>
            <w:left w:w="108" w:type="dxa"/>
            <w:bottom w:w="0" w:type="dxa"/>
            <w:right w:w="108" w:type="dxa"/>
          </w:tblCellMar>
        </w:tblPrEx>
        <w:trPr>
          <w:trHeight w:val="255" w:hRule="atLeast"/>
        </w:trPr>
        <w:tc>
          <w:tcPr>
            <w:tcW w:w="3097" w:type="dxa"/>
            <w:gridSpan w:val="2"/>
            <w:tcBorders>
              <w:top w:val="single" w:color="auto" w:sz="4" w:space="0"/>
              <w:left w:val="single" w:color="auto" w:sz="4" w:space="0"/>
              <w:bottom w:val="single" w:color="auto" w:sz="4" w:space="0"/>
              <w:right w:val="single" w:color="auto" w:sz="4" w:space="0"/>
            </w:tcBorders>
            <w:noWrap/>
            <w:vAlign w:val="center"/>
          </w:tcPr>
          <w:p w14:paraId="1B5645E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总费用</w:t>
            </w:r>
          </w:p>
        </w:tc>
        <w:tc>
          <w:tcPr>
            <w:tcW w:w="2258" w:type="dxa"/>
            <w:tcBorders>
              <w:top w:val="single" w:color="auto" w:sz="4" w:space="0"/>
              <w:left w:val="nil"/>
              <w:bottom w:val="single" w:color="auto" w:sz="4" w:space="0"/>
              <w:right w:val="single" w:color="auto" w:sz="4" w:space="0"/>
            </w:tcBorders>
            <w:noWrap/>
            <w:vAlign w:val="bottom"/>
          </w:tcPr>
          <w:p w14:paraId="25A6FDC8">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 xml:space="preserve">44.01 </w:t>
            </w:r>
          </w:p>
        </w:tc>
        <w:tc>
          <w:tcPr>
            <w:tcW w:w="3167" w:type="dxa"/>
            <w:tcBorders>
              <w:top w:val="single" w:color="auto" w:sz="4" w:space="0"/>
              <w:left w:val="nil"/>
              <w:bottom w:val="single" w:color="auto" w:sz="4" w:space="0"/>
              <w:right w:val="single" w:color="auto" w:sz="4" w:space="0"/>
            </w:tcBorders>
            <w:noWrap/>
            <w:vAlign w:val="center"/>
          </w:tcPr>
          <w:p w14:paraId="5C7D243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r>
      <w:bookmarkEnd w:id="290"/>
    </w:tbl>
    <w:p w14:paraId="0C9F16E1">
      <w:pPr>
        <w:jc w:val="center"/>
        <w:rPr>
          <w:rFonts w:hint="default" w:ascii="Times New Roman" w:hAnsi="Times New Roman" w:cs="Times New Roman"/>
          <w:b/>
          <w:bCs/>
          <w:color w:val="auto"/>
          <w:sz w:val="20"/>
          <w:szCs w:val="20"/>
          <w:highlight w:val="none"/>
        </w:rPr>
      </w:pPr>
    </w:p>
    <w:p w14:paraId="4483E834">
      <w:pPr>
        <w:pStyle w:val="90"/>
        <w:autoSpaceDE w:val="0"/>
        <w:autoSpaceDN w:val="0"/>
        <w:rPr>
          <w:rFonts w:hint="default" w:ascii="Times New Roman" w:hAnsi="Times New Roman" w:eastAsia="黑体" w:cs="Times New Roman"/>
          <w:b w:val="0"/>
          <w:bCs/>
          <w:color w:val="auto"/>
          <w:highlight w:val="none"/>
        </w:rPr>
      </w:pPr>
      <w:r>
        <w:rPr>
          <w:rFonts w:hint="default" w:ascii="Times New Roman" w:hAnsi="Times New Roman" w:eastAsia="黑体" w:cs="Times New Roman"/>
          <w:b w:val="0"/>
          <w:bCs/>
          <w:color w:val="auto"/>
          <w:highlight w:val="none"/>
        </w:rPr>
        <w:t>表7-3  施工费估算表</w:t>
      </w:r>
    </w:p>
    <w:tbl>
      <w:tblPr>
        <w:tblStyle w:val="34"/>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16"/>
        <w:gridCol w:w="1243"/>
        <w:gridCol w:w="2549"/>
        <w:gridCol w:w="832"/>
        <w:gridCol w:w="832"/>
        <w:gridCol w:w="1176"/>
        <w:gridCol w:w="1271"/>
      </w:tblGrid>
      <w:tr w14:paraId="35D42F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6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6002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73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6FB3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定额编号</w:t>
            </w:r>
          </w:p>
        </w:tc>
        <w:tc>
          <w:tcPr>
            <w:tcW w:w="149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DCA2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工程或费用名称</w:t>
            </w:r>
          </w:p>
        </w:tc>
        <w:tc>
          <w:tcPr>
            <w:tcW w:w="48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0463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单位</w:t>
            </w:r>
          </w:p>
        </w:tc>
        <w:tc>
          <w:tcPr>
            <w:tcW w:w="48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E901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数量</w:t>
            </w:r>
          </w:p>
        </w:tc>
        <w:tc>
          <w:tcPr>
            <w:tcW w:w="68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AD46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单价</w:t>
            </w:r>
            <w:r>
              <w:rPr>
                <w:rFonts w:hint="default" w:ascii="Times New Roman" w:hAnsi="Times New Roman" w:eastAsia="宋体" w:cs="Times New Roman"/>
                <w:i w:val="0"/>
                <w:iCs w:val="0"/>
                <w:color w:val="auto"/>
                <w:kern w:val="0"/>
                <w:sz w:val="20"/>
                <w:szCs w:val="20"/>
                <w:u w:val="none"/>
                <w:lang w:val="en-US" w:eastAsia="zh-CN" w:bidi="ar"/>
              </w:rPr>
              <w:t>(</w:t>
            </w:r>
            <w:r>
              <w:rPr>
                <w:rFonts w:hint="eastAsia" w:ascii="宋体" w:hAnsi="宋体" w:eastAsia="宋体" w:cs="宋体"/>
                <w:i w:val="0"/>
                <w:iCs w:val="0"/>
                <w:color w:val="auto"/>
                <w:kern w:val="0"/>
                <w:sz w:val="20"/>
                <w:szCs w:val="20"/>
                <w:u w:val="none"/>
                <w:lang w:val="en-US" w:eastAsia="zh-CN" w:bidi="ar"/>
              </w:rPr>
              <w:t>元</w:t>
            </w:r>
            <w:r>
              <w:rPr>
                <w:rFonts w:hint="default" w:ascii="Times New Roman" w:hAnsi="Times New Roman" w:eastAsia="宋体" w:cs="Times New Roman"/>
                <w:i w:val="0"/>
                <w:iCs w:val="0"/>
                <w:color w:val="auto"/>
                <w:kern w:val="0"/>
                <w:sz w:val="20"/>
                <w:szCs w:val="20"/>
                <w:u w:val="none"/>
                <w:lang w:val="en-US" w:eastAsia="zh-CN" w:bidi="ar"/>
              </w:rPr>
              <w:t>)</w:t>
            </w:r>
          </w:p>
        </w:tc>
        <w:tc>
          <w:tcPr>
            <w:tcW w:w="74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2B18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合计</w:t>
            </w:r>
            <w:r>
              <w:rPr>
                <w:rFonts w:hint="default" w:ascii="Times New Roman" w:hAnsi="Times New Roman" w:eastAsia="宋体" w:cs="Times New Roman"/>
                <w:i w:val="0"/>
                <w:iCs w:val="0"/>
                <w:color w:val="auto"/>
                <w:kern w:val="0"/>
                <w:sz w:val="20"/>
                <w:szCs w:val="20"/>
                <w:u w:val="none"/>
                <w:lang w:val="en-US" w:eastAsia="zh-CN" w:bidi="ar"/>
              </w:rPr>
              <w:t>(</w:t>
            </w:r>
            <w:r>
              <w:rPr>
                <w:rFonts w:hint="eastAsia" w:ascii="宋体" w:hAnsi="宋体" w:eastAsia="宋体" w:cs="宋体"/>
                <w:i w:val="0"/>
                <w:iCs w:val="0"/>
                <w:color w:val="auto"/>
                <w:kern w:val="0"/>
                <w:sz w:val="20"/>
                <w:szCs w:val="20"/>
                <w:u w:val="none"/>
                <w:lang w:val="en-US" w:eastAsia="zh-CN" w:bidi="ar"/>
              </w:rPr>
              <w:t>元</w:t>
            </w:r>
            <w:r>
              <w:rPr>
                <w:rFonts w:hint="default" w:ascii="Times New Roman" w:hAnsi="Times New Roman" w:eastAsia="宋体" w:cs="Times New Roman"/>
                <w:i w:val="0"/>
                <w:iCs w:val="0"/>
                <w:color w:val="auto"/>
                <w:kern w:val="0"/>
                <w:sz w:val="20"/>
                <w:szCs w:val="20"/>
                <w:u w:val="none"/>
                <w:lang w:val="en-US" w:eastAsia="zh-CN" w:bidi="ar"/>
              </w:rPr>
              <w:t>)</w:t>
            </w:r>
          </w:p>
        </w:tc>
      </w:tr>
      <w:tr w14:paraId="5DD6A3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6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5531F">
            <w:pPr>
              <w:jc w:val="center"/>
              <w:rPr>
                <w:rFonts w:hint="eastAsia" w:ascii="宋体" w:hAnsi="宋体" w:eastAsia="宋体" w:cs="宋体"/>
                <w:i w:val="0"/>
                <w:iCs w:val="0"/>
                <w:color w:val="auto"/>
                <w:sz w:val="20"/>
                <w:szCs w:val="20"/>
                <w:u w:val="none"/>
              </w:rPr>
            </w:pPr>
          </w:p>
        </w:tc>
        <w:tc>
          <w:tcPr>
            <w:tcW w:w="7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CB459">
            <w:pPr>
              <w:jc w:val="center"/>
              <w:rPr>
                <w:rFonts w:hint="eastAsia" w:ascii="宋体" w:hAnsi="宋体" w:eastAsia="宋体" w:cs="宋体"/>
                <w:i w:val="0"/>
                <w:iCs w:val="0"/>
                <w:color w:val="auto"/>
                <w:sz w:val="20"/>
                <w:szCs w:val="20"/>
                <w:u w:val="none"/>
              </w:rPr>
            </w:pPr>
          </w:p>
        </w:tc>
        <w:tc>
          <w:tcPr>
            <w:tcW w:w="149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316BD">
            <w:pPr>
              <w:jc w:val="center"/>
              <w:rPr>
                <w:rFonts w:hint="eastAsia" w:ascii="宋体" w:hAnsi="宋体" w:eastAsia="宋体" w:cs="宋体"/>
                <w:i w:val="0"/>
                <w:iCs w:val="0"/>
                <w:color w:val="auto"/>
                <w:sz w:val="20"/>
                <w:szCs w:val="20"/>
                <w:u w:val="none"/>
              </w:rPr>
            </w:pPr>
          </w:p>
        </w:tc>
        <w:tc>
          <w:tcPr>
            <w:tcW w:w="48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645BD">
            <w:pPr>
              <w:jc w:val="center"/>
              <w:rPr>
                <w:rFonts w:hint="eastAsia" w:ascii="宋体" w:hAnsi="宋体" w:eastAsia="宋体" w:cs="宋体"/>
                <w:i w:val="0"/>
                <w:iCs w:val="0"/>
                <w:color w:val="auto"/>
                <w:sz w:val="20"/>
                <w:szCs w:val="20"/>
                <w:u w:val="none"/>
              </w:rPr>
            </w:pPr>
          </w:p>
        </w:tc>
        <w:tc>
          <w:tcPr>
            <w:tcW w:w="48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BAC0B">
            <w:pPr>
              <w:jc w:val="center"/>
              <w:rPr>
                <w:rFonts w:hint="eastAsia" w:ascii="宋体" w:hAnsi="宋体" w:eastAsia="宋体" w:cs="宋体"/>
                <w:i w:val="0"/>
                <w:iCs w:val="0"/>
                <w:color w:val="auto"/>
                <w:sz w:val="20"/>
                <w:szCs w:val="20"/>
                <w:u w:val="none"/>
              </w:rPr>
            </w:pPr>
          </w:p>
        </w:tc>
        <w:tc>
          <w:tcPr>
            <w:tcW w:w="6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47020">
            <w:pPr>
              <w:jc w:val="center"/>
              <w:rPr>
                <w:rFonts w:hint="eastAsia" w:ascii="宋体" w:hAnsi="宋体" w:eastAsia="宋体" w:cs="宋体"/>
                <w:i w:val="0"/>
                <w:iCs w:val="0"/>
                <w:color w:val="auto"/>
                <w:sz w:val="20"/>
                <w:szCs w:val="20"/>
                <w:u w:val="none"/>
              </w:rPr>
            </w:pPr>
          </w:p>
        </w:tc>
        <w:tc>
          <w:tcPr>
            <w:tcW w:w="74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DF0FB">
            <w:pPr>
              <w:jc w:val="center"/>
              <w:rPr>
                <w:rFonts w:hint="eastAsia" w:ascii="宋体" w:hAnsi="宋体" w:eastAsia="宋体" w:cs="宋体"/>
                <w:i w:val="0"/>
                <w:iCs w:val="0"/>
                <w:color w:val="auto"/>
                <w:sz w:val="20"/>
                <w:szCs w:val="20"/>
                <w:u w:val="none"/>
              </w:rPr>
            </w:pPr>
          </w:p>
        </w:tc>
      </w:tr>
      <w:tr w14:paraId="6724E4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FE0D0">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w:t>
            </w:r>
          </w:p>
        </w:tc>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2F9F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市场价</w:t>
            </w:r>
          </w:p>
        </w:tc>
        <w:tc>
          <w:tcPr>
            <w:tcW w:w="14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3C71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网围栏</w:t>
            </w: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67536">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m</w:t>
            </w: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DA2B5">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780</w:t>
            </w:r>
          </w:p>
        </w:tc>
        <w:tc>
          <w:tcPr>
            <w:tcW w:w="6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48D5A">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35.00 </w:t>
            </w:r>
          </w:p>
        </w:tc>
        <w:tc>
          <w:tcPr>
            <w:tcW w:w="7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F6879">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27300 </w:t>
            </w:r>
          </w:p>
        </w:tc>
      </w:tr>
      <w:tr w14:paraId="16EA25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E32CA">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w:t>
            </w:r>
          </w:p>
        </w:tc>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27AC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市场价</w:t>
            </w:r>
          </w:p>
        </w:tc>
        <w:tc>
          <w:tcPr>
            <w:tcW w:w="14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B182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设立警示牌</w:t>
            </w: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C32A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4DCE2">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10</w:t>
            </w:r>
          </w:p>
        </w:tc>
        <w:tc>
          <w:tcPr>
            <w:tcW w:w="6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3A440">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400.00 </w:t>
            </w:r>
          </w:p>
        </w:tc>
        <w:tc>
          <w:tcPr>
            <w:tcW w:w="7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0FD71">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4000 </w:t>
            </w:r>
          </w:p>
        </w:tc>
      </w:tr>
      <w:tr w14:paraId="4021A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3F5D0">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3</w:t>
            </w:r>
          </w:p>
        </w:tc>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F2F3F">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20056</w:t>
            </w:r>
          </w:p>
        </w:tc>
        <w:tc>
          <w:tcPr>
            <w:tcW w:w="14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FC8B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边坡清理</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B4694E">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m</w:t>
            </w:r>
            <w:r>
              <w:rPr>
                <w:rFonts w:hint="default" w:ascii="Times New Roman" w:hAnsi="Times New Roman" w:eastAsia="宋体" w:cs="Times New Roman"/>
                <w:i w:val="0"/>
                <w:iCs w:val="0"/>
                <w:color w:val="auto"/>
                <w:kern w:val="0"/>
                <w:sz w:val="20"/>
                <w:szCs w:val="20"/>
                <w:u w:val="none"/>
                <w:vertAlign w:val="superscript"/>
                <w:lang w:val="en-US" w:eastAsia="zh-CN" w:bidi="ar"/>
              </w:rPr>
              <w:t>3</w:t>
            </w: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4108E">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586</w:t>
            </w:r>
          </w:p>
        </w:tc>
        <w:tc>
          <w:tcPr>
            <w:tcW w:w="6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7BF1E">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25.77 </w:t>
            </w:r>
          </w:p>
        </w:tc>
        <w:tc>
          <w:tcPr>
            <w:tcW w:w="7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4C131">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15098 </w:t>
            </w:r>
          </w:p>
        </w:tc>
      </w:tr>
      <w:tr w14:paraId="707256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32A1F">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4</w:t>
            </w:r>
          </w:p>
        </w:tc>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55C4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组合定额</w:t>
            </w:r>
          </w:p>
        </w:tc>
        <w:tc>
          <w:tcPr>
            <w:tcW w:w="14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BCD8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建筑物拆除</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F3BF1D">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m</w:t>
            </w:r>
            <w:r>
              <w:rPr>
                <w:rFonts w:hint="default" w:ascii="Times New Roman" w:hAnsi="Times New Roman" w:eastAsia="宋体" w:cs="Times New Roman"/>
                <w:i w:val="0"/>
                <w:iCs w:val="0"/>
                <w:color w:val="auto"/>
                <w:kern w:val="0"/>
                <w:sz w:val="20"/>
                <w:szCs w:val="20"/>
                <w:u w:val="none"/>
                <w:vertAlign w:val="superscript"/>
                <w:lang w:val="en-US" w:eastAsia="zh-CN" w:bidi="ar"/>
              </w:rPr>
              <w:t>3</w:t>
            </w: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7A08F">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434</w:t>
            </w:r>
          </w:p>
        </w:tc>
        <w:tc>
          <w:tcPr>
            <w:tcW w:w="6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BD90B">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23.28 </w:t>
            </w:r>
          </w:p>
        </w:tc>
        <w:tc>
          <w:tcPr>
            <w:tcW w:w="7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F89A7">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10104 </w:t>
            </w:r>
          </w:p>
        </w:tc>
      </w:tr>
      <w:tr w14:paraId="137033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48A1B">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5</w:t>
            </w:r>
          </w:p>
        </w:tc>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1DA2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组合定额</w:t>
            </w:r>
          </w:p>
        </w:tc>
        <w:tc>
          <w:tcPr>
            <w:tcW w:w="1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911D0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清理硬覆盖</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F3D174">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m</w:t>
            </w:r>
            <w:r>
              <w:rPr>
                <w:rFonts w:hint="default" w:ascii="Times New Roman" w:hAnsi="Times New Roman" w:eastAsia="宋体" w:cs="Times New Roman"/>
                <w:i w:val="0"/>
                <w:iCs w:val="0"/>
                <w:color w:val="auto"/>
                <w:kern w:val="0"/>
                <w:sz w:val="20"/>
                <w:szCs w:val="20"/>
                <w:u w:val="none"/>
                <w:vertAlign w:val="superscript"/>
                <w:lang w:val="en-US" w:eastAsia="zh-CN" w:bidi="ar"/>
              </w:rPr>
              <w:t>3</w:t>
            </w: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E1EE0">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561</w:t>
            </w:r>
          </w:p>
        </w:tc>
        <w:tc>
          <w:tcPr>
            <w:tcW w:w="6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71EA7">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9.49 </w:t>
            </w:r>
          </w:p>
        </w:tc>
        <w:tc>
          <w:tcPr>
            <w:tcW w:w="7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C4AAF">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5324 </w:t>
            </w:r>
          </w:p>
        </w:tc>
      </w:tr>
      <w:tr w14:paraId="2E28C0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3D5CA">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6</w:t>
            </w:r>
          </w:p>
        </w:tc>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15674">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20306</w:t>
            </w:r>
          </w:p>
        </w:tc>
        <w:tc>
          <w:tcPr>
            <w:tcW w:w="1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6935F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运输硬覆盖及建筑垃圾</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FEF01F">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m</w:t>
            </w:r>
            <w:r>
              <w:rPr>
                <w:rFonts w:hint="default" w:ascii="Times New Roman" w:hAnsi="Times New Roman" w:eastAsia="宋体" w:cs="Times New Roman"/>
                <w:i w:val="0"/>
                <w:iCs w:val="0"/>
                <w:color w:val="auto"/>
                <w:kern w:val="0"/>
                <w:sz w:val="22"/>
                <w:szCs w:val="22"/>
                <w:u w:val="none"/>
                <w:vertAlign w:val="superscript"/>
                <w:lang w:val="en-US" w:eastAsia="zh-CN" w:bidi="ar"/>
              </w:rPr>
              <w:t>3</w:t>
            </w: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D31B5">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995</w:t>
            </w:r>
          </w:p>
        </w:tc>
        <w:tc>
          <w:tcPr>
            <w:tcW w:w="6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46FA8">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 xml:space="preserve">16.08 </w:t>
            </w:r>
          </w:p>
        </w:tc>
        <w:tc>
          <w:tcPr>
            <w:tcW w:w="7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75FBC">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 xml:space="preserve">15997 </w:t>
            </w:r>
          </w:p>
        </w:tc>
      </w:tr>
      <w:tr w14:paraId="0A011D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F809F">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7</w:t>
            </w:r>
          </w:p>
        </w:tc>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64CBF">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20306</w:t>
            </w:r>
          </w:p>
        </w:tc>
        <w:tc>
          <w:tcPr>
            <w:tcW w:w="14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0192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废渣回填</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51CED7">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m</w:t>
            </w:r>
            <w:r>
              <w:rPr>
                <w:rFonts w:hint="default" w:ascii="Times New Roman" w:hAnsi="Times New Roman" w:eastAsia="宋体" w:cs="Times New Roman"/>
                <w:i w:val="0"/>
                <w:iCs w:val="0"/>
                <w:color w:val="auto"/>
                <w:kern w:val="0"/>
                <w:sz w:val="20"/>
                <w:szCs w:val="20"/>
                <w:u w:val="none"/>
                <w:vertAlign w:val="superscript"/>
                <w:lang w:val="en-US" w:eastAsia="zh-CN" w:bidi="ar"/>
              </w:rPr>
              <w:t>3</w:t>
            </w: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571C6">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11705</w:t>
            </w:r>
          </w:p>
        </w:tc>
        <w:tc>
          <w:tcPr>
            <w:tcW w:w="6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F4EEB">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16.08 </w:t>
            </w:r>
          </w:p>
        </w:tc>
        <w:tc>
          <w:tcPr>
            <w:tcW w:w="7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D0BB4">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188184 </w:t>
            </w:r>
          </w:p>
        </w:tc>
      </w:tr>
      <w:tr w14:paraId="11CF6D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425A7">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8</w:t>
            </w:r>
          </w:p>
        </w:tc>
        <w:tc>
          <w:tcPr>
            <w:tcW w:w="7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910679">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20272</w:t>
            </w:r>
          </w:p>
        </w:tc>
        <w:tc>
          <w:tcPr>
            <w:tcW w:w="1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F1AF3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场地平整</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98CDDF">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m</w:t>
            </w:r>
            <w:r>
              <w:rPr>
                <w:rFonts w:hint="default" w:ascii="Times New Roman" w:hAnsi="Times New Roman" w:eastAsia="宋体" w:cs="Times New Roman"/>
                <w:i w:val="0"/>
                <w:iCs w:val="0"/>
                <w:color w:val="auto"/>
                <w:kern w:val="0"/>
                <w:sz w:val="22"/>
                <w:szCs w:val="22"/>
                <w:u w:val="none"/>
                <w:vertAlign w:val="superscript"/>
                <w:lang w:val="en-US" w:eastAsia="zh-CN" w:bidi="ar"/>
              </w:rPr>
              <w:t>3</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35BC36">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4811</w:t>
            </w:r>
          </w:p>
        </w:tc>
        <w:tc>
          <w:tcPr>
            <w:tcW w:w="6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2DBAD">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 xml:space="preserve">5.09 </w:t>
            </w:r>
          </w:p>
        </w:tc>
        <w:tc>
          <w:tcPr>
            <w:tcW w:w="7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C5AAF">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 xml:space="preserve">24497 </w:t>
            </w:r>
          </w:p>
        </w:tc>
      </w:tr>
      <w:tr w14:paraId="01D509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A83B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w:t>
            </w:r>
          </w:p>
        </w:tc>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30FA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市场价</w:t>
            </w:r>
          </w:p>
        </w:tc>
        <w:tc>
          <w:tcPr>
            <w:tcW w:w="14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AFEA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排水涵管钻设</w:t>
            </w: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C09F2">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m</w:t>
            </w: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0018B">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36</w:t>
            </w:r>
          </w:p>
        </w:tc>
        <w:tc>
          <w:tcPr>
            <w:tcW w:w="6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813BE">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 xml:space="preserve">300.00 </w:t>
            </w:r>
          </w:p>
        </w:tc>
        <w:tc>
          <w:tcPr>
            <w:tcW w:w="7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0E35C">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 xml:space="preserve">10800 </w:t>
            </w:r>
          </w:p>
        </w:tc>
      </w:tr>
      <w:tr w14:paraId="55614C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444F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总计</w:t>
            </w:r>
          </w:p>
        </w:tc>
        <w:tc>
          <w:tcPr>
            <w:tcW w:w="7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CC011">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 xml:space="preserve">301304 </w:t>
            </w:r>
          </w:p>
        </w:tc>
      </w:tr>
    </w:tbl>
    <w:p w14:paraId="328729E1">
      <w:pPr>
        <w:rPr>
          <w:rFonts w:hint="default" w:ascii="Times New Roman" w:hAnsi="Times New Roman" w:cs="Times New Roman"/>
          <w:b/>
          <w:bCs/>
          <w:color w:val="auto"/>
          <w:sz w:val="20"/>
          <w:szCs w:val="20"/>
          <w:highlight w:val="none"/>
        </w:rPr>
      </w:pPr>
    </w:p>
    <w:p w14:paraId="7B2DCCF2">
      <w:pPr>
        <w:pStyle w:val="90"/>
        <w:autoSpaceDE w:val="0"/>
        <w:autoSpaceDN w:val="0"/>
        <w:rPr>
          <w:rFonts w:hint="default" w:ascii="Times New Roman" w:hAnsi="Times New Roman" w:eastAsia="黑体" w:cs="Times New Roman"/>
          <w:b w:val="0"/>
          <w:bCs/>
          <w:color w:val="auto"/>
          <w:highlight w:val="none"/>
        </w:rPr>
      </w:pPr>
      <w:r>
        <w:rPr>
          <w:rFonts w:hint="default" w:ascii="Times New Roman" w:hAnsi="Times New Roman" w:eastAsia="黑体" w:cs="Times New Roman"/>
          <w:b w:val="0"/>
          <w:bCs/>
          <w:color w:val="auto"/>
          <w:highlight w:val="none"/>
        </w:rPr>
        <w:t xml:space="preserve">表7-4  </w:t>
      </w:r>
      <w:r>
        <w:rPr>
          <w:rFonts w:hint="default" w:ascii="Times New Roman" w:hAnsi="Times New Roman" w:eastAsia="黑体" w:cs="Times New Roman"/>
          <w:b w:val="0"/>
          <w:bCs/>
          <w:color w:val="auto"/>
          <w:highlight w:val="none"/>
          <w:lang w:val="en-US" w:eastAsia="zh-CN"/>
        </w:rPr>
        <w:t xml:space="preserve">  </w:t>
      </w:r>
      <w:r>
        <w:rPr>
          <w:rFonts w:hint="default" w:ascii="Times New Roman" w:hAnsi="Times New Roman" w:eastAsia="黑体" w:cs="Times New Roman"/>
          <w:b w:val="0"/>
          <w:bCs/>
          <w:color w:val="auto"/>
          <w:highlight w:val="none"/>
        </w:rPr>
        <w:t>监测费预算表</w:t>
      </w:r>
    </w:p>
    <w:tbl>
      <w:tblPr>
        <w:tblStyle w:val="34"/>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79"/>
        <w:gridCol w:w="2435"/>
        <w:gridCol w:w="1358"/>
        <w:gridCol w:w="1143"/>
        <w:gridCol w:w="1286"/>
        <w:gridCol w:w="1216"/>
      </w:tblGrid>
      <w:tr w14:paraId="11E869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07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D3A36">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序号</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B1AEE">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工程分类名称</w:t>
            </w:r>
          </w:p>
        </w:tc>
        <w:tc>
          <w:tcPr>
            <w:tcW w:w="13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6977A">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单位</w:t>
            </w:r>
            <w:r>
              <w:rPr>
                <w:rFonts w:hint="default" w:ascii="Times New Roman" w:hAnsi="Times New Roman" w:eastAsia="宋体" w:cs="Times New Roman"/>
                <w:i w:val="0"/>
                <w:iCs w:val="0"/>
                <w:color w:val="auto"/>
                <w:kern w:val="0"/>
                <w:sz w:val="20"/>
                <w:szCs w:val="20"/>
                <w:u w:val="none"/>
                <w:lang w:val="en-US" w:eastAsia="zh-CN" w:bidi="ar"/>
              </w:rPr>
              <w:t>(</w:t>
            </w:r>
            <w:r>
              <w:rPr>
                <w:rFonts w:hint="eastAsia" w:ascii="宋体" w:hAnsi="宋体" w:eastAsia="宋体" w:cs="宋体"/>
                <w:i w:val="0"/>
                <w:iCs w:val="0"/>
                <w:color w:val="auto"/>
                <w:kern w:val="0"/>
                <w:sz w:val="20"/>
                <w:szCs w:val="20"/>
                <w:u w:val="none"/>
                <w:lang w:val="en-US" w:eastAsia="zh-CN" w:bidi="ar"/>
              </w:rPr>
              <w:t>次</w:t>
            </w:r>
            <w:r>
              <w:rPr>
                <w:rFonts w:hint="default" w:ascii="Times New Roman" w:hAnsi="Times New Roman" w:eastAsia="宋体" w:cs="Times New Roman"/>
                <w:i w:val="0"/>
                <w:iCs w:val="0"/>
                <w:color w:val="auto"/>
                <w:kern w:val="0"/>
                <w:sz w:val="20"/>
                <w:szCs w:val="20"/>
                <w:u w:val="none"/>
                <w:lang w:val="en-US" w:eastAsia="zh-CN" w:bidi="ar"/>
              </w:rPr>
              <w:t>/</w:t>
            </w:r>
            <w:r>
              <w:rPr>
                <w:rFonts w:hint="eastAsia" w:ascii="宋体" w:hAnsi="宋体" w:eastAsia="宋体" w:cs="宋体"/>
                <w:i w:val="0"/>
                <w:iCs w:val="0"/>
                <w:color w:val="auto"/>
                <w:kern w:val="0"/>
                <w:sz w:val="20"/>
                <w:szCs w:val="20"/>
                <w:u w:val="none"/>
                <w:lang w:val="en-US" w:eastAsia="zh-CN" w:bidi="ar"/>
              </w:rPr>
              <w:t>年</w:t>
            </w:r>
            <w:r>
              <w:rPr>
                <w:rFonts w:hint="default" w:ascii="Times New Roman" w:hAnsi="Times New Roman" w:eastAsia="宋体" w:cs="Times New Roman"/>
                <w:i w:val="0"/>
                <w:iCs w:val="0"/>
                <w:color w:val="auto"/>
                <w:kern w:val="0"/>
                <w:sz w:val="20"/>
                <w:szCs w:val="20"/>
                <w:u w:val="none"/>
                <w:lang w:val="en-US" w:eastAsia="zh-CN" w:bidi="ar"/>
              </w:rPr>
              <w:t>)</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578A1">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工程量</w:t>
            </w:r>
          </w:p>
        </w:tc>
        <w:tc>
          <w:tcPr>
            <w:tcW w:w="12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085F7">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单价</w:t>
            </w:r>
          </w:p>
        </w:tc>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37752">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合计</w:t>
            </w:r>
          </w:p>
        </w:tc>
      </w:tr>
      <w:tr w14:paraId="39295D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9590D">
            <w:pPr>
              <w:jc w:val="center"/>
              <w:rPr>
                <w:rFonts w:hint="default" w:ascii="Times New Roman" w:hAnsi="Times New Roman" w:eastAsia="宋体" w:cs="Times New Roman"/>
                <w:i w:val="0"/>
                <w:iCs w:val="0"/>
                <w:color w:val="auto"/>
                <w:sz w:val="20"/>
                <w:szCs w:val="20"/>
                <w:highlight w:val="none"/>
                <w:u w:val="none"/>
              </w:rPr>
            </w:pP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2FA5D">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u w:val="none"/>
                <w:lang w:val="en-US" w:eastAsia="zh-CN" w:bidi="ar"/>
              </w:rPr>
              <w:t>(1)</w:t>
            </w:r>
          </w:p>
        </w:tc>
        <w:tc>
          <w:tcPr>
            <w:tcW w:w="13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7B0D1">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w:t>
            </w:r>
            <w:r>
              <w:rPr>
                <w:rFonts w:hint="default" w:ascii="Times New Roman" w:hAnsi="Times New Roman" w:eastAsia="宋体" w:cs="Times New Roman"/>
                <w:i w:val="0"/>
                <w:iCs w:val="0"/>
                <w:color w:val="auto"/>
                <w:kern w:val="0"/>
                <w:sz w:val="20"/>
                <w:szCs w:val="20"/>
                <w:u w:val="none"/>
                <w:lang w:val="en-US" w:eastAsia="zh-CN" w:bidi="ar"/>
              </w:rPr>
              <w:t>2</w:t>
            </w:r>
            <w:r>
              <w:rPr>
                <w:rFonts w:hint="eastAsia" w:ascii="宋体" w:hAnsi="宋体" w:eastAsia="宋体" w:cs="宋体"/>
                <w:i w:val="0"/>
                <w:iCs w:val="0"/>
                <w:color w:val="auto"/>
                <w:kern w:val="0"/>
                <w:sz w:val="20"/>
                <w:szCs w:val="20"/>
                <w:u w:val="none"/>
                <w:lang w:val="en-US" w:eastAsia="zh-CN" w:bidi="ar"/>
              </w:rPr>
              <w:t>）</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8A331">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w:t>
            </w:r>
            <w:r>
              <w:rPr>
                <w:rFonts w:hint="default" w:ascii="Times New Roman" w:hAnsi="Times New Roman" w:eastAsia="宋体" w:cs="Times New Roman"/>
                <w:i w:val="0"/>
                <w:iCs w:val="0"/>
                <w:color w:val="auto"/>
                <w:kern w:val="0"/>
                <w:sz w:val="20"/>
                <w:szCs w:val="20"/>
                <w:u w:val="none"/>
                <w:lang w:val="en-US" w:eastAsia="zh-CN" w:bidi="ar"/>
              </w:rPr>
              <w:t>3</w:t>
            </w:r>
            <w:r>
              <w:rPr>
                <w:rFonts w:hint="eastAsia" w:ascii="宋体" w:hAnsi="宋体" w:eastAsia="宋体" w:cs="宋体"/>
                <w:i w:val="0"/>
                <w:iCs w:val="0"/>
                <w:color w:val="auto"/>
                <w:kern w:val="0"/>
                <w:sz w:val="20"/>
                <w:szCs w:val="20"/>
                <w:u w:val="none"/>
                <w:lang w:val="en-US" w:eastAsia="zh-CN" w:bidi="ar"/>
              </w:rPr>
              <w:t>）</w:t>
            </w:r>
          </w:p>
        </w:tc>
        <w:tc>
          <w:tcPr>
            <w:tcW w:w="12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80D75">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w:t>
            </w:r>
            <w:r>
              <w:rPr>
                <w:rFonts w:hint="default" w:ascii="Times New Roman" w:hAnsi="Times New Roman" w:eastAsia="宋体" w:cs="Times New Roman"/>
                <w:i w:val="0"/>
                <w:iCs w:val="0"/>
                <w:color w:val="auto"/>
                <w:kern w:val="0"/>
                <w:sz w:val="20"/>
                <w:szCs w:val="20"/>
                <w:u w:val="none"/>
                <w:lang w:val="en-US" w:eastAsia="zh-CN" w:bidi="ar"/>
              </w:rPr>
              <w:t>4</w:t>
            </w:r>
            <w:r>
              <w:rPr>
                <w:rFonts w:hint="eastAsia" w:ascii="宋体" w:hAnsi="宋体" w:eastAsia="宋体" w:cs="宋体"/>
                <w:i w:val="0"/>
                <w:iCs w:val="0"/>
                <w:color w:val="auto"/>
                <w:kern w:val="0"/>
                <w:sz w:val="20"/>
                <w:szCs w:val="20"/>
                <w:u w:val="none"/>
                <w:lang w:val="en-US" w:eastAsia="zh-CN" w:bidi="ar"/>
              </w:rPr>
              <w:t>）</w:t>
            </w:r>
          </w:p>
        </w:tc>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B82EF">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lang w:val="en-US"/>
              </w:rPr>
            </w:pPr>
            <w:r>
              <w:rPr>
                <w:rFonts w:hint="eastAsia" w:ascii="宋体" w:hAnsi="宋体" w:eastAsia="宋体" w:cs="宋体"/>
                <w:i w:val="0"/>
                <w:iCs w:val="0"/>
                <w:color w:val="auto"/>
                <w:kern w:val="0"/>
                <w:sz w:val="20"/>
                <w:szCs w:val="20"/>
                <w:u w:val="none"/>
                <w:lang w:val="en-US" w:eastAsia="zh-CN" w:bidi="ar"/>
              </w:rPr>
              <w:t xml:space="preserve">  </w:t>
            </w:r>
          </w:p>
        </w:tc>
      </w:tr>
      <w:tr w14:paraId="4F32F7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26853CA">
            <w:pPr>
              <w:keepNext w:val="0"/>
              <w:keepLines w:val="0"/>
              <w:widowControl/>
              <w:suppressLineNumbers w:val="0"/>
              <w:jc w:val="center"/>
              <w:textAlignment w:val="bottom"/>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u w:val="none"/>
                <w:lang w:val="en-US" w:eastAsia="zh-CN" w:bidi="ar"/>
              </w:rPr>
              <w:t>1</w:t>
            </w:r>
          </w:p>
        </w:tc>
        <w:tc>
          <w:tcPr>
            <w:tcW w:w="2435" w:type="dxa"/>
            <w:tcBorders>
              <w:top w:val="single" w:color="000000" w:sz="4" w:space="0"/>
              <w:left w:val="single" w:color="000000" w:sz="4" w:space="0"/>
              <w:bottom w:val="single" w:color="000000" w:sz="4" w:space="0"/>
              <w:right w:val="single" w:color="000000" w:sz="4" w:space="0"/>
            </w:tcBorders>
            <w:shd w:val="clear" w:color="auto" w:fill="auto"/>
            <w:vAlign w:val="top"/>
          </w:tcPr>
          <w:p w14:paraId="730784CA">
            <w:pPr>
              <w:keepNext w:val="0"/>
              <w:keepLines w:val="0"/>
              <w:widowControl/>
              <w:suppressLineNumbers w:val="0"/>
              <w:jc w:val="center"/>
              <w:textAlignment w:val="top"/>
              <w:rPr>
                <w:rFonts w:hint="default" w:ascii="Times New Roman" w:hAnsi="Times New Roman" w:eastAsia="宋体" w:cs="Times New Roman"/>
                <w:i w:val="0"/>
                <w:iCs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边坡稳定性监测</w:t>
            </w:r>
          </w:p>
        </w:tc>
        <w:tc>
          <w:tcPr>
            <w:tcW w:w="13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F5545">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u w:val="none"/>
                <w:lang w:val="en-US" w:eastAsia="zh-CN" w:bidi="ar"/>
              </w:rPr>
              <w:t>15</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F09B1">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u w:val="none"/>
                <w:lang w:val="en-US" w:eastAsia="zh-CN" w:bidi="ar"/>
              </w:rPr>
              <w:t>7.72</w:t>
            </w:r>
          </w:p>
        </w:tc>
        <w:tc>
          <w:tcPr>
            <w:tcW w:w="12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8FEBBC1">
            <w:pPr>
              <w:keepNext w:val="0"/>
              <w:keepLines w:val="0"/>
              <w:widowControl/>
              <w:suppressLineNumbers w:val="0"/>
              <w:jc w:val="center"/>
              <w:textAlignment w:val="bottom"/>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u w:val="none"/>
                <w:lang w:val="en-US" w:eastAsia="zh-CN" w:bidi="ar"/>
              </w:rPr>
              <w:t>300</w:t>
            </w:r>
          </w:p>
        </w:tc>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47214">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u w:val="none"/>
                <w:lang w:val="en-US" w:eastAsia="zh-CN" w:bidi="ar"/>
              </w:rPr>
              <w:t xml:space="preserve">34800 </w:t>
            </w:r>
          </w:p>
        </w:tc>
      </w:tr>
      <w:tr w14:paraId="032860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78D1E02">
            <w:pPr>
              <w:keepNext w:val="0"/>
              <w:keepLines w:val="0"/>
              <w:widowControl/>
              <w:suppressLineNumbers w:val="0"/>
              <w:jc w:val="center"/>
              <w:textAlignment w:val="bottom"/>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u w:val="none"/>
                <w:lang w:val="en-US" w:eastAsia="zh-CN" w:bidi="ar"/>
              </w:rPr>
              <w:t>2</w:t>
            </w:r>
          </w:p>
        </w:tc>
        <w:tc>
          <w:tcPr>
            <w:tcW w:w="2435" w:type="dxa"/>
            <w:tcBorders>
              <w:top w:val="single" w:color="000000" w:sz="4" w:space="0"/>
              <w:left w:val="single" w:color="000000" w:sz="4" w:space="0"/>
              <w:bottom w:val="single" w:color="000000" w:sz="4" w:space="0"/>
              <w:right w:val="single" w:color="000000" w:sz="4" w:space="0"/>
            </w:tcBorders>
            <w:shd w:val="clear" w:color="auto" w:fill="auto"/>
            <w:vAlign w:val="top"/>
          </w:tcPr>
          <w:p w14:paraId="581C05C5">
            <w:pPr>
              <w:keepNext w:val="0"/>
              <w:keepLines w:val="0"/>
              <w:widowControl/>
              <w:suppressLineNumbers w:val="0"/>
              <w:jc w:val="center"/>
              <w:textAlignment w:val="top"/>
              <w:rPr>
                <w:rFonts w:hint="default" w:ascii="Times New Roman" w:hAnsi="Times New Roman" w:eastAsia="宋体" w:cs="Times New Roman"/>
                <w:i w:val="0"/>
                <w:iCs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地下水水位监测</w:t>
            </w:r>
          </w:p>
        </w:tc>
        <w:tc>
          <w:tcPr>
            <w:tcW w:w="135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2A0AC44">
            <w:pPr>
              <w:keepNext w:val="0"/>
              <w:keepLines w:val="0"/>
              <w:widowControl/>
              <w:suppressLineNumbers w:val="0"/>
              <w:jc w:val="center"/>
              <w:textAlignment w:val="bottom"/>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u w:val="none"/>
                <w:lang w:val="en-US" w:eastAsia="zh-CN" w:bidi="ar"/>
              </w:rPr>
              <w:t>12</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12E73">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u w:val="none"/>
                <w:lang w:val="en-US" w:eastAsia="zh-CN" w:bidi="ar"/>
              </w:rPr>
              <w:t>7.72</w:t>
            </w:r>
          </w:p>
        </w:tc>
        <w:tc>
          <w:tcPr>
            <w:tcW w:w="12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300A042">
            <w:pPr>
              <w:keepNext w:val="0"/>
              <w:keepLines w:val="0"/>
              <w:widowControl/>
              <w:suppressLineNumbers w:val="0"/>
              <w:jc w:val="center"/>
              <w:textAlignment w:val="bottom"/>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u w:val="none"/>
                <w:lang w:val="en-US" w:eastAsia="zh-CN" w:bidi="ar"/>
              </w:rPr>
              <w:t>150</w:t>
            </w:r>
          </w:p>
        </w:tc>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07017">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u w:val="none"/>
                <w:lang w:val="en-US" w:eastAsia="zh-CN" w:bidi="ar"/>
              </w:rPr>
              <w:t xml:space="preserve">13950 </w:t>
            </w:r>
          </w:p>
        </w:tc>
      </w:tr>
      <w:tr w14:paraId="782AA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C021D65">
            <w:pPr>
              <w:keepNext w:val="0"/>
              <w:keepLines w:val="0"/>
              <w:widowControl/>
              <w:suppressLineNumbers w:val="0"/>
              <w:jc w:val="center"/>
              <w:textAlignment w:val="bottom"/>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u w:val="none"/>
                <w:lang w:val="en-US" w:eastAsia="zh-CN" w:bidi="ar"/>
              </w:rPr>
              <w:t>3</w:t>
            </w:r>
          </w:p>
        </w:tc>
        <w:tc>
          <w:tcPr>
            <w:tcW w:w="2435" w:type="dxa"/>
            <w:tcBorders>
              <w:top w:val="single" w:color="000000" w:sz="4" w:space="0"/>
              <w:left w:val="single" w:color="000000" w:sz="4" w:space="0"/>
              <w:bottom w:val="single" w:color="000000" w:sz="4" w:space="0"/>
              <w:right w:val="single" w:color="000000" w:sz="4" w:space="0"/>
            </w:tcBorders>
            <w:shd w:val="clear" w:color="auto" w:fill="auto"/>
            <w:vAlign w:val="top"/>
          </w:tcPr>
          <w:p w14:paraId="5B0063E0">
            <w:pPr>
              <w:keepNext w:val="0"/>
              <w:keepLines w:val="0"/>
              <w:widowControl/>
              <w:suppressLineNumbers w:val="0"/>
              <w:jc w:val="center"/>
              <w:textAlignment w:val="top"/>
              <w:rPr>
                <w:rFonts w:hint="default" w:ascii="Times New Roman" w:hAnsi="Times New Roman" w:eastAsia="宋体" w:cs="Times New Roman"/>
                <w:i w:val="0"/>
                <w:iCs w:val="0"/>
                <w:color w:val="auto"/>
                <w:sz w:val="20"/>
                <w:szCs w:val="20"/>
                <w:highlight w:val="none"/>
                <w:u w:val="none"/>
              </w:rPr>
            </w:pPr>
            <w:r>
              <w:rPr>
                <w:rFonts w:hint="eastAsia" w:ascii="宋体" w:hAnsi="宋体" w:eastAsia="宋体" w:cs="宋体"/>
                <w:i w:val="0"/>
                <w:iCs w:val="0"/>
                <w:color w:val="auto"/>
                <w:kern w:val="0"/>
                <w:sz w:val="20"/>
                <w:szCs w:val="20"/>
                <w:u w:val="none"/>
                <w:lang w:val="en-US" w:eastAsia="zh-CN" w:bidi="ar"/>
              </w:rPr>
              <w:t>地下水水质监测</w:t>
            </w:r>
          </w:p>
        </w:tc>
        <w:tc>
          <w:tcPr>
            <w:tcW w:w="13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8109D">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u w:val="none"/>
                <w:lang w:val="en-US" w:eastAsia="zh-CN" w:bidi="ar"/>
              </w:rPr>
              <w:t>3</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1F4C1">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u w:val="none"/>
                <w:lang w:val="en-US" w:eastAsia="zh-CN" w:bidi="ar"/>
              </w:rPr>
              <w:t>7.72</w:t>
            </w:r>
          </w:p>
        </w:tc>
        <w:tc>
          <w:tcPr>
            <w:tcW w:w="12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7F8FA69">
            <w:pPr>
              <w:keepNext w:val="0"/>
              <w:keepLines w:val="0"/>
              <w:widowControl/>
              <w:suppressLineNumbers w:val="0"/>
              <w:jc w:val="center"/>
              <w:textAlignment w:val="bottom"/>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u w:val="none"/>
                <w:lang w:val="en-US" w:eastAsia="zh-CN" w:bidi="ar"/>
              </w:rPr>
              <w:t>1000</w:t>
            </w:r>
          </w:p>
        </w:tc>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6C372">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u w:val="none"/>
                <w:lang w:val="en-US" w:eastAsia="zh-CN" w:bidi="ar"/>
              </w:rPr>
              <w:t xml:space="preserve">23000 </w:t>
            </w:r>
          </w:p>
        </w:tc>
      </w:tr>
      <w:tr w14:paraId="60B571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301"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9A2C1">
            <w:pPr>
              <w:jc w:val="center"/>
              <w:rPr>
                <w:color w:val="auto"/>
              </w:rPr>
            </w:pPr>
            <w:r>
              <w:rPr>
                <w:rFonts w:hint="eastAsia" w:ascii="宋体" w:hAnsi="宋体" w:eastAsia="宋体" w:cs="宋体"/>
                <w:i w:val="0"/>
                <w:iCs w:val="0"/>
                <w:color w:val="auto"/>
                <w:kern w:val="0"/>
                <w:sz w:val="20"/>
                <w:szCs w:val="20"/>
                <w:u w:val="none"/>
                <w:lang w:val="en-US" w:eastAsia="zh-CN" w:bidi="ar"/>
              </w:rPr>
              <w:t>总</w:t>
            </w:r>
            <w:r>
              <w:rPr>
                <w:rFonts w:hint="default" w:ascii="Times New Roman" w:hAnsi="Times New Roman" w:eastAsia="宋体" w:cs="Times New Roman"/>
                <w:i w:val="0"/>
                <w:iCs w:val="0"/>
                <w:color w:val="auto"/>
                <w:kern w:val="0"/>
                <w:sz w:val="20"/>
                <w:szCs w:val="20"/>
                <w:u w:val="none"/>
                <w:lang w:val="en-US" w:eastAsia="zh-CN" w:bidi="ar"/>
              </w:rPr>
              <w:t xml:space="preserve">  </w:t>
            </w:r>
            <w:r>
              <w:rPr>
                <w:rFonts w:hint="eastAsia" w:ascii="宋体" w:hAnsi="宋体" w:eastAsia="宋体" w:cs="宋体"/>
                <w:i w:val="0"/>
                <w:iCs w:val="0"/>
                <w:color w:val="auto"/>
                <w:kern w:val="0"/>
                <w:sz w:val="20"/>
                <w:szCs w:val="20"/>
                <w:u w:val="none"/>
                <w:lang w:val="en-US" w:eastAsia="zh-CN" w:bidi="ar"/>
              </w:rPr>
              <w:t>计</w:t>
            </w:r>
          </w:p>
        </w:tc>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3584C">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u w:val="none"/>
                <w:lang w:val="en-US" w:eastAsia="zh-CN" w:bidi="ar"/>
              </w:rPr>
              <w:t xml:space="preserve">71750 </w:t>
            </w:r>
          </w:p>
        </w:tc>
      </w:tr>
    </w:tbl>
    <w:p w14:paraId="156A75C2">
      <w:pPr>
        <w:pStyle w:val="90"/>
        <w:autoSpaceDE w:val="0"/>
        <w:autoSpaceDN w:val="0"/>
        <w:rPr>
          <w:rFonts w:hint="default" w:ascii="Times New Roman" w:hAnsi="Times New Roman" w:eastAsia="黑体" w:cs="Times New Roman"/>
          <w:b w:val="0"/>
          <w:bCs/>
          <w:color w:val="auto"/>
          <w:highlight w:val="none"/>
        </w:rPr>
      </w:pPr>
    </w:p>
    <w:p w14:paraId="0C95F961">
      <w:pPr>
        <w:pStyle w:val="90"/>
        <w:autoSpaceDE w:val="0"/>
        <w:autoSpaceDN w:val="0"/>
        <w:rPr>
          <w:rFonts w:hint="default" w:ascii="Times New Roman" w:hAnsi="Times New Roman" w:eastAsia="黑体" w:cs="Times New Roman"/>
          <w:b w:val="0"/>
          <w:bCs/>
          <w:color w:val="auto"/>
          <w:highlight w:val="none"/>
        </w:rPr>
      </w:pPr>
    </w:p>
    <w:p w14:paraId="0DCD6633">
      <w:pPr>
        <w:pStyle w:val="90"/>
        <w:autoSpaceDE w:val="0"/>
        <w:autoSpaceDN w:val="0"/>
        <w:rPr>
          <w:rFonts w:hint="default" w:ascii="Times New Roman" w:hAnsi="Times New Roman" w:eastAsia="黑体" w:cs="Times New Roman"/>
          <w:b w:val="0"/>
          <w:bCs/>
          <w:color w:val="auto"/>
          <w:highlight w:val="none"/>
        </w:rPr>
      </w:pPr>
    </w:p>
    <w:p w14:paraId="4DB9AA4D">
      <w:pPr>
        <w:pStyle w:val="90"/>
        <w:autoSpaceDE w:val="0"/>
        <w:autoSpaceDN w:val="0"/>
        <w:rPr>
          <w:rFonts w:hint="default" w:ascii="Times New Roman" w:hAnsi="Times New Roman" w:eastAsia="黑体" w:cs="Times New Roman"/>
          <w:b w:val="0"/>
          <w:bCs/>
          <w:color w:val="auto"/>
          <w:highlight w:val="none"/>
        </w:rPr>
      </w:pPr>
    </w:p>
    <w:p w14:paraId="3008040E">
      <w:pPr>
        <w:pStyle w:val="90"/>
        <w:autoSpaceDE w:val="0"/>
        <w:autoSpaceDN w:val="0"/>
        <w:rPr>
          <w:rFonts w:hint="default" w:ascii="Times New Roman" w:hAnsi="Times New Roman" w:eastAsia="黑体" w:cs="Times New Roman"/>
          <w:b w:val="0"/>
          <w:bCs/>
          <w:color w:val="auto"/>
          <w:highlight w:val="none"/>
          <w:lang w:val="en-US" w:eastAsia="zh-CN"/>
        </w:rPr>
      </w:pPr>
      <w:r>
        <w:rPr>
          <w:rFonts w:hint="default" w:ascii="Times New Roman" w:hAnsi="Times New Roman" w:eastAsia="黑体" w:cs="Times New Roman"/>
          <w:b w:val="0"/>
          <w:bCs/>
          <w:color w:val="auto"/>
          <w:highlight w:val="none"/>
        </w:rPr>
        <w:t>表7-5</w:t>
      </w:r>
      <w:r>
        <w:rPr>
          <w:rFonts w:hint="eastAsia" w:ascii="Times New Roman" w:hAnsi="Times New Roman" w:cs="Times New Roman"/>
          <w:b w:val="0"/>
          <w:bCs/>
          <w:color w:val="auto"/>
          <w:highlight w:val="none"/>
          <w:lang w:val="en-US" w:eastAsia="zh-CN"/>
        </w:rPr>
        <w:t xml:space="preserve">  </w:t>
      </w:r>
      <w:r>
        <w:rPr>
          <w:rFonts w:hint="default" w:ascii="Times New Roman" w:hAnsi="Times New Roman" w:eastAsia="黑体" w:cs="Times New Roman"/>
          <w:b w:val="0"/>
          <w:bCs/>
          <w:color w:val="auto"/>
          <w:highlight w:val="none"/>
        </w:rPr>
        <w:t>其他费用估算表</w:t>
      </w:r>
    </w:p>
    <w:tbl>
      <w:tblPr>
        <w:tblStyle w:val="34"/>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40"/>
        <w:gridCol w:w="2486"/>
        <w:gridCol w:w="2408"/>
        <w:gridCol w:w="1094"/>
        <w:gridCol w:w="1391"/>
      </w:tblGrid>
      <w:tr w14:paraId="2D6897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66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2427F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97122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费用名称</w:t>
            </w:r>
          </w:p>
        </w:tc>
        <w:tc>
          <w:tcPr>
            <w:tcW w:w="14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A3261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计算式</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67011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预算金额</w:t>
            </w:r>
          </w:p>
        </w:tc>
        <w:tc>
          <w:tcPr>
            <w:tcW w:w="8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2232E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各项费用占其他费用的比例（％）</w:t>
            </w:r>
          </w:p>
        </w:tc>
      </w:tr>
      <w:tr w14:paraId="4A6E51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9A9484">
            <w:pPr>
              <w:jc w:val="center"/>
              <w:rPr>
                <w:rFonts w:hint="eastAsia" w:ascii="宋体" w:hAnsi="宋体" w:eastAsia="宋体" w:cs="宋体"/>
                <w:i w:val="0"/>
                <w:iCs w:val="0"/>
                <w:color w:val="auto"/>
                <w:sz w:val="20"/>
                <w:szCs w:val="20"/>
                <w:u w:val="none"/>
              </w:rPr>
            </w:pP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79C945">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w:t>
            </w:r>
          </w:p>
        </w:tc>
        <w:tc>
          <w:tcPr>
            <w:tcW w:w="14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E71147">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595F97">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(3)</w:t>
            </w:r>
          </w:p>
        </w:tc>
        <w:tc>
          <w:tcPr>
            <w:tcW w:w="8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D61293">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(4)</w:t>
            </w:r>
          </w:p>
        </w:tc>
      </w:tr>
      <w:tr w14:paraId="54F977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434F3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一</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52621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前期工作费</w:t>
            </w:r>
          </w:p>
        </w:tc>
        <w:tc>
          <w:tcPr>
            <w:tcW w:w="14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1BBD6D">
            <w:pPr>
              <w:jc w:val="center"/>
              <w:rPr>
                <w:rFonts w:hint="eastAsia" w:ascii="宋体" w:hAnsi="宋体" w:eastAsia="宋体" w:cs="宋体"/>
                <w:i w:val="0"/>
                <w:iCs w:val="0"/>
                <w:color w:val="auto"/>
                <w:sz w:val="20"/>
                <w:szCs w:val="20"/>
                <w:u w:val="none"/>
              </w:rPr>
            </w:pP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44B0F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15759 </w:t>
            </w:r>
          </w:p>
        </w:tc>
        <w:tc>
          <w:tcPr>
            <w:tcW w:w="8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E472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37.82 </w:t>
            </w:r>
          </w:p>
        </w:tc>
      </w:tr>
      <w:tr w14:paraId="4E65BB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43D5B2">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1 </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96467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土地清查费</w:t>
            </w:r>
          </w:p>
        </w:tc>
        <w:tc>
          <w:tcPr>
            <w:tcW w:w="14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46E3B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工程施工费</w:t>
            </w:r>
            <w:r>
              <w:rPr>
                <w:rFonts w:hint="default" w:ascii="Times New Roman" w:hAnsi="Times New Roman" w:eastAsia="宋体" w:cs="Times New Roman"/>
                <w:i w:val="0"/>
                <w:iCs w:val="0"/>
                <w:color w:val="auto"/>
                <w:kern w:val="0"/>
                <w:sz w:val="20"/>
                <w:szCs w:val="20"/>
                <w:u w:val="none"/>
                <w:lang w:val="en-US" w:eastAsia="zh-CN" w:bidi="ar"/>
              </w:rPr>
              <w:t>×</w:t>
            </w:r>
            <w:r>
              <w:rPr>
                <w:rFonts w:hint="eastAsia" w:ascii="宋体" w:hAnsi="宋体" w:eastAsia="宋体" w:cs="宋体"/>
                <w:i w:val="0"/>
                <w:iCs w:val="0"/>
                <w:color w:val="auto"/>
                <w:kern w:val="0"/>
                <w:sz w:val="20"/>
                <w:szCs w:val="20"/>
                <w:u w:val="none"/>
                <w:lang w:val="en-US" w:eastAsia="zh-CN" w:bidi="ar"/>
              </w:rPr>
              <w:t>0.5</w:t>
            </w:r>
            <w:r>
              <w:rPr>
                <w:rFonts w:hint="default" w:ascii="Times New Roman" w:hAnsi="Times New Roman" w:eastAsia="宋体" w:cs="Times New Roman"/>
                <w:i w:val="0"/>
                <w:iCs w:val="0"/>
                <w:color w:val="auto"/>
                <w:kern w:val="0"/>
                <w:sz w:val="20"/>
                <w:szCs w:val="20"/>
                <w:u w:val="none"/>
                <w:lang w:val="en-US" w:eastAsia="zh-CN" w:bidi="ar"/>
              </w:rPr>
              <w:t>%</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4949D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1507 </w:t>
            </w:r>
          </w:p>
        </w:tc>
        <w:tc>
          <w:tcPr>
            <w:tcW w:w="8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2B4A9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3.62 </w:t>
            </w:r>
          </w:p>
        </w:tc>
      </w:tr>
      <w:tr w14:paraId="7F1392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5BDF47">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2 </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BAFB3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项目勘察费</w:t>
            </w:r>
          </w:p>
        </w:tc>
        <w:tc>
          <w:tcPr>
            <w:tcW w:w="14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ABDE0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工程施工费</w:t>
            </w:r>
            <w:r>
              <w:rPr>
                <w:rFonts w:hint="default" w:ascii="Times New Roman" w:hAnsi="Times New Roman" w:eastAsia="宋体" w:cs="Times New Roman"/>
                <w:i w:val="0"/>
                <w:iCs w:val="0"/>
                <w:color w:val="auto"/>
                <w:kern w:val="0"/>
                <w:sz w:val="20"/>
                <w:szCs w:val="20"/>
                <w:u w:val="none"/>
                <w:lang w:val="en-US" w:eastAsia="zh-CN" w:bidi="ar"/>
              </w:rPr>
              <w:t>×1.65%</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2145A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4972 </w:t>
            </w:r>
          </w:p>
        </w:tc>
        <w:tc>
          <w:tcPr>
            <w:tcW w:w="8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920AB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11.93 </w:t>
            </w:r>
          </w:p>
        </w:tc>
      </w:tr>
      <w:tr w14:paraId="7FE13F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6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9F44061">
            <w:pPr>
              <w:keepNext w:val="0"/>
              <w:keepLines w:val="0"/>
              <w:widowControl/>
              <w:suppressLineNumbers w:val="0"/>
              <w:jc w:val="center"/>
              <w:textAlignment w:val="bottom"/>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3</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29072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项目设计费</w:t>
            </w:r>
          </w:p>
        </w:tc>
        <w:tc>
          <w:tcPr>
            <w:tcW w:w="14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49078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工程施工费</w:t>
            </w:r>
            <w:r>
              <w:rPr>
                <w:rFonts w:hint="default" w:ascii="Times New Roman" w:hAnsi="Times New Roman" w:eastAsia="宋体" w:cs="Times New Roman"/>
                <w:i w:val="0"/>
                <w:iCs w:val="0"/>
                <w:color w:val="auto"/>
                <w:kern w:val="0"/>
                <w:sz w:val="20"/>
                <w:szCs w:val="20"/>
                <w:u w:val="none"/>
                <w:lang w:val="en-US" w:eastAsia="zh-CN" w:bidi="ar"/>
              </w:rPr>
              <w:t>×</w:t>
            </w:r>
            <w:r>
              <w:rPr>
                <w:rFonts w:hint="eastAsia" w:ascii="宋体" w:hAnsi="宋体" w:eastAsia="宋体" w:cs="宋体"/>
                <w:i w:val="0"/>
                <w:iCs w:val="0"/>
                <w:color w:val="auto"/>
                <w:kern w:val="0"/>
                <w:sz w:val="20"/>
                <w:szCs w:val="20"/>
                <w:u w:val="none"/>
                <w:lang w:val="en-US" w:eastAsia="zh-CN" w:bidi="ar"/>
              </w:rPr>
              <w:t>2.8</w:t>
            </w:r>
            <w:r>
              <w:rPr>
                <w:rFonts w:hint="default" w:ascii="Times New Roman" w:hAnsi="Times New Roman" w:eastAsia="宋体" w:cs="Times New Roman"/>
                <w:i w:val="0"/>
                <w:iCs w:val="0"/>
                <w:color w:val="auto"/>
                <w:kern w:val="0"/>
                <w:sz w:val="20"/>
                <w:szCs w:val="20"/>
                <w:u w:val="none"/>
                <w:lang w:val="en-US" w:eastAsia="zh-CN" w:bidi="ar"/>
              </w:rPr>
              <w:t>%</w:t>
            </w:r>
            <w:r>
              <w:rPr>
                <w:rFonts w:hint="eastAsia" w:ascii="宋体" w:hAnsi="宋体" w:eastAsia="宋体" w:cs="宋体"/>
                <w:i w:val="0"/>
                <w:iCs w:val="0"/>
                <w:color w:val="auto"/>
                <w:kern w:val="0"/>
                <w:sz w:val="20"/>
                <w:szCs w:val="20"/>
                <w:u w:val="none"/>
                <w:lang w:val="en-US" w:eastAsia="zh-CN" w:bidi="ar"/>
              </w:rPr>
              <w:t>×1.1</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39BE3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9280 </w:t>
            </w:r>
          </w:p>
        </w:tc>
        <w:tc>
          <w:tcPr>
            <w:tcW w:w="8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EC364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22.27 </w:t>
            </w:r>
          </w:p>
        </w:tc>
      </w:tr>
      <w:tr w14:paraId="108977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3152E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二</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93444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工程监理费</w:t>
            </w:r>
          </w:p>
        </w:tc>
        <w:tc>
          <w:tcPr>
            <w:tcW w:w="14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4A9E4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工程施工费</w:t>
            </w:r>
            <w:r>
              <w:rPr>
                <w:rFonts w:hint="default" w:ascii="Times New Roman" w:hAnsi="Times New Roman" w:eastAsia="宋体" w:cs="Times New Roman"/>
                <w:i w:val="0"/>
                <w:iCs w:val="0"/>
                <w:color w:val="auto"/>
                <w:kern w:val="0"/>
                <w:sz w:val="20"/>
                <w:szCs w:val="20"/>
                <w:u w:val="none"/>
                <w:lang w:val="en-US" w:eastAsia="zh-CN" w:bidi="ar"/>
              </w:rPr>
              <w:t>×2.4%</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5BB7C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7231 </w:t>
            </w:r>
          </w:p>
        </w:tc>
        <w:tc>
          <w:tcPr>
            <w:tcW w:w="8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BF47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17.35 </w:t>
            </w:r>
          </w:p>
        </w:tc>
      </w:tr>
      <w:tr w14:paraId="0D11A8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077F7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三</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3DE59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竣工验收费</w:t>
            </w:r>
          </w:p>
        </w:tc>
        <w:tc>
          <w:tcPr>
            <w:tcW w:w="14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A587A2">
            <w:pPr>
              <w:jc w:val="center"/>
              <w:rPr>
                <w:rFonts w:hint="eastAsia" w:ascii="宋体" w:hAnsi="宋体" w:eastAsia="宋体" w:cs="宋体"/>
                <w:i w:val="0"/>
                <w:iCs w:val="0"/>
                <w:color w:val="auto"/>
                <w:sz w:val="20"/>
                <w:szCs w:val="20"/>
                <w:u w:val="none"/>
              </w:rPr>
            </w:pP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8EFCF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9340 </w:t>
            </w:r>
          </w:p>
        </w:tc>
        <w:tc>
          <w:tcPr>
            <w:tcW w:w="8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DFCEA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22.41 </w:t>
            </w:r>
          </w:p>
        </w:tc>
      </w:tr>
      <w:tr w14:paraId="307CAB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398591">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12BE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工程复核费</w:t>
            </w:r>
          </w:p>
        </w:tc>
        <w:tc>
          <w:tcPr>
            <w:tcW w:w="14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0C1B3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工程施工费</w:t>
            </w:r>
            <w:r>
              <w:rPr>
                <w:rFonts w:hint="default" w:ascii="Times New Roman" w:hAnsi="Times New Roman" w:eastAsia="宋体" w:cs="Times New Roman"/>
                <w:i w:val="0"/>
                <w:iCs w:val="0"/>
                <w:color w:val="auto"/>
                <w:kern w:val="0"/>
                <w:sz w:val="20"/>
                <w:szCs w:val="20"/>
                <w:u w:val="none"/>
                <w:lang w:val="en-US" w:eastAsia="zh-CN" w:bidi="ar"/>
              </w:rPr>
              <w:t>×</w:t>
            </w:r>
            <w:r>
              <w:rPr>
                <w:rFonts w:hint="eastAsia" w:ascii="宋体" w:hAnsi="宋体" w:eastAsia="宋体" w:cs="宋体"/>
                <w:i w:val="0"/>
                <w:iCs w:val="0"/>
                <w:color w:val="auto"/>
                <w:kern w:val="0"/>
                <w:sz w:val="20"/>
                <w:szCs w:val="20"/>
                <w:u w:val="none"/>
                <w:lang w:val="en-US" w:eastAsia="zh-CN" w:bidi="ar"/>
              </w:rPr>
              <w:t>0.7</w:t>
            </w:r>
            <w:r>
              <w:rPr>
                <w:rFonts w:hint="default" w:ascii="Times New Roman" w:hAnsi="Times New Roman" w:eastAsia="宋体" w:cs="Times New Roman"/>
                <w:i w:val="0"/>
                <w:iCs w:val="0"/>
                <w:color w:val="auto"/>
                <w:kern w:val="0"/>
                <w:sz w:val="20"/>
                <w:szCs w:val="20"/>
                <w:u w:val="none"/>
                <w:lang w:val="en-US" w:eastAsia="zh-CN" w:bidi="ar"/>
              </w:rPr>
              <w:t>%</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C3EFF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2109 </w:t>
            </w:r>
          </w:p>
        </w:tc>
        <w:tc>
          <w:tcPr>
            <w:tcW w:w="8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4B175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5.06 </w:t>
            </w:r>
          </w:p>
        </w:tc>
      </w:tr>
      <w:tr w14:paraId="09A042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268977">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B3E51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工程验收费</w:t>
            </w:r>
          </w:p>
        </w:tc>
        <w:tc>
          <w:tcPr>
            <w:tcW w:w="14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A2FD7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工程施工费</w:t>
            </w:r>
            <w:r>
              <w:rPr>
                <w:rFonts w:hint="default" w:ascii="Times New Roman" w:hAnsi="Times New Roman" w:eastAsia="宋体" w:cs="Times New Roman"/>
                <w:i w:val="0"/>
                <w:iCs w:val="0"/>
                <w:color w:val="auto"/>
                <w:kern w:val="0"/>
                <w:sz w:val="20"/>
                <w:szCs w:val="20"/>
                <w:u w:val="none"/>
                <w:lang w:val="en-US" w:eastAsia="zh-CN" w:bidi="ar"/>
              </w:rPr>
              <w:t>×</w:t>
            </w:r>
            <w:r>
              <w:rPr>
                <w:rFonts w:hint="eastAsia" w:ascii="宋体" w:hAnsi="宋体" w:eastAsia="宋体" w:cs="宋体"/>
                <w:i w:val="0"/>
                <w:iCs w:val="0"/>
                <w:color w:val="auto"/>
                <w:kern w:val="0"/>
                <w:sz w:val="20"/>
                <w:szCs w:val="20"/>
                <w:u w:val="none"/>
                <w:lang w:val="en-US" w:eastAsia="zh-CN" w:bidi="ar"/>
              </w:rPr>
              <w:t>1.4</w:t>
            </w:r>
            <w:r>
              <w:rPr>
                <w:rFonts w:hint="default" w:ascii="Times New Roman" w:hAnsi="Times New Roman" w:eastAsia="宋体" w:cs="Times New Roman"/>
                <w:i w:val="0"/>
                <w:iCs w:val="0"/>
                <w:color w:val="auto"/>
                <w:kern w:val="0"/>
                <w:sz w:val="20"/>
                <w:szCs w:val="20"/>
                <w:u w:val="none"/>
                <w:lang w:val="en-US" w:eastAsia="zh-CN" w:bidi="ar"/>
              </w:rPr>
              <w:t>%</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7DCFE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4218 </w:t>
            </w:r>
          </w:p>
        </w:tc>
        <w:tc>
          <w:tcPr>
            <w:tcW w:w="8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D353E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10.12 </w:t>
            </w:r>
          </w:p>
        </w:tc>
      </w:tr>
      <w:tr w14:paraId="1C38DC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F56BCB">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3</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096FE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项目决算编制与审计费</w:t>
            </w:r>
          </w:p>
        </w:tc>
        <w:tc>
          <w:tcPr>
            <w:tcW w:w="14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966C9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工程施工费</w:t>
            </w:r>
            <w:r>
              <w:rPr>
                <w:rFonts w:hint="default" w:ascii="Times New Roman" w:hAnsi="Times New Roman" w:eastAsia="宋体" w:cs="Times New Roman"/>
                <w:i w:val="0"/>
                <w:iCs w:val="0"/>
                <w:color w:val="auto"/>
                <w:kern w:val="0"/>
                <w:sz w:val="20"/>
                <w:szCs w:val="20"/>
                <w:u w:val="none"/>
                <w:lang w:val="en-US" w:eastAsia="zh-CN" w:bidi="ar"/>
              </w:rPr>
              <w:t>×1%</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44DE1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3013 </w:t>
            </w:r>
          </w:p>
        </w:tc>
        <w:tc>
          <w:tcPr>
            <w:tcW w:w="8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4FC55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7.23 </w:t>
            </w:r>
          </w:p>
        </w:tc>
      </w:tr>
      <w:tr w14:paraId="75E3D3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0" w:hRule="atLeast"/>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E7ED4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四</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6A5CF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业主管理费</w:t>
            </w:r>
          </w:p>
        </w:tc>
        <w:tc>
          <w:tcPr>
            <w:tcW w:w="14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A9475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（工程施工费</w:t>
            </w:r>
            <w:r>
              <w:rPr>
                <w:rFonts w:hint="default" w:ascii="Times New Roman" w:hAnsi="Times New Roman" w:eastAsia="宋体" w:cs="Times New Roman"/>
                <w:i w:val="0"/>
                <w:iCs w:val="0"/>
                <w:color w:val="auto"/>
                <w:kern w:val="0"/>
                <w:sz w:val="20"/>
                <w:szCs w:val="20"/>
                <w:u w:val="none"/>
                <w:lang w:val="en-US" w:eastAsia="zh-CN" w:bidi="ar"/>
              </w:rPr>
              <w:t>+</w:t>
            </w:r>
            <w:r>
              <w:rPr>
                <w:rFonts w:hint="eastAsia" w:ascii="宋体" w:hAnsi="宋体" w:eastAsia="宋体" w:cs="宋体"/>
                <w:i w:val="0"/>
                <w:iCs w:val="0"/>
                <w:color w:val="auto"/>
                <w:kern w:val="0"/>
                <w:sz w:val="20"/>
                <w:szCs w:val="20"/>
                <w:u w:val="none"/>
                <w:lang w:val="en-US" w:eastAsia="zh-CN" w:bidi="ar"/>
              </w:rPr>
              <w:t>前期工作费</w:t>
            </w:r>
            <w:r>
              <w:rPr>
                <w:rFonts w:hint="default" w:ascii="Times New Roman" w:hAnsi="Times New Roman" w:eastAsia="宋体" w:cs="Times New Roman"/>
                <w:i w:val="0"/>
                <w:iCs w:val="0"/>
                <w:color w:val="auto"/>
                <w:kern w:val="0"/>
                <w:sz w:val="20"/>
                <w:szCs w:val="20"/>
                <w:u w:val="none"/>
                <w:lang w:val="en-US" w:eastAsia="zh-CN" w:bidi="ar"/>
              </w:rPr>
              <w:t>+</w:t>
            </w:r>
            <w:r>
              <w:rPr>
                <w:rFonts w:hint="eastAsia" w:ascii="宋体" w:hAnsi="宋体" w:eastAsia="宋体" w:cs="宋体"/>
                <w:i w:val="0"/>
                <w:iCs w:val="0"/>
                <w:color w:val="auto"/>
                <w:kern w:val="0"/>
                <w:sz w:val="20"/>
                <w:szCs w:val="20"/>
                <w:u w:val="none"/>
                <w:lang w:val="en-US" w:eastAsia="zh-CN" w:bidi="ar"/>
              </w:rPr>
              <w:t>工程监理费</w:t>
            </w:r>
            <w:r>
              <w:rPr>
                <w:rFonts w:hint="default" w:ascii="Times New Roman" w:hAnsi="Times New Roman" w:eastAsia="宋体" w:cs="Times New Roman"/>
                <w:i w:val="0"/>
                <w:iCs w:val="0"/>
                <w:color w:val="auto"/>
                <w:kern w:val="0"/>
                <w:sz w:val="20"/>
                <w:szCs w:val="20"/>
                <w:u w:val="none"/>
                <w:lang w:val="en-US" w:eastAsia="zh-CN" w:bidi="ar"/>
              </w:rPr>
              <w:t>+</w:t>
            </w:r>
            <w:r>
              <w:rPr>
                <w:rFonts w:hint="eastAsia" w:ascii="宋体" w:hAnsi="宋体" w:eastAsia="宋体" w:cs="宋体"/>
                <w:i w:val="0"/>
                <w:iCs w:val="0"/>
                <w:color w:val="auto"/>
                <w:kern w:val="0"/>
                <w:sz w:val="20"/>
                <w:szCs w:val="20"/>
                <w:u w:val="none"/>
                <w:lang w:val="en-US" w:eastAsia="zh-CN" w:bidi="ar"/>
              </w:rPr>
              <w:t>竣工验收费）</w:t>
            </w:r>
            <w:r>
              <w:rPr>
                <w:rFonts w:hint="default" w:ascii="Times New Roman" w:hAnsi="Times New Roman" w:eastAsia="宋体" w:cs="Times New Roman"/>
                <w:i w:val="0"/>
                <w:iCs w:val="0"/>
                <w:color w:val="auto"/>
                <w:kern w:val="0"/>
                <w:sz w:val="20"/>
                <w:szCs w:val="20"/>
                <w:u w:val="none"/>
                <w:lang w:val="en-US" w:eastAsia="zh-CN" w:bidi="ar"/>
              </w:rPr>
              <w:t>×2.8%</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01B34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9342 </w:t>
            </w:r>
          </w:p>
        </w:tc>
        <w:tc>
          <w:tcPr>
            <w:tcW w:w="8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799D2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22.42 </w:t>
            </w:r>
          </w:p>
        </w:tc>
      </w:tr>
      <w:tr w14:paraId="001FDC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54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1E5EDA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总计</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76DDD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41672 </w:t>
            </w:r>
          </w:p>
        </w:tc>
        <w:tc>
          <w:tcPr>
            <w:tcW w:w="8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A2D81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100.00 </w:t>
            </w:r>
          </w:p>
        </w:tc>
      </w:tr>
    </w:tbl>
    <w:p w14:paraId="24298DE8">
      <w:pPr>
        <w:pStyle w:val="90"/>
        <w:keepNext w:val="0"/>
        <w:keepLines w:val="0"/>
        <w:pageBreakBefore w:val="0"/>
        <w:widowControl w:val="0"/>
        <w:kinsoku/>
        <w:wordWrap/>
        <w:overflowPunct/>
        <w:topLinePunct w:val="0"/>
        <w:autoSpaceDE w:val="0"/>
        <w:autoSpaceDN w:val="0"/>
        <w:bidi w:val="0"/>
        <w:adjustRightInd/>
        <w:snapToGrid/>
        <w:spacing w:before="313" w:beforeLines="100"/>
        <w:textAlignment w:val="auto"/>
        <w:rPr>
          <w:rFonts w:hint="default" w:ascii="Times New Roman" w:hAnsi="Times New Roman" w:eastAsia="黑体" w:cs="Times New Roman"/>
          <w:b w:val="0"/>
          <w:bCs/>
          <w:color w:val="auto"/>
          <w:highlight w:val="none"/>
          <w:lang w:val="en-US" w:eastAsia="zh-CN"/>
        </w:rPr>
      </w:pPr>
      <w:r>
        <w:rPr>
          <w:rFonts w:hint="default" w:ascii="Times New Roman" w:hAnsi="Times New Roman" w:eastAsia="黑体" w:cs="Times New Roman"/>
          <w:b w:val="0"/>
          <w:bCs/>
          <w:color w:val="auto"/>
          <w:highlight w:val="none"/>
        </w:rPr>
        <w:t>表7-6</w:t>
      </w:r>
      <w:r>
        <w:rPr>
          <w:rFonts w:hint="eastAsia" w:ascii="Times New Roman" w:hAnsi="Times New Roman" w:cs="Times New Roman"/>
          <w:b w:val="0"/>
          <w:bCs/>
          <w:color w:val="auto"/>
          <w:highlight w:val="none"/>
          <w:lang w:val="en-US" w:eastAsia="zh-CN"/>
        </w:rPr>
        <w:t xml:space="preserve">  </w:t>
      </w:r>
      <w:r>
        <w:rPr>
          <w:rFonts w:hint="default" w:ascii="Times New Roman" w:hAnsi="Times New Roman" w:eastAsia="黑体" w:cs="Times New Roman"/>
          <w:b w:val="0"/>
          <w:bCs/>
          <w:color w:val="auto"/>
          <w:highlight w:val="none"/>
        </w:rPr>
        <w:t>预备费估算表</w:t>
      </w:r>
    </w:p>
    <w:tbl>
      <w:tblPr>
        <w:tblStyle w:val="34"/>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95"/>
        <w:gridCol w:w="1573"/>
        <w:gridCol w:w="2756"/>
        <w:gridCol w:w="1399"/>
        <w:gridCol w:w="1396"/>
      </w:tblGrid>
      <w:tr w14:paraId="2D787D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819" w:type="pct"/>
            <w:tcBorders>
              <w:top w:val="single" w:color="000000" w:sz="4" w:space="0"/>
              <w:left w:val="single" w:color="000000" w:sz="4" w:space="0"/>
              <w:bottom w:val="nil"/>
              <w:right w:val="single" w:color="000000" w:sz="4" w:space="0"/>
            </w:tcBorders>
            <w:shd w:val="clear" w:color="auto" w:fill="auto"/>
            <w:noWrap/>
            <w:vAlign w:val="center"/>
          </w:tcPr>
          <w:p w14:paraId="510526C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序号</w:t>
            </w:r>
          </w:p>
        </w:tc>
        <w:tc>
          <w:tcPr>
            <w:tcW w:w="923" w:type="pct"/>
            <w:tcBorders>
              <w:top w:val="single" w:color="000000" w:sz="4" w:space="0"/>
              <w:left w:val="single" w:color="000000" w:sz="4" w:space="0"/>
              <w:bottom w:val="nil"/>
              <w:right w:val="single" w:color="000000" w:sz="4" w:space="0"/>
            </w:tcBorders>
            <w:shd w:val="clear" w:color="auto" w:fill="auto"/>
            <w:noWrap/>
            <w:vAlign w:val="center"/>
          </w:tcPr>
          <w:p w14:paraId="68AAF2A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费用名称</w:t>
            </w:r>
          </w:p>
        </w:tc>
        <w:tc>
          <w:tcPr>
            <w:tcW w:w="1617" w:type="pct"/>
            <w:tcBorders>
              <w:top w:val="single" w:color="000000" w:sz="4" w:space="0"/>
              <w:left w:val="single" w:color="000000" w:sz="4" w:space="0"/>
              <w:bottom w:val="nil"/>
              <w:right w:val="single" w:color="000000" w:sz="4" w:space="0"/>
            </w:tcBorders>
            <w:shd w:val="clear" w:color="auto" w:fill="auto"/>
            <w:noWrap/>
            <w:vAlign w:val="center"/>
          </w:tcPr>
          <w:p w14:paraId="1165DC2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费基</w:t>
            </w:r>
          </w:p>
        </w:tc>
        <w:tc>
          <w:tcPr>
            <w:tcW w:w="819" w:type="pct"/>
            <w:tcBorders>
              <w:top w:val="single" w:color="000000" w:sz="4" w:space="0"/>
              <w:left w:val="single" w:color="000000" w:sz="4" w:space="0"/>
              <w:bottom w:val="nil"/>
              <w:right w:val="single" w:color="000000" w:sz="4" w:space="0"/>
            </w:tcBorders>
            <w:shd w:val="clear" w:color="auto" w:fill="auto"/>
            <w:noWrap/>
            <w:vAlign w:val="center"/>
          </w:tcPr>
          <w:p w14:paraId="4FFAA25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费率%</w:t>
            </w:r>
          </w:p>
        </w:tc>
        <w:tc>
          <w:tcPr>
            <w:tcW w:w="819" w:type="pct"/>
            <w:tcBorders>
              <w:top w:val="single" w:color="000000" w:sz="4" w:space="0"/>
              <w:left w:val="single" w:color="000000" w:sz="4" w:space="0"/>
              <w:bottom w:val="nil"/>
              <w:right w:val="single" w:color="000000" w:sz="4" w:space="0"/>
            </w:tcBorders>
            <w:shd w:val="clear" w:color="auto" w:fill="auto"/>
            <w:noWrap/>
            <w:vAlign w:val="center"/>
          </w:tcPr>
          <w:p w14:paraId="0BA4458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合计（元）</w:t>
            </w:r>
          </w:p>
        </w:tc>
      </w:tr>
      <w:tr w14:paraId="25BE3D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D36D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 </w:t>
            </w:r>
          </w:p>
        </w:tc>
        <w:tc>
          <w:tcPr>
            <w:tcW w:w="9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847A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基本预备费</w:t>
            </w:r>
          </w:p>
        </w:tc>
        <w:tc>
          <w:tcPr>
            <w:tcW w:w="16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27CB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工程施工费+其他费用</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DD64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 </w:t>
            </w: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AE46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10289 </w:t>
            </w:r>
          </w:p>
        </w:tc>
      </w:tr>
      <w:tr w14:paraId="2C54EB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4798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 </w:t>
            </w:r>
          </w:p>
        </w:tc>
        <w:tc>
          <w:tcPr>
            <w:tcW w:w="9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E7C7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风险金</w:t>
            </w:r>
          </w:p>
        </w:tc>
        <w:tc>
          <w:tcPr>
            <w:tcW w:w="16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709F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工程施工费</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1E2F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 </w:t>
            </w: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525C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15065 </w:t>
            </w:r>
          </w:p>
        </w:tc>
      </w:tr>
      <w:tr w14:paraId="26AE4D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4180" w:type="pct"/>
            <w:gridSpan w:val="4"/>
            <w:tcBorders>
              <w:top w:val="single" w:color="000000" w:sz="4" w:space="0"/>
              <w:left w:val="single" w:color="000000" w:sz="4" w:space="0"/>
              <w:bottom w:val="single" w:color="000000" w:sz="4" w:space="0"/>
              <w:right w:val="single" w:color="000000" w:sz="4" w:space="0"/>
            </w:tcBorders>
            <w:shd w:val="clear" w:color="auto" w:fill="auto"/>
            <w:noWrap/>
            <w:vAlign w:val="bottom"/>
          </w:tcPr>
          <w:p w14:paraId="4CBFD298">
            <w:pPr>
              <w:jc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合计</w:t>
            </w: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3B04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25354 </w:t>
            </w:r>
          </w:p>
        </w:tc>
      </w:tr>
    </w:tbl>
    <w:p w14:paraId="09E7DDE5">
      <w:pPr>
        <w:pStyle w:val="5"/>
        <w:rPr>
          <w:rFonts w:hint="default" w:ascii="Times New Roman" w:hAnsi="Times New Roman" w:eastAsia="黑体" w:cs="Times New Roman"/>
          <w:color w:val="auto"/>
          <w:szCs w:val="28"/>
          <w:highlight w:val="none"/>
        </w:rPr>
      </w:pPr>
      <w:r>
        <w:rPr>
          <w:rFonts w:hint="default" w:ascii="Times New Roman" w:hAnsi="Times New Roman" w:eastAsia="黑体" w:cs="Times New Roman"/>
          <w:color w:val="auto"/>
          <w:szCs w:val="28"/>
          <w:highlight w:val="none"/>
          <w:lang w:eastAsia="zh-CN"/>
        </w:rPr>
        <w:t>（</w:t>
      </w:r>
      <w:r>
        <w:rPr>
          <w:rFonts w:hint="default" w:ascii="Times New Roman" w:hAnsi="Times New Roman" w:eastAsia="黑体" w:cs="Times New Roman"/>
          <w:color w:val="auto"/>
          <w:szCs w:val="28"/>
          <w:highlight w:val="none"/>
        </w:rPr>
        <w:t>二）单项投资估算</w:t>
      </w:r>
    </w:p>
    <w:p w14:paraId="6C6BFEF6">
      <w:pPr>
        <w:pStyle w:val="90"/>
        <w:autoSpaceDE w:val="0"/>
        <w:autoSpaceDN w:val="0"/>
        <w:rPr>
          <w:rFonts w:hint="default" w:ascii="Times New Roman" w:hAnsi="Times New Roman" w:eastAsia="黑体" w:cs="Times New Roman"/>
          <w:b w:val="0"/>
          <w:bCs/>
          <w:color w:val="auto"/>
          <w:highlight w:val="none"/>
        </w:rPr>
      </w:pPr>
      <w:r>
        <w:rPr>
          <w:rFonts w:hint="default" w:ascii="Times New Roman" w:hAnsi="Times New Roman" w:eastAsia="黑体" w:cs="Times New Roman"/>
          <w:b w:val="0"/>
          <w:bCs/>
          <w:color w:val="auto"/>
          <w:highlight w:val="none"/>
        </w:rPr>
        <w:t xml:space="preserve">表7-7  </w:t>
      </w:r>
      <w:r>
        <w:rPr>
          <w:rFonts w:hint="default" w:ascii="Times New Roman" w:hAnsi="Times New Roman" w:cs="Times New Roman"/>
          <w:b w:val="0"/>
          <w:bCs/>
          <w:color w:val="auto"/>
          <w:highlight w:val="none"/>
          <w:lang w:val="en-US" w:eastAsia="zh-CN"/>
        </w:rPr>
        <w:t>主要材料预算价格表</w:t>
      </w:r>
      <w:r>
        <w:rPr>
          <w:rFonts w:hint="default" w:ascii="Times New Roman" w:hAnsi="Times New Roman" w:eastAsia="黑体" w:cs="Times New Roman"/>
          <w:b w:val="0"/>
          <w:bCs/>
          <w:color w:val="auto"/>
          <w:highlight w:val="none"/>
        </w:rPr>
        <w:t xml:space="preserve">   金额单位：元</w:t>
      </w:r>
    </w:p>
    <w:tbl>
      <w:tblPr>
        <w:tblStyle w:val="34"/>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70"/>
        <w:gridCol w:w="1529"/>
        <w:gridCol w:w="808"/>
        <w:gridCol w:w="1071"/>
        <w:gridCol w:w="1897"/>
        <w:gridCol w:w="1071"/>
        <w:gridCol w:w="1071"/>
      </w:tblGrid>
      <w:tr w14:paraId="2D1ACF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22FDF">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序号</w:t>
            </w:r>
          </w:p>
        </w:tc>
        <w:tc>
          <w:tcPr>
            <w:tcW w:w="8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54491">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名称及规格</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F0DAD">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单位</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C0FE8">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规范价格</w:t>
            </w:r>
          </w:p>
        </w:tc>
        <w:tc>
          <w:tcPr>
            <w:tcW w:w="11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C7699">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不含税价格（元）</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F1647">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材料价差</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B6113">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备注</w:t>
            </w:r>
          </w:p>
        </w:tc>
      </w:tr>
      <w:tr w14:paraId="1440B4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1476C">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3E4F5">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柴油</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F6A32">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kg</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D8AEC">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4.50</w:t>
            </w:r>
          </w:p>
        </w:tc>
        <w:tc>
          <w:tcPr>
            <w:tcW w:w="11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A0B12">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7.56</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B6088">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3.06</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34775">
            <w:pPr>
              <w:jc w:val="center"/>
              <w:rPr>
                <w:rFonts w:hint="default" w:ascii="Times New Roman" w:hAnsi="Times New Roman" w:eastAsia="宋体" w:cs="Times New Roman"/>
                <w:i w:val="0"/>
                <w:iCs w:val="0"/>
                <w:color w:val="auto"/>
                <w:sz w:val="21"/>
                <w:szCs w:val="21"/>
                <w:highlight w:val="none"/>
                <w:u w:val="none"/>
              </w:rPr>
            </w:pPr>
          </w:p>
        </w:tc>
      </w:tr>
      <w:tr w14:paraId="7CFB18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C9CC7">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8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F7ECB">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水</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9B0DA">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0A7C6">
            <w:pPr>
              <w:jc w:val="center"/>
              <w:rPr>
                <w:rFonts w:hint="default" w:ascii="Times New Roman" w:hAnsi="Times New Roman" w:eastAsia="宋体" w:cs="Times New Roman"/>
                <w:i w:val="0"/>
                <w:iCs w:val="0"/>
                <w:color w:val="auto"/>
                <w:sz w:val="21"/>
                <w:szCs w:val="21"/>
                <w:highlight w:val="none"/>
                <w:u w:val="none"/>
              </w:rPr>
            </w:pPr>
          </w:p>
        </w:tc>
        <w:tc>
          <w:tcPr>
            <w:tcW w:w="11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256C8">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3.20</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F5C4C">
            <w:pPr>
              <w:jc w:val="center"/>
              <w:rPr>
                <w:rFonts w:hint="default" w:ascii="Times New Roman" w:hAnsi="Times New Roman" w:eastAsia="宋体" w:cs="Times New Roman"/>
                <w:i w:val="0"/>
                <w:iCs w:val="0"/>
                <w:color w:val="auto"/>
                <w:sz w:val="21"/>
                <w:szCs w:val="21"/>
                <w:highlight w:val="none"/>
                <w:u w:val="none"/>
              </w:rPr>
            </w:pP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9D860">
            <w:pPr>
              <w:jc w:val="center"/>
              <w:rPr>
                <w:rFonts w:hint="default" w:ascii="Times New Roman" w:hAnsi="Times New Roman" w:eastAsia="宋体" w:cs="Times New Roman"/>
                <w:i w:val="0"/>
                <w:iCs w:val="0"/>
                <w:color w:val="auto"/>
                <w:sz w:val="21"/>
                <w:szCs w:val="21"/>
                <w:highlight w:val="none"/>
                <w:u w:val="none"/>
              </w:rPr>
            </w:pPr>
          </w:p>
        </w:tc>
      </w:tr>
      <w:tr w14:paraId="08A44A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7A39C">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8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3236D">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电</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BF3C5">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度</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B7C76">
            <w:pPr>
              <w:jc w:val="center"/>
              <w:rPr>
                <w:rFonts w:hint="default" w:ascii="Times New Roman" w:hAnsi="Times New Roman" w:eastAsia="宋体" w:cs="Times New Roman"/>
                <w:i w:val="0"/>
                <w:iCs w:val="0"/>
                <w:color w:val="auto"/>
                <w:sz w:val="21"/>
                <w:szCs w:val="21"/>
                <w:highlight w:val="none"/>
                <w:u w:val="none"/>
              </w:rPr>
            </w:pPr>
          </w:p>
        </w:tc>
        <w:tc>
          <w:tcPr>
            <w:tcW w:w="11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3EE7B">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17BE4">
            <w:pPr>
              <w:jc w:val="center"/>
              <w:rPr>
                <w:rFonts w:hint="default" w:ascii="Times New Roman" w:hAnsi="Times New Roman" w:eastAsia="宋体" w:cs="Times New Roman"/>
                <w:i w:val="0"/>
                <w:iCs w:val="0"/>
                <w:color w:val="auto"/>
                <w:sz w:val="21"/>
                <w:szCs w:val="21"/>
                <w:highlight w:val="none"/>
                <w:u w:val="none"/>
              </w:rPr>
            </w:pP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1F519">
            <w:pPr>
              <w:jc w:val="center"/>
              <w:rPr>
                <w:rFonts w:hint="default" w:ascii="Times New Roman" w:hAnsi="Times New Roman" w:eastAsia="宋体" w:cs="Times New Roman"/>
                <w:i w:val="0"/>
                <w:iCs w:val="0"/>
                <w:color w:val="auto"/>
                <w:sz w:val="21"/>
                <w:szCs w:val="21"/>
                <w:highlight w:val="none"/>
                <w:u w:val="none"/>
              </w:rPr>
            </w:pPr>
          </w:p>
        </w:tc>
      </w:tr>
      <w:tr w14:paraId="38E2B2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38988">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8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01A59">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汽油</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1C15E">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kg</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4D193">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5.00</w:t>
            </w:r>
          </w:p>
        </w:tc>
        <w:tc>
          <w:tcPr>
            <w:tcW w:w="11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EF9EB">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7.89</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73FBF">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2.89</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805E7">
            <w:pPr>
              <w:jc w:val="center"/>
              <w:rPr>
                <w:rFonts w:hint="default" w:ascii="Times New Roman" w:hAnsi="Times New Roman" w:eastAsia="宋体" w:cs="Times New Roman"/>
                <w:i w:val="0"/>
                <w:iCs w:val="0"/>
                <w:color w:val="auto"/>
                <w:sz w:val="21"/>
                <w:szCs w:val="21"/>
                <w:highlight w:val="none"/>
                <w:u w:val="none"/>
              </w:rPr>
            </w:pPr>
          </w:p>
        </w:tc>
      </w:tr>
    </w:tbl>
    <w:p w14:paraId="6C8BAFCF">
      <w:pPr>
        <w:tabs>
          <w:tab w:val="left" w:pos="2158"/>
        </w:tabs>
        <w:jc w:val="center"/>
        <w:rPr>
          <w:rFonts w:hint="default" w:ascii="Times New Roman" w:hAnsi="Times New Roman" w:cs="Times New Roman"/>
          <w:color w:val="auto"/>
          <w:highlight w:val="none"/>
        </w:rPr>
      </w:pPr>
    </w:p>
    <w:p w14:paraId="198041F7">
      <w:pPr>
        <w:tabs>
          <w:tab w:val="left" w:pos="2158"/>
        </w:tabs>
        <w:rPr>
          <w:rFonts w:hint="default" w:ascii="Times New Roman" w:hAnsi="Times New Roman" w:cs="Times New Roman"/>
          <w:color w:val="auto"/>
          <w:highlight w:val="none"/>
        </w:rPr>
      </w:pPr>
    </w:p>
    <w:p w14:paraId="6AB18019">
      <w:pPr>
        <w:ind w:firstLine="100" w:firstLineChars="50"/>
        <w:rPr>
          <w:rFonts w:hint="default" w:ascii="Times New Roman" w:hAnsi="Times New Roman" w:eastAsia="黑体" w:cs="Times New Roman"/>
          <w:b w:val="0"/>
          <w:bCs w:val="0"/>
          <w:color w:val="auto"/>
          <w:sz w:val="20"/>
          <w:szCs w:val="20"/>
          <w:highlight w:val="none"/>
        </w:rPr>
      </w:pPr>
      <w:r>
        <w:rPr>
          <w:rFonts w:hint="default" w:ascii="Times New Roman" w:hAnsi="Times New Roman" w:eastAsia="黑体" w:cs="Times New Roman"/>
          <w:b w:val="0"/>
          <w:bCs w:val="0"/>
          <w:color w:val="auto"/>
          <w:sz w:val="20"/>
          <w:szCs w:val="20"/>
          <w:highlight w:val="none"/>
        </w:rPr>
        <w:t>表7-8         甲类人工预算单价计算表</w:t>
      </w:r>
      <w:r>
        <w:rPr>
          <w:rFonts w:hint="default" w:ascii="Times New Roman" w:hAnsi="Times New Roman" w:eastAsia="黑体" w:cs="Times New Roman"/>
          <w:b w:val="0"/>
          <w:bCs w:val="0"/>
          <w:color w:val="auto"/>
          <w:sz w:val="20"/>
          <w:szCs w:val="20"/>
          <w:highlight w:val="none"/>
          <w:lang w:eastAsia="zh-CN"/>
        </w:rPr>
        <w:t>（</w:t>
      </w:r>
      <w:r>
        <w:rPr>
          <w:rFonts w:hint="default" w:ascii="Times New Roman" w:hAnsi="Times New Roman" w:eastAsia="黑体" w:cs="Times New Roman"/>
          <w:b w:val="0"/>
          <w:bCs w:val="0"/>
          <w:color w:val="auto"/>
          <w:sz w:val="20"/>
          <w:szCs w:val="20"/>
          <w:highlight w:val="none"/>
        </w:rPr>
        <w:t>九类工资区）       金额单位：元/工日</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2314"/>
        <w:gridCol w:w="3073"/>
        <w:gridCol w:w="1701"/>
      </w:tblGrid>
      <w:tr w14:paraId="50541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blHeader/>
          <w:jc w:val="center"/>
        </w:trPr>
        <w:tc>
          <w:tcPr>
            <w:tcW w:w="1242" w:type="dxa"/>
            <w:shd w:val="clear" w:color="auto" w:fill="FFFFFF"/>
            <w:noWrap w:val="0"/>
            <w:vAlign w:val="center"/>
          </w:tcPr>
          <w:p w14:paraId="176210C0">
            <w:pPr>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地区类别</w:t>
            </w:r>
          </w:p>
        </w:tc>
        <w:tc>
          <w:tcPr>
            <w:tcW w:w="2314" w:type="dxa"/>
            <w:shd w:val="clear" w:color="auto" w:fill="FFFFFF"/>
            <w:noWrap w:val="0"/>
            <w:vAlign w:val="center"/>
          </w:tcPr>
          <w:p w14:paraId="7270C7EF">
            <w:pPr>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六类工资区及以下</w:t>
            </w:r>
          </w:p>
        </w:tc>
        <w:tc>
          <w:tcPr>
            <w:tcW w:w="3073" w:type="dxa"/>
            <w:shd w:val="clear" w:color="auto" w:fill="FFFFFF"/>
            <w:noWrap w:val="0"/>
            <w:vAlign w:val="center"/>
          </w:tcPr>
          <w:p w14:paraId="78B92FB2">
            <w:pPr>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定额人工等级</w:t>
            </w:r>
          </w:p>
        </w:tc>
        <w:tc>
          <w:tcPr>
            <w:tcW w:w="1701" w:type="dxa"/>
            <w:shd w:val="clear" w:color="auto" w:fill="FFFFFF"/>
            <w:noWrap w:val="0"/>
            <w:vAlign w:val="center"/>
          </w:tcPr>
          <w:p w14:paraId="77C63B16">
            <w:pPr>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甲类工</w:t>
            </w:r>
          </w:p>
        </w:tc>
      </w:tr>
      <w:tr w14:paraId="6F91F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242" w:type="dxa"/>
            <w:shd w:val="clear" w:color="auto" w:fill="FFFFFF"/>
            <w:noWrap w:val="0"/>
            <w:vAlign w:val="center"/>
          </w:tcPr>
          <w:p w14:paraId="60DC92D7">
            <w:pPr>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编号</w:t>
            </w:r>
          </w:p>
        </w:tc>
        <w:tc>
          <w:tcPr>
            <w:tcW w:w="2314" w:type="dxa"/>
            <w:shd w:val="clear" w:color="auto" w:fill="FFFFFF"/>
            <w:noWrap w:val="0"/>
            <w:vAlign w:val="center"/>
          </w:tcPr>
          <w:p w14:paraId="48ECF1AB">
            <w:pPr>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名称</w:t>
            </w:r>
          </w:p>
        </w:tc>
        <w:tc>
          <w:tcPr>
            <w:tcW w:w="3073" w:type="dxa"/>
            <w:shd w:val="clear" w:color="auto" w:fill="FFFFFF"/>
            <w:noWrap w:val="0"/>
            <w:vAlign w:val="center"/>
          </w:tcPr>
          <w:p w14:paraId="7DCD29B9">
            <w:pPr>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计算式</w:t>
            </w:r>
          </w:p>
        </w:tc>
        <w:tc>
          <w:tcPr>
            <w:tcW w:w="1701" w:type="dxa"/>
            <w:shd w:val="clear" w:color="auto" w:fill="FFFFFF"/>
            <w:noWrap w:val="0"/>
            <w:vAlign w:val="center"/>
          </w:tcPr>
          <w:p w14:paraId="2240F598">
            <w:pPr>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rPr>
              <w:t>单价</w:t>
            </w: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元</w:t>
            </w:r>
            <w:r>
              <w:rPr>
                <w:rFonts w:hint="default" w:ascii="Times New Roman" w:hAnsi="Times New Roman" w:cs="Times New Roman"/>
                <w:color w:val="auto"/>
                <w:kern w:val="0"/>
                <w:sz w:val="21"/>
                <w:szCs w:val="21"/>
                <w:highlight w:val="none"/>
                <w:lang w:eastAsia="zh-CN"/>
              </w:rPr>
              <w:t>）</w:t>
            </w:r>
          </w:p>
        </w:tc>
      </w:tr>
      <w:tr w14:paraId="1A65E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242" w:type="dxa"/>
            <w:shd w:val="clear" w:color="auto" w:fill="FFFFFF"/>
            <w:noWrap w:val="0"/>
            <w:vAlign w:val="center"/>
          </w:tcPr>
          <w:p w14:paraId="7F9D745C">
            <w:pPr>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w:t>
            </w:r>
          </w:p>
        </w:tc>
        <w:tc>
          <w:tcPr>
            <w:tcW w:w="2314" w:type="dxa"/>
            <w:shd w:val="clear" w:color="auto" w:fill="FFFFFF"/>
            <w:noWrap w:val="0"/>
            <w:vAlign w:val="center"/>
          </w:tcPr>
          <w:p w14:paraId="23CF8300">
            <w:pPr>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基本工资</w:t>
            </w:r>
          </w:p>
        </w:tc>
        <w:tc>
          <w:tcPr>
            <w:tcW w:w="3073" w:type="dxa"/>
            <w:shd w:val="clear" w:color="auto" w:fill="FFFFFF"/>
            <w:noWrap w:val="0"/>
            <w:vAlign w:val="center"/>
          </w:tcPr>
          <w:p w14:paraId="5AA52390">
            <w:pPr>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rPr>
              <w:t>540×1.00×12/</w:t>
            </w: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250-10</w:t>
            </w:r>
            <w:r>
              <w:rPr>
                <w:rFonts w:hint="default" w:ascii="Times New Roman" w:hAnsi="Times New Roman" w:cs="Times New Roman"/>
                <w:color w:val="auto"/>
                <w:kern w:val="0"/>
                <w:sz w:val="21"/>
                <w:szCs w:val="21"/>
                <w:highlight w:val="none"/>
                <w:lang w:eastAsia="zh-CN"/>
              </w:rPr>
              <w:t>）</w:t>
            </w:r>
          </w:p>
        </w:tc>
        <w:tc>
          <w:tcPr>
            <w:tcW w:w="1701" w:type="dxa"/>
            <w:shd w:val="clear" w:color="auto" w:fill="FFFFFF"/>
            <w:noWrap w:val="0"/>
            <w:vAlign w:val="center"/>
          </w:tcPr>
          <w:p w14:paraId="29848A01">
            <w:pPr>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27.00</w:t>
            </w:r>
          </w:p>
        </w:tc>
      </w:tr>
      <w:tr w14:paraId="60726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242" w:type="dxa"/>
            <w:shd w:val="clear" w:color="auto" w:fill="FFFFFF"/>
            <w:noWrap w:val="0"/>
            <w:vAlign w:val="center"/>
          </w:tcPr>
          <w:p w14:paraId="2A58A110">
            <w:pPr>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w:t>
            </w:r>
          </w:p>
        </w:tc>
        <w:tc>
          <w:tcPr>
            <w:tcW w:w="2314" w:type="dxa"/>
            <w:shd w:val="clear" w:color="auto" w:fill="FFFFFF"/>
            <w:noWrap w:val="0"/>
            <w:vAlign w:val="center"/>
          </w:tcPr>
          <w:p w14:paraId="297F3F84">
            <w:pPr>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辅助工资</w:t>
            </w:r>
          </w:p>
        </w:tc>
        <w:tc>
          <w:tcPr>
            <w:tcW w:w="3073" w:type="dxa"/>
            <w:shd w:val="clear" w:color="auto" w:fill="FFFFFF"/>
            <w:noWrap w:val="0"/>
            <w:vAlign w:val="center"/>
          </w:tcPr>
          <w:p w14:paraId="20C35227">
            <w:pPr>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0+5.057+0.8+0.832</w:t>
            </w:r>
          </w:p>
        </w:tc>
        <w:tc>
          <w:tcPr>
            <w:tcW w:w="1701" w:type="dxa"/>
            <w:shd w:val="clear" w:color="auto" w:fill="FFFFFF"/>
            <w:noWrap w:val="0"/>
            <w:vAlign w:val="center"/>
          </w:tcPr>
          <w:p w14:paraId="72AB9F83">
            <w:pPr>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6.69</w:t>
            </w:r>
          </w:p>
        </w:tc>
      </w:tr>
      <w:tr w14:paraId="42D01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242" w:type="dxa"/>
            <w:shd w:val="clear" w:color="auto" w:fill="FFFFFF"/>
            <w:noWrap w:val="0"/>
            <w:vAlign w:val="center"/>
          </w:tcPr>
          <w:p w14:paraId="6403874F">
            <w:pPr>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1</w:t>
            </w:r>
            <w:r>
              <w:rPr>
                <w:rFonts w:hint="default" w:ascii="Times New Roman" w:hAnsi="Times New Roman" w:cs="Times New Roman"/>
                <w:color w:val="auto"/>
                <w:kern w:val="0"/>
                <w:sz w:val="21"/>
                <w:szCs w:val="21"/>
                <w:highlight w:val="none"/>
                <w:lang w:eastAsia="zh-CN"/>
              </w:rPr>
              <w:t>）</w:t>
            </w:r>
          </w:p>
        </w:tc>
        <w:tc>
          <w:tcPr>
            <w:tcW w:w="2314" w:type="dxa"/>
            <w:shd w:val="clear" w:color="auto" w:fill="FFFFFF"/>
            <w:noWrap w:val="0"/>
            <w:vAlign w:val="center"/>
          </w:tcPr>
          <w:p w14:paraId="71C88D97">
            <w:pPr>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地区津贴</w:t>
            </w:r>
          </w:p>
        </w:tc>
        <w:tc>
          <w:tcPr>
            <w:tcW w:w="3073" w:type="dxa"/>
            <w:shd w:val="clear" w:color="auto" w:fill="FFFFFF"/>
            <w:noWrap w:val="0"/>
            <w:vAlign w:val="center"/>
          </w:tcPr>
          <w:p w14:paraId="7BF6A159">
            <w:pPr>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kern w:val="0"/>
                <w:sz w:val="21"/>
                <w:szCs w:val="21"/>
                <w:highlight w:val="none"/>
              </w:rPr>
            </w:pPr>
          </w:p>
        </w:tc>
        <w:tc>
          <w:tcPr>
            <w:tcW w:w="1701" w:type="dxa"/>
            <w:shd w:val="clear" w:color="auto" w:fill="FFFFFF"/>
            <w:noWrap w:val="0"/>
            <w:vAlign w:val="center"/>
          </w:tcPr>
          <w:p w14:paraId="6BB147A6">
            <w:pPr>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kern w:val="0"/>
                <w:sz w:val="21"/>
                <w:szCs w:val="21"/>
                <w:highlight w:val="none"/>
              </w:rPr>
            </w:pPr>
          </w:p>
        </w:tc>
      </w:tr>
      <w:tr w14:paraId="23AC5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242" w:type="dxa"/>
            <w:shd w:val="clear" w:color="auto" w:fill="FFFFFF"/>
            <w:noWrap w:val="0"/>
            <w:vAlign w:val="center"/>
          </w:tcPr>
          <w:p w14:paraId="438655CD">
            <w:pPr>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2</w:t>
            </w:r>
            <w:r>
              <w:rPr>
                <w:rFonts w:hint="default" w:ascii="Times New Roman" w:hAnsi="Times New Roman" w:cs="Times New Roman"/>
                <w:color w:val="auto"/>
                <w:kern w:val="0"/>
                <w:sz w:val="21"/>
                <w:szCs w:val="21"/>
                <w:highlight w:val="none"/>
                <w:lang w:eastAsia="zh-CN"/>
              </w:rPr>
              <w:t>）</w:t>
            </w:r>
          </w:p>
        </w:tc>
        <w:tc>
          <w:tcPr>
            <w:tcW w:w="2314" w:type="dxa"/>
            <w:shd w:val="clear" w:color="auto" w:fill="FFFFFF"/>
            <w:noWrap w:val="0"/>
            <w:vAlign w:val="center"/>
          </w:tcPr>
          <w:p w14:paraId="3384E43B">
            <w:pPr>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施工津贴</w:t>
            </w:r>
          </w:p>
        </w:tc>
        <w:tc>
          <w:tcPr>
            <w:tcW w:w="3073" w:type="dxa"/>
            <w:shd w:val="clear" w:color="auto" w:fill="FFFFFF"/>
            <w:noWrap w:val="0"/>
            <w:vAlign w:val="center"/>
          </w:tcPr>
          <w:p w14:paraId="7235D90D">
            <w:pPr>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rPr>
              <w:t>3.5×365×0.95/</w:t>
            </w: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250-10</w:t>
            </w:r>
            <w:r>
              <w:rPr>
                <w:rFonts w:hint="default" w:ascii="Times New Roman" w:hAnsi="Times New Roman" w:cs="Times New Roman"/>
                <w:color w:val="auto"/>
                <w:kern w:val="0"/>
                <w:sz w:val="21"/>
                <w:szCs w:val="21"/>
                <w:highlight w:val="none"/>
                <w:lang w:eastAsia="zh-CN"/>
              </w:rPr>
              <w:t>）</w:t>
            </w:r>
          </w:p>
        </w:tc>
        <w:tc>
          <w:tcPr>
            <w:tcW w:w="1701" w:type="dxa"/>
            <w:shd w:val="clear" w:color="auto" w:fill="FFFFFF"/>
            <w:noWrap w:val="0"/>
            <w:vAlign w:val="center"/>
          </w:tcPr>
          <w:p w14:paraId="743C6999">
            <w:pPr>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5.06</w:t>
            </w:r>
          </w:p>
        </w:tc>
      </w:tr>
      <w:tr w14:paraId="022C7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242" w:type="dxa"/>
            <w:shd w:val="clear" w:color="auto" w:fill="FFFFFF"/>
            <w:noWrap w:val="0"/>
            <w:vAlign w:val="center"/>
          </w:tcPr>
          <w:p w14:paraId="36AC36AE">
            <w:pPr>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3</w:t>
            </w:r>
            <w:r>
              <w:rPr>
                <w:rFonts w:hint="default" w:ascii="Times New Roman" w:hAnsi="Times New Roman" w:cs="Times New Roman"/>
                <w:color w:val="auto"/>
                <w:kern w:val="0"/>
                <w:sz w:val="21"/>
                <w:szCs w:val="21"/>
                <w:highlight w:val="none"/>
                <w:lang w:eastAsia="zh-CN"/>
              </w:rPr>
              <w:t>）</w:t>
            </w:r>
          </w:p>
        </w:tc>
        <w:tc>
          <w:tcPr>
            <w:tcW w:w="2314" w:type="dxa"/>
            <w:shd w:val="clear" w:color="auto" w:fill="FFFFFF"/>
            <w:noWrap w:val="0"/>
            <w:vAlign w:val="center"/>
          </w:tcPr>
          <w:p w14:paraId="7B1DD6EC">
            <w:pPr>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夜餐津贴</w:t>
            </w:r>
          </w:p>
        </w:tc>
        <w:tc>
          <w:tcPr>
            <w:tcW w:w="3073" w:type="dxa"/>
            <w:shd w:val="clear" w:color="auto" w:fill="FFFFFF"/>
            <w:noWrap w:val="0"/>
            <w:vAlign w:val="center"/>
          </w:tcPr>
          <w:p w14:paraId="224EEB0D">
            <w:pPr>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4.5+3.5</w:t>
            </w: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/2×0.2</w:t>
            </w:r>
          </w:p>
        </w:tc>
        <w:tc>
          <w:tcPr>
            <w:tcW w:w="1701" w:type="dxa"/>
            <w:shd w:val="clear" w:color="auto" w:fill="FFFFFF"/>
            <w:noWrap w:val="0"/>
            <w:vAlign w:val="center"/>
          </w:tcPr>
          <w:p w14:paraId="031ED543">
            <w:pPr>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0.80</w:t>
            </w:r>
          </w:p>
        </w:tc>
      </w:tr>
      <w:tr w14:paraId="01435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242" w:type="dxa"/>
            <w:shd w:val="clear" w:color="auto" w:fill="FFFFFF"/>
            <w:noWrap w:val="0"/>
            <w:vAlign w:val="center"/>
          </w:tcPr>
          <w:p w14:paraId="61D002A5">
            <w:pPr>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4</w:t>
            </w:r>
            <w:r>
              <w:rPr>
                <w:rFonts w:hint="default" w:ascii="Times New Roman" w:hAnsi="Times New Roman" w:cs="Times New Roman"/>
                <w:color w:val="auto"/>
                <w:kern w:val="0"/>
                <w:sz w:val="21"/>
                <w:szCs w:val="21"/>
                <w:highlight w:val="none"/>
                <w:lang w:eastAsia="zh-CN"/>
              </w:rPr>
              <w:t>）</w:t>
            </w:r>
          </w:p>
        </w:tc>
        <w:tc>
          <w:tcPr>
            <w:tcW w:w="2314" w:type="dxa"/>
            <w:shd w:val="clear" w:color="auto" w:fill="FFFFFF"/>
            <w:noWrap w:val="0"/>
            <w:vAlign w:val="center"/>
          </w:tcPr>
          <w:p w14:paraId="27125ADA">
            <w:pPr>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节日加班津贴</w:t>
            </w:r>
          </w:p>
        </w:tc>
        <w:tc>
          <w:tcPr>
            <w:tcW w:w="3073" w:type="dxa"/>
            <w:shd w:val="clear" w:color="auto" w:fill="FFFFFF"/>
            <w:noWrap w:val="0"/>
            <w:vAlign w:val="center"/>
          </w:tcPr>
          <w:p w14:paraId="5ED1AE14">
            <w:pPr>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27×</w:t>
            </w: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3-1</w:t>
            </w: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×11/250×0.35</w:t>
            </w:r>
          </w:p>
        </w:tc>
        <w:tc>
          <w:tcPr>
            <w:tcW w:w="1701" w:type="dxa"/>
            <w:shd w:val="clear" w:color="auto" w:fill="FFFFFF"/>
            <w:noWrap w:val="0"/>
            <w:vAlign w:val="center"/>
          </w:tcPr>
          <w:p w14:paraId="55C11D2E">
            <w:pPr>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0.83</w:t>
            </w:r>
          </w:p>
        </w:tc>
      </w:tr>
      <w:tr w14:paraId="3D176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242" w:type="dxa"/>
            <w:shd w:val="clear" w:color="auto" w:fill="FFFFFF"/>
            <w:noWrap w:val="0"/>
            <w:vAlign w:val="center"/>
          </w:tcPr>
          <w:p w14:paraId="0228B8D2">
            <w:pPr>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3</w:t>
            </w:r>
          </w:p>
        </w:tc>
        <w:tc>
          <w:tcPr>
            <w:tcW w:w="2314" w:type="dxa"/>
            <w:shd w:val="clear" w:color="auto" w:fill="FFFFFF"/>
            <w:noWrap w:val="0"/>
            <w:vAlign w:val="center"/>
          </w:tcPr>
          <w:p w14:paraId="108980B4">
            <w:pPr>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工资附加费</w:t>
            </w:r>
          </w:p>
        </w:tc>
        <w:tc>
          <w:tcPr>
            <w:tcW w:w="3073" w:type="dxa"/>
            <w:shd w:val="clear" w:color="auto" w:fill="FFFFFF"/>
            <w:noWrap w:val="0"/>
            <w:vAlign w:val="center"/>
          </w:tcPr>
          <w:p w14:paraId="237F8942">
            <w:pPr>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4.716+0.674+6.738+1.348+0.505+0.674+2.695</w:t>
            </w:r>
          </w:p>
        </w:tc>
        <w:tc>
          <w:tcPr>
            <w:tcW w:w="1701" w:type="dxa"/>
            <w:shd w:val="clear" w:color="auto" w:fill="FFFFFF"/>
            <w:noWrap w:val="0"/>
            <w:vAlign w:val="center"/>
          </w:tcPr>
          <w:p w14:paraId="6AAA889D">
            <w:pPr>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17.35</w:t>
            </w:r>
          </w:p>
        </w:tc>
      </w:tr>
      <w:tr w14:paraId="40163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242" w:type="dxa"/>
            <w:shd w:val="clear" w:color="auto" w:fill="FFFFFF"/>
            <w:noWrap w:val="0"/>
            <w:vAlign w:val="center"/>
          </w:tcPr>
          <w:p w14:paraId="27C4FD98">
            <w:pPr>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1</w:t>
            </w:r>
            <w:r>
              <w:rPr>
                <w:rFonts w:hint="default" w:ascii="Times New Roman" w:hAnsi="Times New Roman" w:cs="Times New Roman"/>
                <w:color w:val="auto"/>
                <w:kern w:val="0"/>
                <w:sz w:val="21"/>
                <w:szCs w:val="21"/>
                <w:highlight w:val="none"/>
                <w:lang w:eastAsia="zh-CN"/>
              </w:rPr>
              <w:t>）</w:t>
            </w:r>
          </w:p>
        </w:tc>
        <w:tc>
          <w:tcPr>
            <w:tcW w:w="2314" w:type="dxa"/>
            <w:shd w:val="clear" w:color="auto" w:fill="FFFFFF"/>
            <w:noWrap w:val="0"/>
            <w:vAlign w:val="center"/>
          </w:tcPr>
          <w:p w14:paraId="5FD51324">
            <w:pPr>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职工福利基金</w:t>
            </w:r>
          </w:p>
        </w:tc>
        <w:tc>
          <w:tcPr>
            <w:tcW w:w="3073" w:type="dxa"/>
            <w:shd w:val="clear" w:color="auto" w:fill="FFFFFF"/>
            <w:noWrap w:val="0"/>
            <w:vAlign w:val="center"/>
          </w:tcPr>
          <w:p w14:paraId="0AC1C16C">
            <w:pPr>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27+6.689</w:t>
            </w: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×14%</w:t>
            </w:r>
          </w:p>
        </w:tc>
        <w:tc>
          <w:tcPr>
            <w:tcW w:w="1701" w:type="dxa"/>
            <w:shd w:val="clear" w:color="auto" w:fill="FFFFFF"/>
            <w:noWrap w:val="0"/>
            <w:vAlign w:val="center"/>
          </w:tcPr>
          <w:p w14:paraId="6959202D">
            <w:pPr>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4.72</w:t>
            </w:r>
          </w:p>
        </w:tc>
      </w:tr>
      <w:tr w14:paraId="31989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242" w:type="dxa"/>
            <w:shd w:val="clear" w:color="auto" w:fill="FFFFFF"/>
            <w:noWrap w:val="0"/>
            <w:vAlign w:val="center"/>
          </w:tcPr>
          <w:p w14:paraId="78AAFB30">
            <w:pPr>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2</w:t>
            </w:r>
            <w:r>
              <w:rPr>
                <w:rFonts w:hint="default" w:ascii="Times New Roman" w:hAnsi="Times New Roman" w:cs="Times New Roman"/>
                <w:color w:val="auto"/>
                <w:kern w:val="0"/>
                <w:sz w:val="21"/>
                <w:szCs w:val="21"/>
                <w:highlight w:val="none"/>
                <w:lang w:eastAsia="zh-CN"/>
              </w:rPr>
              <w:t>）</w:t>
            </w:r>
          </w:p>
        </w:tc>
        <w:tc>
          <w:tcPr>
            <w:tcW w:w="2314" w:type="dxa"/>
            <w:shd w:val="clear" w:color="auto" w:fill="FFFFFF"/>
            <w:noWrap w:val="0"/>
            <w:vAlign w:val="center"/>
          </w:tcPr>
          <w:p w14:paraId="3ABA49CB">
            <w:pPr>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工会经费</w:t>
            </w:r>
          </w:p>
        </w:tc>
        <w:tc>
          <w:tcPr>
            <w:tcW w:w="3073" w:type="dxa"/>
            <w:shd w:val="clear" w:color="auto" w:fill="FFFFFF"/>
            <w:noWrap w:val="0"/>
            <w:vAlign w:val="center"/>
          </w:tcPr>
          <w:p w14:paraId="527ACD12">
            <w:pPr>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27+6.689</w:t>
            </w: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×2%</w:t>
            </w:r>
          </w:p>
        </w:tc>
        <w:tc>
          <w:tcPr>
            <w:tcW w:w="1701" w:type="dxa"/>
            <w:shd w:val="clear" w:color="auto" w:fill="FFFFFF"/>
            <w:noWrap w:val="0"/>
            <w:vAlign w:val="center"/>
          </w:tcPr>
          <w:p w14:paraId="2EE3FDE9">
            <w:pPr>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0.67</w:t>
            </w:r>
          </w:p>
        </w:tc>
      </w:tr>
      <w:tr w14:paraId="36012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242" w:type="dxa"/>
            <w:shd w:val="clear" w:color="auto" w:fill="FFFFFF"/>
            <w:noWrap w:val="0"/>
            <w:vAlign w:val="center"/>
          </w:tcPr>
          <w:p w14:paraId="0D23BA1E">
            <w:pPr>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3</w:t>
            </w:r>
            <w:r>
              <w:rPr>
                <w:rFonts w:hint="default" w:ascii="Times New Roman" w:hAnsi="Times New Roman" w:cs="Times New Roman"/>
                <w:color w:val="auto"/>
                <w:kern w:val="0"/>
                <w:sz w:val="21"/>
                <w:szCs w:val="21"/>
                <w:highlight w:val="none"/>
                <w:lang w:eastAsia="zh-CN"/>
              </w:rPr>
              <w:t>）</w:t>
            </w:r>
          </w:p>
        </w:tc>
        <w:tc>
          <w:tcPr>
            <w:tcW w:w="2314" w:type="dxa"/>
            <w:shd w:val="clear" w:color="auto" w:fill="FFFFFF"/>
            <w:noWrap w:val="0"/>
            <w:vAlign w:val="center"/>
          </w:tcPr>
          <w:p w14:paraId="13BB5F81">
            <w:pPr>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养老保险</w:t>
            </w:r>
          </w:p>
        </w:tc>
        <w:tc>
          <w:tcPr>
            <w:tcW w:w="3073" w:type="dxa"/>
            <w:shd w:val="clear" w:color="auto" w:fill="FFFFFF"/>
            <w:noWrap w:val="0"/>
            <w:vAlign w:val="center"/>
          </w:tcPr>
          <w:p w14:paraId="67F8A0FF">
            <w:pPr>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27+6.689</w:t>
            </w: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×20%</w:t>
            </w:r>
          </w:p>
        </w:tc>
        <w:tc>
          <w:tcPr>
            <w:tcW w:w="1701" w:type="dxa"/>
            <w:shd w:val="clear" w:color="auto" w:fill="FFFFFF"/>
            <w:noWrap w:val="0"/>
            <w:vAlign w:val="center"/>
          </w:tcPr>
          <w:p w14:paraId="05650AD5">
            <w:pPr>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6.74</w:t>
            </w:r>
          </w:p>
        </w:tc>
      </w:tr>
      <w:tr w14:paraId="4CE37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242" w:type="dxa"/>
            <w:shd w:val="clear" w:color="auto" w:fill="FFFFFF"/>
            <w:noWrap w:val="0"/>
            <w:vAlign w:val="center"/>
          </w:tcPr>
          <w:p w14:paraId="56045113">
            <w:pPr>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4</w:t>
            </w:r>
            <w:r>
              <w:rPr>
                <w:rFonts w:hint="default" w:ascii="Times New Roman" w:hAnsi="Times New Roman" w:cs="Times New Roman"/>
                <w:color w:val="auto"/>
                <w:kern w:val="0"/>
                <w:sz w:val="21"/>
                <w:szCs w:val="21"/>
                <w:highlight w:val="none"/>
                <w:lang w:eastAsia="zh-CN"/>
              </w:rPr>
              <w:t>）</w:t>
            </w:r>
          </w:p>
        </w:tc>
        <w:tc>
          <w:tcPr>
            <w:tcW w:w="2314" w:type="dxa"/>
            <w:shd w:val="clear" w:color="auto" w:fill="FFFFFF"/>
            <w:noWrap w:val="0"/>
            <w:vAlign w:val="center"/>
          </w:tcPr>
          <w:p w14:paraId="1837E33F">
            <w:pPr>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医疗保险</w:t>
            </w:r>
          </w:p>
        </w:tc>
        <w:tc>
          <w:tcPr>
            <w:tcW w:w="3073" w:type="dxa"/>
            <w:shd w:val="clear" w:color="auto" w:fill="FFFFFF"/>
            <w:noWrap w:val="0"/>
            <w:vAlign w:val="center"/>
          </w:tcPr>
          <w:p w14:paraId="148E2DC5">
            <w:pPr>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27+6.689</w:t>
            </w: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×4%</w:t>
            </w:r>
          </w:p>
        </w:tc>
        <w:tc>
          <w:tcPr>
            <w:tcW w:w="1701" w:type="dxa"/>
            <w:shd w:val="clear" w:color="auto" w:fill="FFFFFF"/>
            <w:noWrap w:val="0"/>
            <w:vAlign w:val="center"/>
          </w:tcPr>
          <w:p w14:paraId="55333443">
            <w:pPr>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1.35</w:t>
            </w:r>
          </w:p>
        </w:tc>
      </w:tr>
      <w:tr w14:paraId="37F59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242" w:type="dxa"/>
            <w:shd w:val="clear" w:color="auto" w:fill="FFFFFF"/>
            <w:noWrap w:val="0"/>
            <w:vAlign w:val="center"/>
          </w:tcPr>
          <w:p w14:paraId="738FD6A5">
            <w:pPr>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5</w:t>
            </w:r>
            <w:r>
              <w:rPr>
                <w:rFonts w:hint="default" w:ascii="Times New Roman" w:hAnsi="Times New Roman" w:cs="Times New Roman"/>
                <w:color w:val="auto"/>
                <w:kern w:val="0"/>
                <w:sz w:val="21"/>
                <w:szCs w:val="21"/>
                <w:highlight w:val="none"/>
                <w:lang w:eastAsia="zh-CN"/>
              </w:rPr>
              <w:t>）</w:t>
            </w:r>
          </w:p>
        </w:tc>
        <w:tc>
          <w:tcPr>
            <w:tcW w:w="2314" w:type="dxa"/>
            <w:shd w:val="clear" w:color="auto" w:fill="FFFFFF"/>
            <w:noWrap w:val="0"/>
            <w:vAlign w:val="center"/>
          </w:tcPr>
          <w:p w14:paraId="2616F4DA">
            <w:pPr>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工伤保险费</w:t>
            </w:r>
          </w:p>
        </w:tc>
        <w:tc>
          <w:tcPr>
            <w:tcW w:w="3073" w:type="dxa"/>
            <w:shd w:val="clear" w:color="auto" w:fill="FFFFFF"/>
            <w:noWrap w:val="0"/>
            <w:vAlign w:val="center"/>
          </w:tcPr>
          <w:p w14:paraId="06CA36B9">
            <w:pPr>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27+6.689</w:t>
            </w: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×1.5%</w:t>
            </w:r>
          </w:p>
        </w:tc>
        <w:tc>
          <w:tcPr>
            <w:tcW w:w="1701" w:type="dxa"/>
            <w:shd w:val="clear" w:color="auto" w:fill="FFFFFF"/>
            <w:noWrap w:val="0"/>
            <w:vAlign w:val="center"/>
          </w:tcPr>
          <w:p w14:paraId="6A8A46C8">
            <w:pPr>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0.51</w:t>
            </w:r>
          </w:p>
        </w:tc>
      </w:tr>
      <w:tr w14:paraId="3CE81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242" w:type="dxa"/>
            <w:shd w:val="clear" w:color="auto" w:fill="FFFFFF"/>
            <w:noWrap w:val="0"/>
            <w:vAlign w:val="center"/>
          </w:tcPr>
          <w:p w14:paraId="76CA64F9">
            <w:pPr>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6</w:t>
            </w:r>
            <w:r>
              <w:rPr>
                <w:rFonts w:hint="default" w:ascii="Times New Roman" w:hAnsi="Times New Roman" w:cs="Times New Roman"/>
                <w:color w:val="auto"/>
                <w:kern w:val="0"/>
                <w:sz w:val="21"/>
                <w:szCs w:val="21"/>
                <w:highlight w:val="none"/>
                <w:lang w:eastAsia="zh-CN"/>
              </w:rPr>
              <w:t>）</w:t>
            </w:r>
          </w:p>
        </w:tc>
        <w:tc>
          <w:tcPr>
            <w:tcW w:w="2314" w:type="dxa"/>
            <w:shd w:val="clear" w:color="auto" w:fill="FFFFFF"/>
            <w:noWrap w:val="0"/>
            <w:vAlign w:val="center"/>
          </w:tcPr>
          <w:p w14:paraId="113E29F6">
            <w:pPr>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职工失业保险基金</w:t>
            </w:r>
          </w:p>
        </w:tc>
        <w:tc>
          <w:tcPr>
            <w:tcW w:w="3073" w:type="dxa"/>
            <w:shd w:val="clear" w:color="auto" w:fill="FFFFFF"/>
            <w:noWrap w:val="0"/>
            <w:vAlign w:val="center"/>
          </w:tcPr>
          <w:p w14:paraId="6E5AA96A">
            <w:pPr>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27+6.689</w:t>
            </w: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×2%</w:t>
            </w:r>
          </w:p>
        </w:tc>
        <w:tc>
          <w:tcPr>
            <w:tcW w:w="1701" w:type="dxa"/>
            <w:shd w:val="clear" w:color="auto" w:fill="FFFFFF"/>
            <w:noWrap w:val="0"/>
            <w:vAlign w:val="center"/>
          </w:tcPr>
          <w:p w14:paraId="649EEF77">
            <w:pPr>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0.67</w:t>
            </w:r>
          </w:p>
        </w:tc>
      </w:tr>
      <w:tr w14:paraId="2536A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242" w:type="dxa"/>
            <w:shd w:val="clear" w:color="auto" w:fill="FFFFFF"/>
            <w:noWrap w:val="0"/>
            <w:vAlign w:val="center"/>
          </w:tcPr>
          <w:p w14:paraId="04CE41B5">
            <w:pPr>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7</w:t>
            </w:r>
            <w:r>
              <w:rPr>
                <w:rFonts w:hint="default" w:ascii="Times New Roman" w:hAnsi="Times New Roman" w:cs="Times New Roman"/>
                <w:color w:val="auto"/>
                <w:kern w:val="0"/>
                <w:sz w:val="21"/>
                <w:szCs w:val="21"/>
                <w:highlight w:val="none"/>
                <w:lang w:eastAsia="zh-CN"/>
              </w:rPr>
              <w:t>）</w:t>
            </w:r>
          </w:p>
        </w:tc>
        <w:tc>
          <w:tcPr>
            <w:tcW w:w="2314" w:type="dxa"/>
            <w:shd w:val="clear" w:color="auto" w:fill="FFFFFF"/>
            <w:noWrap w:val="0"/>
            <w:vAlign w:val="center"/>
          </w:tcPr>
          <w:p w14:paraId="26011F60">
            <w:pPr>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住房公积金</w:t>
            </w:r>
          </w:p>
        </w:tc>
        <w:tc>
          <w:tcPr>
            <w:tcW w:w="3073" w:type="dxa"/>
            <w:shd w:val="clear" w:color="auto" w:fill="FFFFFF"/>
            <w:noWrap w:val="0"/>
            <w:vAlign w:val="center"/>
          </w:tcPr>
          <w:p w14:paraId="331CE573">
            <w:pPr>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27+6.689</w:t>
            </w: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×8%</w:t>
            </w:r>
          </w:p>
        </w:tc>
        <w:tc>
          <w:tcPr>
            <w:tcW w:w="1701" w:type="dxa"/>
            <w:shd w:val="clear" w:color="auto" w:fill="FFFFFF"/>
            <w:noWrap w:val="0"/>
            <w:vAlign w:val="center"/>
          </w:tcPr>
          <w:p w14:paraId="74D08AA4">
            <w:pPr>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2.69</w:t>
            </w:r>
          </w:p>
        </w:tc>
      </w:tr>
      <w:tr w14:paraId="49C27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242" w:type="dxa"/>
            <w:shd w:val="clear" w:color="auto" w:fill="FFFFFF"/>
            <w:noWrap w:val="0"/>
            <w:vAlign w:val="center"/>
          </w:tcPr>
          <w:p w14:paraId="19A57E08">
            <w:pPr>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4</w:t>
            </w:r>
          </w:p>
        </w:tc>
        <w:tc>
          <w:tcPr>
            <w:tcW w:w="2314" w:type="dxa"/>
            <w:shd w:val="clear" w:color="auto" w:fill="FFFFFF"/>
            <w:noWrap w:val="0"/>
            <w:vAlign w:val="center"/>
          </w:tcPr>
          <w:p w14:paraId="3A848FF2">
            <w:pPr>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人工工日预算单价</w:t>
            </w:r>
          </w:p>
        </w:tc>
        <w:tc>
          <w:tcPr>
            <w:tcW w:w="3073" w:type="dxa"/>
            <w:shd w:val="clear" w:color="auto" w:fill="FFFFFF"/>
            <w:noWrap w:val="0"/>
            <w:vAlign w:val="center"/>
          </w:tcPr>
          <w:p w14:paraId="08926045">
            <w:pPr>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27+6.689+17.35</w:t>
            </w:r>
          </w:p>
        </w:tc>
        <w:tc>
          <w:tcPr>
            <w:tcW w:w="1701" w:type="dxa"/>
            <w:shd w:val="clear" w:color="auto" w:fill="FFFFFF"/>
            <w:noWrap w:val="0"/>
            <w:vAlign w:val="center"/>
          </w:tcPr>
          <w:p w14:paraId="58BEA4CB">
            <w:pPr>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51.04</w:t>
            </w:r>
          </w:p>
        </w:tc>
      </w:tr>
    </w:tbl>
    <w:p w14:paraId="33AB6BBC">
      <w:pPr>
        <w:rPr>
          <w:rFonts w:hint="default" w:ascii="Times New Roman" w:hAnsi="Times New Roman" w:cs="Times New Roman"/>
          <w:b/>
          <w:bCs/>
          <w:color w:val="auto"/>
          <w:sz w:val="20"/>
          <w:szCs w:val="20"/>
          <w:highlight w:val="none"/>
        </w:rPr>
      </w:pPr>
    </w:p>
    <w:p w14:paraId="713363DF">
      <w:pPr>
        <w:pStyle w:val="28"/>
        <w:rPr>
          <w:rFonts w:hint="default" w:ascii="Times New Roman" w:hAnsi="Times New Roman" w:cs="Times New Roman"/>
          <w:b/>
          <w:bCs/>
          <w:color w:val="auto"/>
          <w:sz w:val="20"/>
          <w:szCs w:val="20"/>
          <w:highlight w:val="none"/>
        </w:rPr>
      </w:pPr>
    </w:p>
    <w:p w14:paraId="3C10EA55">
      <w:pPr>
        <w:rPr>
          <w:rFonts w:hint="default" w:ascii="Times New Roman" w:hAnsi="Times New Roman" w:cs="Times New Roman"/>
          <w:b/>
          <w:bCs/>
          <w:color w:val="auto"/>
          <w:sz w:val="20"/>
          <w:szCs w:val="20"/>
          <w:highlight w:val="none"/>
        </w:rPr>
      </w:pPr>
    </w:p>
    <w:p w14:paraId="097E4BBA">
      <w:pPr>
        <w:pStyle w:val="28"/>
        <w:rPr>
          <w:rFonts w:hint="default" w:ascii="Times New Roman" w:hAnsi="Times New Roman" w:cs="Times New Roman"/>
          <w:color w:val="auto"/>
          <w:highlight w:val="none"/>
        </w:rPr>
      </w:pPr>
    </w:p>
    <w:p w14:paraId="642A9FF3">
      <w:pPr>
        <w:ind w:firstLine="105" w:firstLineChars="50"/>
        <w:rPr>
          <w:rFonts w:hint="default" w:ascii="Times New Roman" w:hAnsi="Times New Roman" w:cs="Times New Roman"/>
          <w:b/>
          <w:bCs/>
          <w:color w:val="auto"/>
          <w:sz w:val="20"/>
          <w:szCs w:val="20"/>
          <w:highlight w:val="none"/>
        </w:rPr>
      </w:pPr>
      <w:bookmarkStart w:id="291" w:name="_Hlk76475990"/>
      <w:r>
        <w:rPr>
          <w:rFonts w:hint="default" w:ascii="Times New Roman" w:hAnsi="Times New Roman" w:eastAsia="黑体" w:cs="Times New Roman"/>
          <w:b w:val="0"/>
          <w:bCs/>
          <w:color w:val="auto"/>
          <w:kern w:val="2"/>
          <w:sz w:val="21"/>
          <w:szCs w:val="21"/>
          <w:highlight w:val="none"/>
          <w:lang w:val="en-US" w:eastAsia="zh-CN" w:bidi="ar-SA"/>
        </w:rPr>
        <w:t xml:space="preserve">表7-9          乙类人工预算单价计算表（九类工资区）  </w:t>
      </w:r>
      <w:r>
        <w:rPr>
          <w:rFonts w:hint="default" w:ascii="Times New Roman" w:hAnsi="Times New Roman" w:cs="Times New Roman"/>
          <w:b w:val="0"/>
          <w:bCs w:val="0"/>
          <w:color w:val="auto"/>
          <w:sz w:val="20"/>
          <w:szCs w:val="20"/>
          <w:highlight w:val="none"/>
        </w:rPr>
        <w:t xml:space="preserve">     金额单位：元/工日</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1809"/>
        <w:gridCol w:w="4391"/>
        <w:gridCol w:w="996"/>
      </w:tblGrid>
      <w:tr w14:paraId="6E3FD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34" w:type="dxa"/>
            <w:shd w:val="clear" w:color="auto" w:fill="FFFFFF"/>
            <w:noWrap w:val="0"/>
            <w:vAlign w:val="center"/>
          </w:tcPr>
          <w:p w14:paraId="20ED6E20">
            <w:pPr>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地区</w:t>
            </w:r>
          </w:p>
          <w:p w14:paraId="43044503">
            <w:pPr>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类别</w:t>
            </w:r>
          </w:p>
        </w:tc>
        <w:tc>
          <w:tcPr>
            <w:tcW w:w="1809" w:type="dxa"/>
            <w:shd w:val="clear" w:color="auto" w:fill="FFFFFF"/>
            <w:noWrap w:val="0"/>
            <w:vAlign w:val="center"/>
          </w:tcPr>
          <w:p w14:paraId="25DEFCE0">
            <w:pPr>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六类工资区及以下</w:t>
            </w:r>
          </w:p>
        </w:tc>
        <w:tc>
          <w:tcPr>
            <w:tcW w:w="4391" w:type="dxa"/>
            <w:shd w:val="clear" w:color="auto" w:fill="FFFFFF"/>
            <w:noWrap w:val="0"/>
            <w:vAlign w:val="center"/>
          </w:tcPr>
          <w:p w14:paraId="29076785">
            <w:pPr>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定额人工等级</w:t>
            </w:r>
          </w:p>
        </w:tc>
        <w:tc>
          <w:tcPr>
            <w:tcW w:w="996" w:type="dxa"/>
            <w:shd w:val="clear" w:color="auto" w:fill="FFFFFF"/>
            <w:noWrap w:val="0"/>
            <w:vAlign w:val="center"/>
          </w:tcPr>
          <w:p w14:paraId="4C59A47A">
            <w:pPr>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乙类工</w:t>
            </w:r>
          </w:p>
        </w:tc>
      </w:tr>
      <w:tr w14:paraId="6F448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34" w:type="dxa"/>
            <w:shd w:val="clear" w:color="auto" w:fill="FFFFFF"/>
            <w:noWrap w:val="0"/>
            <w:vAlign w:val="center"/>
          </w:tcPr>
          <w:p w14:paraId="7781A5D6">
            <w:pPr>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编号</w:t>
            </w:r>
          </w:p>
        </w:tc>
        <w:tc>
          <w:tcPr>
            <w:tcW w:w="1809" w:type="dxa"/>
            <w:shd w:val="clear" w:color="auto" w:fill="FFFFFF"/>
            <w:noWrap w:val="0"/>
            <w:vAlign w:val="center"/>
          </w:tcPr>
          <w:p w14:paraId="48C9DA6A">
            <w:pPr>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名称</w:t>
            </w:r>
          </w:p>
        </w:tc>
        <w:tc>
          <w:tcPr>
            <w:tcW w:w="4391" w:type="dxa"/>
            <w:shd w:val="clear" w:color="auto" w:fill="FFFFFF"/>
            <w:noWrap w:val="0"/>
            <w:vAlign w:val="center"/>
          </w:tcPr>
          <w:p w14:paraId="43F9BE43">
            <w:pPr>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计算式</w:t>
            </w:r>
          </w:p>
        </w:tc>
        <w:tc>
          <w:tcPr>
            <w:tcW w:w="996" w:type="dxa"/>
            <w:shd w:val="clear" w:color="auto" w:fill="FFFFFF"/>
            <w:noWrap w:val="0"/>
            <w:vAlign w:val="center"/>
          </w:tcPr>
          <w:p w14:paraId="05E816F4">
            <w:pPr>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rPr>
              <w:t>单价</w:t>
            </w: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元</w:t>
            </w:r>
            <w:r>
              <w:rPr>
                <w:rFonts w:hint="default" w:ascii="Times New Roman" w:hAnsi="Times New Roman" w:cs="Times New Roman"/>
                <w:color w:val="auto"/>
                <w:kern w:val="0"/>
                <w:sz w:val="21"/>
                <w:szCs w:val="21"/>
                <w:highlight w:val="none"/>
                <w:lang w:eastAsia="zh-CN"/>
              </w:rPr>
              <w:t>）</w:t>
            </w:r>
          </w:p>
        </w:tc>
      </w:tr>
      <w:tr w14:paraId="6DF95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34" w:type="dxa"/>
            <w:shd w:val="clear" w:color="auto" w:fill="FFFFFF"/>
            <w:noWrap w:val="0"/>
            <w:vAlign w:val="center"/>
          </w:tcPr>
          <w:p w14:paraId="232BA1B7">
            <w:pPr>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w:t>
            </w:r>
          </w:p>
        </w:tc>
        <w:tc>
          <w:tcPr>
            <w:tcW w:w="1809" w:type="dxa"/>
            <w:shd w:val="clear" w:color="auto" w:fill="FFFFFF"/>
            <w:noWrap w:val="0"/>
            <w:vAlign w:val="center"/>
          </w:tcPr>
          <w:p w14:paraId="300C39DD">
            <w:pPr>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基本工资</w:t>
            </w:r>
          </w:p>
        </w:tc>
        <w:tc>
          <w:tcPr>
            <w:tcW w:w="4391" w:type="dxa"/>
            <w:shd w:val="clear" w:color="auto" w:fill="FFFFFF"/>
            <w:noWrap w:val="0"/>
            <w:vAlign w:val="center"/>
          </w:tcPr>
          <w:p w14:paraId="16B3C058">
            <w:pPr>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rPr>
              <w:t>445×1.00×12/</w:t>
            </w: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250-10</w:t>
            </w:r>
            <w:r>
              <w:rPr>
                <w:rFonts w:hint="default" w:ascii="Times New Roman" w:hAnsi="Times New Roman" w:cs="Times New Roman"/>
                <w:color w:val="auto"/>
                <w:kern w:val="0"/>
                <w:sz w:val="21"/>
                <w:szCs w:val="21"/>
                <w:highlight w:val="none"/>
                <w:lang w:eastAsia="zh-CN"/>
              </w:rPr>
              <w:t>）</w:t>
            </w:r>
          </w:p>
        </w:tc>
        <w:tc>
          <w:tcPr>
            <w:tcW w:w="996" w:type="dxa"/>
            <w:shd w:val="clear" w:color="auto" w:fill="FFFFFF"/>
            <w:noWrap w:val="0"/>
            <w:vAlign w:val="center"/>
          </w:tcPr>
          <w:p w14:paraId="74B17ECB">
            <w:pPr>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22.25</w:t>
            </w:r>
          </w:p>
        </w:tc>
      </w:tr>
      <w:tr w14:paraId="7D838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34" w:type="dxa"/>
            <w:shd w:val="clear" w:color="auto" w:fill="FFFFFF"/>
            <w:noWrap w:val="0"/>
            <w:vAlign w:val="center"/>
          </w:tcPr>
          <w:p w14:paraId="1BC9FEDD">
            <w:pPr>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w:t>
            </w:r>
          </w:p>
        </w:tc>
        <w:tc>
          <w:tcPr>
            <w:tcW w:w="1809" w:type="dxa"/>
            <w:shd w:val="clear" w:color="auto" w:fill="FFFFFF"/>
            <w:noWrap w:val="0"/>
            <w:vAlign w:val="center"/>
          </w:tcPr>
          <w:p w14:paraId="23D19EB5">
            <w:pPr>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辅助工资</w:t>
            </w:r>
          </w:p>
        </w:tc>
        <w:tc>
          <w:tcPr>
            <w:tcW w:w="4391" w:type="dxa"/>
            <w:shd w:val="clear" w:color="auto" w:fill="FFFFFF"/>
            <w:noWrap w:val="0"/>
            <w:vAlign w:val="center"/>
          </w:tcPr>
          <w:p w14:paraId="75F8561B">
            <w:pPr>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0+2.89+0.2+0.294</w:t>
            </w:r>
          </w:p>
        </w:tc>
        <w:tc>
          <w:tcPr>
            <w:tcW w:w="996" w:type="dxa"/>
            <w:shd w:val="clear" w:color="auto" w:fill="FFFFFF"/>
            <w:noWrap w:val="0"/>
            <w:vAlign w:val="center"/>
          </w:tcPr>
          <w:p w14:paraId="1597D16A">
            <w:pPr>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3.38</w:t>
            </w:r>
          </w:p>
        </w:tc>
      </w:tr>
      <w:tr w14:paraId="6BF23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34" w:type="dxa"/>
            <w:shd w:val="clear" w:color="auto" w:fill="FFFFFF"/>
            <w:noWrap w:val="0"/>
            <w:vAlign w:val="center"/>
          </w:tcPr>
          <w:p w14:paraId="25E2C7FB">
            <w:pPr>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1</w:t>
            </w:r>
            <w:r>
              <w:rPr>
                <w:rFonts w:hint="default" w:ascii="Times New Roman" w:hAnsi="Times New Roman" w:cs="Times New Roman"/>
                <w:color w:val="auto"/>
                <w:kern w:val="0"/>
                <w:sz w:val="21"/>
                <w:szCs w:val="21"/>
                <w:highlight w:val="none"/>
                <w:lang w:eastAsia="zh-CN"/>
              </w:rPr>
              <w:t>）</w:t>
            </w:r>
          </w:p>
        </w:tc>
        <w:tc>
          <w:tcPr>
            <w:tcW w:w="1809" w:type="dxa"/>
            <w:shd w:val="clear" w:color="auto" w:fill="FFFFFF"/>
            <w:noWrap w:val="0"/>
            <w:vAlign w:val="center"/>
          </w:tcPr>
          <w:p w14:paraId="01866FED">
            <w:pPr>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地区津贴</w:t>
            </w:r>
          </w:p>
        </w:tc>
        <w:tc>
          <w:tcPr>
            <w:tcW w:w="4391" w:type="dxa"/>
            <w:shd w:val="clear" w:color="auto" w:fill="FFFFFF"/>
            <w:noWrap w:val="0"/>
            <w:vAlign w:val="center"/>
          </w:tcPr>
          <w:p w14:paraId="6546ACD0">
            <w:pPr>
              <w:jc w:val="center"/>
              <w:rPr>
                <w:rFonts w:hint="default" w:ascii="Times New Roman" w:hAnsi="Times New Roman" w:cs="Times New Roman"/>
                <w:color w:val="auto"/>
                <w:kern w:val="0"/>
                <w:sz w:val="21"/>
                <w:szCs w:val="21"/>
                <w:highlight w:val="none"/>
              </w:rPr>
            </w:pPr>
          </w:p>
        </w:tc>
        <w:tc>
          <w:tcPr>
            <w:tcW w:w="996" w:type="dxa"/>
            <w:shd w:val="clear" w:color="auto" w:fill="FFFFFF"/>
            <w:noWrap w:val="0"/>
            <w:vAlign w:val="center"/>
          </w:tcPr>
          <w:p w14:paraId="391712D1">
            <w:pPr>
              <w:jc w:val="center"/>
              <w:rPr>
                <w:rFonts w:hint="default" w:ascii="Times New Roman" w:hAnsi="Times New Roman" w:cs="Times New Roman"/>
                <w:color w:val="auto"/>
                <w:kern w:val="0"/>
                <w:sz w:val="21"/>
                <w:szCs w:val="21"/>
                <w:highlight w:val="none"/>
              </w:rPr>
            </w:pPr>
          </w:p>
        </w:tc>
      </w:tr>
      <w:tr w14:paraId="06C28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34" w:type="dxa"/>
            <w:shd w:val="clear" w:color="auto" w:fill="FFFFFF"/>
            <w:noWrap w:val="0"/>
            <w:vAlign w:val="center"/>
          </w:tcPr>
          <w:p w14:paraId="11DAE488">
            <w:pPr>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2</w:t>
            </w:r>
            <w:r>
              <w:rPr>
                <w:rFonts w:hint="default" w:ascii="Times New Roman" w:hAnsi="Times New Roman" w:cs="Times New Roman"/>
                <w:color w:val="auto"/>
                <w:kern w:val="0"/>
                <w:sz w:val="21"/>
                <w:szCs w:val="21"/>
                <w:highlight w:val="none"/>
                <w:lang w:eastAsia="zh-CN"/>
              </w:rPr>
              <w:t>）</w:t>
            </w:r>
          </w:p>
        </w:tc>
        <w:tc>
          <w:tcPr>
            <w:tcW w:w="1809" w:type="dxa"/>
            <w:shd w:val="clear" w:color="auto" w:fill="FFFFFF"/>
            <w:noWrap w:val="0"/>
            <w:vAlign w:val="center"/>
          </w:tcPr>
          <w:p w14:paraId="777F5707">
            <w:pPr>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施工津贴</w:t>
            </w:r>
          </w:p>
        </w:tc>
        <w:tc>
          <w:tcPr>
            <w:tcW w:w="4391" w:type="dxa"/>
            <w:shd w:val="clear" w:color="auto" w:fill="FFFFFF"/>
            <w:noWrap w:val="0"/>
            <w:vAlign w:val="center"/>
          </w:tcPr>
          <w:p w14:paraId="04800EFC">
            <w:pPr>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rPr>
              <w:t>2×365×0.95/</w:t>
            </w: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250-10</w:t>
            </w:r>
            <w:r>
              <w:rPr>
                <w:rFonts w:hint="default" w:ascii="Times New Roman" w:hAnsi="Times New Roman" w:cs="Times New Roman"/>
                <w:color w:val="auto"/>
                <w:kern w:val="0"/>
                <w:sz w:val="21"/>
                <w:szCs w:val="21"/>
                <w:highlight w:val="none"/>
                <w:lang w:eastAsia="zh-CN"/>
              </w:rPr>
              <w:t>）</w:t>
            </w:r>
          </w:p>
        </w:tc>
        <w:tc>
          <w:tcPr>
            <w:tcW w:w="996" w:type="dxa"/>
            <w:shd w:val="clear" w:color="auto" w:fill="FFFFFF"/>
            <w:noWrap w:val="0"/>
            <w:vAlign w:val="center"/>
          </w:tcPr>
          <w:p w14:paraId="68111E01">
            <w:pPr>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2.89</w:t>
            </w:r>
          </w:p>
        </w:tc>
      </w:tr>
      <w:tr w14:paraId="179E1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34" w:type="dxa"/>
            <w:shd w:val="clear" w:color="auto" w:fill="FFFFFF"/>
            <w:noWrap w:val="0"/>
            <w:vAlign w:val="center"/>
          </w:tcPr>
          <w:p w14:paraId="76C698C0">
            <w:pPr>
              <w:jc w:val="center"/>
              <w:rPr>
                <w:rFonts w:hint="default" w:ascii="Times New Roman" w:hAnsi="Times New Roman" w:eastAsia="宋体" w:cs="Times New Roman"/>
                <w:color w:val="auto"/>
                <w:kern w:val="0"/>
                <w:sz w:val="21"/>
                <w:szCs w:val="21"/>
                <w:highlight w:val="none"/>
                <w:lang w:eastAsia="zh-CN"/>
              </w:rPr>
            </w:pPr>
            <w:bookmarkStart w:id="292" w:name="_Hlk84395872"/>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3</w:t>
            </w:r>
            <w:r>
              <w:rPr>
                <w:rFonts w:hint="default" w:ascii="Times New Roman" w:hAnsi="Times New Roman" w:cs="Times New Roman"/>
                <w:color w:val="auto"/>
                <w:kern w:val="0"/>
                <w:sz w:val="21"/>
                <w:szCs w:val="21"/>
                <w:highlight w:val="none"/>
                <w:lang w:eastAsia="zh-CN"/>
              </w:rPr>
              <w:t>）</w:t>
            </w:r>
          </w:p>
        </w:tc>
        <w:tc>
          <w:tcPr>
            <w:tcW w:w="1809" w:type="dxa"/>
            <w:shd w:val="clear" w:color="auto" w:fill="FFFFFF"/>
            <w:noWrap w:val="0"/>
            <w:vAlign w:val="center"/>
          </w:tcPr>
          <w:p w14:paraId="5993D66A">
            <w:pPr>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夜餐津贴</w:t>
            </w:r>
          </w:p>
        </w:tc>
        <w:tc>
          <w:tcPr>
            <w:tcW w:w="4391" w:type="dxa"/>
            <w:shd w:val="clear" w:color="auto" w:fill="FFFFFF"/>
            <w:noWrap w:val="0"/>
            <w:vAlign w:val="center"/>
          </w:tcPr>
          <w:p w14:paraId="73B51B99">
            <w:pPr>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4.5+3.5</w:t>
            </w: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/2×0.05</w:t>
            </w:r>
          </w:p>
        </w:tc>
        <w:tc>
          <w:tcPr>
            <w:tcW w:w="996" w:type="dxa"/>
            <w:shd w:val="clear" w:color="auto" w:fill="FFFFFF"/>
            <w:noWrap w:val="0"/>
            <w:vAlign w:val="center"/>
          </w:tcPr>
          <w:p w14:paraId="5FD5AFC7">
            <w:pPr>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0.20</w:t>
            </w:r>
          </w:p>
        </w:tc>
      </w:tr>
      <w:tr w14:paraId="232AE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34" w:type="dxa"/>
            <w:shd w:val="clear" w:color="auto" w:fill="FFFFFF"/>
            <w:noWrap w:val="0"/>
            <w:vAlign w:val="center"/>
          </w:tcPr>
          <w:p w14:paraId="147374E0">
            <w:pPr>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4</w:t>
            </w:r>
            <w:r>
              <w:rPr>
                <w:rFonts w:hint="default" w:ascii="Times New Roman" w:hAnsi="Times New Roman" w:cs="Times New Roman"/>
                <w:color w:val="auto"/>
                <w:kern w:val="0"/>
                <w:sz w:val="21"/>
                <w:szCs w:val="21"/>
                <w:highlight w:val="none"/>
                <w:lang w:eastAsia="zh-CN"/>
              </w:rPr>
              <w:t>）</w:t>
            </w:r>
          </w:p>
        </w:tc>
        <w:tc>
          <w:tcPr>
            <w:tcW w:w="1809" w:type="dxa"/>
            <w:shd w:val="clear" w:color="auto" w:fill="FFFFFF"/>
            <w:noWrap w:val="0"/>
            <w:vAlign w:val="center"/>
          </w:tcPr>
          <w:p w14:paraId="68B96351">
            <w:pPr>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节日加班津贴</w:t>
            </w:r>
          </w:p>
        </w:tc>
        <w:tc>
          <w:tcPr>
            <w:tcW w:w="4391" w:type="dxa"/>
            <w:shd w:val="clear" w:color="auto" w:fill="FFFFFF"/>
            <w:noWrap w:val="0"/>
            <w:vAlign w:val="center"/>
          </w:tcPr>
          <w:p w14:paraId="4EBD35EC">
            <w:pPr>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22.25×</w:t>
            </w: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3-1</w:t>
            </w: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×11/250×0.15</w:t>
            </w:r>
          </w:p>
        </w:tc>
        <w:tc>
          <w:tcPr>
            <w:tcW w:w="996" w:type="dxa"/>
            <w:shd w:val="clear" w:color="auto" w:fill="FFFFFF"/>
            <w:noWrap w:val="0"/>
            <w:vAlign w:val="center"/>
          </w:tcPr>
          <w:p w14:paraId="40F6EB74">
            <w:pPr>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0.29</w:t>
            </w:r>
          </w:p>
        </w:tc>
      </w:tr>
      <w:tr w14:paraId="5A11E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34" w:type="dxa"/>
            <w:shd w:val="clear" w:color="auto" w:fill="FFFFFF"/>
            <w:noWrap w:val="0"/>
            <w:vAlign w:val="center"/>
          </w:tcPr>
          <w:p w14:paraId="51D64AB3">
            <w:pPr>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3</w:t>
            </w:r>
          </w:p>
        </w:tc>
        <w:tc>
          <w:tcPr>
            <w:tcW w:w="1809" w:type="dxa"/>
            <w:shd w:val="clear" w:color="auto" w:fill="FFFFFF"/>
            <w:noWrap w:val="0"/>
            <w:vAlign w:val="center"/>
          </w:tcPr>
          <w:p w14:paraId="7B65DA93">
            <w:pPr>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工资附加费</w:t>
            </w:r>
          </w:p>
        </w:tc>
        <w:tc>
          <w:tcPr>
            <w:tcW w:w="4391" w:type="dxa"/>
            <w:shd w:val="clear" w:color="auto" w:fill="FFFFFF"/>
            <w:noWrap w:val="0"/>
            <w:vAlign w:val="center"/>
          </w:tcPr>
          <w:p w14:paraId="28F383AA">
            <w:pPr>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3.589+0.513+5.127+1.025+0.385+0.513+2.051</w:t>
            </w:r>
          </w:p>
        </w:tc>
        <w:tc>
          <w:tcPr>
            <w:tcW w:w="996" w:type="dxa"/>
            <w:shd w:val="clear" w:color="auto" w:fill="FFFFFF"/>
            <w:noWrap w:val="0"/>
            <w:vAlign w:val="center"/>
          </w:tcPr>
          <w:p w14:paraId="3F6EACEC">
            <w:pPr>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13.20</w:t>
            </w:r>
          </w:p>
        </w:tc>
      </w:tr>
      <w:tr w14:paraId="602B6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34" w:type="dxa"/>
            <w:shd w:val="clear" w:color="auto" w:fill="FFFFFF"/>
            <w:noWrap w:val="0"/>
            <w:vAlign w:val="center"/>
          </w:tcPr>
          <w:p w14:paraId="4421D37A">
            <w:pPr>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1</w:t>
            </w:r>
            <w:r>
              <w:rPr>
                <w:rFonts w:hint="default" w:ascii="Times New Roman" w:hAnsi="Times New Roman" w:cs="Times New Roman"/>
                <w:color w:val="auto"/>
                <w:kern w:val="0"/>
                <w:sz w:val="21"/>
                <w:szCs w:val="21"/>
                <w:highlight w:val="none"/>
                <w:lang w:eastAsia="zh-CN"/>
              </w:rPr>
              <w:t>）</w:t>
            </w:r>
          </w:p>
        </w:tc>
        <w:tc>
          <w:tcPr>
            <w:tcW w:w="1809" w:type="dxa"/>
            <w:shd w:val="clear" w:color="auto" w:fill="FFFFFF"/>
            <w:noWrap w:val="0"/>
            <w:vAlign w:val="center"/>
          </w:tcPr>
          <w:p w14:paraId="68AD8C55">
            <w:pPr>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职工福利基金</w:t>
            </w:r>
          </w:p>
        </w:tc>
        <w:tc>
          <w:tcPr>
            <w:tcW w:w="4391" w:type="dxa"/>
            <w:shd w:val="clear" w:color="auto" w:fill="FFFFFF"/>
            <w:noWrap w:val="0"/>
            <w:vAlign w:val="center"/>
          </w:tcPr>
          <w:p w14:paraId="3988DB70">
            <w:pPr>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22.25+3.384</w:t>
            </w: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×14%</w:t>
            </w:r>
          </w:p>
        </w:tc>
        <w:tc>
          <w:tcPr>
            <w:tcW w:w="996" w:type="dxa"/>
            <w:shd w:val="clear" w:color="auto" w:fill="FFFFFF"/>
            <w:noWrap w:val="0"/>
            <w:vAlign w:val="center"/>
          </w:tcPr>
          <w:p w14:paraId="63DCF500">
            <w:pPr>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3.59</w:t>
            </w:r>
          </w:p>
        </w:tc>
      </w:tr>
      <w:tr w14:paraId="33143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34" w:type="dxa"/>
            <w:shd w:val="clear" w:color="auto" w:fill="FFFFFF"/>
            <w:noWrap w:val="0"/>
            <w:vAlign w:val="center"/>
          </w:tcPr>
          <w:p w14:paraId="073EBFE5">
            <w:pPr>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2</w:t>
            </w:r>
            <w:r>
              <w:rPr>
                <w:rFonts w:hint="default" w:ascii="Times New Roman" w:hAnsi="Times New Roman" w:cs="Times New Roman"/>
                <w:color w:val="auto"/>
                <w:kern w:val="0"/>
                <w:sz w:val="21"/>
                <w:szCs w:val="21"/>
                <w:highlight w:val="none"/>
                <w:lang w:eastAsia="zh-CN"/>
              </w:rPr>
              <w:t>）</w:t>
            </w:r>
          </w:p>
        </w:tc>
        <w:tc>
          <w:tcPr>
            <w:tcW w:w="1809" w:type="dxa"/>
            <w:shd w:val="clear" w:color="auto" w:fill="FFFFFF"/>
            <w:noWrap w:val="0"/>
            <w:vAlign w:val="center"/>
          </w:tcPr>
          <w:p w14:paraId="493CAAFA">
            <w:pPr>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工会经费</w:t>
            </w:r>
          </w:p>
        </w:tc>
        <w:tc>
          <w:tcPr>
            <w:tcW w:w="4391" w:type="dxa"/>
            <w:shd w:val="clear" w:color="auto" w:fill="FFFFFF"/>
            <w:noWrap w:val="0"/>
            <w:vAlign w:val="center"/>
          </w:tcPr>
          <w:p w14:paraId="05C6C1F6">
            <w:pPr>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22.25+3.384</w:t>
            </w: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×2%</w:t>
            </w:r>
          </w:p>
        </w:tc>
        <w:tc>
          <w:tcPr>
            <w:tcW w:w="996" w:type="dxa"/>
            <w:shd w:val="clear" w:color="auto" w:fill="FFFFFF"/>
            <w:noWrap w:val="0"/>
            <w:vAlign w:val="center"/>
          </w:tcPr>
          <w:p w14:paraId="00A5A119">
            <w:pPr>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0.51</w:t>
            </w:r>
          </w:p>
        </w:tc>
      </w:tr>
      <w:tr w14:paraId="687C8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34" w:type="dxa"/>
            <w:shd w:val="clear" w:color="auto" w:fill="FFFFFF"/>
            <w:noWrap w:val="0"/>
            <w:vAlign w:val="center"/>
          </w:tcPr>
          <w:p w14:paraId="021F0A35">
            <w:pPr>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3</w:t>
            </w:r>
            <w:r>
              <w:rPr>
                <w:rFonts w:hint="default" w:ascii="Times New Roman" w:hAnsi="Times New Roman" w:cs="Times New Roman"/>
                <w:color w:val="auto"/>
                <w:kern w:val="0"/>
                <w:sz w:val="21"/>
                <w:szCs w:val="21"/>
                <w:highlight w:val="none"/>
                <w:lang w:eastAsia="zh-CN"/>
              </w:rPr>
              <w:t>）</w:t>
            </w:r>
          </w:p>
        </w:tc>
        <w:tc>
          <w:tcPr>
            <w:tcW w:w="1809" w:type="dxa"/>
            <w:shd w:val="clear" w:color="auto" w:fill="FFFFFF"/>
            <w:noWrap w:val="0"/>
            <w:vAlign w:val="center"/>
          </w:tcPr>
          <w:p w14:paraId="6B92975D">
            <w:pPr>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养老保险</w:t>
            </w:r>
          </w:p>
        </w:tc>
        <w:tc>
          <w:tcPr>
            <w:tcW w:w="4391" w:type="dxa"/>
            <w:shd w:val="clear" w:color="auto" w:fill="FFFFFF"/>
            <w:noWrap w:val="0"/>
            <w:vAlign w:val="center"/>
          </w:tcPr>
          <w:p w14:paraId="57E31463">
            <w:pPr>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22.25+3.384</w:t>
            </w: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×20%</w:t>
            </w:r>
          </w:p>
        </w:tc>
        <w:tc>
          <w:tcPr>
            <w:tcW w:w="996" w:type="dxa"/>
            <w:shd w:val="clear" w:color="auto" w:fill="FFFFFF"/>
            <w:noWrap w:val="0"/>
            <w:vAlign w:val="center"/>
          </w:tcPr>
          <w:p w14:paraId="5B89C542">
            <w:pPr>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5.13</w:t>
            </w:r>
          </w:p>
        </w:tc>
      </w:tr>
      <w:tr w14:paraId="3D36D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34" w:type="dxa"/>
            <w:shd w:val="clear" w:color="auto" w:fill="FFFFFF"/>
            <w:noWrap w:val="0"/>
            <w:vAlign w:val="center"/>
          </w:tcPr>
          <w:p w14:paraId="073D98D3">
            <w:pPr>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4</w:t>
            </w:r>
            <w:r>
              <w:rPr>
                <w:rFonts w:hint="default" w:ascii="Times New Roman" w:hAnsi="Times New Roman" w:cs="Times New Roman"/>
                <w:color w:val="auto"/>
                <w:kern w:val="0"/>
                <w:sz w:val="21"/>
                <w:szCs w:val="21"/>
                <w:highlight w:val="none"/>
                <w:lang w:eastAsia="zh-CN"/>
              </w:rPr>
              <w:t>）</w:t>
            </w:r>
          </w:p>
        </w:tc>
        <w:tc>
          <w:tcPr>
            <w:tcW w:w="1809" w:type="dxa"/>
            <w:shd w:val="clear" w:color="auto" w:fill="FFFFFF"/>
            <w:noWrap w:val="0"/>
            <w:vAlign w:val="center"/>
          </w:tcPr>
          <w:p w14:paraId="59879398">
            <w:pPr>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医疗保险</w:t>
            </w:r>
          </w:p>
        </w:tc>
        <w:tc>
          <w:tcPr>
            <w:tcW w:w="4391" w:type="dxa"/>
            <w:shd w:val="clear" w:color="auto" w:fill="FFFFFF"/>
            <w:noWrap w:val="0"/>
            <w:vAlign w:val="center"/>
          </w:tcPr>
          <w:p w14:paraId="2337CD0E">
            <w:pPr>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22.25+3.384</w:t>
            </w: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×4%</w:t>
            </w:r>
          </w:p>
        </w:tc>
        <w:tc>
          <w:tcPr>
            <w:tcW w:w="996" w:type="dxa"/>
            <w:shd w:val="clear" w:color="auto" w:fill="FFFFFF"/>
            <w:noWrap w:val="0"/>
            <w:vAlign w:val="center"/>
          </w:tcPr>
          <w:p w14:paraId="57C8CB75">
            <w:pPr>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1.03</w:t>
            </w:r>
          </w:p>
        </w:tc>
      </w:tr>
      <w:tr w14:paraId="71222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34" w:type="dxa"/>
            <w:shd w:val="clear" w:color="auto" w:fill="FFFFFF"/>
            <w:noWrap w:val="0"/>
            <w:vAlign w:val="center"/>
          </w:tcPr>
          <w:p w14:paraId="383288CF">
            <w:pPr>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5</w:t>
            </w:r>
            <w:r>
              <w:rPr>
                <w:rFonts w:hint="default" w:ascii="Times New Roman" w:hAnsi="Times New Roman" w:cs="Times New Roman"/>
                <w:color w:val="auto"/>
                <w:kern w:val="0"/>
                <w:sz w:val="21"/>
                <w:szCs w:val="21"/>
                <w:highlight w:val="none"/>
                <w:lang w:eastAsia="zh-CN"/>
              </w:rPr>
              <w:t>）</w:t>
            </w:r>
          </w:p>
        </w:tc>
        <w:tc>
          <w:tcPr>
            <w:tcW w:w="1809" w:type="dxa"/>
            <w:shd w:val="clear" w:color="auto" w:fill="FFFFFF"/>
            <w:noWrap w:val="0"/>
            <w:vAlign w:val="center"/>
          </w:tcPr>
          <w:p w14:paraId="6C1EBDC7">
            <w:pPr>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工伤保险费</w:t>
            </w:r>
          </w:p>
        </w:tc>
        <w:tc>
          <w:tcPr>
            <w:tcW w:w="4391" w:type="dxa"/>
            <w:shd w:val="clear" w:color="auto" w:fill="FFFFFF"/>
            <w:noWrap w:val="0"/>
            <w:vAlign w:val="center"/>
          </w:tcPr>
          <w:p w14:paraId="07D6786A">
            <w:pPr>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22.25+3.384</w:t>
            </w: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×1.5%</w:t>
            </w:r>
          </w:p>
        </w:tc>
        <w:tc>
          <w:tcPr>
            <w:tcW w:w="996" w:type="dxa"/>
            <w:shd w:val="clear" w:color="auto" w:fill="FFFFFF"/>
            <w:noWrap w:val="0"/>
            <w:vAlign w:val="center"/>
          </w:tcPr>
          <w:p w14:paraId="641A0547">
            <w:pPr>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0.39</w:t>
            </w:r>
          </w:p>
        </w:tc>
      </w:tr>
      <w:tr w14:paraId="7291B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34" w:type="dxa"/>
            <w:shd w:val="clear" w:color="auto" w:fill="FFFFFF"/>
            <w:noWrap w:val="0"/>
            <w:vAlign w:val="center"/>
          </w:tcPr>
          <w:p w14:paraId="4DDD746F">
            <w:pPr>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6</w:t>
            </w:r>
            <w:r>
              <w:rPr>
                <w:rFonts w:hint="default" w:ascii="Times New Roman" w:hAnsi="Times New Roman" w:cs="Times New Roman"/>
                <w:color w:val="auto"/>
                <w:kern w:val="0"/>
                <w:sz w:val="21"/>
                <w:szCs w:val="21"/>
                <w:highlight w:val="none"/>
                <w:lang w:eastAsia="zh-CN"/>
              </w:rPr>
              <w:t>）</w:t>
            </w:r>
          </w:p>
        </w:tc>
        <w:tc>
          <w:tcPr>
            <w:tcW w:w="1809" w:type="dxa"/>
            <w:shd w:val="clear" w:color="auto" w:fill="FFFFFF"/>
            <w:noWrap w:val="0"/>
            <w:vAlign w:val="center"/>
          </w:tcPr>
          <w:p w14:paraId="2B59A4F5">
            <w:pPr>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职工失业保险基金</w:t>
            </w:r>
          </w:p>
        </w:tc>
        <w:tc>
          <w:tcPr>
            <w:tcW w:w="4391" w:type="dxa"/>
            <w:shd w:val="clear" w:color="auto" w:fill="FFFFFF"/>
            <w:noWrap w:val="0"/>
            <w:vAlign w:val="center"/>
          </w:tcPr>
          <w:p w14:paraId="1720E335">
            <w:pPr>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22.25+3.384</w:t>
            </w: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×2%</w:t>
            </w:r>
          </w:p>
        </w:tc>
        <w:tc>
          <w:tcPr>
            <w:tcW w:w="996" w:type="dxa"/>
            <w:shd w:val="clear" w:color="auto" w:fill="FFFFFF"/>
            <w:noWrap w:val="0"/>
            <w:vAlign w:val="center"/>
          </w:tcPr>
          <w:p w14:paraId="1B67BCA9">
            <w:pPr>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0.51</w:t>
            </w:r>
          </w:p>
        </w:tc>
      </w:tr>
      <w:tr w14:paraId="4FD22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34" w:type="dxa"/>
            <w:shd w:val="clear" w:color="auto" w:fill="FFFFFF"/>
            <w:noWrap w:val="0"/>
            <w:vAlign w:val="center"/>
          </w:tcPr>
          <w:p w14:paraId="4C83C970">
            <w:pPr>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7</w:t>
            </w:r>
            <w:r>
              <w:rPr>
                <w:rFonts w:hint="default" w:ascii="Times New Roman" w:hAnsi="Times New Roman" w:cs="Times New Roman"/>
                <w:color w:val="auto"/>
                <w:kern w:val="0"/>
                <w:sz w:val="21"/>
                <w:szCs w:val="21"/>
                <w:highlight w:val="none"/>
                <w:lang w:eastAsia="zh-CN"/>
              </w:rPr>
              <w:t>）</w:t>
            </w:r>
          </w:p>
        </w:tc>
        <w:tc>
          <w:tcPr>
            <w:tcW w:w="1809" w:type="dxa"/>
            <w:shd w:val="clear" w:color="auto" w:fill="FFFFFF"/>
            <w:noWrap w:val="0"/>
            <w:vAlign w:val="center"/>
          </w:tcPr>
          <w:p w14:paraId="3B2339E7">
            <w:pPr>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住房公积金</w:t>
            </w:r>
          </w:p>
        </w:tc>
        <w:tc>
          <w:tcPr>
            <w:tcW w:w="4391" w:type="dxa"/>
            <w:shd w:val="clear" w:color="auto" w:fill="FFFFFF"/>
            <w:noWrap w:val="0"/>
            <w:vAlign w:val="center"/>
          </w:tcPr>
          <w:p w14:paraId="36855B14">
            <w:pPr>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22.25+3.384</w:t>
            </w: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×8%</w:t>
            </w:r>
          </w:p>
        </w:tc>
        <w:tc>
          <w:tcPr>
            <w:tcW w:w="996" w:type="dxa"/>
            <w:shd w:val="clear" w:color="auto" w:fill="FFFFFF"/>
            <w:noWrap w:val="0"/>
            <w:vAlign w:val="center"/>
          </w:tcPr>
          <w:p w14:paraId="54BA0CBC">
            <w:pPr>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2.05</w:t>
            </w:r>
          </w:p>
        </w:tc>
      </w:tr>
      <w:tr w14:paraId="0308E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34" w:type="dxa"/>
            <w:shd w:val="clear" w:color="auto" w:fill="FFFFFF"/>
            <w:noWrap w:val="0"/>
            <w:vAlign w:val="center"/>
          </w:tcPr>
          <w:p w14:paraId="629757E0">
            <w:pPr>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4</w:t>
            </w:r>
          </w:p>
        </w:tc>
        <w:tc>
          <w:tcPr>
            <w:tcW w:w="1809" w:type="dxa"/>
            <w:shd w:val="clear" w:color="auto" w:fill="FFFFFF"/>
            <w:noWrap w:val="0"/>
            <w:vAlign w:val="center"/>
          </w:tcPr>
          <w:p w14:paraId="6C4BD786">
            <w:pPr>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人工工日预算单价</w:t>
            </w:r>
          </w:p>
        </w:tc>
        <w:tc>
          <w:tcPr>
            <w:tcW w:w="4391" w:type="dxa"/>
            <w:shd w:val="clear" w:color="auto" w:fill="FFFFFF"/>
            <w:noWrap w:val="0"/>
            <w:vAlign w:val="center"/>
          </w:tcPr>
          <w:p w14:paraId="6332E7C0">
            <w:pPr>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22.25+3.384+13.203</w:t>
            </w:r>
          </w:p>
        </w:tc>
        <w:tc>
          <w:tcPr>
            <w:tcW w:w="996" w:type="dxa"/>
            <w:shd w:val="clear" w:color="auto" w:fill="FFFFFF"/>
            <w:noWrap w:val="0"/>
            <w:vAlign w:val="center"/>
          </w:tcPr>
          <w:p w14:paraId="69DB0A2B">
            <w:pPr>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38.84</w:t>
            </w:r>
          </w:p>
        </w:tc>
      </w:tr>
    </w:tbl>
    <w:p w14:paraId="7F379D49">
      <w:pPr>
        <w:rPr>
          <w:rFonts w:hint="default" w:ascii="Times New Roman" w:hAnsi="Times New Roman" w:cs="Times New Roman"/>
          <w:color w:val="auto"/>
          <w:highlight w:val="none"/>
        </w:rPr>
        <w:sectPr>
          <w:pgSz w:w="11906" w:h="16838"/>
          <w:pgMar w:top="1440" w:right="1800" w:bottom="1440" w:left="1800" w:header="851" w:footer="992" w:gutter="0"/>
          <w:pgBorders w:offsetFrom="page">
            <w:top w:val="none" w:sz="0" w:space="0"/>
            <w:left w:val="none" w:sz="0" w:space="0"/>
            <w:bottom w:val="none" w:sz="0" w:space="0"/>
            <w:right w:val="none" w:sz="0" w:space="0"/>
          </w:pgBorders>
          <w:pgNumType w:fmt="decimal"/>
          <w:cols w:space="720" w:num="1"/>
          <w:docGrid w:type="lines" w:linePitch="312" w:charSpace="0"/>
        </w:sectPr>
      </w:pPr>
    </w:p>
    <w:p w14:paraId="44DBBC3E">
      <w:pPr>
        <w:pStyle w:val="90"/>
        <w:autoSpaceDE w:val="0"/>
        <w:autoSpaceDN w:val="0"/>
        <w:rPr>
          <w:rFonts w:hint="default" w:ascii="Times New Roman" w:hAnsi="Times New Roman" w:eastAsia="黑体" w:cs="Times New Roman"/>
          <w:b w:val="0"/>
          <w:bCs/>
          <w:color w:val="auto"/>
          <w:highlight w:val="none"/>
        </w:rPr>
      </w:pPr>
      <w:r>
        <w:rPr>
          <w:rFonts w:hint="default" w:ascii="Times New Roman" w:hAnsi="Times New Roman" w:eastAsia="黑体" w:cs="Times New Roman"/>
          <w:b w:val="0"/>
          <w:bCs/>
          <w:color w:val="auto"/>
          <w:highlight w:val="none"/>
        </w:rPr>
        <w:t>表7-10</w:t>
      </w:r>
      <w:r>
        <w:rPr>
          <w:rFonts w:hint="eastAsia" w:ascii="Times New Roman" w:hAnsi="Times New Roman" w:cs="Times New Roman"/>
          <w:b w:val="0"/>
          <w:bCs/>
          <w:color w:val="auto"/>
          <w:highlight w:val="none"/>
          <w:lang w:val="en-US" w:eastAsia="zh-CN"/>
        </w:rPr>
        <w:t xml:space="preserve">  </w:t>
      </w:r>
      <w:r>
        <w:rPr>
          <w:rFonts w:hint="default" w:ascii="Times New Roman" w:hAnsi="Times New Roman" w:eastAsia="黑体" w:cs="Times New Roman"/>
          <w:b w:val="0"/>
          <w:bCs/>
          <w:color w:val="auto"/>
          <w:highlight w:val="none"/>
        </w:rPr>
        <w:t>施工机械台班费汇总表</w:t>
      </w:r>
      <w:r>
        <w:rPr>
          <w:rFonts w:hint="eastAsia" w:ascii="Times New Roman" w:hAnsi="Times New Roman" w:cs="Times New Roman"/>
          <w:b w:val="0"/>
          <w:bCs/>
          <w:color w:val="auto"/>
          <w:highlight w:val="none"/>
          <w:lang w:val="en-US" w:eastAsia="zh-CN"/>
        </w:rPr>
        <w:t xml:space="preserve">  </w:t>
      </w:r>
      <w:r>
        <w:rPr>
          <w:rFonts w:hint="default" w:ascii="Times New Roman" w:hAnsi="Times New Roman" w:cs="Times New Roman"/>
          <w:b w:val="0"/>
          <w:bCs w:val="0"/>
          <w:color w:val="auto"/>
          <w:sz w:val="21"/>
          <w:szCs w:val="21"/>
          <w:highlight w:val="none"/>
        </w:rPr>
        <w:t>单位：元</w:t>
      </w:r>
    </w:p>
    <w:tbl>
      <w:tblPr>
        <w:tblStyle w:val="34"/>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25"/>
        <w:gridCol w:w="2073"/>
        <w:gridCol w:w="875"/>
        <w:gridCol w:w="1980"/>
        <w:gridCol w:w="1320"/>
        <w:gridCol w:w="1025"/>
        <w:gridCol w:w="994"/>
        <w:gridCol w:w="889"/>
        <w:gridCol w:w="994"/>
        <w:gridCol w:w="995"/>
        <w:gridCol w:w="1029"/>
        <w:gridCol w:w="964"/>
      </w:tblGrid>
      <w:tr w14:paraId="776991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2" w:type="pct"/>
            <w:vMerge w:val="restart"/>
            <w:tcBorders>
              <w:top w:val="single" w:color="000000" w:sz="4" w:space="0"/>
              <w:left w:val="single" w:color="000000" w:sz="4" w:space="0"/>
              <w:bottom w:val="single" w:color="000000" w:sz="4" w:space="0"/>
              <w:right w:val="single" w:color="000000" w:sz="4" w:space="0"/>
            </w:tcBorders>
            <w:noWrap/>
            <w:vAlign w:val="center"/>
          </w:tcPr>
          <w:p w14:paraId="5BCF247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编号</w:t>
            </w:r>
          </w:p>
        </w:tc>
        <w:tc>
          <w:tcPr>
            <w:tcW w:w="732" w:type="pct"/>
            <w:vMerge w:val="restart"/>
            <w:tcBorders>
              <w:top w:val="single" w:color="000000" w:sz="4" w:space="0"/>
              <w:left w:val="single" w:color="000000" w:sz="4" w:space="0"/>
              <w:bottom w:val="single" w:color="000000" w:sz="4" w:space="0"/>
              <w:right w:val="single" w:color="000000" w:sz="4" w:space="0"/>
            </w:tcBorders>
            <w:noWrap w:val="0"/>
            <w:vAlign w:val="center"/>
          </w:tcPr>
          <w:p w14:paraId="6536750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机械名称及规格</w:t>
            </w:r>
          </w:p>
        </w:tc>
        <w:tc>
          <w:tcPr>
            <w:tcW w:w="3905" w:type="pct"/>
            <w:gridSpan w:val="10"/>
            <w:tcBorders>
              <w:top w:val="single" w:color="000000" w:sz="4" w:space="0"/>
              <w:left w:val="single" w:color="000000" w:sz="4" w:space="0"/>
              <w:bottom w:val="single" w:color="000000" w:sz="4" w:space="0"/>
              <w:right w:val="single" w:color="000000" w:sz="4" w:space="0"/>
            </w:tcBorders>
            <w:noWrap/>
            <w:vAlign w:val="center"/>
          </w:tcPr>
          <w:p w14:paraId="0B5AF91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费用构成</w:t>
            </w:r>
          </w:p>
        </w:tc>
      </w:tr>
      <w:tr w14:paraId="1D9E1D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2" w:type="pct"/>
            <w:vMerge w:val="continue"/>
            <w:tcBorders>
              <w:top w:val="single" w:color="000000" w:sz="4" w:space="0"/>
              <w:left w:val="single" w:color="000000" w:sz="4" w:space="0"/>
              <w:bottom w:val="single" w:color="000000" w:sz="4" w:space="0"/>
              <w:right w:val="single" w:color="000000" w:sz="4" w:space="0"/>
            </w:tcBorders>
            <w:noWrap/>
            <w:vAlign w:val="center"/>
          </w:tcPr>
          <w:p w14:paraId="3575A5C7">
            <w:pPr>
              <w:jc w:val="center"/>
              <w:rPr>
                <w:rFonts w:hint="default" w:ascii="Times New Roman" w:hAnsi="Times New Roman" w:eastAsia="宋体" w:cs="Times New Roman"/>
                <w:i w:val="0"/>
                <w:iCs w:val="0"/>
                <w:color w:val="auto"/>
                <w:sz w:val="21"/>
                <w:szCs w:val="21"/>
                <w:highlight w:val="none"/>
                <w:u w:val="none"/>
              </w:rPr>
            </w:pPr>
          </w:p>
        </w:tc>
        <w:tc>
          <w:tcPr>
            <w:tcW w:w="7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602AC44">
            <w:pPr>
              <w:jc w:val="center"/>
              <w:rPr>
                <w:rFonts w:hint="default" w:ascii="Times New Roman" w:hAnsi="Times New Roman" w:eastAsia="宋体" w:cs="Times New Roman"/>
                <w:i w:val="0"/>
                <w:iCs w:val="0"/>
                <w:color w:val="auto"/>
                <w:sz w:val="21"/>
                <w:szCs w:val="21"/>
                <w:highlight w:val="none"/>
                <w:u w:val="none"/>
              </w:rPr>
            </w:pPr>
          </w:p>
        </w:tc>
        <w:tc>
          <w:tcPr>
            <w:tcW w:w="1836" w:type="pct"/>
            <w:gridSpan w:val="4"/>
            <w:tcBorders>
              <w:top w:val="single" w:color="000000" w:sz="4" w:space="0"/>
              <w:left w:val="single" w:color="000000" w:sz="4" w:space="0"/>
              <w:bottom w:val="single" w:color="000000" w:sz="4" w:space="0"/>
              <w:right w:val="single" w:color="000000" w:sz="4" w:space="0"/>
            </w:tcBorders>
            <w:noWrap/>
            <w:vAlign w:val="center"/>
          </w:tcPr>
          <w:p w14:paraId="5EFED50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一类费用</w:t>
            </w:r>
          </w:p>
        </w:tc>
        <w:tc>
          <w:tcPr>
            <w:tcW w:w="1730" w:type="pct"/>
            <w:gridSpan w:val="5"/>
            <w:tcBorders>
              <w:top w:val="single" w:color="000000" w:sz="4" w:space="0"/>
              <w:left w:val="single" w:color="000000" w:sz="4" w:space="0"/>
              <w:bottom w:val="single" w:color="000000" w:sz="4" w:space="0"/>
              <w:right w:val="single" w:color="000000" w:sz="4" w:space="0"/>
            </w:tcBorders>
            <w:noWrap/>
            <w:vAlign w:val="center"/>
          </w:tcPr>
          <w:p w14:paraId="7C04A47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二类费用</w:t>
            </w:r>
          </w:p>
        </w:tc>
        <w:tc>
          <w:tcPr>
            <w:tcW w:w="338" w:type="pct"/>
            <w:vMerge w:val="restart"/>
            <w:tcBorders>
              <w:top w:val="single" w:color="000000" w:sz="4" w:space="0"/>
              <w:left w:val="single" w:color="000000" w:sz="4" w:space="0"/>
              <w:bottom w:val="single" w:color="000000" w:sz="4" w:space="0"/>
              <w:right w:val="single" w:color="000000" w:sz="4" w:space="0"/>
            </w:tcBorders>
            <w:noWrap/>
            <w:vAlign w:val="center"/>
          </w:tcPr>
          <w:p w14:paraId="4B7A5FA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总计</w:t>
            </w:r>
          </w:p>
        </w:tc>
      </w:tr>
      <w:tr w14:paraId="491FC3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62" w:type="pct"/>
            <w:vMerge w:val="continue"/>
            <w:tcBorders>
              <w:top w:val="single" w:color="000000" w:sz="4" w:space="0"/>
              <w:left w:val="single" w:color="000000" w:sz="4" w:space="0"/>
              <w:bottom w:val="single" w:color="000000" w:sz="4" w:space="0"/>
              <w:right w:val="single" w:color="000000" w:sz="4" w:space="0"/>
            </w:tcBorders>
            <w:noWrap/>
            <w:vAlign w:val="center"/>
          </w:tcPr>
          <w:p w14:paraId="0330B42C">
            <w:pPr>
              <w:jc w:val="center"/>
              <w:rPr>
                <w:rFonts w:hint="default" w:ascii="Times New Roman" w:hAnsi="Times New Roman" w:eastAsia="宋体" w:cs="Times New Roman"/>
                <w:i w:val="0"/>
                <w:iCs w:val="0"/>
                <w:color w:val="auto"/>
                <w:sz w:val="21"/>
                <w:szCs w:val="21"/>
                <w:highlight w:val="none"/>
                <w:u w:val="none"/>
              </w:rPr>
            </w:pPr>
          </w:p>
        </w:tc>
        <w:tc>
          <w:tcPr>
            <w:tcW w:w="7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5F0CCF3">
            <w:pPr>
              <w:jc w:val="center"/>
              <w:rPr>
                <w:rFonts w:hint="default" w:ascii="Times New Roman" w:hAnsi="Times New Roman" w:eastAsia="宋体" w:cs="Times New Roman"/>
                <w:i w:val="0"/>
                <w:iCs w:val="0"/>
                <w:color w:val="auto"/>
                <w:sz w:val="21"/>
                <w:szCs w:val="21"/>
                <w:highlight w:val="none"/>
                <w:u w:val="none"/>
              </w:rPr>
            </w:pP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271B4B6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折旧费</w:t>
            </w:r>
          </w:p>
        </w:tc>
        <w:tc>
          <w:tcPr>
            <w:tcW w:w="699" w:type="pct"/>
            <w:tcBorders>
              <w:top w:val="single" w:color="000000" w:sz="4" w:space="0"/>
              <w:left w:val="single" w:color="000000" w:sz="4" w:space="0"/>
              <w:bottom w:val="single" w:color="000000" w:sz="4" w:space="0"/>
              <w:right w:val="single" w:color="000000" w:sz="4" w:space="0"/>
            </w:tcBorders>
            <w:noWrap/>
            <w:vAlign w:val="center"/>
          </w:tcPr>
          <w:p w14:paraId="7C31CF6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修理及替换设备费</w:t>
            </w:r>
          </w:p>
        </w:tc>
        <w:tc>
          <w:tcPr>
            <w:tcW w:w="466" w:type="pct"/>
            <w:tcBorders>
              <w:top w:val="single" w:color="000000" w:sz="4" w:space="0"/>
              <w:left w:val="single" w:color="000000" w:sz="4" w:space="0"/>
              <w:bottom w:val="single" w:color="000000" w:sz="4" w:space="0"/>
              <w:right w:val="single" w:color="000000" w:sz="4" w:space="0"/>
            </w:tcBorders>
            <w:noWrap/>
            <w:vAlign w:val="center"/>
          </w:tcPr>
          <w:p w14:paraId="261D0466">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安装拆卸费</w:t>
            </w:r>
          </w:p>
        </w:tc>
        <w:tc>
          <w:tcPr>
            <w:tcW w:w="360" w:type="pct"/>
            <w:tcBorders>
              <w:top w:val="single" w:color="000000" w:sz="4" w:space="0"/>
              <w:left w:val="single" w:color="000000" w:sz="4" w:space="0"/>
              <w:bottom w:val="single" w:color="000000" w:sz="4" w:space="0"/>
              <w:right w:val="single" w:color="000000" w:sz="4" w:space="0"/>
            </w:tcBorders>
            <w:noWrap w:val="0"/>
            <w:vAlign w:val="center"/>
          </w:tcPr>
          <w:p w14:paraId="23150AB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小计</w:t>
            </w:r>
          </w:p>
        </w:tc>
        <w:tc>
          <w:tcPr>
            <w:tcW w:w="351" w:type="pct"/>
            <w:tcBorders>
              <w:top w:val="single" w:color="000000" w:sz="4" w:space="0"/>
              <w:left w:val="single" w:color="000000" w:sz="4" w:space="0"/>
              <w:bottom w:val="single" w:color="000000" w:sz="4" w:space="0"/>
              <w:right w:val="single" w:color="000000" w:sz="4" w:space="0"/>
            </w:tcBorders>
            <w:noWrap w:val="0"/>
            <w:vAlign w:val="center"/>
          </w:tcPr>
          <w:p w14:paraId="69E73F2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人工</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14:paraId="77B9DE9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汽油</w:t>
            </w:r>
          </w:p>
        </w:tc>
        <w:tc>
          <w:tcPr>
            <w:tcW w:w="351" w:type="pct"/>
            <w:tcBorders>
              <w:top w:val="single" w:color="000000" w:sz="4" w:space="0"/>
              <w:left w:val="single" w:color="000000" w:sz="4" w:space="0"/>
              <w:bottom w:val="single" w:color="000000" w:sz="4" w:space="0"/>
              <w:right w:val="single" w:color="000000" w:sz="4" w:space="0"/>
            </w:tcBorders>
            <w:noWrap w:val="0"/>
            <w:vAlign w:val="center"/>
          </w:tcPr>
          <w:p w14:paraId="24D2B51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柴油</w:t>
            </w:r>
          </w:p>
        </w:tc>
        <w:tc>
          <w:tcPr>
            <w:tcW w:w="351" w:type="pct"/>
            <w:tcBorders>
              <w:top w:val="single" w:color="000000" w:sz="4" w:space="0"/>
              <w:left w:val="single" w:color="000000" w:sz="4" w:space="0"/>
              <w:bottom w:val="single" w:color="000000" w:sz="4" w:space="0"/>
              <w:right w:val="single" w:color="000000" w:sz="4" w:space="0"/>
            </w:tcBorders>
            <w:noWrap w:val="0"/>
            <w:vAlign w:val="center"/>
          </w:tcPr>
          <w:p w14:paraId="4940652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电/风</w:t>
            </w:r>
          </w:p>
        </w:tc>
        <w:tc>
          <w:tcPr>
            <w:tcW w:w="360" w:type="pct"/>
            <w:tcBorders>
              <w:top w:val="single" w:color="000000" w:sz="4" w:space="0"/>
              <w:left w:val="single" w:color="000000" w:sz="4" w:space="0"/>
              <w:bottom w:val="single" w:color="000000" w:sz="4" w:space="0"/>
              <w:right w:val="single" w:color="000000" w:sz="4" w:space="0"/>
            </w:tcBorders>
            <w:noWrap w:val="0"/>
            <w:vAlign w:val="center"/>
          </w:tcPr>
          <w:p w14:paraId="637C54D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小计</w:t>
            </w:r>
          </w:p>
        </w:tc>
        <w:tc>
          <w:tcPr>
            <w:tcW w:w="338" w:type="pct"/>
            <w:vMerge w:val="continue"/>
            <w:tcBorders>
              <w:top w:val="single" w:color="000000" w:sz="4" w:space="0"/>
              <w:left w:val="single" w:color="000000" w:sz="4" w:space="0"/>
              <w:bottom w:val="single" w:color="000000" w:sz="4" w:space="0"/>
              <w:right w:val="single" w:color="000000" w:sz="4" w:space="0"/>
            </w:tcBorders>
            <w:noWrap/>
            <w:vAlign w:val="center"/>
          </w:tcPr>
          <w:p w14:paraId="361C6F7E">
            <w:pPr>
              <w:jc w:val="center"/>
              <w:rPr>
                <w:rFonts w:hint="default" w:ascii="Times New Roman" w:hAnsi="Times New Roman" w:eastAsia="宋体" w:cs="Times New Roman"/>
                <w:i w:val="0"/>
                <w:iCs w:val="0"/>
                <w:color w:val="auto"/>
                <w:sz w:val="21"/>
                <w:szCs w:val="21"/>
                <w:highlight w:val="none"/>
                <w:u w:val="none"/>
              </w:rPr>
            </w:pPr>
          </w:p>
        </w:tc>
      </w:tr>
      <w:tr w14:paraId="5913C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62" w:type="pct"/>
            <w:tcBorders>
              <w:top w:val="single" w:color="000000" w:sz="4" w:space="0"/>
              <w:left w:val="single" w:color="000000" w:sz="4" w:space="0"/>
              <w:bottom w:val="single" w:color="000000" w:sz="4" w:space="0"/>
              <w:right w:val="single" w:color="000000" w:sz="4" w:space="0"/>
            </w:tcBorders>
            <w:noWrap/>
            <w:vAlign w:val="center"/>
          </w:tcPr>
          <w:p w14:paraId="69F2549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16"/>
                <w:szCs w:val="16"/>
                <w:highlight w:val="none"/>
                <w:u w:val="none"/>
                <w:lang w:val="en-US" w:eastAsia="zh-CN" w:bidi="ar"/>
              </w:rPr>
              <w:t xml:space="preserve">1014 </w:t>
            </w:r>
          </w:p>
        </w:tc>
        <w:tc>
          <w:tcPr>
            <w:tcW w:w="732" w:type="pct"/>
            <w:tcBorders>
              <w:top w:val="single" w:color="000000" w:sz="4" w:space="0"/>
              <w:left w:val="single" w:color="000000" w:sz="4" w:space="0"/>
              <w:bottom w:val="single" w:color="000000" w:sz="4" w:space="0"/>
              <w:right w:val="single" w:color="000000" w:sz="4" w:space="0"/>
            </w:tcBorders>
            <w:noWrap/>
            <w:vAlign w:val="center"/>
          </w:tcPr>
          <w:p w14:paraId="4D2420E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宋体" w:hAnsi="宋体" w:eastAsia="宋体" w:cs="宋体"/>
                <w:i w:val="0"/>
                <w:iCs w:val="0"/>
                <w:color w:val="auto"/>
                <w:kern w:val="0"/>
                <w:sz w:val="16"/>
                <w:szCs w:val="16"/>
                <w:highlight w:val="none"/>
                <w:u w:val="none"/>
                <w:lang w:val="en-US" w:eastAsia="zh-CN" w:bidi="ar"/>
              </w:rPr>
              <w:t>推土机</w:t>
            </w:r>
            <w:r>
              <w:rPr>
                <w:rFonts w:hint="default" w:ascii="Times New Roman" w:hAnsi="Times New Roman" w:eastAsia="宋体" w:cs="Times New Roman"/>
                <w:i w:val="0"/>
                <w:iCs w:val="0"/>
                <w:color w:val="auto"/>
                <w:kern w:val="0"/>
                <w:sz w:val="16"/>
                <w:szCs w:val="16"/>
                <w:highlight w:val="none"/>
                <w:u w:val="none"/>
                <w:lang w:val="en-US" w:eastAsia="zh-CN" w:bidi="ar"/>
              </w:rPr>
              <w:t>74kW</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5B031A7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16"/>
                <w:szCs w:val="16"/>
                <w:highlight w:val="none"/>
                <w:u w:val="none"/>
                <w:lang w:val="en-US" w:eastAsia="zh-CN" w:bidi="ar"/>
              </w:rPr>
              <w:t xml:space="preserve">81.76 </w:t>
            </w:r>
          </w:p>
        </w:tc>
        <w:tc>
          <w:tcPr>
            <w:tcW w:w="699" w:type="pct"/>
            <w:tcBorders>
              <w:top w:val="single" w:color="000000" w:sz="4" w:space="0"/>
              <w:left w:val="single" w:color="000000" w:sz="4" w:space="0"/>
              <w:bottom w:val="single" w:color="000000" w:sz="4" w:space="0"/>
              <w:right w:val="single" w:color="000000" w:sz="4" w:space="0"/>
            </w:tcBorders>
            <w:noWrap/>
            <w:vAlign w:val="center"/>
          </w:tcPr>
          <w:p w14:paraId="32796E0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16"/>
                <w:szCs w:val="16"/>
                <w:highlight w:val="none"/>
                <w:u w:val="none"/>
                <w:lang w:val="en-US" w:eastAsia="zh-CN" w:bidi="ar"/>
              </w:rPr>
              <w:t xml:space="preserve">101.76 </w:t>
            </w:r>
          </w:p>
        </w:tc>
        <w:tc>
          <w:tcPr>
            <w:tcW w:w="466" w:type="pct"/>
            <w:tcBorders>
              <w:top w:val="single" w:color="000000" w:sz="4" w:space="0"/>
              <w:left w:val="single" w:color="000000" w:sz="4" w:space="0"/>
              <w:bottom w:val="single" w:color="000000" w:sz="4" w:space="0"/>
              <w:right w:val="single" w:color="000000" w:sz="4" w:space="0"/>
            </w:tcBorders>
            <w:noWrap/>
            <w:vAlign w:val="center"/>
          </w:tcPr>
          <w:p w14:paraId="75D3683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16"/>
                <w:szCs w:val="16"/>
                <w:highlight w:val="none"/>
                <w:u w:val="none"/>
                <w:lang w:val="en-US" w:eastAsia="zh-CN" w:bidi="ar"/>
              </w:rPr>
              <w:t xml:space="preserve">4.18 </w:t>
            </w:r>
          </w:p>
        </w:tc>
        <w:tc>
          <w:tcPr>
            <w:tcW w:w="360" w:type="pct"/>
            <w:tcBorders>
              <w:top w:val="single" w:color="000000" w:sz="4" w:space="0"/>
              <w:left w:val="single" w:color="000000" w:sz="4" w:space="0"/>
              <w:bottom w:val="single" w:color="000000" w:sz="4" w:space="0"/>
              <w:right w:val="single" w:color="000000" w:sz="4" w:space="0"/>
            </w:tcBorders>
            <w:noWrap/>
            <w:vAlign w:val="center"/>
          </w:tcPr>
          <w:p w14:paraId="05EB08C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16"/>
                <w:szCs w:val="16"/>
                <w:highlight w:val="none"/>
                <w:u w:val="none"/>
                <w:lang w:val="en-US" w:eastAsia="zh-CN" w:bidi="ar"/>
              </w:rPr>
              <w:t xml:space="preserve">187.70 </w:t>
            </w:r>
          </w:p>
        </w:tc>
        <w:tc>
          <w:tcPr>
            <w:tcW w:w="351" w:type="pct"/>
            <w:tcBorders>
              <w:top w:val="single" w:color="000000" w:sz="4" w:space="0"/>
              <w:left w:val="single" w:color="000000" w:sz="4" w:space="0"/>
              <w:bottom w:val="single" w:color="000000" w:sz="4" w:space="0"/>
              <w:right w:val="single" w:color="000000" w:sz="4" w:space="0"/>
            </w:tcBorders>
            <w:noWrap/>
            <w:vAlign w:val="center"/>
          </w:tcPr>
          <w:p w14:paraId="07F0E93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16"/>
                <w:szCs w:val="16"/>
                <w:highlight w:val="none"/>
                <w:u w:val="none"/>
                <w:lang w:val="en-US" w:eastAsia="zh-CN" w:bidi="ar"/>
              </w:rPr>
              <w:t xml:space="preserve">102.08 </w:t>
            </w:r>
          </w:p>
        </w:tc>
        <w:tc>
          <w:tcPr>
            <w:tcW w:w="314" w:type="pct"/>
            <w:tcBorders>
              <w:top w:val="single" w:color="000000" w:sz="4" w:space="0"/>
              <w:left w:val="single" w:color="000000" w:sz="4" w:space="0"/>
              <w:bottom w:val="single" w:color="000000" w:sz="4" w:space="0"/>
              <w:right w:val="single" w:color="000000" w:sz="4" w:space="0"/>
            </w:tcBorders>
            <w:noWrap/>
            <w:vAlign w:val="center"/>
          </w:tcPr>
          <w:p w14:paraId="6B64616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16"/>
                <w:szCs w:val="16"/>
                <w:highlight w:val="none"/>
                <w:u w:val="none"/>
                <w:lang w:val="en-US" w:eastAsia="zh-CN" w:bidi="ar"/>
              </w:rPr>
              <w:t xml:space="preserve">0.00 </w:t>
            </w:r>
          </w:p>
        </w:tc>
        <w:tc>
          <w:tcPr>
            <w:tcW w:w="351" w:type="pct"/>
            <w:tcBorders>
              <w:top w:val="single" w:color="000000" w:sz="4" w:space="0"/>
              <w:left w:val="single" w:color="000000" w:sz="4" w:space="0"/>
              <w:bottom w:val="single" w:color="000000" w:sz="4" w:space="0"/>
              <w:right w:val="single" w:color="000000" w:sz="4" w:space="0"/>
            </w:tcBorders>
            <w:noWrap/>
            <w:vAlign w:val="center"/>
          </w:tcPr>
          <w:p w14:paraId="00839FC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16"/>
                <w:szCs w:val="16"/>
                <w:highlight w:val="none"/>
                <w:u w:val="none"/>
                <w:lang w:val="en-US" w:eastAsia="zh-CN" w:bidi="ar"/>
              </w:rPr>
              <w:t xml:space="preserve">247.50 </w:t>
            </w:r>
          </w:p>
        </w:tc>
        <w:tc>
          <w:tcPr>
            <w:tcW w:w="351" w:type="pct"/>
            <w:tcBorders>
              <w:top w:val="single" w:color="000000" w:sz="4" w:space="0"/>
              <w:left w:val="single" w:color="000000" w:sz="4" w:space="0"/>
              <w:bottom w:val="single" w:color="000000" w:sz="4" w:space="0"/>
              <w:right w:val="single" w:color="000000" w:sz="4" w:space="0"/>
            </w:tcBorders>
            <w:noWrap/>
            <w:vAlign w:val="center"/>
          </w:tcPr>
          <w:p w14:paraId="5CFB3229">
            <w:pPr>
              <w:jc w:val="center"/>
              <w:rPr>
                <w:rFonts w:hint="default" w:ascii="Times New Roman" w:hAnsi="Times New Roman" w:eastAsia="宋体" w:cs="Times New Roman"/>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noWrap/>
            <w:vAlign w:val="center"/>
          </w:tcPr>
          <w:p w14:paraId="7D68A38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16"/>
                <w:szCs w:val="16"/>
                <w:highlight w:val="none"/>
                <w:u w:val="none"/>
                <w:lang w:val="en-US" w:eastAsia="zh-CN" w:bidi="ar"/>
              </w:rPr>
              <w:t xml:space="preserve">349.58 </w:t>
            </w:r>
          </w:p>
        </w:tc>
        <w:tc>
          <w:tcPr>
            <w:tcW w:w="338" w:type="pct"/>
            <w:tcBorders>
              <w:top w:val="single" w:color="000000" w:sz="4" w:space="0"/>
              <w:left w:val="single" w:color="000000" w:sz="4" w:space="0"/>
              <w:bottom w:val="single" w:color="000000" w:sz="4" w:space="0"/>
              <w:right w:val="single" w:color="000000" w:sz="4" w:space="0"/>
            </w:tcBorders>
            <w:noWrap/>
            <w:vAlign w:val="center"/>
          </w:tcPr>
          <w:p w14:paraId="5B95F55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16"/>
                <w:szCs w:val="16"/>
                <w:highlight w:val="none"/>
                <w:u w:val="none"/>
                <w:lang w:val="en-US" w:eastAsia="zh-CN" w:bidi="ar"/>
              </w:rPr>
              <w:t xml:space="preserve">537.28 </w:t>
            </w:r>
          </w:p>
        </w:tc>
      </w:tr>
      <w:tr w14:paraId="632E99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62" w:type="pct"/>
            <w:tcBorders>
              <w:top w:val="single" w:color="000000" w:sz="4" w:space="0"/>
              <w:left w:val="single" w:color="000000" w:sz="4" w:space="0"/>
              <w:bottom w:val="single" w:color="000000" w:sz="4" w:space="0"/>
              <w:right w:val="single" w:color="000000" w:sz="4" w:space="0"/>
            </w:tcBorders>
            <w:noWrap/>
            <w:vAlign w:val="center"/>
          </w:tcPr>
          <w:p w14:paraId="4824CFB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16"/>
                <w:szCs w:val="16"/>
                <w:highlight w:val="none"/>
                <w:u w:val="none"/>
                <w:lang w:val="en-US" w:eastAsia="zh-CN" w:bidi="ar"/>
              </w:rPr>
              <w:t xml:space="preserve">1013 </w:t>
            </w:r>
          </w:p>
        </w:tc>
        <w:tc>
          <w:tcPr>
            <w:tcW w:w="732" w:type="pct"/>
            <w:tcBorders>
              <w:top w:val="single" w:color="000000" w:sz="4" w:space="0"/>
              <w:left w:val="single" w:color="000000" w:sz="4" w:space="0"/>
              <w:bottom w:val="single" w:color="000000" w:sz="4" w:space="0"/>
              <w:right w:val="single" w:color="000000" w:sz="4" w:space="0"/>
            </w:tcBorders>
            <w:noWrap/>
            <w:vAlign w:val="center"/>
          </w:tcPr>
          <w:p w14:paraId="23FFA11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宋体" w:hAnsi="宋体" w:eastAsia="宋体" w:cs="宋体"/>
                <w:i w:val="0"/>
                <w:iCs w:val="0"/>
                <w:color w:val="auto"/>
                <w:kern w:val="0"/>
                <w:sz w:val="16"/>
                <w:szCs w:val="16"/>
                <w:highlight w:val="none"/>
                <w:u w:val="none"/>
                <w:lang w:val="en-US" w:eastAsia="zh-CN" w:bidi="ar"/>
              </w:rPr>
              <w:t>推土机</w:t>
            </w:r>
            <w:r>
              <w:rPr>
                <w:rFonts w:hint="default" w:ascii="Times New Roman" w:hAnsi="Times New Roman" w:eastAsia="宋体" w:cs="Times New Roman"/>
                <w:i w:val="0"/>
                <w:iCs w:val="0"/>
                <w:color w:val="auto"/>
                <w:kern w:val="0"/>
                <w:sz w:val="16"/>
                <w:szCs w:val="16"/>
                <w:highlight w:val="none"/>
                <w:u w:val="none"/>
                <w:lang w:val="en-US" w:eastAsia="zh-CN" w:bidi="ar"/>
              </w:rPr>
              <w:t>59kW</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4B4C4B4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16"/>
                <w:szCs w:val="16"/>
                <w:highlight w:val="none"/>
                <w:u w:val="none"/>
                <w:lang w:val="en-US" w:eastAsia="zh-CN" w:bidi="ar"/>
              </w:rPr>
              <w:t xml:space="preserve">29.66 </w:t>
            </w:r>
          </w:p>
        </w:tc>
        <w:tc>
          <w:tcPr>
            <w:tcW w:w="699" w:type="pct"/>
            <w:tcBorders>
              <w:top w:val="single" w:color="000000" w:sz="4" w:space="0"/>
              <w:left w:val="single" w:color="000000" w:sz="4" w:space="0"/>
              <w:bottom w:val="single" w:color="000000" w:sz="4" w:space="0"/>
              <w:right w:val="single" w:color="000000" w:sz="4" w:space="0"/>
            </w:tcBorders>
            <w:noWrap/>
            <w:vAlign w:val="center"/>
          </w:tcPr>
          <w:p w14:paraId="7D19D46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16"/>
                <w:szCs w:val="16"/>
                <w:highlight w:val="none"/>
                <w:u w:val="none"/>
                <w:lang w:val="en-US" w:eastAsia="zh-CN" w:bidi="ar"/>
              </w:rPr>
              <w:t xml:space="preserve">37.08 </w:t>
            </w:r>
          </w:p>
        </w:tc>
        <w:tc>
          <w:tcPr>
            <w:tcW w:w="466" w:type="pct"/>
            <w:tcBorders>
              <w:top w:val="single" w:color="000000" w:sz="4" w:space="0"/>
              <w:left w:val="single" w:color="000000" w:sz="4" w:space="0"/>
              <w:bottom w:val="single" w:color="000000" w:sz="4" w:space="0"/>
              <w:right w:val="single" w:color="000000" w:sz="4" w:space="0"/>
            </w:tcBorders>
            <w:noWrap/>
            <w:vAlign w:val="center"/>
          </w:tcPr>
          <w:p w14:paraId="20614BB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16"/>
                <w:szCs w:val="16"/>
                <w:highlight w:val="none"/>
                <w:u w:val="none"/>
                <w:lang w:val="en-US" w:eastAsia="zh-CN" w:bidi="ar"/>
              </w:rPr>
              <w:t xml:space="preserve">1.52 </w:t>
            </w:r>
          </w:p>
        </w:tc>
        <w:tc>
          <w:tcPr>
            <w:tcW w:w="360" w:type="pct"/>
            <w:tcBorders>
              <w:top w:val="single" w:color="000000" w:sz="4" w:space="0"/>
              <w:left w:val="single" w:color="000000" w:sz="4" w:space="0"/>
              <w:bottom w:val="single" w:color="000000" w:sz="4" w:space="0"/>
              <w:right w:val="single" w:color="000000" w:sz="4" w:space="0"/>
            </w:tcBorders>
            <w:noWrap/>
            <w:vAlign w:val="center"/>
          </w:tcPr>
          <w:p w14:paraId="6C7072A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16"/>
                <w:szCs w:val="16"/>
                <w:highlight w:val="none"/>
                <w:u w:val="none"/>
                <w:lang w:val="en-US" w:eastAsia="zh-CN" w:bidi="ar"/>
              </w:rPr>
              <w:t xml:space="preserve">68.27 </w:t>
            </w:r>
          </w:p>
        </w:tc>
        <w:tc>
          <w:tcPr>
            <w:tcW w:w="351" w:type="pct"/>
            <w:tcBorders>
              <w:top w:val="single" w:color="000000" w:sz="4" w:space="0"/>
              <w:left w:val="single" w:color="000000" w:sz="4" w:space="0"/>
              <w:bottom w:val="single" w:color="000000" w:sz="4" w:space="0"/>
              <w:right w:val="single" w:color="000000" w:sz="4" w:space="0"/>
            </w:tcBorders>
            <w:noWrap/>
            <w:vAlign w:val="center"/>
          </w:tcPr>
          <w:p w14:paraId="6B0AD54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16"/>
                <w:szCs w:val="16"/>
                <w:highlight w:val="none"/>
                <w:u w:val="none"/>
                <w:lang w:val="en-US" w:eastAsia="zh-CN" w:bidi="ar"/>
              </w:rPr>
              <w:t xml:space="preserve">102.08 </w:t>
            </w:r>
          </w:p>
        </w:tc>
        <w:tc>
          <w:tcPr>
            <w:tcW w:w="314" w:type="pct"/>
            <w:tcBorders>
              <w:top w:val="single" w:color="000000" w:sz="4" w:space="0"/>
              <w:left w:val="single" w:color="000000" w:sz="4" w:space="0"/>
              <w:bottom w:val="single" w:color="000000" w:sz="4" w:space="0"/>
              <w:right w:val="single" w:color="000000" w:sz="4" w:space="0"/>
            </w:tcBorders>
            <w:noWrap/>
            <w:vAlign w:val="center"/>
          </w:tcPr>
          <w:p w14:paraId="447415B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16"/>
                <w:szCs w:val="16"/>
                <w:highlight w:val="none"/>
                <w:u w:val="none"/>
                <w:lang w:val="en-US" w:eastAsia="zh-CN" w:bidi="ar"/>
              </w:rPr>
              <w:t xml:space="preserve">0.00 </w:t>
            </w:r>
          </w:p>
        </w:tc>
        <w:tc>
          <w:tcPr>
            <w:tcW w:w="351" w:type="pct"/>
            <w:tcBorders>
              <w:top w:val="single" w:color="000000" w:sz="4" w:space="0"/>
              <w:left w:val="single" w:color="000000" w:sz="4" w:space="0"/>
              <w:bottom w:val="single" w:color="000000" w:sz="4" w:space="0"/>
              <w:right w:val="single" w:color="000000" w:sz="4" w:space="0"/>
            </w:tcBorders>
            <w:noWrap/>
            <w:vAlign w:val="center"/>
          </w:tcPr>
          <w:p w14:paraId="2A99B11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16"/>
                <w:szCs w:val="16"/>
                <w:highlight w:val="none"/>
                <w:u w:val="none"/>
                <w:lang w:val="en-US" w:eastAsia="zh-CN" w:bidi="ar"/>
              </w:rPr>
              <w:t xml:space="preserve">198.00 </w:t>
            </w:r>
          </w:p>
        </w:tc>
        <w:tc>
          <w:tcPr>
            <w:tcW w:w="351" w:type="pct"/>
            <w:tcBorders>
              <w:top w:val="single" w:color="000000" w:sz="4" w:space="0"/>
              <w:left w:val="single" w:color="000000" w:sz="4" w:space="0"/>
              <w:bottom w:val="single" w:color="000000" w:sz="4" w:space="0"/>
              <w:right w:val="single" w:color="000000" w:sz="4" w:space="0"/>
            </w:tcBorders>
            <w:noWrap/>
            <w:vAlign w:val="center"/>
          </w:tcPr>
          <w:p w14:paraId="2A5B4DCE">
            <w:pPr>
              <w:jc w:val="center"/>
              <w:rPr>
                <w:rFonts w:hint="default" w:ascii="Times New Roman" w:hAnsi="Times New Roman" w:eastAsia="宋体" w:cs="Times New Roman"/>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noWrap/>
            <w:vAlign w:val="center"/>
          </w:tcPr>
          <w:p w14:paraId="2DB72EA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16"/>
                <w:szCs w:val="16"/>
                <w:highlight w:val="none"/>
                <w:u w:val="none"/>
                <w:lang w:val="en-US" w:eastAsia="zh-CN" w:bidi="ar"/>
              </w:rPr>
              <w:t xml:space="preserve">300.08 </w:t>
            </w:r>
          </w:p>
        </w:tc>
        <w:tc>
          <w:tcPr>
            <w:tcW w:w="338" w:type="pct"/>
            <w:tcBorders>
              <w:top w:val="single" w:color="000000" w:sz="4" w:space="0"/>
              <w:left w:val="single" w:color="000000" w:sz="4" w:space="0"/>
              <w:bottom w:val="single" w:color="000000" w:sz="4" w:space="0"/>
              <w:right w:val="single" w:color="000000" w:sz="4" w:space="0"/>
            </w:tcBorders>
            <w:noWrap/>
            <w:vAlign w:val="center"/>
          </w:tcPr>
          <w:p w14:paraId="4EC5B96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16"/>
                <w:szCs w:val="16"/>
                <w:highlight w:val="none"/>
                <w:u w:val="none"/>
                <w:lang w:val="en-US" w:eastAsia="zh-CN" w:bidi="ar"/>
              </w:rPr>
              <w:t xml:space="preserve">368.35 </w:t>
            </w:r>
          </w:p>
        </w:tc>
      </w:tr>
      <w:tr w14:paraId="4BD8CB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62" w:type="pct"/>
            <w:tcBorders>
              <w:top w:val="single" w:color="000000" w:sz="4" w:space="0"/>
              <w:left w:val="single" w:color="000000" w:sz="4" w:space="0"/>
              <w:bottom w:val="nil"/>
              <w:right w:val="single" w:color="000000" w:sz="4" w:space="0"/>
            </w:tcBorders>
            <w:noWrap/>
            <w:vAlign w:val="center"/>
          </w:tcPr>
          <w:p w14:paraId="7AE4FFB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16"/>
                <w:szCs w:val="16"/>
                <w:highlight w:val="none"/>
                <w:u w:val="none"/>
                <w:lang w:val="en-US" w:eastAsia="zh-CN" w:bidi="ar"/>
              </w:rPr>
              <w:t xml:space="preserve">4015 </w:t>
            </w:r>
          </w:p>
        </w:tc>
        <w:tc>
          <w:tcPr>
            <w:tcW w:w="732" w:type="pct"/>
            <w:tcBorders>
              <w:top w:val="single" w:color="000000" w:sz="4" w:space="0"/>
              <w:left w:val="single" w:color="000000" w:sz="4" w:space="0"/>
              <w:bottom w:val="nil"/>
              <w:right w:val="single" w:color="000000" w:sz="4" w:space="0"/>
            </w:tcBorders>
            <w:noWrap/>
            <w:vAlign w:val="center"/>
          </w:tcPr>
          <w:p w14:paraId="253BEAF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宋体" w:hAnsi="宋体" w:eastAsia="宋体" w:cs="宋体"/>
                <w:i w:val="0"/>
                <w:iCs w:val="0"/>
                <w:color w:val="auto"/>
                <w:kern w:val="0"/>
                <w:sz w:val="16"/>
                <w:szCs w:val="16"/>
                <w:highlight w:val="none"/>
                <w:u w:val="none"/>
                <w:lang w:val="en-US" w:eastAsia="zh-CN" w:bidi="ar"/>
              </w:rPr>
              <w:t>自卸汽车</w:t>
            </w:r>
            <w:r>
              <w:rPr>
                <w:rFonts w:hint="default" w:ascii="Times New Roman" w:hAnsi="Times New Roman" w:eastAsia="宋体" w:cs="Times New Roman"/>
                <w:i w:val="0"/>
                <w:iCs w:val="0"/>
                <w:color w:val="auto"/>
                <w:kern w:val="0"/>
                <w:sz w:val="16"/>
                <w:szCs w:val="16"/>
                <w:highlight w:val="none"/>
                <w:u w:val="none"/>
                <w:lang w:val="en-US" w:eastAsia="zh-CN" w:bidi="ar"/>
              </w:rPr>
              <w:t>15t</w:t>
            </w:r>
          </w:p>
        </w:tc>
        <w:tc>
          <w:tcPr>
            <w:tcW w:w="309" w:type="pct"/>
            <w:tcBorders>
              <w:top w:val="single" w:color="000000" w:sz="4" w:space="0"/>
              <w:left w:val="single" w:color="000000" w:sz="4" w:space="0"/>
              <w:bottom w:val="nil"/>
              <w:right w:val="single" w:color="000000" w:sz="4" w:space="0"/>
            </w:tcBorders>
            <w:noWrap/>
            <w:vAlign w:val="center"/>
          </w:tcPr>
          <w:p w14:paraId="61B22F8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16"/>
                <w:szCs w:val="16"/>
                <w:highlight w:val="none"/>
                <w:u w:val="none"/>
                <w:lang w:val="en-US" w:eastAsia="zh-CN" w:bidi="ar"/>
              </w:rPr>
              <w:t xml:space="preserve">168.62 </w:t>
            </w:r>
          </w:p>
        </w:tc>
        <w:tc>
          <w:tcPr>
            <w:tcW w:w="699" w:type="pct"/>
            <w:tcBorders>
              <w:top w:val="single" w:color="000000" w:sz="4" w:space="0"/>
              <w:left w:val="single" w:color="000000" w:sz="4" w:space="0"/>
              <w:bottom w:val="nil"/>
              <w:right w:val="single" w:color="000000" w:sz="4" w:space="0"/>
            </w:tcBorders>
            <w:noWrap/>
            <w:vAlign w:val="center"/>
          </w:tcPr>
          <w:p w14:paraId="41F6203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16"/>
                <w:szCs w:val="16"/>
                <w:highlight w:val="none"/>
                <w:u w:val="none"/>
                <w:lang w:val="en-US" w:eastAsia="zh-CN" w:bidi="ar"/>
              </w:rPr>
              <w:t xml:space="preserve">122.37 </w:t>
            </w:r>
          </w:p>
        </w:tc>
        <w:tc>
          <w:tcPr>
            <w:tcW w:w="466" w:type="pct"/>
            <w:tcBorders>
              <w:top w:val="single" w:color="000000" w:sz="4" w:space="0"/>
              <w:left w:val="single" w:color="000000" w:sz="4" w:space="0"/>
              <w:bottom w:val="nil"/>
              <w:right w:val="single" w:color="000000" w:sz="4" w:space="0"/>
            </w:tcBorders>
            <w:noWrap/>
            <w:vAlign w:val="center"/>
          </w:tcPr>
          <w:p w14:paraId="6F7E6B81">
            <w:pPr>
              <w:jc w:val="center"/>
              <w:rPr>
                <w:rFonts w:hint="default" w:ascii="Times New Roman" w:hAnsi="Times New Roman" w:eastAsia="宋体" w:cs="Times New Roman"/>
                <w:i w:val="0"/>
                <w:iCs w:val="0"/>
                <w:color w:val="auto"/>
                <w:sz w:val="21"/>
                <w:szCs w:val="21"/>
                <w:highlight w:val="none"/>
                <w:u w:val="none"/>
              </w:rPr>
            </w:pPr>
          </w:p>
        </w:tc>
        <w:tc>
          <w:tcPr>
            <w:tcW w:w="360" w:type="pct"/>
            <w:tcBorders>
              <w:top w:val="single" w:color="000000" w:sz="4" w:space="0"/>
              <w:left w:val="single" w:color="000000" w:sz="4" w:space="0"/>
              <w:bottom w:val="nil"/>
              <w:right w:val="single" w:color="000000" w:sz="4" w:space="0"/>
            </w:tcBorders>
            <w:noWrap/>
            <w:vAlign w:val="center"/>
          </w:tcPr>
          <w:p w14:paraId="0034688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16"/>
                <w:szCs w:val="16"/>
                <w:highlight w:val="none"/>
                <w:u w:val="none"/>
                <w:lang w:val="en-US" w:eastAsia="zh-CN" w:bidi="ar"/>
              </w:rPr>
              <w:t xml:space="preserve">290.99 </w:t>
            </w:r>
          </w:p>
        </w:tc>
        <w:tc>
          <w:tcPr>
            <w:tcW w:w="351" w:type="pct"/>
            <w:tcBorders>
              <w:top w:val="single" w:color="000000" w:sz="4" w:space="0"/>
              <w:left w:val="single" w:color="000000" w:sz="4" w:space="0"/>
              <w:bottom w:val="nil"/>
              <w:right w:val="single" w:color="000000" w:sz="4" w:space="0"/>
            </w:tcBorders>
            <w:noWrap/>
            <w:vAlign w:val="center"/>
          </w:tcPr>
          <w:p w14:paraId="6C54B32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16"/>
                <w:szCs w:val="16"/>
                <w:highlight w:val="none"/>
                <w:u w:val="none"/>
                <w:lang w:val="en-US" w:eastAsia="zh-CN" w:bidi="ar"/>
              </w:rPr>
              <w:t xml:space="preserve">102.08 </w:t>
            </w:r>
          </w:p>
        </w:tc>
        <w:tc>
          <w:tcPr>
            <w:tcW w:w="314" w:type="pct"/>
            <w:tcBorders>
              <w:top w:val="single" w:color="000000" w:sz="4" w:space="0"/>
              <w:left w:val="single" w:color="000000" w:sz="4" w:space="0"/>
              <w:bottom w:val="nil"/>
              <w:right w:val="single" w:color="000000" w:sz="4" w:space="0"/>
            </w:tcBorders>
            <w:noWrap/>
            <w:vAlign w:val="center"/>
          </w:tcPr>
          <w:p w14:paraId="5D8F012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16"/>
                <w:szCs w:val="16"/>
                <w:highlight w:val="none"/>
                <w:u w:val="none"/>
                <w:lang w:val="en-US" w:eastAsia="zh-CN" w:bidi="ar"/>
              </w:rPr>
              <w:t xml:space="preserve">0.00 </w:t>
            </w:r>
          </w:p>
        </w:tc>
        <w:tc>
          <w:tcPr>
            <w:tcW w:w="351" w:type="pct"/>
            <w:tcBorders>
              <w:top w:val="single" w:color="000000" w:sz="4" w:space="0"/>
              <w:left w:val="single" w:color="000000" w:sz="4" w:space="0"/>
              <w:bottom w:val="nil"/>
              <w:right w:val="single" w:color="000000" w:sz="4" w:space="0"/>
            </w:tcBorders>
            <w:noWrap/>
            <w:vAlign w:val="center"/>
          </w:tcPr>
          <w:p w14:paraId="29486F3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16"/>
                <w:szCs w:val="16"/>
                <w:highlight w:val="none"/>
                <w:u w:val="none"/>
                <w:lang w:val="en-US" w:eastAsia="zh-CN" w:bidi="ar"/>
              </w:rPr>
              <w:t xml:space="preserve">283.50 </w:t>
            </w:r>
          </w:p>
        </w:tc>
        <w:tc>
          <w:tcPr>
            <w:tcW w:w="351" w:type="pct"/>
            <w:tcBorders>
              <w:top w:val="single" w:color="000000" w:sz="4" w:space="0"/>
              <w:left w:val="single" w:color="000000" w:sz="4" w:space="0"/>
              <w:bottom w:val="nil"/>
              <w:right w:val="single" w:color="000000" w:sz="4" w:space="0"/>
            </w:tcBorders>
            <w:noWrap/>
            <w:vAlign w:val="center"/>
          </w:tcPr>
          <w:p w14:paraId="1BABFFCC">
            <w:pPr>
              <w:jc w:val="center"/>
              <w:rPr>
                <w:rFonts w:hint="default" w:ascii="Times New Roman" w:hAnsi="Times New Roman" w:eastAsia="宋体" w:cs="Times New Roman"/>
                <w:i w:val="0"/>
                <w:iCs w:val="0"/>
                <w:color w:val="auto"/>
                <w:sz w:val="21"/>
                <w:szCs w:val="21"/>
                <w:highlight w:val="none"/>
                <w:u w:val="none"/>
              </w:rPr>
            </w:pPr>
          </w:p>
        </w:tc>
        <w:tc>
          <w:tcPr>
            <w:tcW w:w="360" w:type="pct"/>
            <w:tcBorders>
              <w:top w:val="single" w:color="000000" w:sz="4" w:space="0"/>
              <w:left w:val="single" w:color="000000" w:sz="4" w:space="0"/>
              <w:bottom w:val="nil"/>
              <w:right w:val="single" w:color="000000" w:sz="4" w:space="0"/>
            </w:tcBorders>
            <w:noWrap/>
            <w:vAlign w:val="center"/>
          </w:tcPr>
          <w:p w14:paraId="10AAABA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16"/>
                <w:szCs w:val="16"/>
                <w:highlight w:val="none"/>
                <w:u w:val="none"/>
                <w:lang w:val="en-US" w:eastAsia="zh-CN" w:bidi="ar"/>
              </w:rPr>
              <w:t xml:space="preserve">385.58 </w:t>
            </w:r>
          </w:p>
        </w:tc>
        <w:tc>
          <w:tcPr>
            <w:tcW w:w="338" w:type="pct"/>
            <w:tcBorders>
              <w:top w:val="single" w:color="000000" w:sz="4" w:space="0"/>
              <w:left w:val="single" w:color="000000" w:sz="4" w:space="0"/>
              <w:bottom w:val="nil"/>
              <w:right w:val="single" w:color="000000" w:sz="4" w:space="0"/>
            </w:tcBorders>
            <w:noWrap/>
            <w:vAlign w:val="center"/>
          </w:tcPr>
          <w:p w14:paraId="61213AB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16"/>
                <w:szCs w:val="16"/>
                <w:highlight w:val="none"/>
                <w:u w:val="none"/>
                <w:lang w:val="en-US" w:eastAsia="zh-CN" w:bidi="ar"/>
              </w:rPr>
              <w:t xml:space="preserve">676.57 </w:t>
            </w:r>
          </w:p>
        </w:tc>
      </w:tr>
      <w:tr w14:paraId="5CF2D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62" w:type="pct"/>
            <w:tcBorders>
              <w:top w:val="single" w:color="000000" w:sz="4" w:space="0"/>
              <w:left w:val="single" w:color="000000" w:sz="4" w:space="0"/>
              <w:bottom w:val="single" w:color="000000" w:sz="4" w:space="0"/>
              <w:right w:val="single" w:color="000000" w:sz="4" w:space="0"/>
            </w:tcBorders>
            <w:noWrap/>
            <w:vAlign w:val="center"/>
          </w:tcPr>
          <w:p w14:paraId="06EA77B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16"/>
                <w:szCs w:val="16"/>
                <w:highlight w:val="none"/>
                <w:u w:val="none"/>
                <w:lang w:val="en-US" w:eastAsia="zh-CN" w:bidi="ar"/>
              </w:rPr>
              <w:t xml:space="preserve">1004 </w:t>
            </w:r>
          </w:p>
        </w:tc>
        <w:tc>
          <w:tcPr>
            <w:tcW w:w="732" w:type="pct"/>
            <w:tcBorders>
              <w:top w:val="single" w:color="000000" w:sz="4" w:space="0"/>
              <w:left w:val="single" w:color="000000" w:sz="4" w:space="0"/>
              <w:bottom w:val="single" w:color="000000" w:sz="4" w:space="0"/>
              <w:right w:val="single" w:color="000000" w:sz="4" w:space="0"/>
            </w:tcBorders>
            <w:noWrap/>
            <w:vAlign w:val="center"/>
          </w:tcPr>
          <w:p w14:paraId="4CC6F1A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16"/>
                <w:szCs w:val="16"/>
                <w:highlight w:val="none"/>
                <w:u w:val="none"/>
                <w:lang w:val="en-US" w:eastAsia="zh-CN" w:bidi="ar"/>
              </w:rPr>
              <w:t>单斗油动挖掘机</w:t>
            </w:r>
            <w:r>
              <w:rPr>
                <w:rFonts w:hint="default" w:ascii="Times New Roman" w:hAnsi="Times New Roman" w:eastAsia="宋体" w:cs="Times New Roman"/>
                <w:i w:val="0"/>
                <w:iCs w:val="0"/>
                <w:color w:val="auto"/>
                <w:kern w:val="0"/>
                <w:sz w:val="16"/>
                <w:szCs w:val="16"/>
                <w:highlight w:val="none"/>
                <w:u w:val="none"/>
                <w:lang w:val="en-US" w:eastAsia="zh-CN" w:bidi="ar"/>
              </w:rPr>
              <w:t>1m</w:t>
            </w:r>
            <w:r>
              <w:rPr>
                <w:rFonts w:hint="default" w:ascii="Times New Roman" w:hAnsi="Times New Roman" w:eastAsia="宋体" w:cs="Times New Roman"/>
                <w:i w:val="0"/>
                <w:iCs w:val="0"/>
                <w:color w:val="auto"/>
                <w:kern w:val="0"/>
                <w:sz w:val="16"/>
                <w:szCs w:val="16"/>
                <w:highlight w:val="none"/>
                <w:u w:val="none"/>
                <w:vertAlign w:val="superscript"/>
                <w:lang w:val="en-US" w:eastAsia="zh-CN" w:bidi="ar"/>
              </w:rPr>
              <w:t>3</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3D58754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16"/>
                <w:szCs w:val="16"/>
                <w:highlight w:val="none"/>
                <w:u w:val="none"/>
                <w:lang w:val="en-US" w:eastAsia="zh-CN" w:bidi="ar"/>
              </w:rPr>
              <w:t xml:space="preserve">140.82 </w:t>
            </w:r>
          </w:p>
        </w:tc>
        <w:tc>
          <w:tcPr>
            <w:tcW w:w="699" w:type="pct"/>
            <w:tcBorders>
              <w:top w:val="single" w:color="000000" w:sz="4" w:space="0"/>
              <w:left w:val="single" w:color="000000" w:sz="4" w:space="0"/>
              <w:bottom w:val="single" w:color="000000" w:sz="4" w:space="0"/>
              <w:right w:val="single" w:color="000000" w:sz="4" w:space="0"/>
            </w:tcBorders>
            <w:noWrap/>
            <w:vAlign w:val="center"/>
          </w:tcPr>
          <w:p w14:paraId="5014926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16"/>
                <w:szCs w:val="16"/>
                <w:highlight w:val="none"/>
                <w:u w:val="none"/>
                <w:lang w:val="en-US" w:eastAsia="zh-CN" w:bidi="ar"/>
              </w:rPr>
              <w:t xml:space="preserve">150.36 </w:t>
            </w:r>
          </w:p>
        </w:tc>
        <w:tc>
          <w:tcPr>
            <w:tcW w:w="466" w:type="pct"/>
            <w:tcBorders>
              <w:top w:val="single" w:color="000000" w:sz="4" w:space="0"/>
              <w:left w:val="single" w:color="000000" w:sz="4" w:space="0"/>
              <w:bottom w:val="single" w:color="000000" w:sz="4" w:space="0"/>
              <w:right w:val="single" w:color="000000" w:sz="4" w:space="0"/>
            </w:tcBorders>
            <w:noWrap/>
            <w:vAlign w:val="center"/>
          </w:tcPr>
          <w:p w14:paraId="0C7C110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16"/>
                <w:szCs w:val="16"/>
                <w:highlight w:val="none"/>
                <w:u w:val="none"/>
                <w:lang w:val="en-US" w:eastAsia="zh-CN" w:bidi="ar"/>
              </w:rPr>
              <w:t xml:space="preserve">13.39 </w:t>
            </w:r>
          </w:p>
        </w:tc>
        <w:tc>
          <w:tcPr>
            <w:tcW w:w="360" w:type="pct"/>
            <w:tcBorders>
              <w:top w:val="single" w:color="000000" w:sz="4" w:space="0"/>
              <w:left w:val="single" w:color="000000" w:sz="4" w:space="0"/>
              <w:bottom w:val="single" w:color="000000" w:sz="4" w:space="0"/>
              <w:right w:val="single" w:color="000000" w:sz="4" w:space="0"/>
            </w:tcBorders>
            <w:noWrap/>
            <w:vAlign w:val="center"/>
          </w:tcPr>
          <w:p w14:paraId="51896F2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16"/>
                <w:szCs w:val="16"/>
                <w:highlight w:val="none"/>
                <w:u w:val="none"/>
                <w:lang w:val="en-US" w:eastAsia="zh-CN" w:bidi="ar"/>
              </w:rPr>
              <w:t xml:space="preserve">304.57 </w:t>
            </w:r>
          </w:p>
        </w:tc>
        <w:tc>
          <w:tcPr>
            <w:tcW w:w="351" w:type="pct"/>
            <w:tcBorders>
              <w:top w:val="single" w:color="000000" w:sz="4" w:space="0"/>
              <w:left w:val="single" w:color="000000" w:sz="4" w:space="0"/>
              <w:bottom w:val="single" w:color="000000" w:sz="4" w:space="0"/>
              <w:right w:val="single" w:color="000000" w:sz="4" w:space="0"/>
            </w:tcBorders>
            <w:noWrap/>
            <w:vAlign w:val="center"/>
          </w:tcPr>
          <w:p w14:paraId="78E3EF7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16"/>
                <w:szCs w:val="16"/>
                <w:highlight w:val="none"/>
                <w:u w:val="none"/>
                <w:lang w:val="en-US" w:eastAsia="zh-CN" w:bidi="ar"/>
              </w:rPr>
              <w:t xml:space="preserve">102.08 </w:t>
            </w:r>
          </w:p>
        </w:tc>
        <w:tc>
          <w:tcPr>
            <w:tcW w:w="314" w:type="pct"/>
            <w:tcBorders>
              <w:top w:val="single" w:color="000000" w:sz="4" w:space="0"/>
              <w:left w:val="single" w:color="000000" w:sz="4" w:space="0"/>
              <w:bottom w:val="single" w:color="000000" w:sz="4" w:space="0"/>
              <w:right w:val="single" w:color="000000" w:sz="4" w:space="0"/>
            </w:tcBorders>
            <w:noWrap/>
            <w:vAlign w:val="center"/>
          </w:tcPr>
          <w:p w14:paraId="2F48FE1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16"/>
                <w:szCs w:val="16"/>
                <w:highlight w:val="none"/>
                <w:u w:val="none"/>
                <w:lang w:val="en-US" w:eastAsia="zh-CN" w:bidi="ar"/>
              </w:rPr>
              <w:t xml:space="preserve">0.00 </w:t>
            </w:r>
          </w:p>
        </w:tc>
        <w:tc>
          <w:tcPr>
            <w:tcW w:w="351" w:type="pct"/>
            <w:tcBorders>
              <w:top w:val="single" w:color="000000" w:sz="4" w:space="0"/>
              <w:left w:val="single" w:color="000000" w:sz="4" w:space="0"/>
              <w:bottom w:val="single" w:color="000000" w:sz="4" w:space="0"/>
              <w:right w:val="single" w:color="000000" w:sz="4" w:space="0"/>
            </w:tcBorders>
            <w:noWrap/>
            <w:vAlign w:val="center"/>
          </w:tcPr>
          <w:p w14:paraId="2ECD782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16"/>
                <w:szCs w:val="16"/>
                <w:highlight w:val="none"/>
                <w:u w:val="none"/>
                <w:lang w:val="en-US" w:eastAsia="zh-CN" w:bidi="ar"/>
              </w:rPr>
              <w:t xml:space="preserve">324.00 </w:t>
            </w:r>
          </w:p>
        </w:tc>
        <w:tc>
          <w:tcPr>
            <w:tcW w:w="351" w:type="pct"/>
            <w:tcBorders>
              <w:top w:val="single" w:color="000000" w:sz="4" w:space="0"/>
              <w:left w:val="single" w:color="000000" w:sz="4" w:space="0"/>
              <w:bottom w:val="single" w:color="000000" w:sz="4" w:space="0"/>
              <w:right w:val="single" w:color="000000" w:sz="4" w:space="0"/>
            </w:tcBorders>
            <w:noWrap/>
            <w:vAlign w:val="center"/>
          </w:tcPr>
          <w:p w14:paraId="7916D650">
            <w:pPr>
              <w:jc w:val="center"/>
              <w:rPr>
                <w:rFonts w:hint="default" w:ascii="Times New Roman" w:hAnsi="Times New Roman" w:eastAsia="宋体" w:cs="Times New Roman"/>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noWrap/>
            <w:vAlign w:val="center"/>
          </w:tcPr>
          <w:p w14:paraId="36DCB5F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16"/>
                <w:szCs w:val="16"/>
                <w:highlight w:val="none"/>
                <w:u w:val="none"/>
                <w:lang w:val="en-US" w:eastAsia="zh-CN" w:bidi="ar"/>
              </w:rPr>
              <w:t xml:space="preserve">426.08 </w:t>
            </w:r>
          </w:p>
        </w:tc>
        <w:tc>
          <w:tcPr>
            <w:tcW w:w="338" w:type="pct"/>
            <w:tcBorders>
              <w:top w:val="single" w:color="000000" w:sz="4" w:space="0"/>
              <w:left w:val="single" w:color="000000" w:sz="4" w:space="0"/>
              <w:bottom w:val="single" w:color="000000" w:sz="4" w:space="0"/>
              <w:right w:val="single" w:color="000000" w:sz="4" w:space="0"/>
            </w:tcBorders>
            <w:noWrap/>
            <w:vAlign w:val="center"/>
          </w:tcPr>
          <w:p w14:paraId="0580139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16"/>
                <w:szCs w:val="16"/>
                <w:highlight w:val="none"/>
                <w:u w:val="none"/>
                <w:lang w:val="en-US" w:eastAsia="zh-CN" w:bidi="ar"/>
              </w:rPr>
              <w:t xml:space="preserve">730.65 </w:t>
            </w:r>
          </w:p>
        </w:tc>
      </w:tr>
      <w:tr w14:paraId="764182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62" w:type="pct"/>
            <w:tcBorders>
              <w:top w:val="single" w:color="000000" w:sz="4" w:space="0"/>
              <w:left w:val="single" w:color="000000" w:sz="4" w:space="0"/>
              <w:bottom w:val="single" w:color="000000" w:sz="4" w:space="0"/>
              <w:right w:val="single" w:color="000000" w:sz="4" w:space="0"/>
            </w:tcBorders>
            <w:noWrap/>
            <w:vAlign w:val="center"/>
          </w:tcPr>
          <w:p w14:paraId="3F632D8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16"/>
                <w:szCs w:val="16"/>
                <w:highlight w:val="none"/>
                <w:u w:val="none"/>
                <w:lang w:val="en-US" w:eastAsia="zh-CN" w:bidi="ar"/>
              </w:rPr>
              <w:t xml:space="preserve">1001 </w:t>
            </w:r>
          </w:p>
        </w:tc>
        <w:tc>
          <w:tcPr>
            <w:tcW w:w="732" w:type="pct"/>
            <w:tcBorders>
              <w:top w:val="single" w:color="000000" w:sz="4" w:space="0"/>
              <w:left w:val="single" w:color="000000" w:sz="4" w:space="0"/>
              <w:bottom w:val="single" w:color="000000" w:sz="4" w:space="0"/>
              <w:right w:val="single" w:color="000000" w:sz="4" w:space="0"/>
            </w:tcBorders>
            <w:noWrap/>
            <w:vAlign w:val="center"/>
          </w:tcPr>
          <w:p w14:paraId="53C99F60">
            <w:pPr>
              <w:keepNext w:val="0"/>
              <w:keepLines w:val="0"/>
              <w:widowControl/>
              <w:suppressLineNumbers w:val="0"/>
              <w:jc w:val="center"/>
              <w:textAlignment w:val="center"/>
              <w:rPr>
                <w:rFonts w:hint="default" w:ascii="Times New Roman" w:hAnsi="Times New Roman" w:cs="Times New Roman"/>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16"/>
                <w:szCs w:val="16"/>
                <w:highlight w:val="none"/>
                <w:u w:val="none"/>
                <w:lang w:val="en-US" w:eastAsia="zh-CN" w:bidi="ar"/>
              </w:rPr>
              <w:t>电动挖掘机</w:t>
            </w:r>
            <w:r>
              <w:rPr>
                <w:rFonts w:hint="default" w:ascii="Times New Roman" w:hAnsi="Times New Roman" w:eastAsia="宋体" w:cs="Times New Roman"/>
                <w:i w:val="0"/>
                <w:iCs w:val="0"/>
                <w:color w:val="auto"/>
                <w:kern w:val="0"/>
                <w:sz w:val="16"/>
                <w:szCs w:val="16"/>
                <w:highlight w:val="none"/>
                <w:u w:val="none"/>
                <w:lang w:val="en-US" w:eastAsia="zh-CN" w:bidi="ar"/>
              </w:rPr>
              <w:t>2m</w:t>
            </w:r>
            <w:r>
              <w:rPr>
                <w:rFonts w:hint="default" w:ascii="Times New Roman" w:hAnsi="Times New Roman" w:eastAsia="宋体" w:cs="Times New Roman"/>
                <w:i w:val="0"/>
                <w:iCs w:val="0"/>
                <w:color w:val="auto"/>
                <w:kern w:val="0"/>
                <w:sz w:val="16"/>
                <w:szCs w:val="16"/>
                <w:highlight w:val="none"/>
                <w:u w:val="none"/>
                <w:vertAlign w:val="superscript"/>
                <w:lang w:val="en-US" w:eastAsia="zh-CN" w:bidi="ar"/>
              </w:rPr>
              <w:t>3</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37C2916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16"/>
                <w:szCs w:val="16"/>
                <w:highlight w:val="none"/>
                <w:u w:val="none"/>
                <w:lang w:val="en-US" w:eastAsia="zh-CN" w:bidi="ar"/>
              </w:rPr>
              <w:t xml:space="preserve">220.65 </w:t>
            </w:r>
          </w:p>
        </w:tc>
        <w:tc>
          <w:tcPr>
            <w:tcW w:w="699" w:type="pct"/>
            <w:tcBorders>
              <w:top w:val="single" w:color="000000" w:sz="4" w:space="0"/>
              <w:left w:val="single" w:color="000000" w:sz="4" w:space="0"/>
              <w:bottom w:val="single" w:color="000000" w:sz="4" w:space="0"/>
              <w:right w:val="single" w:color="000000" w:sz="4" w:space="0"/>
            </w:tcBorders>
            <w:noWrap/>
            <w:vAlign w:val="center"/>
          </w:tcPr>
          <w:p w14:paraId="6E11E64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16"/>
                <w:szCs w:val="16"/>
                <w:highlight w:val="none"/>
                <w:u w:val="none"/>
                <w:lang w:val="en-US" w:eastAsia="zh-CN" w:bidi="ar"/>
              </w:rPr>
              <w:t xml:space="preserve">239.82 </w:t>
            </w:r>
          </w:p>
        </w:tc>
        <w:tc>
          <w:tcPr>
            <w:tcW w:w="466" w:type="pct"/>
            <w:tcBorders>
              <w:top w:val="single" w:color="000000" w:sz="4" w:space="0"/>
              <w:left w:val="single" w:color="000000" w:sz="4" w:space="0"/>
              <w:bottom w:val="single" w:color="000000" w:sz="4" w:space="0"/>
              <w:right w:val="single" w:color="000000" w:sz="4" w:space="0"/>
            </w:tcBorders>
            <w:noWrap/>
            <w:vAlign w:val="center"/>
          </w:tcPr>
          <w:p w14:paraId="746E79D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16"/>
                <w:szCs w:val="16"/>
                <w:highlight w:val="none"/>
                <w:u w:val="none"/>
                <w:lang w:val="en-US" w:eastAsia="zh-CN" w:bidi="ar"/>
              </w:rPr>
              <w:t xml:space="preserve">18.48 </w:t>
            </w:r>
          </w:p>
        </w:tc>
        <w:tc>
          <w:tcPr>
            <w:tcW w:w="360" w:type="pct"/>
            <w:tcBorders>
              <w:top w:val="single" w:color="000000" w:sz="4" w:space="0"/>
              <w:left w:val="single" w:color="000000" w:sz="4" w:space="0"/>
              <w:bottom w:val="single" w:color="000000" w:sz="4" w:space="0"/>
              <w:right w:val="single" w:color="000000" w:sz="4" w:space="0"/>
            </w:tcBorders>
            <w:noWrap/>
            <w:vAlign w:val="center"/>
          </w:tcPr>
          <w:p w14:paraId="142D7C0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16"/>
                <w:szCs w:val="16"/>
                <w:highlight w:val="none"/>
                <w:u w:val="none"/>
                <w:lang w:val="en-US" w:eastAsia="zh-CN" w:bidi="ar"/>
              </w:rPr>
              <w:t xml:space="preserve">478.95 </w:t>
            </w:r>
          </w:p>
        </w:tc>
        <w:tc>
          <w:tcPr>
            <w:tcW w:w="351" w:type="pct"/>
            <w:tcBorders>
              <w:top w:val="single" w:color="000000" w:sz="4" w:space="0"/>
              <w:left w:val="single" w:color="000000" w:sz="4" w:space="0"/>
              <w:bottom w:val="single" w:color="000000" w:sz="4" w:space="0"/>
              <w:right w:val="single" w:color="000000" w:sz="4" w:space="0"/>
            </w:tcBorders>
            <w:noWrap/>
            <w:vAlign w:val="center"/>
          </w:tcPr>
          <w:p w14:paraId="702C99B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16"/>
                <w:szCs w:val="16"/>
                <w:highlight w:val="none"/>
                <w:u w:val="none"/>
                <w:lang w:val="en-US" w:eastAsia="zh-CN" w:bidi="ar"/>
              </w:rPr>
              <w:t xml:space="preserve">102.08 </w:t>
            </w:r>
          </w:p>
        </w:tc>
        <w:tc>
          <w:tcPr>
            <w:tcW w:w="314" w:type="pct"/>
            <w:tcBorders>
              <w:top w:val="single" w:color="000000" w:sz="4" w:space="0"/>
              <w:left w:val="single" w:color="000000" w:sz="4" w:space="0"/>
              <w:bottom w:val="single" w:color="000000" w:sz="4" w:space="0"/>
              <w:right w:val="single" w:color="000000" w:sz="4" w:space="0"/>
            </w:tcBorders>
            <w:noWrap/>
            <w:vAlign w:val="center"/>
          </w:tcPr>
          <w:p w14:paraId="501D8697">
            <w:pPr>
              <w:jc w:val="center"/>
              <w:rPr>
                <w:rFonts w:hint="default" w:ascii="Times New Roman" w:hAnsi="Times New Roman" w:eastAsia="宋体" w:cs="Times New Roman"/>
                <w:i w:val="0"/>
                <w:iCs w:val="0"/>
                <w:color w:val="auto"/>
                <w:sz w:val="21"/>
                <w:szCs w:val="21"/>
                <w:highlight w:val="none"/>
                <w:u w:val="none"/>
              </w:rPr>
            </w:pPr>
          </w:p>
        </w:tc>
        <w:tc>
          <w:tcPr>
            <w:tcW w:w="351" w:type="pct"/>
            <w:tcBorders>
              <w:top w:val="single" w:color="000000" w:sz="4" w:space="0"/>
              <w:left w:val="single" w:color="000000" w:sz="4" w:space="0"/>
              <w:bottom w:val="single" w:color="000000" w:sz="4" w:space="0"/>
              <w:right w:val="single" w:color="000000" w:sz="4" w:space="0"/>
            </w:tcBorders>
            <w:noWrap/>
            <w:vAlign w:val="center"/>
          </w:tcPr>
          <w:p w14:paraId="098D41A1">
            <w:pPr>
              <w:jc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351" w:type="pct"/>
            <w:tcBorders>
              <w:top w:val="single" w:color="000000" w:sz="4" w:space="0"/>
              <w:left w:val="single" w:color="000000" w:sz="4" w:space="0"/>
              <w:bottom w:val="single" w:color="000000" w:sz="4" w:space="0"/>
              <w:right w:val="single" w:color="000000" w:sz="4" w:space="0"/>
            </w:tcBorders>
            <w:noWrap/>
            <w:vAlign w:val="center"/>
          </w:tcPr>
          <w:p w14:paraId="0A75FD6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16"/>
                <w:szCs w:val="16"/>
                <w:highlight w:val="none"/>
                <w:u w:val="none"/>
                <w:lang w:val="en-US" w:eastAsia="zh-CN" w:bidi="ar"/>
              </w:rPr>
              <w:t xml:space="preserve">435.00 </w:t>
            </w:r>
          </w:p>
        </w:tc>
        <w:tc>
          <w:tcPr>
            <w:tcW w:w="360" w:type="pct"/>
            <w:tcBorders>
              <w:top w:val="single" w:color="000000" w:sz="4" w:space="0"/>
              <w:left w:val="single" w:color="000000" w:sz="4" w:space="0"/>
              <w:bottom w:val="single" w:color="000000" w:sz="4" w:space="0"/>
              <w:right w:val="single" w:color="000000" w:sz="4" w:space="0"/>
            </w:tcBorders>
            <w:noWrap/>
            <w:vAlign w:val="center"/>
          </w:tcPr>
          <w:p w14:paraId="63A875F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16"/>
                <w:szCs w:val="16"/>
                <w:highlight w:val="none"/>
                <w:u w:val="none"/>
                <w:lang w:val="en-US" w:eastAsia="zh-CN" w:bidi="ar"/>
              </w:rPr>
              <w:t xml:space="preserve">537.08 </w:t>
            </w:r>
          </w:p>
        </w:tc>
        <w:tc>
          <w:tcPr>
            <w:tcW w:w="338" w:type="pct"/>
            <w:tcBorders>
              <w:top w:val="single" w:color="000000" w:sz="4" w:space="0"/>
              <w:left w:val="single" w:color="000000" w:sz="4" w:space="0"/>
              <w:bottom w:val="single" w:color="000000" w:sz="4" w:space="0"/>
              <w:right w:val="single" w:color="000000" w:sz="4" w:space="0"/>
            </w:tcBorders>
            <w:noWrap/>
            <w:vAlign w:val="center"/>
          </w:tcPr>
          <w:p w14:paraId="760B790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16"/>
                <w:szCs w:val="16"/>
                <w:highlight w:val="none"/>
                <w:u w:val="none"/>
                <w:lang w:val="en-US" w:eastAsia="zh-CN" w:bidi="ar"/>
              </w:rPr>
              <w:t xml:space="preserve">1016.03 </w:t>
            </w:r>
          </w:p>
        </w:tc>
      </w:tr>
      <w:tr w14:paraId="49C8CE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62" w:type="pct"/>
            <w:tcBorders>
              <w:top w:val="single" w:color="000000" w:sz="4" w:space="0"/>
              <w:left w:val="single" w:color="000000" w:sz="4" w:space="0"/>
              <w:bottom w:val="single" w:color="000000" w:sz="4" w:space="0"/>
              <w:right w:val="single" w:color="000000" w:sz="4" w:space="0"/>
            </w:tcBorders>
            <w:noWrap/>
            <w:vAlign w:val="center"/>
          </w:tcPr>
          <w:p w14:paraId="512D030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16"/>
                <w:szCs w:val="16"/>
                <w:highlight w:val="none"/>
                <w:u w:val="none"/>
                <w:lang w:val="en-US" w:eastAsia="zh-CN" w:bidi="ar"/>
              </w:rPr>
              <w:t xml:space="preserve">4004 </w:t>
            </w:r>
          </w:p>
        </w:tc>
        <w:tc>
          <w:tcPr>
            <w:tcW w:w="732" w:type="pct"/>
            <w:tcBorders>
              <w:top w:val="single" w:color="000000" w:sz="4" w:space="0"/>
              <w:left w:val="single" w:color="000000" w:sz="4" w:space="0"/>
              <w:bottom w:val="single" w:color="000000" w:sz="4" w:space="0"/>
              <w:right w:val="single" w:color="000000" w:sz="4" w:space="0"/>
            </w:tcBorders>
            <w:noWrap/>
            <w:vAlign w:val="center"/>
          </w:tcPr>
          <w:p w14:paraId="5B954BB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16"/>
                <w:szCs w:val="16"/>
                <w:highlight w:val="none"/>
                <w:u w:val="none"/>
                <w:lang w:val="en-US" w:eastAsia="zh-CN" w:bidi="ar"/>
              </w:rPr>
              <w:t>载重汽车</w:t>
            </w:r>
            <w:r>
              <w:rPr>
                <w:rFonts w:hint="default" w:ascii="Times New Roman" w:hAnsi="Times New Roman" w:eastAsia="宋体" w:cs="Times New Roman"/>
                <w:i w:val="0"/>
                <w:iCs w:val="0"/>
                <w:color w:val="auto"/>
                <w:kern w:val="0"/>
                <w:sz w:val="16"/>
                <w:szCs w:val="16"/>
                <w:highlight w:val="none"/>
                <w:u w:val="none"/>
                <w:lang w:val="en-US" w:eastAsia="zh-CN" w:bidi="ar"/>
              </w:rPr>
              <w:t>5t</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39319A2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16"/>
                <w:szCs w:val="16"/>
                <w:highlight w:val="none"/>
                <w:u w:val="none"/>
                <w:lang w:val="en-US" w:eastAsia="zh-CN" w:bidi="ar"/>
              </w:rPr>
              <w:t xml:space="preserve">32.75 </w:t>
            </w:r>
          </w:p>
        </w:tc>
        <w:tc>
          <w:tcPr>
            <w:tcW w:w="699" w:type="pct"/>
            <w:tcBorders>
              <w:top w:val="single" w:color="000000" w:sz="4" w:space="0"/>
              <w:left w:val="single" w:color="000000" w:sz="4" w:space="0"/>
              <w:bottom w:val="single" w:color="000000" w:sz="4" w:space="0"/>
              <w:right w:val="single" w:color="000000" w:sz="4" w:space="0"/>
            </w:tcBorders>
            <w:noWrap/>
            <w:vAlign w:val="center"/>
          </w:tcPr>
          <w:p w14:paraId="7958BC9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16"/>
                <w:szCs w:val="16"/>
                <w:highlight w:val="none"/>
                <w:u w:val="none"/>
                <w:lang w:val="en-US" w:eastAsia="zh-CN" w:bidi="ar"/>
              </w:rPr>
              <w:t xml:space="preserve">47.45 </w:t>
            </w:r>
          </w:p>
        </w:tc>
        <w:tc>
          <w:tcPr>
            <w:tcW w:w="466" w:type="pct"/>
            <w:tcBorders>
              <w:top w:val="single" w:color="000000" w:sz="4" w:space="0"/>
              <w:left w:val="single" w:color="000000" w:sz="4" w:space="0"/>
              <w:bottom w:val="single" w:color="000000" w:sz="4" w:space="0"/>
              <w:right w:val="single" w:color="000000" w:sz="4" w:space="0"/>
            </w:tcBorders>
            <w:noWrap/>
            <w:vAlign w:val="center"/>
          </w:tcPr>
          <w:p w14:paraId="26CB5DDF">
            <w:pPr>
              <w:jc w:val="center"/>
              <w:rPr>
                <w:rFonts w:hint="default" w:ascii="Times New Roman" w:hAnsi="Times New Roman" w:eastAsia="宋体" w:cs="Times New Roman"/>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noWrap/>
            <w:vAlign w:val="center"/>
          </w:tcPr>
          <w:p w14:paraId="611476F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16"/>
                <w:szCs w:val="16"/>
                <w:highlight w:val="none"/>
                <w:u w:val="none"/>
                <w:lang w:val="en-US" w:eastAsia="zh-CN" w:bidi="ar"/>
              </w:rPr>
              <w:t xml:space="preserve">80.20 </w:t>
            </w:r>
          </w:p>
        </w:tc>
        <w:tc>
          <w:tcPr>
            <w:tcW w:w="351" w:type="pct"/>
            <w:tcBorders>
              <w:top w:val="single" w:color="000000" w:sz="4" w:space="0"/>
              <w:left w:val="single" w:color="000000" w:sz="4" w:space="0"/>
              <w:bottom w:val="single" w:color="000000" w:sz="4" w:space="0"/>
              <w:right w:val="single" w:color="000000" w:sz="4" w:space="0"/>
            </w:tcBorders>
            <w:noWrap/>
            <w:vAlign w:val="center"/>
          </w:tcPr>
          <w:p w14:paraId="6E4361E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16"/>
                <w:szCs w:val="16"/>
                <w:highlight w:val="none"/>
                <w:u w:val="none"/>
                <w:lang w:val="en-US" w:eastAsia="zh-CN" w:bidi="ar"/>
              </w:rPr>
              <w:t xml:space="preserve">51.04 </w:t>
            </w:r>
          </w:p>
        </w:tc>
        <w:tc>
          <w:tcPr>
            <w:tcW w:w="314" w:type="pct"/>
            <w:tcBorders>
              <w:top w:val="single" w:color="000000" w:sz="4" w:space="0"/>
              <w:left w:val="single" w:color="000000" w:sz="4" w:space="0"/>
              <w:bottom w:val="single" w:color="000000" w:sz="4" w:space="0"/>
              <w:right w:val="single" w:color="000000" w:sz="4" w:space="0"/>
            </w:tcBorders>
            <w:noWrap/>
            <w:vAlign w:val="center"/>
          </w:tcPr>
          <w:p w14:paraId="5FA6676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16"/>
                <w:szCs w:val="16"/>
                <w:highlight w:val="none"/>
                <w:u w:val="none"/>
                <w:lang w:val="en-US" w:eastAsia="zh-CN" w:bidi="ar"/>
              </w:rPr>
              <w:t xml:space="preserve">150.00 </w:t>
            </w:r>
          </w:p>
        </w:tc>
        <w:tc>
          <w:tcPr>
            <w:tcW w:w="351" w:type="pct"/>
            <w:tcBorders>
              <w:top w:val="single" w:color="000000" w:sz="4" w:space="0"/>
              <w:left w:val="single" w:color="000000" w:sz="4" w:space="0"/>
              <w:bottom w:val="single" w:color="000000" w:sz="4" w:space="0"/>
              <w:right w:val="single" w:color="000000" w:sz="4" w:space="0"/>
            </w:tcBorders>
            <w:noWrap/>
            <w:vAlign w:val="center"/>
          </w:tcPr>
          <w:p w14:paraId="5BE9D8BC">
            <w:pPr>
              <w:jc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351" w:type="pct"/>
            <w:tcBorders>
              <w:top w:val="single" w:color="000000" w:sz="4" w:space="0"/>
              <w:left w:val="single" w:color="000000" w:sz="4" w:space="0"/>
              <w:bottom w:val="single" w:color="000000" w:sz="4" w:space="0"/>
              <w:right w:val="single" w:color="000000" w:sz="4" w:space="0"/>
            </w:tcBorders>
            <w:noWrap/>
            <w:vAlign w:val="center"/>
          </w:tcPr>
          <w:p w14:paraId="4DE9F969">
            <w:pPr>
              <w:jc w:val="center"/>
              <w:rPr>
                <w:rFonts w:hint="default" w:ascii="Times New Roman" w:hAnsi="Times New Roman" w:eastAsia="宋体" w:cs="Times New Roman"/>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noWrap/>
            <w:vAlign w:val="center"/>
          </w:tcPr>
          <w:p w14:paraId="3A802CC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16"/>
                <w:szCs w:val="16"/>
                <w:highlight w:val="none"/>
                <w:u w:val="none"/>
                <w:lang w:val="en-US" w:eastAsia="zh-CN" w:bidi="ar"/>
              </w:rPr>
              <w:t xml:space="preserve">201.04 </w:t>
            </w:r>
          </w:p>
        </w:tc>
        <w:tc>
          <w:tcPr>
            <w:tcW w:w="338" w:type="pct"/>
            <w:tcBorders>
              <w:top w:val="single" w:color="000000" w:sz="4" w:space="0"/>
              <w:left w:val="single" w:color="000000" w:sz="4" w:space="0"/>
              <w:bottom w:val="single" w:color="000000" w:sz="4" w:space="0"/>
              <w:right w:val="single" w:color="000000" w:sz="4" w:space="0"/>
            </w:tcBorders>
            <w:noWrap/>
            <w:vAlign w:val="center"/>
          </w:tcPr>
          <w:p w14:paraId="3D786AE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16"/>
                <w:szCs w:val="16"/>
                <w:highlight w:val="none"/>
                <w:u w:val="none"/>
                <w:lang w:val="en-US" w:eastAsia="zh-CN" w:bidi="ar"/>
              </w:rPr>
              <w:t xml:space="preserve">281.24 </w:t>
            </w:r>
          </w:p>
        </w:tc>
      </w:tr>
      <w:tr w14:paraId="3F60CE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62" w:type="pct"/>
            <w:tcBorders>
              <w:top w:val="single" w:color="000000" w:sz="4" w:space="0"/>
              <w:left w:val="single" w:color="000000" w:sz="4" w:space="0"/>
              <w:bottom w:val="single" w:color="000000" w:sz="4" w:space="0"/>
              <w:right w:val="single" w:color="000000" w:sz="4" w:space="0"/>
            </w:tcBorders>
            <w:noWrap/>
            <w:vAlign w:val="center"/>
          </w:tcPr>
          <w:p w14:paraId="09F27ED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16"/>
                <w:szCs w:val="16"/>
                <w:highlight w:val="none"/>
                <w:u w:val="none"/>
                <w:lang w:val="en-US" w:eastAsia="zh-CN" w:bidi="ar"/>
              </w:rPr>
              <w:t xml:space="preserve">1045 </w:t>
            </w:r>
          </w:p>
        </w:tc>
        <w:tc>
          <w:tcPr>
            <w:tcW w:w="732" w:type="pct"/>
            <w:tcBorders>
              <w:top w:val="single" w:color="000000" w:sz="4" w:space="0"/>
              <w:left w:val="single" w:color="000000" w:sz="4" w:space="0"/>
              <w:bottom w:val="single" w:color="000000" w:sz="4" w:space="0"/>
              <w:right w:val="single" w:color="000000" w:sz="4" w:space="0"/>
            </w:tcBorders>
            <w:noWrap/>
            <w:vAlign w:val="center"/>
          </w:tcPr>
          <w:p w14:paraId="58F216A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16"/>
                <w:szCs w:val="16"/>
                <w:highlight w:val="none"/>
                <w:u w:val="none"/>
                <w:lang w:val="en-US" w:eastAsia="zh-CN" w:bidi="ar"/>
              </w:rPr>
              <w:t>电钻</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2AC9AAD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16"/>
                <w:szCs w:val="16"/>
                <w:highlight w:val="none"/>
                <w:u w:val="none"/>
                <w:lang w:val="en-US" w:eastAsia="zh-CN" w:bidi="ar"/>
              </w:rPr>
              <w:t xml:space="preserve">2.23 </w:t>
            </w:r>
          </w:p>
        </w:tc>
        <w:tc>
          <w:tcPr>
            <w:tcW w:w="699" w:type="pct"/>
            <w:tcBorders>
              <w:top w:val="single" w:color="000000" w:sz="4" w:space="0"/>
              <w:left w:val="single" w:color="000000" w:sz="4" w:space="0"/>
              <w:bottom w:val="single" w:color="000000" w:sz="4" w:space="0"/>
              <w:right w:val="single" w:color="000000" w:sz="4" w:space="0"/>
            </w:tcBorders>
            <w:noWrap/>
            <w:vAlign w:val="center"/>
          </w:tcPr>
          <w:p w14:paraId="5FBDF4C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16"/>
                <w:szCs w:val="16"/>
                <w:highlight w:val="none"/>
                <w:u w:val="none"/>
                <w:lang w:val="en-US" w:eastAsia="zh-CN" w:bidi="ar"/>
              </w:rPr>
              <w:t xml:space="preserve">3.47 </w:t>
            </w:r>
          </w:p>
        </w:tc>
        <w:tc>
          <w:tcPr>
            <w:tcW w:w="466" w:type="pct"/>
            <w:tcBorders>
              <w:top w:val="single" w:color="000000" w:sz="4" w:space="0"/>
              <w:left w:val="single" w:color="000000" w:sz="4" w:space="0"/>
              <w:bottom w:val="single" w:color="000000" w:sz="4" w:space="0"/>
              <w:right w:val="single" w:color="000000" w:sz="4" w:space="0"/>
            </w:tcBorders>
            <w:noWrap/>
            <w:vAlign w:val="center"/>
          </w:tcPr>
          <w:p w14:paraId="7600A881">
            <w:pPr>
              <w:jc w:val="center"/>
              <w:rPr>
                <w:rFonts w:hint="default" w:ascii="Times New Roman" w:hAnsi="Times New Roman" w:eastAsia="宋体" w:cs="Times New Roman"/>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noWrap/>
            <w:vAlign w:val="center"/>
          </w:tcPr>
          <w:p w14:paraId="3171ADE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16"/>
                <w:szCs w:val="16"/>
                <w:highlight w:val="none"/>
                <w:u w:val="none"/>
                <w:lang w:val="en-US" w:eastAsia="zh-CN" w:bidi="ar"/>
              </w:rPr>
              <w:t xml:space="preserve">5.70 </w:t>
            </w:r>
          </w:p>
        </w:tc>
        <w:tc>
          <w:tcPr>
            <w:tcW w:w="351" w:type="pct"/>
            <w:tcBorders>
              <w:top w:val="single" w:color="000000" w:sz="4" w:space="0"/>
              <w:left w:val="single" w:color="000000" w:sz="4" w:space="0"/>
              <w:bottom w:val="single" w:color="000000" w:sz="4" w:space="0"/>
              <w:right w:val="single" w:color="000000" w:sz="4" w:space="0"/>
            </w:tcBorders>
            <w:noWrap/>
            <w:vAlign w:val="center"/>
          </w:tcPr>
          <w:p w14:paraId="45B1C280">
            <w:pPr>
              <w:jc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314" w:type="pct"/>
            <w:tcBorders>
              <w:top w:val="single" w:color="000000" w:sz="4" w:space="0"/>
              <w:left w:val="single" w:color="000000" w:sz="4" w:space="0"/>
              <w:bottom w:val="single" w:color="000000" w:sz="4" w:space="0"/>
              <w:right w:val="single" w:color="000000" w:sz="4" w:space="0"/>
            </w:tcBorders>
            <w:noWrap/>
            <w:vAlign w:val="center"/>
          </w:tcPr>
          <w:p w14:paraId="7D849D2A">
            <w:pPr>
              <w:jc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351" w:type="pct"/>
            <w:tcBorders>
              <w:top w:val="single" w:color="000000" w:sz="4" w:space="0"/>
              <w:left w:val="single" w:color="000000" w:sz="4" w:space="0"/>
              <w:bottom w:val="single" w:color="000000" w:sz="4" w:space="0"/>
              <w:right w:val="single" w:color="000000" w:sz="4" w:space="0"/>
            </w:tcBorders>
            <w:noWrap/>
            <w:vAlign w:val="center"/>
          </w:tcPr>
          <w:p w14:paraId="014DABC4">
            <w:pPr>
              <w:jc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351" w:type="pct"/>
            <w:tcBorders>
              <w:top w:val="single" w:color="000000" w:sz="4" w:space="0"/>
              <w:left w:val="single" w:color="000000" w:sz="4" w:space="0"/>
              <w:bottom w:val="single" w:color="000000" w:sz="4" w:space="0"/>
              <w:right w:val="single" w:color="000000" w:sz="4" w:space="0"/>
            </w:tcBorders>
            <w:noWrap/>
            <w:vAlign w:val="center"/>
          </w:tcPr>
          <w:p w14:paraId="4E1F549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16"/>
                <w:szCs w:val="16"/>
                <w:highlight w:val="none"/>
                <w:u w:val="none"/>
                <w:lang w:val="en-US" w:eastAsia="zh-CN" w:bidi="ar"/>
              </w:rPr>
              <w:t xml:space="preserve">6.00 </w:t>
            </w:r>
          </w:p>
        </w:tc>
        <w:tc>
          <w:tcPr>
            <w:tcW w:w="360" w:type="pct"/>
            <w:tcBorders>
              <w:top w:val="single" w:color="000000" w:sz="4" w:space="0"/>
              <w:left w:val="single" w:color="000000" w:sz="4" w:space="0"/>
              <w:bottom w:val="single" w:color="000000" w:sz="4" w:space="0"/>
              <w:right w:val="single" w:color="000000" w:sz="4" w:space="0"/>
            </w:tcBorders>
            <w:noWrap/>
            <w:vAlign w:val="center"/>
          </w:tcPr>
          <w:p w14:paraId="68BE85C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16"/>
                <w:szCs w:val="16"/>
                <w:highlight w:val="none"/>
                <w:u w:val="none"/>
                <w:lang w:val="en-US" w:eastAsia="zh-CN" w:bidi="ar"/>
              </w:rPr>
              <w:t xml:space="preserve">6.00 </w:t>
            </w:r>
          </w:p>
        </w:tc>
        <w:tc>
          <w:tcPr>
            <w:tcW w:w="338" w:type="pct"/>
            <w:tcBorders>
              <w:top w:val="single" w:color="000000" w:sz="4" w:space="0"/>
              <w:left w:val="single" w:color="000000" w:sz="4" w:space="0"/>
              <w:bottom w:val="single" w:color="000000" w:sz="4" w:space="0"/>
              <w:right w:val="single" w:color="000000" w:sz="4" w:space="0"/>
            </w:tcBorders>
            <w:noWrap/>
            <w:vAlign w:val="center"/>
          </w:tcPr>
          <w:p w14:paraId="277BCFE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16"/>
                <w:szCs w:val="16"/>
                <w:highlight w:val="none"/>
                <w:u w:val="none"/>
                <w:lang w:val="en-US" w:eastAsia="zh-CN" w:bidi="ar"/>
              </w:rPr>
              <w:t xml:space="preserve">11.70 </w:t>
            </w:r>
          </w:p>
        </w:tc>
      </w:tr>
      <w:tr w14:paraId="22956D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62" w:type="pct"/>
            <w:tcBorders>
              <w:top w:val="single" w:color="000000" w:sz="4" w:space="0"/>
              <w:left w:val="single" w:color="000000" w:sz="4" w:space="0"/>
              <w:bottom w:val="single" w:color="000000" w:sz="4" w:space="0"/>
              <w:right w:val="single" w:color="000000" w:sz="4" w:space="0"/>
            </w:tcBorders>
            <w:noWrap/>
            <w:vAlign w:val="center"/>
          </w:tcPr>
          <w:p w14:paraId="01E7074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16"/>
                <w:szCs w:val="16"/>
                <w:highlight w:val="none"/>
                <w:u w:val="none"/>
                <w:lang w:val="en-US" w:eastAsia="zh-CN" w:bidi="ar"/>
              </w:rPr>
              <w:t xml:space="preserve">4011 </w:t>
            </w:r>
          </w:p>
        </w:tc>
        <w:tc>
          <w:tcPr>
            <w:tcW w:w="732" w:type="pct"/>
            <w:tcBorders>
              <w:top w:val="single" w:color="000000" w:sz="4" w:space="0"/>
              <w:left w:val="single" w:color="000000" w:sz="4" w:space="0"/>
              <w:bottom w:val="single" w:color="000000" w:sz="4" w:space="0"/>
              <w:right w:val="single" w:color="000000" w:sz="4" w:space="0"/>
            </w:tcBorders>
            <w:noWrap/>
            <w:vAlign w:val="center"/>
          </w:tcPr>
          <w:p w14:paraId="2E96F8B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16"/>
                <w:szCs w:val="16"/>
                <w:highlight w:val="none"/>
                <w:u w:val="none"/>
                <w:lang w:val="en-US" w:eastAsia="zh-CN" w:bidi="ar"/>
              </w:rPr>
              <w:t>自卸汽车</w:t>
            </w:r>
            <w:r>
              <w:rPr>
                <w:rFonts w:hint="default" w:ascii="Times New Roman" w:hAnsi="Times New Roman" w:eastAsia="宋体" w:cs="Times New Roman"/>
                <w:i w:val="0"/>
                <w:iCs w:val="0"/>
                <w:color w:val="auto"/>
                <w:kern w:val="0"/>
                <w:sz w:val="16"/>
                <w:szCs w:val="16"/>
                <w:highlight w:val="none"/>
                <w:u w:val="none"/>
                <w:lang w:val="en-US" w:eastAsia="zh-CN" w:bidi="ar"/>
              </w:rPr>
              <w:t>5t</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083345D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16"/>
                <w:szCs w:val="16"/>
                <w:highlight w:val="none"/>
                <w:u w:val="none"/>
                <w:lang w:val="en-US" w:eastAsia="zh-CN" w:bidi="ar"/>
              </w:rPr>
              <w:t xml:space="preserve">58.54 </w:t>
            </w:r>
          </w:p>
        </w:tc>
        <w:tc>
          <w:tcPr>
            <w:tcW w:w="699" w:type="pct"/>
            <w:tcBorders>
              <w:top w:val="single" w:color="000000" w:sz="4" w:space="0"/>
              <w:left w:val="single" w:color="000000" w:sz="4" w:space="0"/>
              <w:bottom w:val="single" w:color="000000" w:sz="4" w:space="0"/>
              <w:right w:val="single" w:color="000000" w:sz="4" w:space="0"/>
            </w:tcBorders>
            <w:noWrap/>
            <w:vAlign w:val="center"/>
          </w:tcPr>
          <w:p w14:paraId="724F512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16"/>
                <w:szCs w:val="16"/>
                <w:highlight w:val="none"/>
                <w:u w:val="none"/>
                <w:lang w:val="en-US" w:eastAsia="zh-CN" w:bidi="ar"/>
              </w:rPr>
              <w:t xml:space="preserve">30.37 </w:t>
            </w:r>
          </w:p>
        </w:tc>
        <w:tc>
          <w:tcPr>
            <w:tcW w:w="466" w:type="pct"/>
            <w:tcBorders>
              <w:top w:val="single" w:color="000000" w:sz="4" w:space="0"/>
              <w:left w:val="single" w:color="000000" w:sz="4" w:space="0"/>
              <w:bottom w:val="single" w:color="000000" w:sz="4" w:space="0"/>
              <w:right w:val="single" w:color="000000" w:sz="4" w:space="0"/>
            </w:tcBorders>
            <w:noWrap/>
            <w:vAlign w:val="center"/>
          </w:tcPr>
          <w:p w14:paraId="3FB937F9">
            <w:pPr>
              <w:jc w:val="center"/>
              <w:rPr>
                <w:rFonts w:hint="default" w:ascii="Times New Roman" w:hAnsi="Times New Roman" w:eastAsia="宋体" w:cs="Times New Roman"/>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noWrap/>
            <w:vAlign w:val="center"/>
          </w:tcPr>
          <w:p w14:paraId="45B1C17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16"/>
                <w:szCs w:val="16"/>
                <w:highlight w:val="none"/>
                <w:u w:val="none"/>
                <w:lang w:val="en-US" w:eastAsia="zh-CN" w:bidi="ar"/>
              </w:rPr>
              <w:t xml:space="preserve">88.91 </w:t>
            </w:r>
          </w:p>
        </w:tc>
        <w:tc>
          <w:tcPr>
            <w:tcW w:w="351" w:type="pct"/>
            <w:tcBorders>
              <w:top w:val="single" w:color="000000" w:sz="4" w:space="0"/>
              <w:left w:val="single" w:color="000000" w:sz="4" w:space="0"/>
              <w:bottom w:val="single" w:color="000000" w:sz="4" w:space="0"/>
              <w:right w:val="single" w:color="000000" w:sz="4" w:space="0"/>
            </w:tcBorders>
            <w:noWrap/>
            <w:vAlign w:val="center"/>
          </w:tcPr>
          <w:p w14:paraId="3468F5A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16"/>
                <w:szCs w:val="16"/>
                <w:highlight w:val="none"/>
                <w:u w:val="none"/>
                <w:lang w:val="en-US" w:eastAsia="zh-CN" w:bidi="ar"/>
              </w:rPr>
              <w:t xml:space="preserve">67.88 </w:t>
            </w:r>
          </w:p>
        </w:tc>
        <w:tc>
          <w:tcPr>
            <w:tcW w:w="314" w:type="pct"/>
            <w:tcBorders>
              <w:top w:val="single" w:color="000000" w:sz="4" w:space="0"/>
              <w:left w:val="single" w:color="000000" w:sz="4" w:space="0"/>
              <w:bottom w:val="single" w:color="000000" w:sz="4" w:space="0"/>
              <w:right w:val="single" w:color="000000" w:sz="4" w:space="0"/>
            </w:tcBorders>
            <w:noWrap/>
            <w:vAlign w:val="center"/>
          </w:tcPr>
          <w:p w14:paraId="2CB2D818">
            <w:pPr>
              <w:jc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351" w:type="pct"/>
            <w:tcBorders>
              <w:top w:val="single" w:color="000000" w:sz="4" w:space="0"/>
              <w:left w:val="single" w:color="000000" w:sz="4" w:space="0"/>
              <w:bottom w:val="single" w:color="000000" w:sz="4" w:space="0"/>
              <w:right w:val="single" w:color="000000" w:sz="4" w:space="0"/>
            </w:tcBorders>
            <w:noWrap/>
            <w:vAlign w:val="center"/>
          </w:tcPr>
          <w:p w14:paraId="22E4AEC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16"/>
                <w:szCs w:val="16"/>
                <w:highlight w:val="none"/>
                <w:u w:val="none"/>
                <w:lang w:val="en-US" w:eastAsia="zh-CN" w:bidi="ar"/>
              </w:rPr>
              <w:t xml:space="preserve">175.50 </w:t>
            </w:r>
          </w:p>
        </w:tc>
        <w:tc>
          <w:tcPr>
            <w:tcW w:w="351" w:type="pct"/>
            <w:tcBorders>
              <w:top w:val="single" w:color="000000" w:sz="4" w:space="0"/>
              <w:left w:val="single" w:color="000000" w:sz="4" w:space="0"/>
              <w:bottom w:val="single" w:color="000000" w:sz="4" w:space="0"/>
              <w:right w:val="single" w:color="000000" w:sz="4" w:space="0"/>
            </w:tcBorders>
            <w:noWrap/>
            <w:vAlign w:val="center"/>
          </w:tcPr>
          <w:p w14:paraId="6D5B14CC">
            <w:pPr>
              <w:jc w:val="center"/>
              <w:rPr>
                <w:rFonts w:hint="default" w:ascii="Times New Roman" w:hAnsi="Times New Roman" w:eastAsia="宋体" w:cs="Times New Roman"/>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noWrap/>
            <w:vAlign w:val="center"/>
          </w:tcPr>
          <w:p w14:paraId="3D613E3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16"/>
                <w:szCs w:val="16"/>
                <w:highlight w:val="none"/>
                <w:u w:val="none"/>
                <w:lang w:val="en-US" w:eastAsia="zh-CN" w:bidi="ar"/>
              </w:rPr>
              <w:t xml:space="preserve">243.38 </w:t>
            </w:r>
          </w:p>
        </w:tc>
        <w:tc>
          <w:tcPr>
            <w:tcW w:w="338" w:type="pct"/>
            <w:tcBorders>
              <w:top w:val="single" w:color="000000" w:sz="4" w:space="0"/>
              <w:left w:val="single" w:color="000000" w:sz="4" w:space="0"/>
              <w:bottom w:val="single" w:color="000000" w:sz="4" w:space="0"/>
              <w:right w:val="single" w:color="000000" w:sz="4" w:space="0"/>
            </w:tcBorders>
            <w:noWrap/>
            <w:vAlign w:val="center"/>
          </w:tcPr>
          <w:p w14:paraId="173068A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16"/>
                <w:szCs w:val="16"/>
                <w:highlight w:val="none"/>
                <w:u w:val="none"/>
                <w:lang w:val="en-US" w:eastAsia="zh-CN" w:bidi="ar"/>
              </w:rPr>
              <w:t xml:space="preserve">332.29 </w:t>
            </w:r>
          </w:p>
        </w:tc>
      </w:tr>
    </w:tbl>
    <w:p w14:paraId="356798AA">
      <w:pPr>
        <w:pStyle w:val="90"/>
        <w:keepNext w:val="0"/>
        <w:keepLines w:val="0"/>
        <w:pageBreakBefore w:val="0"/>
        <w:widowControl w:val="0"/>
        <w:kinsoku/>
        <w:wordWrap/>
        <w:overflowPunct/>
        <w:topLinePunct w:val="0"/>
        <w:autoSpaceDE w:val="0"/>
        <w:autoSpaceDN w:val="0"/>
        <w:bidi w:val="0"/>
        <w:adjustRightInd/>
        <w:snapToGrid/>
        <w:spacing w:before="313" w:beforeLines="100"/>
        <w:textAlignment w:val="auto"/>
        <w:rPr>
          <w:rFonts w:hint="default" w:ascii="Times New Roman" w:hAnsi="Times New Roman" w:eastAsia="黑体" w:cs="Times New Roman"/>
          <w:b w:val="0"/>
          <w:bCs/>
          <w:color w:val="auto"/>
          <w:highlight w:val="none"/>
          <w:lang w:val="en-US" w:eastAsia="zh-CN"/>
        </w:rPr>
      </w:pPr>
      <w:r>
        <w:rPr>
          <w:rFonts w:hint="default" w:ascii="Times New Roman" w:hAnsi="Times New Roman" w:eastAsia="黑体" w:cs="Times New Roman"/>
          <w:b w:val="0"/>
          <w:bCs/>
          <w:color w:val="auto"/>
          <w:highlight w:val="none"/>
        </w:rPr>
        <w:t>表7-11</w:t>
      </w:r>
      <w:r>
        <w:rPr>
          <w:rFonts w:hint="eastAsia" w:ascii="Times New Roman" w:hAnsi="Times New Roman" w:cs="Times New Roman"/>
          <w:b w:val="0"/>
          <w:bCs/>
          <w:color w:val="auto"/>
          <w:highlight w:val="none"/>
          <w:lang w:val="en-US" w:eastAsia="zh-CN"/>
        </w:rPr>
        <w:t xml:space="preserve">  </w:t>
      </w:r>
      <w:r>
        <w:rPr>
          <w:rFonts w:hint="default" w:ascii="Times New Roman" w:hAnsi="Times New Roman" w:eastAsia="黑体" w:cs="Times New Roman"/>
          <w:b w:val="0"/>
          <w:bCs/>
          <w:color w:val="auto"/>
          <w:highlight w:val="none"/>
        </w:rPr>
        <w:t>工程施工费单价汇总表</w:t>
      </w:r>
      <w:r>
        <w:rPr>
          <w:rFonts w:hint="eastAsia" w:ascii="Times New Roman" w:hAnsi="Times New Roman" w:cs="Times New Roman"/>
          <w:b w:val="0"/>
          <w:bCs/>
          <w:color w:val="auto"/>
          <w:highlight w:val="none"/>
          <w:lang w:val="en-US" w:eastAsia="zh-CN"/>
        </w:rPr>
        <w:t xml:space="preserve">   单位：元</w:t>
      </w:r>
    </w:p>
    <w:tbl>
      <w:tblPr>
        <w:tblStyle w:val="3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76"/>
        <w:gridCol w:w="1329"/>
        <w:gridCol w:w="2216"/>
        <w:gridCol w:w="737"/>
        <w:gridCol w:w="866"/>
        <w:gridCol w:w="862"/>
        <w:gridCol w:w="866"/>
        <w:gridCol w:w="866"/>
        <w:gridCol w:w="759"/>
        <w:gridCol w:w="884"/>
        <w:gridCol w:w="811"/>
        <w:gridCol w:w="762"/>
        <w:gridCol w:w="936"/>
        <w:gridCol w:w="767"/>
        <w:gridCol w:w="937"/>
      </w:tblGrid>
      <w:tr w14:paraId="3EFFC8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0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CA21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编号</w:t>
            </w:r>
          </w:p>
        </w:tc>
        <w:tc>
          <w:tcPr>
            <w:tcW w:w="46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0892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定额编号</w:t>
            </w:r>
          </w:p>
        </w:tc>
        <w:tc>
          <w:tcPr>
            <w:tcW w:w="78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9ECB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单项名称</w:t>
            </w:r>
          </w:p>
        </w:tc>
        <w:tc>
          <w:tcPr>
            <w:tcW w:w="25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F25E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单位</w:t>
            </w:r>
          </w:p>
        </w:tc>
        <w:tc>
          <w:tcPr>
            <w:tcW w:w="1799"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DA44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直接费</w:t>
            </w:r>
          </w:p>
        </w:tc>
        <w:tc>
          <w:tcPr>
            <w:tcW w:w="28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7BA9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间接费</w:t>
            </w:r>
          </w:p>
        </w:tc>
        <w:tc>
          <w:tcPr>
            <w:tcW w:w="26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A6BC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利润</w:t>
            </w:r>
          </w:p>
        </w:tc>
        <w:tc>
          <w:tcPr>
            <w:tcW w:w="33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2606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材料价差</w:t>
            </w:r>
          </w:p>
        </w:tc>
        <w:tc>
          <w:tcPr>
            <w:tcW w:w="27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7BBE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税金</w:t>
            </w:r>
          </w:p>
        </w:tc>
        <w:tc>
          <w:tcPr>
            <w:tcW w:w="33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7BDC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综合单价</w:t>
            </w:r>
          </w:p>
        </w:tc>
      </w:tr>
      <w:tr w14:paraId="1691C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0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19711">
            <w:pPr>
              <w:jc w:val="center"/>
              <w:rPr>
                <w:rFonts w:hint="default" w:ascii="Times New Roman" w:hAnsi="Times New Roman" w:eastAsia="宋体" w:cs="Times New Roman"/>
                <w:i w:val="0"/>
                <w:iCs w:val="0"/>
                <w:color w:val="auto"/>
                <w:sz w:val="18"/>
                <w:szCs w:val="18"/>
                <w:highlight w:val="none"/>
                <w:u w:val="none"/>
              </w:rPr>
            </w:pPr>
          </w:p>
        </w:tc>
        <w:tc>
          <w:tcPr>
            <w:tcW w:w="46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761D2">
            <w:pPr>
              <w:jc w:val="center"/>
              <w:rPr>
                <w:rFonts w:hint="default" w:ascii="Times New Roman" w:hAnsi="Times New Roman" w:eastAsia="宋体" w:cs="Times New Roman"/>
                <w:i w:val="0"/>
                <w:iCs w:val="0"/>
                <w:color w:val="auto"/>
                <w:sz w:val="18"/>
                <w:szCs w:val="18"/>
                <w:highlight w:val="none"/>
                <w:u w:val="none"/>
              </w:rPr>
            </w:pPr>
          </w:p>
        </w:tc>
        <w:tc>
          <w:tcPr>
            <w:tcW w:w="78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83C7B">
            <w:pPr>
              <w:jc w:val="center"/>
              <w:rPr>
                <w:rFonts w:hint="default" w:ascii="Times New Roman" w:hAnsi="Times New Roman" w:eastAsia="宋体" w:cs="Times New Roman"/>
                <w:i w:val="0"/>
                <w:iCs w:val="0"/>
                <w:color w:val="auto"/>
                <w:sz w:val="18"/>
                <w:szCs w:val="18"/>
                <w:highlight w:val="none"/>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32B14">
            <w:pPr>
              <w:jc w:val="center"/>
              <w:rPr>
                <w:rFonts w:hint="default" w:ascii="Times New Roman" w:hAnsi="Times New Roman" w:eastAsia="宋体" w:cs="Times New Roman"/>
                <w:i w:val="0"/>
                <w:iCs w:val="0"/>
                <w:color w:val="auto"/>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AB57D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人工费</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40F38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材料费</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1BC94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机械费</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1B24B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直接工程费</w:t>
            </w: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51242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措施费</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77990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合计</w:t>
            </w:r>
          </w:p>
        </w:tc>
        <w:tc>
          <w:tcPr>
            <w:tcW w:w="28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E25A1">
            <w:pPr>
              <w:jc w:val="center"/>
              <w:rPr>
                <w:rFonts w:hint="default" w:ascii="Times New Roman" w:hAnsi="Times New Roman" w:eastAsia="宋体" w:cs="Times New Roman"/>
                <w:i w:val="0"/>
                <w:iCs w:val="0"/>
                <w:color w:val="auto"/>
                <w:sz w:val="18"/>
                <w:szCs w:val="18"/>
                <w:highlight w:val="none"/>
                <w:u w:val="none"/>
              </w:rPr>
            </w:pPr>
          </w:p>
        </w:tc>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4D0CC">
            <w:pPr>
              <w:jc w:val="center"/>
              <w:rPr>
                <w:rFonts w:hint="default" w:ascii="Times New Roman" w:hAnsi="Times New Roman" w:eastAsia="宋体" w:cs="Times New Roman"/>
                <w:i w:val="0"/>
                <w:iCs w:val="0"/>
                <w:color w:val="auto"/>
                <w:sz w:val="18"/>
                <w:szCs w:val="18"/>
                <w:highlight w:val="none"/>
                <w:u w:val="none"/>
              </w:rPr>
            </w:pPr>
          </w:p>
        </w:tc>
        <w:tc>
          <w:tcPr>
            <w:tcW w:w="3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5990C">
            <w:pPr>
              <w:jc w:val="center"/>
              <w:rPr>
                <w:rFonts w:hint="default" w:ascii="Times New Roman" w:hAnsi="Times New Roman" w:eastAsia="宋体" w:cs="Times New Roman"/>
                <w:i w:val="0"/>
                <w:iCs w:val="0"/>
                <w:color w:val="auto"/>
                <w:sz w:val="18"/>
                <w:szCs w:val="18"/>
                <w:highlight w:val="none"/>
                <w:u w:val="none"/>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33DE7">
            <w:pPr>
              <w:jc w:val="center"/>
              <w:rPr>
                <w:rFonts w:hint="default" w:ascii="Times New Roman" w:hAnsi="Times New Roman" w:eastAsia="宋体" w:cs="Times New Roman"/>
                <w:i w:val="0"/>
                <w:iCs w:val="0"/>
                <w:color w:val="auto"/>
                <w:sz w:val="18"/>
                <w:szCs w:val="18"/>
                <w:highlight w:val="none"/>
                <w:u w:val="none"/>
              </w:rPr>
            </w:pPr>
          </w:p>
        </w:tc>
        <w:tc>
          <w:tcPr>
            <w:tcW w:w="3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5B56D">
            <w:pPr>
              <w:jc w:val="center"/>
              <w:rPr>
                <w:rFonts w:hint="default" w:ascii="Times New Roman" w:hAnsi="Times New Roman" w:eastAsia="宋体" w:cs="Times New Roman"/>
                <w:i w:val="0"/>
                <w:iCs w:val="0"/>
                <w:color w:val="auto"/>
                <w:sz w:val="18"/>
                <w:szCs w:val="18"/>
                <w:highlight w:val="none"/>
                <w:u w:val="none"/>
              </w:rPr>
            </w:pPr>
          </w:p>
        </w:tc>
      </w:tr>
      <w:tr w14:paraId="736793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618B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eastAsia" w:ascii="Times New Roman" w:hAnsi="Times New Roman" w:eastAsia="宋体" w:cs="Times New Roman"/>
                <w:i w:val="0"/>
                <w:iCs w:val="0"/>
                <w:color w:val="auto"/>
                <w:kern w:val="0"/>
                <w:sz w:val="20"/>
                <w:szCs w:val="20"/>
                <w:u w:val="none"/>
                <w:lang w:val="en-US" w:eastAsia="zh-CN" w:bidi="ar"/>
              </w:rPr>
              <w:t>1</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EF1A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20"/>
                <w:szCs w:val="20"/>
                <w:u w:val="none"/>
                <w:lang w:val="en-US" w:eastAsia="zh-CN" w:bidi="ar"/>
              </w:rPr>
              <w:t>20274+20017</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01EB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eastAsia" w:ascii="宋体" w:hAnsi="宋体" w:eastAsia="宋体" w:cs="宋体"/>
                <w:i w:val="0"/>
                <w:iCs w:val="0"/>
                <w:color w:val="auto"/>
                <w:kern w:val="0"/>
                <w:sz w:val="20"/>
                <w:szCs w:val="20"/>
                <w:u w:val="none"/>
                <w:lang w:val="en-US" w:eastAsia="zh-CN" w:bidi="ar"/>
              </w:rPr>
              <w:t>清除硬覆盖层</w:t>
            </w: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4D0F4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20"/>
                <w:szCs w:val="20"/>
                <w:u w:val="none"/>
                <w:lang w:val="en-US" w:eastAsia="zh-CN" w:bidi="ar"/>
              </w:rPr>
              <w:t>100m</w:t>
            </w:r>
            <w:r>
              <w:rPr>
                <w:rFonts w:hint="default" w:ascii="Times New Roman" w:hAnsi="Times New Roman" w:eastAsia="宋体" w:cs="Times New Roman"/>
                <w:i w:val="0"/>
                <w:iCs w:val="0"/>
                <w:color w:val="auto"/>
                <w:kern w:val="0"/>
                <w:sz w:val="20"/>
                <w:szCs w:val="20"/>
                <w:u w:val="none"/>
                <w:vertAlign w:val="superscript"/>
                <w:lang w:val="en-US" w:eastAsia="zh-CN" w:bidi="ar"/>
              </w:rPr>
              <w:t>3</w:t>
            </w: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0514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20"/>
                <w:szCs w:val="20"/>
                <w:u w:val="none"/>
                <w:lang w:val="en-US" w:eastAsia="zh-CN" w:bidi="ar"/>
              </w:rPr>
              <w:t xml:space="preserve">61.66 </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781C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20"/>
                <w:szCs w:val="20"/>
                <w:u w:val="none"/>
                <w:lang w:val="en-US" w:eastAsia="zh-CN" w:bidi="ar"/>
              </w:rPr>
              <w:t xml:space="preserve">138.63 </w:t>
            </w: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F555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20"/>
                <w:szCs w:val="20"/>
                <w:u w:val="none"/>
                <w:lang w:val="en-US" w:eastAsia="zh-CN" w:bidi="ar"/>
              </w:rPr>
              <w:t xml:space="preserve">447.77 </w:t>
            </w: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0A33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20"/>
                <w:szCs w:val="20"/>
                <w:u w:val="none"/>
                <w:lang w:val="en-US" w:eastAsia="zh-CN" w:bidi="ar"/>
              </w:rPr>
              <w:t xml:space="preserve">648.05 </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89EF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20"/>
                <w:szCs w:val="20"/>
                <w:u w:val="none"/>
                <w:lang w:val="en-US" w:eastAsia="zh-CN" w:bidi="ar"/>
              </w:rPr>
              <w:t xml:space="preserve">24.63 </w:t>
            </w:r>
          </w:p>
        </w:tc>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8EBC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20"/>
                <w:szCs w:val="20"/>
                <w:u w:val="none"/>
                <w:lang w:val="en-US" w:eastAsia="zh-CN" w:bidi="ar"/>
              </w:rPr>
              <w:t xml:space="preserve">672.68 </w:t>
            </w:r>
          </w:p>
        </w:tc>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605B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20"/>
                <w:szCs w:val="20"/>
                <w:u w:val="none"/>
                <w:lang w:val="en-US" w:eastAsia="zh-CN" w:bidi="ar"/>
              </w:rPr>
              <w:t xml:space="preserve">48.43 </w:t>
            </w:r>
          </w:p>
        </w:tc>
        <w:tc>
          <w:tcPr>
            <w:tcW w:w="2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A08B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20"/>
                <w:szCs w:val="20"/>
                <w:u w:val="none"/>
                <w:lang w:val="en-US" w:eastAsia="zh-CN" w:bidi="ar"/>
              </w:rPr>
              <w:t xml:space="preserve">21.63 </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05AF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20"/>
                <w:szCs w:val="20"/>
                <w:u w:val="none"/>
                <w:lang w:val="en-US" w:eastAsia="zh-CN" w:bidi="ar"/>
              </w:rPr>
              <w:t xml:space="preserve">127.91 </w:t>
            </w: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DCFE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20"/>
                <w:szCs w:val="20"/>
                <w:u w:val="none"/>
                <w:lang w:val="en-US" w:eastAsia="zh-CN" w:bidi="ar"/>
              </w:rPr>
              <w:t xml:space="preserve">78.36 </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791D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20"/>
                <w:szCs w:val="20"/>
                <w:u w:val="none"/>
                <w:lang w:val="en-US" w:eastAsia="zh-CN" w:bidi="ar"/>
              </w:rPr>
              <w:t xml:space="preserve">949.01 </w:t>
            </w:r>
          </w:p>
        </w:tc>
      </w:tr>
      <w:tr w14:paraId="0087A7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BFCE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eastAsia" w:ascii="Times New Roman" w:hAnsi="Times New Roman" w:eastAsia="宋体" w:cs="Times New Roman"/>
                <w:i w:val="0"/>
                <w:iCs w:val="0"/>
                <w:color w:val="auto"/>
                <w:kern w:val="0"/>
                <w:sz w:val="20"/>
                <w:szCs w:val="20"/>
                <w:u w:val="none"/>
                <w:lang w:val="en-US" w:eastAsia="zh-CN" w:bidi="ar"/>
              </w:rPr>
              <w:t>2</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A83B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20"/>
                <w:szCs w:val="20"/>
                <w:u w:val="none"/>
                <w:lang w:val="en-US" w:eastAsia="zh-CN" w:bidi="ar"/>
              </w:rPr>
              <w:t>20306</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F0D4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eastAsia" w:ascii="宋体" w:hAnsi="宋体" w:eastAsia="宋体" w:cs="宋体"/>
                <w:i w:val="0"/>
                <w:iCs w:val="0"/>
                <w:color w:val="auto"/>
                <w:kern w:val="0"/>
                <w:sz w:val="20"/>
                <w:szCs w:val="20"/>
                <w:u w:val="none"/>
                <w:lang w:val="en-US" w:eastAsia="zh-CN" w:bidi="ar"/>
              </w:rPr>
              <w:t>运输建筑垃圾及硬覆盖</w:t>
            </w: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C7155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20"/>
                <w:szCs w:val="20"/>
                <w:u w:val="none"/>
                <w:lang w:val="en-US" w:eastAsia="zh-CN" w:bidi="ar"/>
              </w:rPr>
              <w:t>100m</w:t>
            </w:r>
            <w:r>
              <w:rPr>
                <w:rFonts w:hint="default" w:ascii="Times New Roman" w:hAnsi="Times New Roman" w:eastAsia="宋体" w:cs="Times New Roman"/>
                <w:i w:val="0"/>
                <w:iCs w:val="0"/>
                <w:color w:val="auto"/>
                <w:kern w:val="0"/>
                <w:sz w:val="20"/>
                <w:szCs w:val="20"/>
                <w:u w:val="none"/>
                <w:vertAlign w:val="superscript"/>
                <w:lang w:val="en-US" w:eastAsia="zh-CN" w:bidi="ar"/>
              </w:rPr>
              <w:t>3</w:t>
            </w: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79FA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20"/>
                <w:szCs w:val="20"/>
                <w:u w:val="none"/>
                <w:lang w:val="en-US" w:eastAsia="zh-CN" w:bidi="ar"/>
              </w:rPr>
              <w:t xml:space="preserve">60.91 </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5AF1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20"/>
                <w:szCs w:val="20"/>
                <w:u w:val="none"/>
                <w:lang w:val="en-US" w:eastAsia="zh-CN" w:bidi="ar"/>
              </w:rPr>
              <w:t xml:space="preserve">0.00 </w:t>
            </w: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A3CC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20"/>
                <w:szCs w:val="20"/>
                <w:u w:val="none"/>
                <w:lang w:val="en-US" w:eastAsia="zh-CN" w:bidi="ar"/>
              </w:rPr>
              <w:t xml:space="preserve">1045.89 </w:t>
            </w: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7C09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20"/>
                <w:szCs w:val="20"/>
                <w:u w:val="none"/>
                <w:lang w:val="en-US" w:eastAsia="zh-CN" w:bidi="ar"/>
              </w:rPr>
              <w:t xml:space="preserve">1106.79 </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366E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20"/>
                <w:szCs w:val="20"/>
                <w:u w:val="none"/>
                <w:lang w:val="en-US" w:eastAsia="zh-CN" w:bidi="ar"/>
              </w:rPr>
              <w:t xml:space="preserve">42.06 </w:t>
            </w:r>
          </w:p>
        </w:tc>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DB92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20"/>
                <w:szCs w:val="20"/>
                <w:u w:val="none"/>
                <w:lang w:val="en-US" w:eastAsia="zh-CN" w:bidi="ar"/>
              </w:rPr>
              <w:t xml:space="preserve">1148.85 </w:t>
            </w:r>
          </w:p>
        </w:tc>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2F27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20"/>
                <w:szCs w:val="20"/>
                <w:u w:val="none"/>
                <w:lang w:val="en-US" w:eastAsia="zh-CN" w:bidi="ar"/>
              </w:rPr>
              <w:t xml:space="preserve">83.29 </w:t>
            </w:r>
          </w:p>
        </w:tc>
        <w:tc>
          <w:tcPr>
            <w:tcW w:w="2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612A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20"/>
                <w:szCs w:val="20"/>
                <w:u w:val="none"/>
                <w:lang w:val="en-US" w:eastAsia="zh-CN" w:bidi="ar"/>
              </w:rPr>
              <w:t xml:space="preserve">36.96 </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56FA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20"/>
                <w:szCs w:val="20"/>
                <w:u w:val="none"/>
                <w:lang w:val="en-US" w:eastAsia="zh-CN" w:bidi="ar"/>
              </w:rPr>
              <w:t xml:space="preserve">206.46 </w:t>
            </w: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2E0A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20"/>
                <w:szCs w:val="20"/>
                <w:u w:val="none"/>
                <w:lang w:val="en-US" w:eastAsia="zh-CN" w:bidi="ar"/>
              </w:rPr>
              <w:t xml:space="preserve">132.75 </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938B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20"/>
                <w:szCs w:val="20"/>
                <w:u w:val="none"/>
                <w:lang w:val="en-US" w:eastAsia="zh-CN" w:bidi="ar"/>
              </w:rPr>
              <w:t xml:space="preserve">1607.72 </w:t>
            </w:r>
          </w:p>
        </w:tc>
      </w:tr>
      <w:tr w14:paraId="68E914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20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0ED3CE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kern w:val="0"/>
                <w:sz w:val="20"/>
                <w:szCs w:val="20"/>
                <w:u w:val="none"/>
                <w:lang w:val="en-US" w:eastAsia="zh-CN" w:bidi="ar"/>
              </w:rPr>
              <w:t>3</w:t>
            </w:r>
          </w:p>
        </w:tc>
        <w:tc>
          <w:tcPr>
            <w:tcW w:w="468"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E4AA40B">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eastAsia" w:ascii="宋体" w:hAnsi="宋体" w:eastAsia="宋体" w:cs="宋体"/>
                <w:i w:val="0"/>
                <w:iCs w:val="0"/>
                <w:color w:val="auto"/>
                <w:kern w:val="0"/>
                <w:sz w:val="20"/>
                <w:szCs w:val="20"/>
                <w:u w:val="none"/>
                <w:lang w:val="en-US" w:eastAsia="zh-CN" w:bidi="ar"/>
              </w:rPr>
              <w:t>组合定额</w:t>
            </w:r>
          </w:p>
        </w:tc>
        <w:tc>
          <w:tcPr>
            <w:tcW w:w="781"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523774C">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eastAsia" w:ascii="宋体" w:hAnsi="宋体" w:eastAsia="宋体" w:cs="宋体"/>
                <w:i w:val="0"/>
                <w:iCs w:val="0"/>
                <w:color w:val="auto"/>
                <w:kern w:val="0"/>
                <w:sz w:val="20"/>
                <w:szCs w:val="20"/>
                <w:u w:val="none"/>
                <w:lang w:val="en-US" w:eastAsia="zh-CN" w:bidi="ar"/>
              </w:rPr>
              <w:t>建筑物拆除</w:t>
            </w: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14:paraId="47BB6BD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20"/>
                <w:szCs w:val="20"/>
                <w:u w:val="none"/>
                <w:lang w:val="en-US" w:eastAsia="zh-CN" w:bidi="ar"/>
              </w:rPr>
              <w:t>100m</w:t>
            </w:r>
            <w:r>
              <w:rPr>
                <w:rFonts w:hint="default" w:ascii="Times New Roman" w:hAnsi="Times New Roman" w:eastAsia="宋体" w:cs="Times New Roman"/>
                <w:i w:val="0"/>
                <w:iCs w:val="0"/>
                <w:color w:val="auto"/>
                <w:kern w:val="0"/>
                <w:sz w:val="20"/>
                <w:szCs w:val="20"/>
                <w:u w:val="none"/>
                <w:vertAlign w:val="superscript"/>
                <w:lang w:val="en-US" w:eastAsia="zh-CN" w:bidi="ar"/>
              </w:rPr>
              <w:t>3</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8F3EE98">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20"/>
                <w:szCs w:val="20"/>
                <w:u w:val="none"/>
                <w:lang w:val="en-US" w:eastAsia="zh-CN" w:bidi="ar"/>
              </w:rPr>
              <w:t xml:space="preserve">1494.73 </w:t>
            </w:r>
          </w:p>
        </w:tc>
        <w:tc>
          <w:tcPr>
            <w:tcW w:w="304"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EE81F9F">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20"/>
                <w:szCs w:val="20"/>
                <w:u w:val="none"/>
                <w:lang w:val="en-US" w:eastAsia="zh-CN" w:bidi="ar"/>
              </w:rPr>
              <w:t xml:space="preserve">0.00 </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3D0A358">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20"/>
                <w:szCs w:val="20"/>
                <w:u w:val="none"/>
                <w:lang w:val="en-US" w:eastAsia="zh-CN" w:bidi="ar"/>
              </w:rPr>
              <w:t xml:space="preserve">327.73 </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B7D7668">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20"/>
                <w:szCs w:val="20"/>
                <w:u w:val="none"/>
                <w:lang w:val="en-US" w:eastAsia="zh-CN" w:bidi="ar"/>
              </w:rPr>
              <w:t xml:space="preserve">1822.45 </w:t>
            </w:r>
          </w:p>
        </w:tc>
        <w:tc>
          <w:tcPr>
            <w:tcW w:w="268"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C6CD4FD">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20"/>
                <w:szCs w:val="20"/>
                <w:u w:val="none"/>
                <w:lang w:val="en-US" w:eastAsia="zh-CN" w:bidi="ar"/>
              </w:rPr>
              <w:t xml:space="preserve">69.25 </w:t>
            </w:r>
          </w:p>
        </w:tc>
        <w:tc>
          <w:tcPr>
            <w:tcW w:w="310"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5152311">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20"/>
                <w:szCs w:val="20"/>
                <w:u w:val="none"/>
                <w:lang w:val="en-US" w:eastAsia="zh-CN" w:bidi="ar"/>
              </w:rPr>
              <w:t xml:space="preserve">1891.71 </w:t>
            </w:r>
          </w:p>
        </w:tc>
        <w:tc>
          <w:tcPr>
            <w:tcW w:w="286"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8CD2ECF">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20"/>
                <w:szCs w:val="20"/>
                <w:u w:val="none"/>
                <w:lang w:val="en-US" w:eastAsia="zh-CN" w:bidi="ar"/>
              </w:rPr>
              <w:t xml:space="preserve">136.20 </w:t>
            </w:r>
          </w:p>
        </w:tc>
        <w:tc>
          <w:tcPr>
            <w:tcW w:w="26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099B716">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20"/>
                <w:szCs w:val="20"/>
                <w:u w:val="none"/>
                <w:lang w:val="en-US" w:eastAsia="zh-CN" w:bidi="ar"/>
              </w:rPr>
              <w:t xml:space="preserve">60.84 </w:t>
            </w:r>
          </w:p>
        </w:tc>
        <w:tc>
          <w:tcPr>
            <w:tcW w:w="330"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666AFCB">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20"/>
                <w:szCs w:val="20"/>
                <w:u w:val="none"/>
                <w:lang w:val="en-US" w:eastAsia="zh-CN" w:bidi="ar"/>
              </w:rPr>
              <w:t xml:space="preserve">47.12 </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C7F066C">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20"/>
                <w:szCs w:val="20"/>
                <w:u w:val="none"/>
                <w:lang w:val="en-US" w:eastAsia="zh-CN" w:bidi="ar"/>
              </w:rPr>
              <w:t xml:space="preserve">192.23 </w:t>
            </w:r>
          </w:p>
        </w:tc>
        <w:tc>
          <w:tcPr>
            <w:tcW w:w="330"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DF000EA">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20"/>
                <w:szCs w:val="20"/>
                <w:u w:val="none"/>
                <w:lang w:val="en-US" w:eastAsia="zh-CN" w:bidi="ar"/>
              </w:rPr>
              <w:t xml:space="preserve">2328.10 </w:t>
            </w:r>
          </w:p>
        </w:tc>
      </w:tr>
      <w:tr w14:paraId="2C88CE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20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6B302EE">
            <w:pPr>
              <w:jc w:val="center"/>
              <w:rPr>
                <w:rFonts w:hint="default"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4</w:t>
            </w:r>
          </w:p>
        </w:tc>
        <w:tc>
          <w:tcPr>
            <w:tcW w:w="468"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E0CB5F8">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20272</w:t>
            </w:r>
          </w:p>
        </w:tc>
        <w:tc>
          <w:tcPr>
            <w:tcW w:w="781"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B2EDECA">
            <w:pPr>
              <w:keepNext w:val="0"/>
              <w:keepLines w:val="0"/>
              <w:widowControl/>
              <w:suppressLineNumbers w:val="0"/>
              <w:jc w:val="center"/>
              <w:textAlignment w:val="bottom"/>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20"/>
                <w:szCs w:val="20"/>
                <w:u w:val="none"/>
                <w:lang w:val="en-US" w:eastAsia="zh-CN" w:bidi="ar"/>
              </w:rPr>
              <w:t>场地平整</w:t>
            </w: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14:paraId="3C943F9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100m</w:t>
            </w:r>
            <w:r>
              <w:rPr>
                <w:rFonts w:hint="default" w:ascii="Times New Roman" w:hAnsi="Times New Roman" w:eastAsia="宋体" w:cs="Times New Roman"/>
                <w:i w:val="0"/>
                <w:iCs w:val="0"/>
                <w:color w:val="auto"/>
                <w:kern w:val="0"/>
                <w:sz w:val="20"/>
                <w:szCs w:val="20"/>
                <w:u w:val="none"/>
                <w:vertAlign w:val="superscript"/>
                <w:lang w:val="en-US" w:eastAsia="zh-CN" w:bidi="ar"/>
              </w:rPr>
              <w:t>3</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D63A39A">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 xml:space="preserve">63.32 </w:t>
            </w:r>
          </w:p>
        </w:tc>
        <w:tc>
          <w:tcPr>
            <w:tcW w:w="304"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91C088C">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 xml:space="preserve">0.00 </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73C738D">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 xml:space="preserve">275.25 </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3A5AC8B">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 xml:space="preserve">338.57 </w:t>
            </w:r>
          </w:p>
        </w:tc>
        <w:tc>
          <w:tcPr>
            <w:tcW w:w="268"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674743F">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 xml:space="preserve">12.87 </w:t>
            </w:r>
          </w:p>
        </w:tc>
        <w:tc>
          <w:tcPr>
            <w:tcW w:w="310"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20C06E5">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 xml:space="preserve">351.44 </w:t>
            </w:r>
          </w:p>
        </w:tc>
        <w:tc>
          <w:tcPr>
            <w:tcW w:w="286"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8882C83">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 xml:space="preserve">25.30 </w:t>
            </w:r>
          </w:p>
        </w:tc>
        <w:tc>
          <w:tcPr>
            <w:tcW w:w="26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899F29E">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 xml:space="preserve">11.30 </w:t>
            </w:r>
          </w:p>
        </w:tc>
        <w:tc>
          <w:tcPr>
            <w:tcW w:w="330"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9B9E117">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 xml:space="preserve">268.15 </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F28926C">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 xml:space="preserve">42.04 </w:t>
            </w:r>
          </w:p>
        </w:tc>
        <w:tc>
          <w:tcPr>
            <w:tcW w:w="330"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122B740">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 xml:space="preserve">509.19 </w:t>
            </w:r>
          </w:p>
        </w:tc>
      </w:tr>
      <w:tr w14:paraId="19261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20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CC04030">
            <w:pPr>
              <w:jc w:val="center"/>
              <w:rPr>
                <w:rFonts w:hint="default"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5</w:t>
            </w:r>
          </w:p>
        </w:tc>
        <w:tc>
          <w:tcPr>
            <w:tcW w:w="468"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DDBD7CF">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20056</w:t>
            </w:r>
          </w:p>
        </w:tc>
        <w:tc>
          <w:tcPr>
            <w:tcW w:w="781"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39BD985">
            <w:pPr>
              <w:keepNext w:val="0"/>
              <w:keepLines w:val="0"/>
              <w:widowControl/>
              <w:suppressLineNumbers w:val="0"/>
              <w:jc w:val="center"/>
              <w:textAlignment w:val="bottom"/>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20"/>
                <w:szCs w:val="20"/>
                <w:u w:val="none"/>
                <w:lang w:val="en-US" w:eastAsia="zh-CN" w:bidi="ar"/>
              </w:rPr>
              <w:t>坡面一般石方开挖</w:t>
            </w: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14:paraId="048C4EF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100m</w:t>
            </w:r>
            <w:r>
              <w:rPr>
                <w:rFonts w:hint="default" w:ascii="Times New Roman" w:hAnsi="Times New Roman" w:eastAsia="宋体" w:cs="Times New Roman"/>
                <w:i w:val="0"/>
                <w:iCs w:val="0"/>
                <w:color w:val="auto"/>
                <w:kern w:val="0"/>
                <w:sz w:val="20"/>
                <w:szCs w:val="20"/>
                <w:u w:val="none"/>
                <w:vertAlign w:val="superscript"/>
                <w:lang w:val="en-US" w:eastAsia="zh-CN" w:bidi="ar"/>
              </w:rPr>
              <w:t>3</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6A4608A">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 xml:space="preserve">2047.29 </w:t>
            </w:r>
          </w:p>
        </w:tc>
        <w:tc>
          <w:tcPr>
            <w:tcW w:w="304"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A948BFD">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 xml:space="preserve">708.90 </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20F6CEF">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 xml:space="preserve">68.24 </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EA048A6">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 xml:space="preserve">2047.29 </w:t>
            </w:r>
          </w:p>
        </w:tc>
        <w:tc>
          <w:tcPr>
            <w:tcW w:w="268"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0527C95">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 xml:space="preserve">77.80 </w:t>
            </w:r>
          </w:p>
        </w:tc>
        <w:tc>
          <w:tcPr>
            <w:tcW w:w="310"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4AB41AC">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 xml:space="preserve">2125.08 </w:t>
            </w:r>
          </w:p>
        </w:tc>
        <w:tc>
          <w:tcPr>
            <w:tcW w:w="286"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D8646A5">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 xml:space="preserve">153.01 </w:t>
            </w:r>
          </w:p>
        </w:tc>
        <w:tc>
          <w:tcPr>
            <w:tcW w:w="26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64E1D36">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 xml:space="preserve">68.34 </w:t>
            </w:r>
          </w:p>
        </w:tc>
        <w:tc>
          <w:tcPr>
            <w:tcW w:w="330"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33380C5">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 xml:space="preserve">17.34 </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5110635">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 xml:space="preserve">212.74 </w:t>
            </w:r>
          </w:p>
        </w:tc>
        <w:tc>
          <w:tcPr>
            <w:tcW w:w="330"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C465ED8">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 xml:space="preserve">2576.51 </w:t>
            </w:r>
          </w:p>
        </w:tc>
      </w:tr>
    </w:tbl>
    <w:p w14:paraId="077693E2">
      <w:pPr>
        <w:rPr>
          <w:rFonts w:hint="default" w:ascii="Times New Roman" w:hAnsi="Times New Roman" w:cs="Times New Roman"/>
          <w:color w:val="auto"/>
          <w:highlight w:val="none"/>
        </w:rPr>
      </w:pPr>
    </w:p>
    <w:p w14:paraId="39F1A81F">
      <w:pPr>
        <w:rPr>
          <w:rFonts w:hint="default" w:ascii="Times New Roman" w:hAnsi="Times New Roman" w:cs="Times New Roman"/>
          <w:color w:val="auto"/>
          <w:highlight w:val="none"/>
        </w:rPr>
        <w:sectPr>
          <w:pgSz w:w="16838" w:h="11906" w:orient="landscape"/>
          <w:pgMar w:top="1417" w:right="1440" w:bottom="1417" w:left="1440" w:header="851" w:footer="992" w:gutter="0"/>
          <w:pgBorders w:offsetFrom="page">
            <w:top w:val="none" w:sz="0" w:space="0"/>
            <w:left w:val="none" w:sz="0" w:space="0"/>
            <w:bottom w:val="none" w:sz="0" w:space="0"/>
            <w:right w:val="none" w:sz="0" w:space="0"/>
          </w:pgBorders>
          <w:pgNumType w:fmt="decimal"/>
          <w:cols w:space="720" w:num="1"/>
          <w:docGrid w:type="lines" w:linePitch="312" w:charSpace="0"/>
        </w:sectPr>
      </w:pPr>
    </w:p>
    <w:bookmarkEnd w:id="291"/>
    <w:bookmarkEnd w:id="292"/>
    <w:p w14:paraId="5CDF6E3F">
      <w:pPr>
        <w:pStyle w:val="90"/>
        <w:autoSpaceDE w:val="0"/>
        <w:autoSpaceDN w:val="0"/>
        <w:rPr>
          <w:rFonts w:hint="default" w:ascii="Times New Roman" w:hAnsi="Times New Roman" w:eastAsia="黑体" w:cs="Times New Roman"/>
          <w:b w:val="0"/>
          <w:bCs/>
          <w:color w:val="auto"/>
          <w:highlight w:val="none"/>
        </w:rPr>
      </w:pPr>
      <w:r>
        <w:rPr>
          <w:rFonts w:hint="default" w:ascii="Times New Roman" w:hAnsi="Times New Roman" w:eastAsia="黑体" w:cs="Times New Roman"/>
          <w:b w:val="0"/>
          <w:bCs/>
          <w:color w:val="auto"/>
          <w:highlight w:val="none"/>
        </w:rPr>
        <w:t>表7-12</w:t>
      </w:r>
      <w:r>
        <w:rPr>
          <w:rFonts w:hint="eastAsia" w:ascii="Times New Roman" w:hAnsi="Times New Roman" w:cs="Times New Roman"/>
          <w:b w:val="0"/>
          <w:bCs/>
          <w:color w:val="auto"/>
          <w:highlight w:val="none"/>
          <w:lang w:val="en-US" w:eastAsia="zh-CN"/>
        </w:rPr>
        <w:t xml:space="preserve">  </w:t>
      </w:r>
      <w:r>
        <w:rPr>
          <w:rFonts w:hint="default" w:ascii="Times New Roman" w:hAnsi="Times New Roman" w:eastAsia="黑体" w:cs="Times New Roman"/>
          <w:b w:val="0"/>
          <w:bCs/>
          <w:color w:val="auto"/>
          <w:highlight w:val="none"/>
        </w:rPr>
        <w:t>单项估算表</w:t>
      </w:r>
    </w:p>
    <w:tbl>
      <w:tblPr>
        <w:tblStyle w:val="3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84"/>
        <w:gridCol w:w="2257"/>
        <w:gridCol w:w="1231"/>
        <w:gridCol w:w="968"/>
        <w:gridCol w:w="1113"/>
        <w:gridCol w:w="1769"/>
      </w:tblGrid>
      <w:tr w14:paraId="13C2B6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6" w:hRule="exac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noWrap/>
            <w:vAlign w:val="bottom"/>
          </w:tcPr>
          <w:p w14:paraId="59A9B57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1</w:t>
            </w:r>
            <w:r>
              <w:rPr>
                <w:rFonts w:hint="default" w:ascii="Times New Roman" w:hAnsi="Times New Roman" w:eastAsia="宋体" w:cs="Times New Roman"/>
                <w:i w:val="0"/>
                <w:iCs w:val="0"/>
                <w:color w:val="auto"/>
                <w:kern w:val="0"/>
                <w:sz w:val="21"/>
                <w:szCs w:val="21"/>
                <w:highlight w:val="none"/>
                <w:u w:val="none"/>
                <w:lang w:val="en-US" w:eastAsia="zh-CN" w:bidi="ar"/>
              </w:rPr>
              <w:t>、清除硬覆盖层</w:t>
            </w:r>
          </w:p>
        </w:tc>
      </w:tr>
      <w:tr w14:paraId="03B3A3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6" w:hRule="exac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noWrap/>
            <w:vAlign w:val="bottom"/>
          </w:tcPr>
          <w:p w14:paraId="17BEA71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定额编号：20274+20017                                        定额单位：100m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p>
        </w:tc>
      </w:tr>
      <w:tr w14:paraId="00797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6" w:hRule="exac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noWrap/>
            <w:vAlign w:val="bottom"/>
          </w:tcPr>
          <w:p w14:paraId="2ED029C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施工方法：装、运、卸、空回。运距40m。</w:t>
            </w:r>
          </w:p>
        </w:tc>
      </w:tr>
      <w:tr w14:paraId="2C87E1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6" w:hRule="exact"/>
        </w:trPr>
        <w:tc>
          <w:tcPr>
            <w:tcW w:w="69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FB5282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序号</w:t>
            </w:r>
          </w:p>
        </w:tc>
        <w:tc>
          <w:tcPr>
            <w:tcW w:w="13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62534C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项目名称</w:t>
            </w:r>
          </w:p>
        </w:tc>
        <w:tc>
          <w:tcPr>
            <w:tcW w:w="72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817DE6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单位</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70CC95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数量</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ACE334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单价</w:t>
            </w:r>
          </w:p>
        </w:tc>
        <w:tc>
          <w:tcPr>
            <w:tcW w:w="103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94F80D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小计（元）</w:t>
            </w:r>
          </w:p>
        </w:tc>
      </w:tr>
      <w:tr w14:paraId="53108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6" w:hRule="exact"/>
        </w:trPr>
        <w:tc>
          <w:tcPr>
            <w:tcW w:w="69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9314EE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w:t>
            </w:r>
          </w:p>
        </w:tc>
        <w:tc>
          <w:tcPr>
            <w:tcW w:w="13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6A5B38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直接费</w:t>
            </w:r>
          </w:p>
        </w:tc>
        <w:tc>
          <w:tcPr>
            <w:tcW w:w="72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F86A9DE">
            <w:pPr>
              <w:keepNext w:val="0"/>
              <w:keepLines w:val="0"/>
              <w:pageBreakBefore w:val="0"/>
              <w:widowControl/>
              <w:kinsoku/>
              <w:wordWrap/>
              <w:overflowPunct/>
              <w:topLinePunct w:val="0"/>
              <w:autoSpaceDE/>
              <w:autoSpaceDN/>
              <w:bidi w:val="0"/>
              <w:adjustRightInd/>
              <w:snapToGrid/>
              <w:spacing w:line="0" w:lineRule="atLeast"/>
              <w:jc w:val="center"/>
              <w:rPr>
                <w:rFonts w:hint="default" w:ascii="Times New Roman" w:hAnsi="Times New Roman" w:eastAsia="宋体" w:cs="Times New Roman"/>
                <w:i w:val="0"/>
                <w:iCs w:val="0"/>
                <w:color w:val="auto"/>
                <w:sz w:val="21"/>
                <w:szCs w:val="21"/>
                <w:highlight w:val="none"/>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165EB04">
            <w:pPr>
              <w:keepNext w:val="0"/>
              <w:keepLines w:val="0"/>
              <w:pageBreakBefore w:val="0"/>
              <w:widowControl/>
              <w:kinsoku/>
              <w:wordWrap/>
              <w:overflowPunct/>
              <w:topLinePunct w:val="0"/>
              <w:autoSpaceDE/>
              <w:autoSpaceDN/>
              <w:bidi w:val="0"/>
              <w:adjustRightInd/>
              <w:snapToGrid/>
              <w:spacing w:line="0" w:lineRule="atLeast"/>
              <w:jc w:val="center"/>
              <w:rPr>
                <w:rFonts w:hint="default" w:ascii="Times New Roman" w:hAnsi="Times New Roman" w:eastAsia="宋体" w:cs="Times New Roman"/>
                <w:i w:val="0"/>
                <w:iCs w:val="0"/>
                <w:color w:val="auto"/>
                <w:sz w:val="21"/>
                <w:szCs w:val="21"/>
                <w:highlight w:val="none"/>
                <w:u w:val="none"/>
              </w:rPr>
            </w:pP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7DF24A2">
            <w:pPr>
              <w:keepNext w:val="0"/>
              <w:keepLines w:val="0"/>
              <w:pageBreakBefore w:val="0"/>
              <w:widowControl/>
              <w:kinsoku/>
              <w:wordWrap/>
              <w:overflowPunct/>
              <w:topLinePunct w:val="0"/>
              <w:autoSpaceDE/>
              <w:autoSpaceDN/>
              <w:bidi w:val="0"/>
              <w:adjustRightInd/>
              <w:snapToGrid/>
              <w:spacing w:line="0" w:lineRule="atLeast"/>
              <w:jc w:val="center"/>
              <w:rPr>
                <w:rFonts w:hint="default" w:ascii="Times New Roman" w:hAnsi="Times New Roman" w:eastAsia="宋体" w:cs="Times New Roman"/>
                <w:i w:val="0"/>
                <w:iCs w:val="0"/>
                <w:color w:val="auto"/>
                <w:sz w:val="21"/>
                <w:szCs w:val="21"/>
                <w:highlight w:val="none"/>
                <w:u w:val="none"/>
              </w:rPr>
            </w:pPr>
          </w:p>
        </w:tc>
        <w:tc>
          <w:tcPr>
            <w:tcW w:w="103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8EDE59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672.66 </w:t>
            </w:r>
          </w:p>
        </w:tc>
      </w:tr>
      <w:tr w14:paraId="6C9D15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6" w:hRule="exact"/>
        </w:trPr>
        <w:tc>
          <w:tcPr>
            <w:tcW w:w="69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A346EB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w:t>
            </w:r>
          </w:p>
        </w:tc>
        <w:tc>
          <w:tcPr>
            <w:tcW w:w="13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8CD4FF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直接工程费</w:t>
            </w:r>
          </w:p>
        </w:tc>
        <w:tc>
          <w:tcPr>
            <w:tcW w:w="72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C8DE77F">
            <w:pPr>
              <w:keepNext w:val="0"/>
              <w:keepLines w:val="0"/>
              <w:pageBreakBefore w:val="0"/>
              <w:widowControl/>
              <w:kinsoku/>
              <w:wordWrap/>
              <w:overflowPunct/>
              <w:topLinePunct w:val="0"/>
              <w:autoSpaceDE/>
              <w:autoSpaceDN/>
              <w:bidi w:val="0"/>
              <w:adjustRightInd/>
              <w:snapToGrid/>
              <w:spacing w:line="0" w:lineRule="atLeast"/>
              <w:jc w:val="center"/>
              <w:rPr>
                <w:rFonts w:hint="default" w:ascii="Times New Roman" w:hAnsi="Times New Roman" w:eastAsia="宋体" w:cs="Times New Roman"/>
                <w:i w:val="0"/>
                <w:iCs w:val="0"/>
                <w:color w:val="auto"/>
                <w:sz w:val="21"/>
                <w:szCs w:val="21"/>
                <w:highlight w:val="none"/>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38110CE">
            <w:pPr>
              <w:keepNext w:val="0"/>
              <w:keepLines w:val="0"/>
              <w:pageBreakBefore w:val="0"/>
              <w:widowControl/>
              <w:kinsoku/>
              <w:wordWrap/>
              <w:overflowPunct/>
              <w:topLinePunct w:val="0"/>
              <w:autoSpaceDE/>
              <w:autoSpaceDN/>
              <w:bidi w:val="0"/>
              <w:adjustRightInd/>
              <w:snapToGrid/>
              <w:spacing w:line="0" w:lineRule="atLeast"/>
              <w:jc w:val="center"/>
              <w:rPr>
                <w:rFonts w:hint="default" w:ascii="Times New Roman" w:hAnsi="Times New Roman" w:eastAsia="宋体" w:cs="Times New Roman"/>
                <w:i w:val="0"/>
                <w:iCs w:val="0"/>
                <w:color w:val="auto"/>
                <w:sz w:val="21"/>
                <w:szCs w:val="21"/>
                <w:highlight w:val="none"/>
                <w:u w:val="none"/>
              </w:rPr>
            </w:pP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96C320A">
            <w:pPr>
              <w:keepNext w:val="0"/>
              <w:keepLines w:val="0"/>
              <w:pageBreakBefore w:val="0"/>
              <w:widowControl/>
              <w:kinsoku/>
              <w:wordWrap/>
              <w:overflowPunct/>
              <w:topLinePunct w:val="0"/>
              <w:autoSpaceDE/>
              <w:autoSpaceDN/>
              <w:bidi w:val="0"/>
              <w:adjustRightInd/>
              <w:snapToGrid/>
              <w:spacing w:line="0" w:lineRule="atLeast"/>
              <w:jc w:val="center"/>
              <w:rPr>
                <w:rFonts w:hint="default" w:ascii="Times New Roman" w:hAnsi="Times New Roman" w:eastAsia="宋体" w:cs="Times New Roman"/>
                <w:i w:val="0"/>
                <w:iCs w:val="0"/>
                <w:color w:val="auto"/>
                <w:sz w:val="21"/>
                <w:szCs w:val="21"/>
                <w:highlight w:val="none"/>
                <w:u w:val="none"/>
              </w:rPr>
            </w:pPr>
          </w:p>
        </w:tc>
        <w:tc>
          <w:tcPr>
            <w:tcW w:w="103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C1D261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648.04 </w:t>
            </w:r>
          </w:p>
        </w:tc>
      </w:tr>
      <w:tr w14:paraId="67176C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6" w:hRule="exact"/>
        </w:trPr>
        <w:tc>
          <w:tcPr>
            <w:tcW w:w="69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DABFEF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 </w:t>
            </w:r>
          </w:p>
        </w:tc>
        <w:tc>
          <w:tcPr>
            <w:tcW w:w="13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4A8AB7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人工费</w:t>
            </w:r>
          </w:p>
        </w:tc>
        <w:tc>
          <w:tcPr>
            <w:tcW w:w="72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13D389E">
            <w:pPr>
              <w:keepNext w:val="0"/>
              <w:keepLines w:val="0"/>
              <w:pageBreakBefore w:val="0"/>
              <w:widowControl/>
              <w:kinsoku/>
              <w:wordWrap/>
              <w:overflowPunct/>
              <w:topLinePunct w:val="0"/>
              <w:autoSpaceDE/>
              <w:autoSpaceDN/>
              <w:bidi w:val="0"/>
              <w:adjustRightInd/>
              <w:snapToGrid/>
              <w:spacing w:line="0" w:lineRule="atLeast"/>
              <w:jc w:val="center"/>
              <w:rPr>
                <w:rFonts w:hint="default" w:ascii="Times New Roman" w:hAnsi="Times New Roman" w:eastAsia="宋体" w:cs="Times New Roman"/>
                <w:i w:val="0"/>
                <w:iCs w:val="0"/>
                <w:color w:val="auto"/>
                <w:sz w:val="21"/>
                <w:szCs w:val="21"/>
                <w:highlight w:val="none"/>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ED446E9">
            <w:pPr>
              <w:keepNext w:val="0"/>
              <w:keepLines w:val="0"/>
              <w:pageBreakBefore w:val="0"/>
              <w:widowControl/>
              <w:kinsoku/>
              <w:wordWrap/>
              <w:overflowPunct/>
              <w:topLinePunct w:val="0"/>
              <w:autoSpaceDE/>
              <w:autoSpaceDN/>
              <w:bidi w:val="0"/>
              <w:adjustRightInd/>
              <w:snapToGrid/>
              <w:spacing w:line="0" w:lineRule="atLeast"/>
              <w:jc w:val="center"/>
              <w:rPr>
                <w:rFonts w:hint="default" w:ascii="Times New Roman" w:hAnsi="Times New Roman" w:eastAsia="宋体" w:cs="Times New Roman"/>
                <w:i w:val="0"/>
                <w:iCs w:val="0"/>
                <w:color w:val="auto"/>
                <w:sz w:val="21"/>
                <w:szCs w:val="21"/>
                <w:highlight w:val="none"/>
                <w:u w:val="none"/>
              </w:rPr>
            </w:pP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EE8EA8C">
            <w:pPr>
              <w:keepNext w:val="0"/>
              <w:keepLines w:val="0"/>
              <w:pageBreakBefore w:val="0"/>
              <w:widowControl/>
              <w:kinsoku/>
              <w:wordWrap/>
              <w:overflowPunct/>
              <w:topLinePunct w:val="0"/>
              <w:autoSpaceDE/>
              <w:autoSpaceDN/>
              <w:bidi w:val="0"/>
              <w:adjustRightInd/>
              <w:snapToGrid/>
              <w:spacing w:line="0" w:lineRule="atLeast"/>
              <w:jc w:val="center"/>
              <w:rPr>
                <w:rFonts w:hint="default" w:ascii="Times New Roman" w:hAnsi="Times New Roman" w:eastAsia="宋体" w:cs="Times New Roman"/>
                <w:i w:val="0"/>
                <w:iCs w:val="0"/>
                <w:color w:val="auto"/>
                <w:sz w:val="21"/>
                <w:szCs w:val="21"/>
                <w:highlight w:val="none"/>
                <w:u w:val="none"/>
              </w:rPr>
            </w:pPr>
          </w:p>
        </w:tc>
        <w:tc>
          <w:tcPr>
            <w:tcW w:w="103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A3C3B7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61.66 </w:t>
            </w:r>
          </w:p>
        </w:tc>
      </w:tr>
      <w:tr w14:paraId="3F3C77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6" w:hRule="exact"/>
        </w:trPr>
        <w:tc>
          <w:tcPr>
            <w:tcW w:w="69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FA71D29">
            <w:pPr>
              <w:keepNext w:val="0"/>
              <w:keepLines w:val="0"/>
              <w:pageBreakBefore w:val="0"/>
              <w:widowControl/>
              <w:kinsoku/>
              <w:wordWrap/>
              <w:overflowPunct/>
              <w:topLinePunct w:val="0"/>
              <w:autoSpaceDE/>
              <w:autoSpaceDN/>
              <w:bidi w:val="0"/>
              <w:adjustRightInd/>
              <w:snapToGrid/>
              <w:spacing w:line="0" w:lineRule="atLeast"/>
              <w:jc w:val="center"/>
              <w:rPr>
                <w:rFonts w:hint="default" w:ascii="Times New Roman" w:hAnsi="Times New Roman" w:eastAsia="宋体" w:cs="Times New Roman"/>
                <w:i w:val="0"/>
                <w:iCs w:val="0"/>
                <w:color w:val="auto"/>
                <w:sz w:val="21"/>
                <w:szCs w:val="21"/>
                <w:highlight w:val="none"/>
                <w:u w:val="none"/>
              </w:rPr>
            </w:pPr>
          </w:p>
        </w:tc>
        <w:tc>
          <w:tcPr>
            <w:tcW w:w="13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231101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甲类工</w:t>
            </w:r>
          </w:p>
        </w:tc>
        <w:tc>
          <w:tcPr>
            <w:tcW w:w="72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0DA8B7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工日</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81E001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0.10 </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7E0B63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51.04 </w:t>
            </w:r>
          </w:p>
        </w:tc>
        <w:tc>
          <w:tcPr>
            <w:tcW w:w="103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E71067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5.10 </w:t>
            </w:r>
          </w:p>
        </w:tc>
      </w:tr>
      <w:tr w14:paraId="749B13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6" w:hRule="exact"/>
        </w:trPr>
        <w:tc>
          <w:tcPr>
            <w:tcW w:w="69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19B7C46">
            <w:pPr>
              <w:keepNext w:val="0"/>
              <w:keepLines w:val="0"/>
              <w:pageBreakBefore w:val="0"/>
              <w:widowControl/>
              <w:kinsoku/>
              <w:wordWrap/>
              <w:overflowPunct/>
              <w:topLinePunct w:val="0"/>
              <w:autoSpaceDE/>
              <w:autoSpaceDN/>
              <w:bidi w:val="0"/>
              <w:adjustRightInd/>
              <w:snapToGrid/>
              <w:spacing w:line="0" w:lineRule="atLeast"/>
              <w:jc w:val="center"/>
              <w:rPr>
                <w:rFonts w:hint="default" w:ascii="Times New Roman" w:hAnsi="Times New Roman" w:eastAsia="宋体" w:cs="Times New Roman"/>
                <w:i w:val="0"/>
                <w:iCs w:val="0"/>
                <w:color w:val="auto"/>
                <w:sz w:val="21"/>
                <w:szCs w:val="21"/>
                <w:highlight w:val="none"/>
                <w:u w:val="none"/>
              </w:rPr>
            </w:pPr>
          </w:p>
        </w:tc>
        <w:tc>
          <w:tcPr>
            <w:tcW w:w="13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649021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乙类工</w:t>
            </w:r>
          </w:p>
        </w:tc>
        <w:tc>
          <w:tcPr>
            <w:tcW w:w="72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8ACFF5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工日</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07292C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1.30 </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53EE83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38.84 </w:t>
            </w:r>
          </w:p>
        </w:tc>
        <w:tc>
          <w:tcPr>
            <w:tcW w:w="103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83F97F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50.49 </w:t>
            </w:r>
          </w:p>
        </w:tc>
      </w:tr>
      <w:tr w14:paraId="314E25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6" w:hRule="exact"/>
        </w:trPr>
        <w:tc>
          <w:tcPr>
            <w:tcW w:w="69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729DFC2">
            <w:pPr>
              <w:keepNext w:val="0"/>
              <w:keepLines w:val="0"/>
              <w:pageBreakBefore w:val="0"/>
              <w:widowControl/>
              <w:kinsoku/>
              <w:wordWrap/>
              <w:overflowPunct/>
              <w:topLinePunct w:val="0"/>
              <w:autoSpaceDE/>
              <w:autoSpaceDN/>
              <w:bidi w:val="0"/>
              <w:adjustRightInd/>
              <w:snapToGrid/>
              <w:spacing w:line="0" w:lineRule="atLeast"/>
              <w:jc w:val="center"/>
              <w:rPr>
                <w:rFonts w:hint="default" w:ascii="Times New Roman" w:hAnsi="Times New Roman" w:eastAsia="宋体" w:cs="Times New Roman"/>
                <w:i w:val="0"/>
                <w:iCs w:val="0"/>
                <w:color w:val="auto"/>
                <w:sz w:val="21"/>
                <w:szCs w:val="21"/>
                <w:highlight w:val="none"/>
                <w:u w:val="none"/>
              </w:rPr>
            </w:pPr>
          </w:p>
        </w:tc>
        <w:tc>
          <w:tcPr>
            <w:tcW w:w="13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35B63C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其他费用</w:t>
            </w:r>
          </w:p>
        </w:tc>
        <w:tc>
          <w:tcPr>
            <w:tcW w:w="72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AB4A1D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D619A7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10.90 </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253D5A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55.60 </w:t>
            </w:r>
          </w:p>
        </w:tc>
        <w:tc>
          <w:tcPr>
            <w:tcW w:w="103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D892BD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6.06 </w:t>
            </w:r>
          </w:p>
        </w:tc>
      </w:tr>
      <w:tr w14:paraId="301E8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6" w:hRule="exact"/>
        </w:trPr>
        <w:tc>
          <w:tcPr>
            <w:tcW w:w="69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FC2BD2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 </w:t>
            </w:r>
          </w:p>
        </w:tc>
        <w:tc>
          <w:tcPr>
            <w:tcW w:w="13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5F5B0F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材料费</w:t>
            </w:r>
          </w:p>
        </w:tc>
        <w:tc>
          <w:tcPr>
            <w:tcW w:w="72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DCD5FCA">
            <w:pPr>
              <w:keepNext w:val="0"/>
              <w:keepLines w:val="0"/>
              <w:pageBreakBefore w:val="0"/>
              <w:widowControl/>
              <w:kinsoku/>
              <w:wordWrap/>
              <w:overflowPunct/>
              <w:topLinePunct w:val="0"/>
              <w:autoSpaceDE/>
              <w:autoSpaceDN/>
              <w:bidi w:val="0"/>
              <w:adjustRightInd/>
              <w:snapToGrid/>
              <w:spacing w:line="0" w:lineRule="atLeast"/>
              <w:jc w:val="center"/>
              <w:rPr>
                <w:rFonts w:hint="default" w:ascii="Times New Roman" w:hAnsi="Times New Roman" w:eastAsia="宋体" w:cs="Times New Roman"/>
                <w:i w:val="0"/>
                <w:iCs w:val="0"/>
                <w:color w:val="auto"/>
                <w:sz w:val="21"/>
                <w:szCs w:val="21"/>
                <w:highlight w:val="none"/>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BEFA153">
            <w:pPr>
              <w:keepNext w:val="0"/>
              <w:keepLines w:val="0"/>
              <w:pageBreakBefore w:val="0"/>
              <w:widowControl/>
              <w:kinsoku/>
              <w:wordWrap/>
              <w:overflowPunct/>
              <w:topLinePunct w:val="0"/>
              <w:autoSpaceDE/>
              <w:autoSpaceDN/>
              <w:bidi w:val="0"/>
              <w:adjustRightInd/>
              <w:snapToGrid/>
              <w:spacing w:line="0" w:lineRule="atLeast"/>
              <w:jc w:val="center"/>
              <w:rPr>
                <w:rFonts w:hint="default" w:ascii="Times New Roman" w:hAnsi="Times New Roman" w:eastAsia="宋体" w:cs="Times New Roman"/>
                <w:i w:val="0"/>
                <w:iCs w:val="0"/>
                <w:color w:val="auto"/>
                <w:sz w:val="21"/>
                <w:szCs w:val="21"/>
                <w:highlight w:val="none"/>
                <w:u w:val="none"/>
              </w:rPr>
            </w:pP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1128300">
            <w:pPr>
              <w:keepNext w:val="0"/>
              <w:keepLines w:val="0"/>
              <w:pageBreakBefore w:val="0"/>
              <w:widowControl/>
              <w:kinsoku/>
              <w:wordWrap/>
              <w:overflowPunct/>
              <w:topLinePunct w:val="0"/>
              <w:autoSpaceDE/>
              <w:autoSpaceDN/>
              <w:bidi w:val="0"/>
              <w:adjustRightInd/>
              <w:snapToGrid/>
              <w:spacing w:line="0" w:lineRule="atLeast"/>
              <w:jc w:val="center"/>
              <w:rPr>
                <w:rFonts w:hint="default" w:ascii="Times New Roman" w:hAnsi="Times New Roman" w:eastAsia="宋体" w:cs="Times New Roman"/>
                <w:i w:val="0"/>
                <w:iCs w:val="0"/>
                <w:color w:val="auto"/>
                <w:sz w:val="21"/>
                <w:szCs w:val="21"/>
                <w:highlight w:val="none"/>
                <w:u w:val="none"/>
              </w:rPr>
            </w:pPr>
          </w:p>
        </w:tc>
        <w:tc>
          <w:tcPr>
            <w:tcW w:w="103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287F39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138.63 </w:t>
            </w:r>
          </w:p>
        </w:tc>
      </w:tr>
      <w:tr w14:paraId="483D3C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6" w:hRule="exact"/>
        </w:trPr>
        <w:tc>
          <w:tcPr>
            <w:tcW w:w="69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FD27547">
            <w:pPr>
              <w:keepNext w:val="0"/>
              <w:keepLines w:val="0"/>
              <w:pageBreakBefore w:val="0"/>
              <w:widowControl/>
              <w:kinsoku/>
              <w:wordWrap/>
              <w:overflowPunct/>
              <w:topLinePunct w:val="0"/>
              <w:autoSpaceDE/>
              <w:autoSpaceDN/>
              <w:bidi w:val="0"/>
              <w:adjustRightInd/>
              <w:snapToGrid/>
              <w:spacing w:line="0" w:lineRule="atLeast"/>
              <w:jc w:val="center"/>
              <w:rPr>
                <w:rFonts w:hint="default" w:ascii="Times New Roman" w:hAnsi="Times New Roman" w:eastAsia="宋体" w:cs="Times New Roman"/>
                <w:i w:val="0"/>
                <w:iCs w:val="0"/>
                <w:color w:val="auto"/>
                <w:sz w:val="21"/>
                <w:szCs w:val="21"/>
                <w:highlight w:val="none"/>
                <w:u w:val="none"/>
              </w:rPr>
            </w:pPr>
          </w:p>
        </w:tc>
        <w:tc>
          <w:tcPr>
            <w:tcW w:w="13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2FF6E2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电钻钻头</w:t>
            </w:r>
          </w:p>
        </w:tc>
        <w:tc>
          <w:tcPr>
            <w:tcW w:w="722" w:type="pct"/>
            <w:tcBorders>
              <w:top w:val="single" w:color="000000" w:sz="4" w:space="0"/>
              <w:left w:val="single" w:color="000000" w:sz="4" w:space="0"/>
              <w:bottom w:val="single" w:color="000000" w:sz="4" w:space="0"/>
              <w:right w:val="single" w:color="000000" w:sz="4" w:space="0"/>
            </w:tcBorders>
            <w:shd w:val="clear" w:color="auto" w:fill="auto"/>
            <w:vAlign w:val="bottom"/>
          </w:tcPr>
          <w:p w14:paraId="3670575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个</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2D8266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0.14 </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C8EF23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15.00 </w:t>
            </w:r>
          </w:p>
        </w:tc>
        <w:tc>
          <w:tcPr>
            <w:tcW w:w="103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3AEB7A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2.10 </w:t>
            </w:r>
          </w:p>
        </w:tc>
      </w:tr>
      <w:tr w14:paraId="650C8E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6" w:hRule="exact"/>
        </w:trPr>
        <w:tc>
          <w:tcPr>
            <w:tcW w:w="69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5D15AB9">
            <w:pPr>
              <w:keepNext w:val="0"/>
              <w:keepLines w:val="0"/>
              <w:pageBreakBefore w:val="0"/>
              <w:widowControl/>
              <w:kinsoku/>
              <w:wordWrap/>
              <w:overflowPunct/>
              <w:topLinePunct w:val="0"/>
              <w:autoSpaceDE/>
              <w:autoSpaceDN/>
              <w:bidi w:val="0"/>
              <w:adjustRightInd/>
              <w:snapToGrid/>
              <w:spacing w:line="0" w:lineRule="atLeast"/>
              <w:jc w:val="center"/>
              <w:rPr>
                <w:rFonts w:hint="default" w:ascii="Times New Roman" w:hAnsi="Times New Roman" w:eastAsia="宋体" w:cs="Times New Roman"/>
                <w:i w:val="0"/>
                <w:iCs w:val="0"/>
                <w:color w:val="auto"/>
                <w:sz w:val="21"/>
                <w:szCs w:val="21"/>
                <w:highlight w:val="none"/>
                <w:u w:val="none"/>
              </w:rPr>
            </w:pPr>
          </w:p>
        </w:tc>
        <w:tc>
          <w:tcPr>
            <w:tcW w:w="13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B622F7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电钻钻杆</w:t>
            </w:r>
          </w:p>
        </w:tc>
        <w:tc>
          <w:tcPr>
            <w:tcW w:w="722" w:type="pct"/>
            <w:tcBorders>
              <w:top w:val="single" w:color="000000" w:sz="4" w:space="0"/>
              <w:left w:val="single" w:color="000000" w:sz="4" w:space="0"/>
              <w:bottom w:val="single" w:color="000000" w:sz="4" w:space="0"/>
              <w:right w:val="single" w:color="000000" w:sz="4" w:space="0"/>
            </w:tcBorders>
            <w:shd w:val="clear" w:color="auto" w:fill="auto"/>
            <w:vAlign w:val="bottom"/>
          </w:tcPr>
          <w:p w14:paraId="11DF9C7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m</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B1F5FD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0.51 </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EF896B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30.00 </w:t>
            </w:r>
          </w:p>
        </w:tc>
        <w:tc>
          <w:tcPr>
            <w:tcW w:w="103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022211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15.30 </w:t>
            </w:r>
          </w:p>
        </w:tc>
      </w:tr>
      <w:tr w14:paraId="2D8ED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6" w:hRule="exact"/>
        </w:trPr>
        <w:tc>
          <w:tcPr>
            <w:tcW w:w="69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A42D423">
            <w:pPr>
              <w:keepNext w:val="0"/>
              <w:keepLines w:val="0"/>
              <w:pageBreakBefore w:val="0"/>
              <w:widowControl/>
              <w:kinsoku/>
              <w:wordWrap/>
              <w:overflowPunct/>
              <w:topLinePunct w:val="0"/>
              <w:autoSpaceDE/>
              <w:autoSpaceDN/>
              <w:bidi w:val="0"/>
              <w:adjustRightInd/>
              <w:snapToGrid/>
              <w:spacing w:line="0" w:lineRule="atLeast"/>
              <w:jc w:val="center"/>
              <w:rPr>
                <w:rFonts w:hint="default" w:ascii="Times New Roman" w:hAnsi="Times New Roman" w:eastAsia="宋体" w:cs="Times New Roman"/>
                <w:i w:val="0"/>
                <w:iCs w:val="0"/>
                <w:color w:val="auto"/>
                <w:sz w:val="21"/>
                <w:szCs w:val="21"/>
                <w:highlight w:val="none"/>
                <w:u w:val="none"/>
              </w:rPr>
            </w:pPr>
          </w:p>
        </w:tc>
        <w:tc>
          <w:tcPr>
            <w:tcW w:w="13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5AE872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炸药</w:t>
            </w:r>
          </w:p>
        </w:tc>
        <w:tc>
          <w:tcPr>
            <w:tcW w:w="722" w:type="pct"/>
            <w:tcBorders>
              <w:top w:val="single" w:color="000000" w:sz="4" w:space="0"/>
              <w:left w:val="single" w:color="000000" w:sz="4" w:space="0"/>
              <w:bottom w:val="single" w:color="000000" w:sz="4" w:space="0"/>
              <w:right w:val="single" w:color="000000" w:sz="4" w:space="0"/>
            </w:tcBorders>
            <w:shd w:val="clear" w:color="auto" w:fill="auto"/>
            <w:vAlign w:val="bottom"/>
          </w:tcPr>
          <w:p w14:paraId="021F3FE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kg</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3E0405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5.00 </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999FE7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12.00 </w:t>
            </w:r>
          </w:p>
        </w:tc>
        <w:tc>
          <w:tcPr>
            <w:tcW w:w="103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64C786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60.00 </w:t>
            </w:r>
          </w:p>
        </w:tc>
      </w:tr>
      <w:tr w14:paraId="24A6CE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6" w:hRule="exact"/>
        </w:trPr>
        <w:tc>
          <w:tcPr>
            <w:tcW w:w="69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FC4C8DB">
            <w:pPr>
              <w:keepNext w:val="0"/>
              <w:keepLines w:val="0"/>
              <w:pageBreakBefore w:val="0"/>
              <w:widowControl/>
              <w:kinsoku/>
              <w:wordWrap/>
              <w:overflowPunct/>
              <w:topLinePunct w:val="0"/>
              <w:autoSpaceDE/>
              <w:autoSpaceDN/>
              <w:bidi w:val="0"/>
              <w:adjustRightInd/>
              <w:snapToGrid/>
              <w:spacing w:line="0" w:lineRule="atLeast"/>
              <w:jc w:val="center"/>
              <w:rPr>
                <w:rFonts w:hint="default" w:ascii="Times New Roman" w:hAnsi="Times New Roman" w:eastAsia="宋体" w:cs="Times New Roman"/>
                <w:i w:val="0"/>
                <w:iCs w:val="0"/>
                <w:color w:val="auto"/>
                <w:sz w:val="21"/>
                <w:szCs w:val="21"/>
                <w:highlight w:val="none"/>
                <w:u w:val="none"/>
              </w:rPr>
            </w:pPr>
          </w:p>
        </w:tc>
        <w:tc>
          <w:tcPr>
            <w:tcW w:w="13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27F83F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电雷管</w:t>
            </w:r>
          </w:p>
        </w:tc>
        <w:tc>
          <w:tcPr>
            <w:tcW w:w="722" w:type="pct"/>
            <w:tcBorders>
              <w:top w:val="single" w:color="000000" w:sz="4" w:space="0"/>
              <w:left w:val="single" w:color="000000" w:sz="4" w:space="0"/>
              <w:bottom w:val="single" w:color="000000" w:sz="4" w:space="0"/>
              <w:right w:val="single" w:color="000000" w:sz="4" w:space="0"/>
            </w:tcBorders>
            <w:shd w:val="clear" w:color="auto" w:fill="auto"/>
            <w:vAlign w:val="bottom"/>
          </w:tcPr>
          <w:p w14:paraId="3160BF9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个</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5C2F5F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7.60 </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8FC00C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3.00 </w:t>
            </w:r>
          </w:p>
        </w:tc>
        <w:tc>
          <w:tcPr>
            <w:tcW w:w="103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E4FB07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22.80 </w:t>
            </w:r>
          </w:p>
        </w:tc>
      </w:tr>
      <w:tr w14:paraId="57AAD2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6" w:hRule="exact"/>
        </w:trPr>
        <w:tc>
          <w:tcPr>
            <w:tcW w:w="69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64026B3">
            <w:pPr>
              <w:keepNext w:val="0"/>
              <w:keepLines w:val="0"/>
              <w:pageBreakBefore w:val="0"/>
              <w:widowControl/>
              <w:kinsoku/>
              <w:wordWrap/>
              <w:overflowPunct/>
              <w:topLinePunct w:val="0"/>
              <w:autoSpaceDE/>
              <w:autoSpaceDN/>
              <w:bidi w:val="0"/>
              <w:adjustRightInd/>
              <w:snapToGrid/>
              <w:spacing w:line="0" w:lineRule="atLeast"/>
              <w:jc w:val="center"/>
              <w:rPr>
                <w:rFonts w:hint="default" w:ascii="Times New Roman" w:hAnsi="Times New Roman" w:eastAsia="宋体" w:cs="Times New Roman"/>
                <w:i w:val="0"/>
                <w:iCs w:val="0"/>
                <w:color w:val="auto"/>
                <w:sz w:val="21"/>
                <w:szCs w:val="21"/>
                <w:highlight w:val="none"/>
                <w:u w:val="none"/>
              </w:rPr>
            </w:pPr>
          </w:p>
        </w:tc>
        <w:tc>
          <w:tcPr>
            <w:tcW w:w="13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2D8B60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导电线</w:t>
            </w:r>
          </w:p>
        </w:tc>
        <w:tc>
          <w:tcPr>
            <w:tcW w:w="722" w:type="pct"/>
            <w:tcBorders>
              <w:top w:val="single" w:color="000000" w:sz="4" w:space="0"/>
              <w:left w:val="single" w:color="000000" w:sz="4" w:space="0"/>
              <w:bottom w:val="single" w:color="000000" w:sz="4" w:space="0"/>
              <w:right w:val="single" w:color="000000" w:sz="4" w:space="0"/>
            </w:tcBorders>
            <w:shd w:val="clear" w:color="auto" w:fill="auto"/>
            <w:vAlign w:val="bottom"/>
          </w:tcPr>
          <w:p w14:paraId="362AA18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m</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FE58D1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18.80 </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9614CE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2.00 </w:t>
            </w:r>
          </w:p>
        </w:tc>
        <w:tc>
          <w:tcPr>
            <w:tcW w:w="103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CCE530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37.60 </w:t>
            </w:r>
          </w:p>
        </w:tc>
      </w:tr>
      <w:tr w14:paraId="34F6DD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6" w:hRule="exact"/>
        </w:trPr>
        <w:tc>
          <w:tcPr>
            <w:tcW w:w="69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FEBBB9F">
            <w:pPr>
              <w:keepNext w:val="0"/>
              <w:keepLines w:val="0"/>
              <w:pageBreakBefore w:val="0"/>
              <w:widowControl/>
              <w:kinsoku/>
              <w:wordWrap/>
              <w:overflowPunct/>
              <w:topLinePunct w:val="0"/>
              <w:autoSpaceDE/>
              <w:autoSpaceDN/>
              <w:bidi w:val="0"/>
              <w:adjustRightInd/>
              <w:snapToGrid/>
              <w:spacing w:line="0" w:lineRule="atLeast"/>
              <w:jc w:val="center"/>
              <w:rPr>
                <w:rFonts w:hint="default" w:ascii="Times New Roman" w:hAnsi="Times New Roman" w:eastAsia="宋体" w:cs="Times New Roman"/>
                <w:i w:val="0"/>
                <w:iCs w:val="0"/>
                <w:color w:val="auto"/>
                <w:sz w:val="21"/>
                <w:szCs w:val="21"/>
                <w:highlight w:val="none"/>
                <w:u w:val="none"/>
              </w:rPr>
            </w:pPr>
          </w:p>
        </w:tc>
        <w:tc>
          <w:tcPr>
            <w:tcW w:w="13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C89E3C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其他费用</w:t>
            </w:r>
          </w:p>
        </w:tc>
        <w:tc>
          <w:tcPr>
            <w:tcW w:w="72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22D459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44C816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0.60 </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5813DB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137.80 </w:t>
            </w:r>
          </w:p>
        </w:tc>
        <w:tc>
          <w:tcPr>
            <w:tcW w:w="103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0CF88B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0.83 </w:t>
            </w:r>
          </w:p>
        </w:tc>
      </w:tr>
      <w:tr w14:paraId="67EEF6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6" w:hRule="exact"/>
        </w:trPr>
        <w:tc>
          <w:tcPr>
            <w:tcW w:w="69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DE8B36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 </w:t>
            </w:r>
          </w:p>
        </w:tc>
        <w:tc>
          <w:tcPr>
            <w:tcW w:w="13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D60B0E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机械费</w:t>
            </w:r>
          </w:p>
        </w:tc>
        <w:tc>
          <w:tcPr>
            <w:tcW w:w="72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72DDF6C">
            <w:pPr>
              <w:keepNext w:val="0"/>
              <w:keepLines w:val="0"/>
              <w:pageBreakBefore w:val="0"/>
              <w:widowControl/>
              <w:kinsoku/>
              <w:wordWrap/>
              <w:overflowPunct/>
              <w:topLinePunct w:val="0"/>
              <w:autoSpaceDE/>
              <w:autoSpaceDN/>
              <w:bidi w:val="0"/>
              <w:adjustRightInd/>
              <w:snapToGrid/>
              <w:spacing w:line="0" w:lineRule="atLeast"/>
              <w:jc w:val="center"/>
              <w:rPr>
                <w:rFonts w:hint="default" w:ascii="Times New Roman" w:hAnsi="Times New Roman" w:eastAsia="宋体" w:cs="Times New Roman"/>
                <w:i w:val="0"/>
                <w:iCs w:val="0"/>
                <w:color w:val="auto"/>
                <w:sz w:val="21"/>
                <w:szCs w:val="21"/>
                <w:highlight w:val="none"/>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0D29334">
            <w:pPr>
              <w:keepNext w:val="0"/>
              <w:keepLines w:val="0"/>
              <w:pageBreakBefore w:val="0"/>
              <w:widowControl/>
              <w:kinsoku/>
              <w:wordWrap/>
              <w:overflowPunct/>
              <w:topLinePunct w:val="0"/>
              <w:autoSpaceDE/>
              <w:autoSpaceDN/>
              <w:bidi w:val="0"/>
              <w:adjustRightInd/>
              <w:snapToGrid/>
              <w:spacing w:line="0" w:lineRule="atLeast"/>
              <w:jc w:val="center"/>
              <w:rPr>
                <w:rFonts w:hint="default" w:ascii="Times New Roman" w:hAnsi="Times New Roman" w:eastAsia="宋体" w:cs="Times New Roman"/>
                <w:i w:val="0"/>
                <w:iCs w:val="0"/>
                <w:color w:val="auto"/>
                <w:sz w:val="21"/>
                <w:szCs w:val="21"/>
                <w:highlight w:val="none"/>
                <w:u w:val="none"/>
              </w:rPr>
            </w:pP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A5617EA">
            <w:pPr>
              <w:keepNext w:val="0"/>
              <w:keepLines w:val="0"/>
              <w:pageBreakBefore w:val="0"/>
              <w:widowControl/>
              <w:kinsoku/>
              <w:wordWrap/>
              <w:overflowPunct/>
              <w:topLinePunct w:val="0"/>
              <w:autoSpaceDE/>
              <w:autoSpaceDN/>
              <w:bidi w:val="0"/>
              <w:adjustRightInd/>
              <w:snapToGrid/>
              <w:spacing w:line="0" w:lineRule="atLeast"/>
              <w:jc w:val="center"/>
              <w:rPr>
                <w:rFonts w:hint="default" w:ascii="Times New Roman" w:hAnsi="Times New Roman" w:eastAsia="宋体" w:cs="Times New Roman"/>
                <w:i w:val="0"/>
                <w:iCs w:val="0"/>
                <w:color w:val="auto"/>
                <w:sz w:val="21"/>
                <w:szCs w:val="21"/>
                <w:highlight w:val="none"/>
                <w:u w:val="none"/>
              </w:rPr>
            </w:pPr>
          </w:p>
        </w:tc>
        <w:tc>
          <w:tcPr>
            <w:tcW w:w="103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2A4877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447.76 </w:t>
            </w:r>
          </w:p>
        </w:tc>
      </w:tr>
      <w:tr w14:paraId="739BB8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6" w:hRule="exact"/>
        </w:trPr>
        <w:tc>
          <w:tcPr>
            <w:tcW w:w="69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C11A0DD">
            <w:pPr>
              <w:keepNext w:val="0"/>
              <w:keepLines w:val="0"/>
              <w:pageBreakBefore w:val="0"/>
              <w:widowControl/>
              <w:kinsoku/>
              <w:wordWrap/>
              <w:overflowPunct/>
              <w:topLinePunct w:val="0"/>
              <w:autoSpaceDE/>
              <w:autoSpaceDN/>
              <w:bidi w:val="0"/>
              <w:adjustRightInd/>
              <w:snapToGrid/>
              <w:spacing w:line="0" w:lineRule="atLeast"/>
              <w:jc w:val="center"/>
              <w:rPr>
                <w:rFonts w:hint="default" w:ascii="Times New Roman" w:hAnsi="Times New Roman" w:eastAsia="宋体" w:cs="Times New Roman"/>
                <w:i w:val="0"/>
                <w:iCs w:val="0"/>
                <w:color w:val="auto"/>
                <w:sz w:val="21"/>
                <w:szCs w:val="21"/>
                <w:highlight w:val="none"/>
                <w:u w:val="none"/>
              </w:rPr>
            </w:pPr>
          </w:p>
        </w:tc>
        <w:tc>
          <w:tcPr>
            <w:tcW w:w="13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5C26B3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推土机74</w:t>
            </w:r>
            <w:r>
              <w:rPr>
                <w:rFonts w:hint="eastAsia" w:ascii="Times New Roman" w:hAnsi="Times New Roman" w:cs="Times New Roman"/>
                <w:i w:val="0"/>
                <w:iCs w:val="0"/>
                <w:color w:val="auto"/>
                <w:kern w:val="0"/>
                <w:sz w:val="21"/>
                <w:szCs w:val="21"/>
                <w:highlight w:val="none"/>
                <w:u w:val="none"/>
                <w:lang w:val="en-US" w:eastAsia="zh-CN" w:bidi="ar"/>
              </w:rPr>
              <w:t>kW</w:t>
            </w:r>
          </w:p>
        </w:tc>
        <w:tc>
          <w:tcPr>
            <w:tcW w:w="722" w:type="pct"/>
            <w:tcBorders>
              <w:top w:val="single" w:color="000000" w:sz="4" w:space="0"/>
              <w:left w:val="nil"/>
              <w:bottom w:val="single" w:color="000000" w:sz="4" w:space="0"/>
              <w:right w:val="single" w:color="000000" w:sz="4" w:space="0"/>
            </w:tcBorders>
            <w:shd w:val="clear" w:color="auto" w:fill="auto"/>
            <w:noWrap/>
            <w:vAlign w:val="bottom"/>
          </w:tcPr>
          <w:p w14:paraId="2568A52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台班</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297727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0.76 </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353B8B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537.26 </w:t>
            </w:r>
          </w:p>
        </w:tc>
        <w:tc>
          <w:tcPr>
            <w:tcW w:w="103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96A9A5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408.32 </w:t>
            </w:r>
          </w:p>
        </w:tc>
      </w:tr>
      <w:tr w14:paraId="21976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6" w:hRule="exact"/>
        </w:trPr>
        <w:tc>
          <w:tcPr>
            <w:tcW w:w="69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54A7080">
            <w:pPr>
              <w:keepNext w:val="0"/>
              <w:keepLines w:val="0"/>
              <w:pageBreakBefore w:val="0"/>
              <w:widowControl/>
              <w:kinsoku/>
              <w:wordWrap/>
              <w:overflowPunct/>
              <w:topLinePunct w:val="0"/>
              <w:autoSpaceDE/>
              <w:autoSpaceDN/>
              <w:bidi w:val="0"/>
              <w:adjustRightInd/>
              <w:snapToGrid/>
              <w:spacing w:line="0" w:lineRule="atLeast"/>
              <w:jc w:val="center"/>
              <w:rPr>
                <w:rFonts w:hint="default" w:ascii="Times New Roman" w:hAnsi="Times New Roman" w:eastAsia="宋体" w:cs="Times New Roman"/>
                <w:i w:val="0"/>
                <w:iCs w:val="0"/>
                <w:color w:val="auto"/>
                <w:sz w:val="21"/>
                <w:szCs w:val="21"/>
                <w:highlight w:val="none"/>
                <w:u w:val="none"/>
              </w:rPr>
            </w:pPr>
          </w:p>
        </w:tc>
        <w:tc>
          <w:tcPr>
            <w:tcW w:w="1324" w:type="pct"/>
            <w:tcBorders>
              <w:top w:val="single" w:color="000000" w:sz="4" w:space="0"/>
              <w:left w:val="single" w:color="000000" w:sz="4" w:space="0"/>
              <w:bottom w:val="single" w:color="000000" w:sz="4" w:space="0"/>
              <w:right w:val="single" w:color="000000" w:sz="4" w:space="0"/>
            </w:tcBorders>
            <w:shd w:val="clear" w:color="auto" w:fill="auto"/>
            <w:vAlign w:val="bottom"/>
          </w:tcPr>
          <w:p w14:paraId="2B6A020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电钻1.5</w:t>
            </w:r>
            <w:r>
              <w:rPr>
                <w:rFonts w:hint="eastAsia" w:ascii="Times New Roman" w:hAnsi="Times New Roman" w:cs="Times New Roman"/>
                <w:i w:val="0"/>
                <w:iCs w:val="0"/>
                <w:color w:val="auto"/>
                <w:kern w:val="0"/>
                <w:sz w:val="21"/>
                <w:szCs w:val="21"/>
                <w:highlight w:val="none"/>
                <w:u w:val="none"/>
                <w:lang w:val="en-US" w:eastAsia="zh-CN" w:bidi="ar"/>
              </w:rPr>
              <w:t>kW</w:t>
            </w:r>
          </w:p>
        </w:tc>
        <w:tc>
          <w:tcPr>
            <w:tcW w:w="722" w:type="pct"/>
            <w:tcBorders>
              <w:top w:val="single" w:color="000000" w:sz="4" w:space="0"/>
              <w:left w:val="single" w:color="000000" w:sz="4" w:space="0"/>
              <w:bottom w:val="single" w:color="000000" w:sz="4" w:space="0"/>
              <w:right w:val="single" w:color="000000" w:sz="4" w:space="0"/>
            </w:tcBorders>
            <w:shd w:val="clear" w:color="auto" w:fill="auto"/>
            <w:vAlign w:val="bottom"/>
          </w:tcPr>
          <w:p w14:paraId="44C1C00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台班</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BCA21B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0.20 </w:t>
            </w:r>
          </w:p>
        </w:tc>
        <w:tc>
          <w:tcPr>
            <w:tcW w:w="653" w:type="pct"/>
            <w:tcBorders>
              <w:top w:val="nil"/>
              <w:left w:val="nil"/>
              <w:bottom w:val="nil"/>
              <w:right w:val="nil"/>
            </w:tcBorders>
            <w:shd w:val="clear" w:color="auto" w:fill="auto"/>
            <w:noWrap/>
            <w:vAlign w:val="bottom"/>
          </w:tcPr>
          <w:p w14:paraId="06848B1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12.30 </w:t>
            </w:r>
          </w:p>
        </w:tc>
        <w:tc>
          <w:tcPr>
            <w:tcW w:w="103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A33D37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2.46 </w:t>
            </w:r>
          </w:p>
        </w:tc>
      </w:tr>
      <w:tr w14:paraId="5ED1AA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6" w:hRule="exact"/>
        </w:trPr>
        <w:tc>
          <w:tcPr>
            <w:tcW w:w="69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5E2A9B9">
            <w:pPr>
              <w:keepNext w:val="0"/>
              <w:keepLines w:val="0"/>
              <w:pageBreakBefore w:val="0"/>
              <w:widowControl/>
              <w:kinsoku/>
              <w:wordWrap/>
              <w:overflowPunct/>
              <w:topLinePunct w:val="0"/>
              <w:autoSpaceDE/>
              <w:autoSpaceDN/>
              <w:bidi w:val="0"/>
              <w:adjustRightInd/>
              <w:snapToGrid/>
              <w:spacing w:line="0" w:lineRule="atLeast"/>
              <w:jc w:val="center"/>
              <w:rPr>
                <w:rFonts w:hint="default" w:ascii="Times New Roman" w:hAnsi="Times New Roman" w:eastAsia="宋体" w:cs="Times New Roman"/>
                <w:i w:val="0"/>
                <w:iCs w:val="0"/>
                <w:color w:val="auto"/>
                <w:sz w:val="21"/>
                <w:szCs w:val="21"/>
                <w:highlight w:val="none"/>
                <w:u w:val="none"/>
              </w:rPr>
            </w:pPr>
          </w:p>
        </w:tc>
        <w:tc>
          <w:tcPr>
            <w:tcW w:w="13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C52239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其他费用</w:t>
            </w:r>
          </w:p>
        </w:tc>
        <w:tc>
          <w:tcPr>
            <w:tcW w:w="722" w:type="pct"/>
            <w:tcBorders>
              <w:top w:val="single" w:color="000000" w:sz="4" w:space="0"/>
              <w:left w:val="nil"/>
              <w:bottom w:val="single" w:color="000000" w:sz="4" w:space="0"/>
              <w:right w:val="single" w:color="000000" w:sz="4" w:space="0"/>
            </w:tcBorders>
            <w:shd w:val="clear" w:color="auto" w:fill="auto"/>
            <w:noWrap/>
            <w:vAlign w:val="bottom"/>
          </w:tcPr>
          <w:p w14:paraId="233AB9F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92035F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9.60 </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D552BB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410.78 </w:t>
            </w:r>
          </w:p>
        </w:tc>
        <w:tc>
          <w:tcPr>
            <w:tcW w:w="103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71E629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39.43 </w:t>
            </w:r>
          </w:p>
        </w:tc>
      </w:tr>
      <w:tr w14:paraId="1C50DA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6" w:hRule="exact"/>
        </w:trPr>
        <w:tc>
          <w:tcPr>
            <w:tcW w:w="69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EAD8DB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（二）</w:t>
            </w:r>
          </w:p>
        </w:tc>
        <w:tc>
          <w:tcPr>
            <w:tcW w:w="13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55A643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措施费</w:t>
            </w:r>
          </w:p>
        </w:tc>
        <w:tc>
          <w:tcPr>
            <w:tcW w:w="72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4BF0CC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900285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3.80 </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291ABF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648.04 </w:t>
            </w:r>
          </w:p>
        </w:tc>
        <w:tc>
          <w:tcPr>
            <w:tcW w:w="103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1EA2E2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24.63 </w:t>
            </w:r>
          </w:p>
        </w:tc>
      </w:tr>
      <w:tr w14:paraId="491A98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6" w:hRule="exact"/>
        </w:trPr>
        <w:tc>
          <w:tcPr>
            <w:tcW w:w="69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9FFF99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二</w:t>
            </w:r>
          </w:p>
        </w:tc>
        <w:tc>
          <w:tcPr>
            <w:tcW w:w="13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3A8CF6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间接费</w:t>
            </w:r>
          </w:p>
        </w:tc>
        <w:tc>
          <w:tcPr>
            <w:tcW w:w="72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8CBE42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49A0DC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7.20 </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83B9F0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672.66 </w:t>
            </w:r>
          </w:p>
        </w:tc>
        <w:tc>
          <w:tcPr>
            <w:tcW w:w="103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E1C191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48.43 </w:t>
            </w:r>
          </w:p>
        </w:tc>
      </w:tr>
      <w:tr w14:paraId="2C0E24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6" w:hRule="exact"/>
        </w:trPr>
        <w:tc>
          <w:tcPr>
            <w:tcW w:w="69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94411E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三</w:t>
            </w:r>
          </w:p>
        </w:tc>
        <w:tc>
          <w:tcPr>
            <w:tcW w:w="13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083DD7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利润</w:t>
            </w:r>
          </w:p>
        </w:tc>
        <w:tc>
          <w:tcPr>
            <w:tcW w:w="72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F0420D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213EFC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3.00 </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2D3726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721.10 </w:t>
            </w:r>
          </w:p>
        </w:tc>
        <w:tc>
          <w:tcPr>
            <w:tcW w:w="103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E865E2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21.63 </w:t>
            </w:r>
          </w:p>
        </w:tc>
      </w:tr>
      <w:tr w14:paraId="067040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6" w:hRule="exact"/>
        </w:trPr>
        <w:tc>
          <w:tcPr>
            <w:tcW w:w="69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D9A50A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四</w:t>
            </w:r>
          </w:p>
        </w:tc>
        <w:tc>
          <w:tcPr>
            <w:tcW w:w="13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259C57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材料价差</w:t>
            </w:r>
          </w:p>
        </w:tc>
        <w:tc>
          <w:tcPr>
            <w:tcW w:w="72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37249BF">
            <w:pPr>
              <w:keepNext w:val="0"/>
              <w:keepLines w:val="0"/>
              <w:pageBreakBefore w:val="0"/>
              <w:widowControl/>
              <w:kinsoku/>
              <w:wordWrap/>
              <w:overflowPunct/>
              <w:topLinePunct w:val="0"/>
              <w:autoSpaceDE/>
              <w:autoSpaceDN/>
              <w:bidi w:val="0"/>
              <w:adjustRightInd/>
              <w:snapToGrid/>
              <w:spacing w:line="0" w:lineRule="atLeast"/>
              <w:jc w:val="center"/>
              <w:rPr>
                <w:rFonts w:hint="default" w:ascii="Times New Roman" w:hAnsi="Times New Roman" w:eastAsia="宋体" w:cs="Times New Roman"/>
                <w:i w:val="0"/>
                <w:iCs w:val="0"/>
                <w:color w:val="auto"/>
                <w:sz w:val="21"/>
                <w:szCs w:val="21"/>
                <w:highlight w:val="none"/>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0E7C262">
            <w:pPr>
              <w:keepNext w:val="0"/>
              <w:keepLines w:val="0"/>
              <w:pageBreakBefore w:val="0"/>
              <w:widowControl/>
              <w:kinsoku/>
              <w:wordWrap/>
              <w:overflowPunct/>
              <w:topLinePunct w:val="0"/>
              <w:autoSpaceDE/>
              <w:autoSpaceDN/>
              <w:bidi w:val="0"/>
              <w:adjustRightInd/>
              <w:snapToGrid/>
              <w:spacing w:line="0" w:lineRule="atLeast"/>
              <w:jc w:val="center"/>
              <w:rPr>
                <w:rFonts w:hint="default" w:ascii="Times New Roman" w:hAnsi="Times New Roman" w:eastAsia="宋体" w:cs="Times New Roman"/>
                <w:i w:val="0"/>
                <w:iCs w:val="0"/>
                <w:color w:val="auto"/>
                <w:sz w:val="21"/>
                <w:szCs w:val="21"/>
                <w:highlight w:val="none"/>
                <w:u w:val="none"/>
              </w:rPr>
            </w:pP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59E63E8">
            <w:pPr>
              <w:keepNext w:val="0"/>
              <w:keepLines w:val="0"/>
              <w:pageBreakBefore w:val="0"/>
              <w:widowControl/>
              <w:kinsoku/>
              <w:wordWrap/>
              <w:overflowPunct/>
              <w:topLinePunct w:val="0"/>
              <w:autoSpaceDE/>
              <w:autoSpaceDN/>
              <w:bidi w:val="0"/>
              <w:adjustRightInd/>
              <w:snapToGrid/>
              <w:spacing w:line="0" w:lineRule="atLeast"/>
              <w:jc w:val="center"/>
              <w:rPr>
                <w:rFonts w:hint="default" w:ascii="Times New Roman" w:hAnsi="Times New Roman" w:eastAsia="宋体" w:cs="Times New Roman"/>
                <w:i w:val="0"/>
                <w:iCs w:val="0"/>
                <w:color w:val="auto"/>
                <w:sz w:val="21"/>
                <w:szCs w:val="21"/>
                <w:highlight w:val="none"/>
                <w:u w:val="none"/>
              </w:rPr>
            </w:pPr>
          </w:p>
        </w:tc>
        <w:tc>
          <w:tcPr>
            <w:tcW w:w="103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9FF662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127.91 </w:t>
            </w:r>
          </w:p>
        </w:tc>
      </w:tr>
      <w:tr w14:paraId="183346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6" w:hRule="exact"/>
        </w:trPr>
        <w:tc>
          <w:tcPr>
            <w:tcW w:w="69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9E0588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w:t>
            </w:r>
          </w:p>
        </w:tc>
        <w:tc>
          <w:tcPr>
            <w:tcW w:w="13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92416C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柴油</w:t>
            </w:r>
          </w:p>
        </w:tc>
        <w:tc>
          <w:tcPr>
            <w:tcW w:w="72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B87A63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kg</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2333E0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41.80 </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4CB040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3.06 </w:t>
            </w:r>
          </w:p>
        </w:tc>
        <w:tc>
          <w:tcPr>
            <w:tcW w:w="103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6F18F7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127.91 </w:t>
            </w:r>
          </w:p>
        </w:tc>
      </w:tr>
      <w:tr w14:paraId="03219C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6" w:hRule="exact"/>
        </w:trPr>
        <w:tc>
          <w:tcPr>
            <w:tcW w:w="69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F00A21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五</w:t>
            </w:r>
          </w:p>
        </w:tc>
        <w:tc>
          <w:tcPr>
            <w:tcW w:w="13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947B42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税金</w:t>
            </w:r>
          </w:p>
        </w:tc>
        <w:tc>
          <w:tcPr>
            <w:tcW w:w="72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EA9D66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A10024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9.00 </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4EEC1C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870.64 </w:t>
            </w:r>
          </w:p>
        </w:tc>
        <w:tc>
          <w:tcPr>
            <w:tcW w:w="103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445D2E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78.36 </w:t>
            </w:r>
          </w:p>
        </w:tc>
      </w:tr>
      <w:tr w14:paraId="1B69EB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6" w:hRule="exact"/>
        </w:trPr>
        <w:tc>
          <w:tcPr>
            <w:tcW w:w="20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14:paraId="673892B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合计</w:t>
            </w:r>
          </w:p>
        </w:tc>
        <w:tc>
          <w:tcPr>
            <w:tcW w:w="72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DCD7D8E">
            <w:pPr>
              <w:keepNext w:val="0"/>
              <w:keepLines w:val="0"/>
              <w:pageBreakBefore w:val="0"/>
              <w:widowControl/>
              <w:kinsoku/>
              <w:wordWrap/>
              <w:overflowPunct/>
              <w:topLinePunct w:val="0"/>
              <w:autoSpaceDE/>
              <w:autoSpaceDN/>
              <w:bidi w:val="0"/>
              <w:adjustRightInd/>
              <w:snapToGrid/>
              <w:spacing w:line="0" w:lineRule="atLeast"/>
              <w:jc w:val="center"/>
              <w:rPr>
                <w:rFonts w:hint="default" w:ascii="Times New Roman" w:hAnsi="Times New Roman" w:eastAsia="宋体" w:cs="Times New Roman"/>
                <w:i w:val="0"/>
                <w:iCs w:val="0"/>
                <w:color w:val="auto"/>
                <w:sz w:val="21"/>
                <w:szCs w:val="21"/>
                <w:highlight w:val="none"/>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9D621C5">
            <w:pPr>
              <w:keepNext w:val="0"/>
              <w:keepLines w:val="0"/>
              <w:pageBreakBefore w:val="0"/>
              <w:widowControl/>
              <w:kinsoku/>
              <w:wordWrap/>
              <w:overflowPunct/>
              <w:topLinePunct w:val="0"/>
              <w:autoSpaceDE/>
              <w:autoSpaceDN/>
              <w:bidi w:val="0"/>
              <w:adjustRightInd/>
              <w:snapToGrid/>
              <w:spacing w:line="0" w:lineRule="atLeast"/>
              <w:jc w:val="center"/>
              <w:rPr>
                <w:rFonts w:hint="default" w:ascii="Times New Roman" w:hAnsi="Times New Roman" w:eastAsia="宋体" w:cs="Times New Roman"/>
                <w:i w:val="0"/>
                <w:iCs w:val="0"/>
                <w:color w:val="auto"/>
                <w:sz w:val="21"/>
                <w:szCs w:val="21"/>
                <w:highlight w:val="none"/>
                <w:u w:val="none"/>
              </w:rPr>
            </w:pP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857B550">
            <w:pPr>
              <w:keepNext w:val="0"/>
              <w:keepLines w:val="0"/>
              <w:pageBreakBefore w:val="0"/>
              <w:widowControl/>
              <w:kinsoku/>
              <w:wordWrap/>
              <w:overflowPunct/>
              <w:topLinePunct w:val="0"/>
              <w:autoSpaceDE/>
              <w:autoSpaceDN/>
              <w:bidi w:val="0"/>
              <w:adjustRightInd/>
              <w:snapToGrid/>
              <w:spacing w:line="0" w:lineRule="atLeast"/>
              <w:jc w:val="center"/>
              <w:rPr>
                <w:rFonts w:hint="default" w:ascii="Times New Roman" w:hAnsi="Times New Roman" w:eastAsia="宋体" w:cs="Times New Roman"/>
                <w:i w:val="0"/>
                <w:iCs w:val="0"/>
                <w:color w:val="auto"/>
                <w:sz w:val="21"/>
                <w:szCs w:val="21"/>
                <w:highlight w:val="none"/>
                <w:u w:val="none"/>
              </w:rPr>
            </w:pPr>
          </w:p>
        </w:tc>
        <w:tc>
          <w:tcPr>
            <w:tcW w:w="103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628C81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948.99 </w:t>
            </w:r>
          </w:p>
        </w:tc>
      </w:tr>
    </w:tbl>
    <w:p w14:paraId="47C3AA95">
      <w:pPr>
        <w:pStyle w:val="90"/>
        <w:autoSpaceDE w:val="0"/>
        <w:autoSpaceDN w:val="0"/>
        <w:rPr>
          <w:rFonts w:hint="default" w:ascii="Times New Roman" w:hAnsi="Times New Roman" w:eastAsia="宋体" w:cs="Times New Roman"/>
          <w:b w:val="0"/>
          <w:bCs/>
          <w:color w:val="auto"/>
          <w:sz w:val="21"/>
          <w:szCs w:val="21"/>
          <w:highlight w:val="none"/>
        </w:rPr>
      </w:pPr>
    </w:p>
    <w:tbl>
      <w:tblPr>
        <w:tblStyle w:val="3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06"/>
        <w:gridCol w:w="2262"/>
        <w:gridCol w:w="1062"/>
        <w:gridCol w:w="1148"/>
        <w:gridCol w:w="1321"/>
        <w:gridCol w:w="1323"/>
      </w:tblGrid>
      <w:tr w14:paraId="75821F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exact"/>
        </w:trPr>
        <w:tc>
          <w:tcPr>
            <w:tcW w:w="5000" w:type="pct"/>
            <w:gridSpan w:val="6"/>
            <w:tcBorders>
              <w:top w:val="single" w:color="000000" w:sz="4" w:space="0"/>
              <w:left w:val="single" w:color="000000" w:sz="4" w:space="0"/>
              <w:bottom w:val="single" w:color="000000" w:sz="4" w:space="0"/>
              <w:right w:val="single" w:color="000000" w:sz="4" w:space="0"/>
            </w:tcBorders>
            <w:noWrap/>
            <w:vAlign w:val="center"/>
          </w:tcPr>
          <w:p w14:paraId="5F99B5DF">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2</w:t>
            </w:r>
            <w:r>
              <w:rPr>
                <w:rFonts w:hint="default" w:ascii="Times New Roman" w:hAnsi="Times New Roman" w:eastAsia="宋体" w:cs="Times New Roman"/>
                <w:i w:val="0"/>
                <w:iCs w:val="0"/>
                <w:color w:val="auto"/>
                <w:kern w:val="0"/>
                <w:sz w:val="21"/>
                <w:szCs w:val="21"/>
                <w:highlight w:val="none"/>
                <w:u w:val="none"/>
                <w:lang w:val="en-US" w:eastAsia="zh-CN" w:bidi="ar"/>
              </w:rPr>
              <w:t>、场地平整</w:t>
            </w:r>
          </w:p>
        </w:tc>
      </w:tr>
      <w:tr w14:paraId="76EAB8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exact"/>
        </w:trPr>
        <w:tc>
          <w:tcPr>
            <w:tcW w:w="5000" w:type="pct"/>
            <w:gridSpan w:val="6"/>
            <w:tcBorders>
              <w:top w:val="single" w:color="000000" w:sz="4" w:space="0"/>
              <w:left w:val="single" w:color="000000" w:sz="4" w:space="0"/>
              <w:bottom w:val="single" w:color="000000" w:sz="4" w:space="0"/>
              <w:right w:val="single" w:color="000000" w:sz="4" w:space="0"/>
            </w:tcBorders>
            <w:noWrap/>
            <w:vAlign w:val="center"/>
          </w:tcPr>
          <w:p w14:paraId="4E584E7B">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定额编号： 2027</w:t>
            </w:r>
            <w:r>
              <w:rPr>
                <w:rFonts w:hint="eastAsia" w:cs="Times New Roman"/>
                <w:i w:val="0"/>
                <w:iCs w:val="0"/>
                <w:color w:val="auto"/>
                <w:kern w:val="0"/>
                <w:sz w:val="21"/>
                <w:szCs w:val="21"/>
                <w:highlight w:val="none"/>
                <w:u w:val="none"/>
                <w:lang w:val="en-US" w:eastAsia="zh-CN" w:bidi="ar"/>
              </w:rPr>
              <w:t>2</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定额单位：100</w:t>
            </w:r>
            <w:r>
              <w:rPr>
                <w:rFonts w:hint="default" w:ascii="Times New Roman" w:hAnsi="Times New Roman" w:cs="Times New Roman"/>
                <w:i w:val="0"/>
                <w:iCs w:val="0"/>
                <w:color w:val="auto"/>
                <w:kern w:val="0"/>
                <w:sz w:val="21"/>
                <w:szCs w:val="21"/>
                <w:highlight w:val="none"/>
                <w:u w:val="none"/>
                <w:lang w:val="en-US" w:eastAsia="zh-CN" w:bidi="ar"/>
              </w:rPr>
              <w:t>m</w:t>
            </w:r>
            <w:r>
              <w:rPr>
                <w:rFonts w:hint="default" w:ascii="Times New Roman" w:hAnsi="Times New Roman" w:cs="Times New Roman"/>
                <w:i w:val="0"/>
                <w:iCs w:val="0"/>
                <w:color w:val="auto"/>
                <w:kern w:val="0"/>
                <w:sz w:val="21"/>
                <w:szCs w:val="21"/>
                <w:highlight w:val="none"/>
                <w:u w:val="none"/>
                <w:vertAlign w:val="superscript"/>
                <w:lang w:val="en-US" w:eastAsia="zh-CN" w:bidi="ar"/>
              </w:rPr>
              <w:t>3</w:t>
            </w:r>
          </w:p>
        </w:tc>
      </w:tr>
      <w:tr w14:paraId="1236AA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exact"/>
        </w:trPr>
        <w:tc>
          <w:tcPr>
            <w:tcW w:w="5000" w:type="pct"/>
            <w:gridSpan w:val="6"/>
            <w:tcBorders>
              <w:top w:val="single" w:color="000000" w:sz="4" w:space="0"/>
              <w:left w:val="single" w:color="000000" w:sz="4" w:space="0"/>
              <w:bottom w:val="single" w:color="000000" w:sz="4" w:space="0"/>
              <w:right w:val="single" w:color="000000" w:sz="4" w:space="0"/>
            </w:tcBorders>
            <w:noWrap/>
            <w:vAlign w:val="center"/>
          </w:tcPr>
          <w:p w14:paraId="427D246B">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施工方法：装、运、卸、空回，运距20m</w:t>
            </w:r>
          </w:p>
        </w:tc>
      </w:tr>
      <w:tr w14:paraId="4AA4C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exact"/>
        </w:trPr>
        <w:tc>
          <w:tcPr>
            <w:tcW w:w="825" w:type="pct"/>
            <w:tcBorders>
              <w:top w:val="single" w:color="000000" w:sz="4" w:space="0"/>
              <w:left w:val="single" w:color="000000" w:sz="4" w:space="0"/>
              <w:bottom w:val="single" w:color="000000" w:sz="4" w:space="0"/>
              <w:right w:val="single" w:color="000000" w:sz="4" w:space="0"/>
            </w:tcBorders>
            <w:noWrap/>
            <w:vAlign w:val="center"/>
          </w:tcPr>
          <w:p w14:paraId="38020D81">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编号</w:t>
            </w:r>
          </w:p>
        </w:tc>
        <w:tc>
          <w:tcPr>
            <w:tcW w:w="1326" w:type="pct"/>
            <w:tcBorders>
              <w:top w:val="single" w:color="000000" w:sz="4" w:space="0"/>
              <w:left w:val="single" w:color="000000" w:sz="4" w:space="0"/>
              <w:bottom w:val="single" w:color="000000" w:sz="4" w:space="0"/>
              <w:right w:val="single" w:color="000000" w:sz="4" w:space="0"/>
            </w:tcBorders>
            <w:noWrap/>
            <w:vAlign w:val="center"/>
          </w:tcPr>
          <w:p w14:paraId="0FD19671">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名称</w:t>
            </w:r>
          </w:p>
        </w:tc>
        <w:tc>
          <w:tcPr>
            <w:tcW w:w="623" w:type="pct"/>
            <w:tcBorders>
              <w:top w:val="single" w:color="000000" w:sz="4" w:space="0"/>
              <w:left w:val="single" w:color="000000" w:sz="4" w:space="0"/>
              <w:bottom w:val="single" w:color="000000" w:sz="4" w:space="0"/>
              <w:right w:val="single" w:color="000000" w:sz="4" w:space="0"/>
            </w:tcBorders>
            <w:noWrap/>
            <w:vAlign w:val="center"/>
          </w:tcPr>
          <w:p w14:paraId="450E2455">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单位</w:t>
            </w:r>
          </w:p>
        </w:tc>
        <w:tc>
          <w:tcPr>
            <w:tcW w:w="673" w:type="pct"/>
            <w:tcBorders>
              <w:top w:val="single" w:color="000000" w:sz="4" w:space="0"/>
              <w:left w:val="single" w:color="000000" w:sz="4" w:space="0"/>
              <w:bottom w:val="single" w:color="000000" w:sz="4" w:space="0"/>
              <w:right w:val="single" w:color="000000" w:sz="4" w:space="0"/>
            </w:tcBorders>
            <w:noWrap/>
            <w:vAlign w:val="center"/>
          </w:tcPr>
          <w:p w14:paraId="0E7E08E3">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用量</w:t>
            </w:r>
          </w:p>
        </w:tc>
        <w:tc>
          <w:tcPr>
            <w:tcW w:w="775" w:type="pct"/>
            <w:tcBorders>
              <w:top w:val="single" w:color="000000" w:sz="4" w:space="0"/>
              <w:left w:val="single" w:color="000000" w:sz="4" w:space="0"/>
              <w:bottom w:val="single" w:color="000000" w:sz="4" w:space="0"/>
              <w:right w:val="single" w:color="000000" w:sz="4" w:space="0"/>
            </w:tcBorders>
            <w:noWrap/>
            <w:vAlign w:val="center"/>
          </w:tcPr>
          <w:p w14:paraId="38AB968D">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单价</w:t>
            </w:r>
          </w:p>
        </w:tc>
        <w:tc>
          <w:tcPr>
            <w:tcW w:w="776" w:type="pct"/>
            <w:tcBorders>
              <w:top w:val="single" w:color="000000" w:sz="4" w:space="0"/>
              <w:left w:val="single" w:color="000000" w:sz="4" w:space="0"/>
              <w:bottom w:val="single" w:color="000000" w:sz="4" w:space="0"/>
              <w:right w:val="single" w:color="000000" w:sz="4" w:space="0"/>
            </w:tcBorders>
            <w:noWrap/>
            <w:vAlign w:val="center"/>
          </w:tcPr>
          <w:p w14:paraId="1FD0D332">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合价</w:t>
            </w:r>
          </w:p>
        </w:tc>
      </w:tr>
      <w:tr w14:paraId="3EE777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exact"/>
        </w:trPr>
        <w:tc>
          <w:tcPr>
            <w:tcW w:w="825" w:type="pct"/>
            <w:tcBorders>
              <w:top w:val="single" w:color="000000" w:sz="4" w:space="0"/>
              <w:left w:val="single" w:color="000000" w:sz="4" w:space="0"/>
              <w:bottom w:val="single" w:color="000000" w:sz="4" w:space="0"/>
              <w:right w:val="single" w:color="000000" w:sz="4" w:space="0"/>
            </w:tcBorders>
            <w:noWrap/>
            <w:vAlign w:val="center"/>
          </w:tcPr>
          <w:p w14:paraId="7FB85295">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w:t>
            </w:r>
          </w:p>
        </w:tc>
        <w:tc>
          <w:tcPr>
            <w:tcW w:w="1326" w:type="pct"/>
            <w:tcBorders>
              <w:top w:val="single" w:color="000000" w:sz="4" w:space="0"/>
              <w:left w:val="single" w:color="000000" w:sz="4" w:space="0"/>
              <w:bottom w:val="single" w:color="000000" w:sz="4" w:space="0"/>
              <w:right w:val="single" w:color="000000" w:sz="4" w:space="0"/>
            </w:tcBorders>
            <w:noWrap/>
            <w:vAlign w:val="center"/>
          </w:tcPr>
          <w:p w14:paraId="646CD6CB">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直接费</w:t>
            </w:r>
          </w:p>
        </w:tc>
        <w:tc>
          <w:tcPr>
            <w:tcW w:w="1062" w:type="dxa"/>
            <w:tcBorders>
              <w:top w:val="single" w:color="000000" w:sz="4" w:space="0"/>
              <w:left w:val="single" w:color="000000" w:sz="4" w:space="0"/>
              <w:bottom w:val="single" w:color="000000" w:sz="4" w:space="0"/>
              <w:right w:val="single" w:color="000000" w:sz="4" w:space="0"/>
            </w:tcBorders>
            <w:noWrap/>
            <w:vAlign w:val="bottom"/>
          </w:tcPr>
          <w:p w14:paraId="4E7DEC21">
            <w:pPr>
              <w:jc w:val="center"/>
              <w:rPr>
                <w:rFonts w:hint="default" w:ascii="Times New Roman" w:hAnsi="Times New Roman" w:eastAsia="宋体" w:cs="Times New Roman"/>
                <w:i w:val="0"/>
                <w:iCs w:val="0"/>
                <w:color w:val="auto"/>
                <w:sz w:val="21"/>
                <w:szCs w:val="21"/>
                <w:highlight w:val="none"/>
                <w:u w:val="none"/>
              </w:rPr>
            </w:pPr>
          </w:p>
        </w:tc>
        <w:tc>
          <w:tcPr>
            <w:tcW w:w="1148" w:type="dxa"/>
            <w:tcBorders>
              <w:top w:val="single" w:color="000000" w:sz="4" w:space="0"/>
              <w:left w:val="single" w:color="000000" w:sz="4" w:space="0"/>
              <w:bottom w:val="single" w:color="000000" w:sz="4" w:space="0"/>
              <w:right w:val="single" w:color="000000" w:sz="4" w:space="0"/>
            </w:tcBorders>
            <w:noWrap/>
            <w:vAlign w:val="center"/>
          </w:tcPr>
          <w:p w14:paraId="6709ABAA">
            <w:pPr>
              <w:jc w:val="center"/>
              <w:rPr>
                <w:rFonts w:hint="default" w:ascii="Times New Roman" w:hAnsi="Times New Roman" w:eastAsia="宋体" w:cs="Times New Roman"/>
                <w:i w:val="0"/>
                <w:iCs w:val="0"/>
                <w:color w:val="auto"/>
                <w:sz w:val="21"/>
                <w:szCs w:val="21"/>
                <w:highlight w:val="none"/>
                <w:u w:val="none"/>
              </w:rPr>
            </w:pPr>
          </w:p>
        </w:tc>
        <w:tc>
          <w:tcPr>
            <w:tcW w:w="1321" w:type="dxa"/>
            <w:tcBorders>
              <w:top w:val="single" w:color="000000" w:sz="4" w:space="0"/>
              <w:left w:val="single" w:color="000000" w:sz="4" w:space="0"/>
              <w:bottom w:val="single" w:color="000000" w:sz="4" w:space="0"/>
              <w:right w:val="single" w:color="000000" w:sz="4" w:space="0"/>
            </w:tcBorders>
            <w:noWrap/>
            <w:vAlign w:val="center"/>
          </w:tcPr>
          <w:p w14:paraId="22C84F85">
            <w:pPr>
              <w:jc w:val="center"/>
              <w:rPr>
                <w:rFonts w:hint="default" w:ascii="Times New Roman" w:hAnsi="Times New Roman" w:eastAsia="宋体" w:cs="Times New Roman"/>
                <w:i w:val="0"/>
                <w:iCs w:val="0"/>
                <w:color w:val="auto"/>
                <w:sz w:val="21"/>
                <w:szCs w:val="21"/>
                <w:highlight w:val="none"/>
                <w:u w:val="none"/>
              </w:rPr>
            </w:pPr>
          </w:p>
        </w:tc>
        <w:tc>
          <w:tcPr>
            <w:tcW w:w="1323" w:type="dxa"/>
            <w:tcBorders>
              <w:top w:val="single" w:color="000000" w:sz="4" w:space="0"/>
              <w:left w:val="single" w:color="000000" w:sz="4" w:space="0"/>
              <w:bottom w:val="single" w:color="000000" w:sz="4" w:space="0"/>
              <w:right w:val="single" w:color="000000" w:sz="4" w:space="0"/>
            </w:tcBorders>
            <w:noWrap/>
            <w:vAlign w:val="center"/>
          </w:tcPr>
          <w:p w14:paraId="798A718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 xml:space="preserve">351.44 </w:t>
            </w:r>
          </w:p>
        </w:tc>
      </w:tr>
      <w:tr w14:paraId="7FBAB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exact"/>
        </w:trPr>
        <w:tc>
          <w:tcPr>
            <w:tcW w:w="825" w:type="pct"/>
            <w:tcBorders>
              <w:top w:val="single" w:color="000000" w:sz="4" w:space="0"/>
              <w:left w:val="single" w:color="000000" w:sz="4" w:space="0"/>
              <w:bottom w:val="single" w:color="000000" w:sz="4" w:space="0"/>
              <w:right w:val="single" w:color="000000" w:sz="4" w:space="0"/>
            </w:tcBorders>
            <w:noWrap/>
            <w:vAlign w:val="center"/>
          </w:tcPr>
          <w:p w14:paraId="710858F0">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w:t>
            </w:r>
          </w:p>
        </w:tc>
        <w:tc>
          <w:tcPr>
            <w:tcW w:w="1326" w:type="pct"/>
            <w:tcBorders>
              <w:top w:val="single" w:color="000000" w:sz="4" w:space="0"/>
              <w:left w:val="single" w:color="000000" w:sz="4" w:space="0"/>
              <w:bottom w:val="single" w:color="000000" w:sz="4" w:space="0"/>
              <w:right w:val="single" w:color="000000" w:sz="4" w:space="0"/>
            </w:tcBorders>
            <w:noWrap/>
            <w:vAlign w:val="center"/>
          </w:tcPr>
          <w:p w14:paraId="4D90E82C">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直接工程费</w:t>
            </w:r>
          </w:p>
        </w:tc>
        <w:tc>
          <w:tcPr>
            <w:tcW w:w="1062" w:type="dxa"/>
            <w:tcBorders>
              <w:top w:val="single" w:color="000000" w:sz="4" w:space="0"/>
              <w:left w:val="single" w:color="000000" w:sz="4" w:space="0"/>
              <w:bottom w:val="single" w:color="000000" w:sz="4" w:space="0"/>
              <w:right w:val="single" w:color="000000" w:sz="4" w:space="0"/>
            </w:tcBorders>
            <w:noWrap/>
            <w:vAlign w:val="bottom"/>
          </w:tcPr>
          <w:p w14:paraId="609FB066">
            <w:pPr>
              <w:jc w:val="center"/>
              <w:rPr>
                <w:rFonts w:hint="default" w:ascii="Times New Roman" w:hAnsi="Times New Roman" w:eastAsia="宋体" w:cs="Times New Roman"/>
                <w:i w:val="0"/>
                <w:iCs w:val="0"/>
                <w:color w:val="auto"/>
                <w:sz w:val="21"/>
                <w:szCs w:val="21"/>
                <w:highlight w:val="none"/>
                <w:u w:val="none"/>
              </w:rPr>
            </w:pPr>
          </w:p>
        </w:tc>
        <w:tc>
          <w:tcPr>
            <w:tcW w:w="1148" w:type="dxa"/>
            <w:tcBorders>
              <w:top w:val="single" w:color="000000" w:sz="4" w:space="0"/>
              <w:left w:val="single" w:color="000000" w:sz="4" w:space="0"/>
              <w:bottom w:val="single" w:color="000000" w:sz="4" w:space="0"/>
              <w:right w:val="single" w:color="000000" w:sz="4" w:space="0"/>
            </w:tcBorders>
            <w:noWrap/>
            <w:vAlign w:val="center"/>
          </w:tcPr>
          <w:p w14:paraId="027AE9D0">
            <w:pPr>
              <w:jc w:val="center"/>
              <w:rPr>
                <w:rFonts w:hint="default" w:ascii="Times New Roman" w:hAnsi="Times New Roman" w:eastAsia="宋体" w:cs="Times New Roman"/>
                <w:i w:val="0"/>
                <w:iCs w:val="0"/>
                <w:color w:val="auto"/>
                <w:sz w:val="21"/>
                <w:szCs w:val="21"/>
                <w:highlight w:val="none"/>
                <w:u w:val="none"/>
              </w:rPr>
            </w:pPr>
          </w:p>
        </w:tc>
        <w:tc>
          <w:tcPr>
            <w:tcW w:w="1321" w:type="dxa"/>
            <w:tcBorders>
              <w:top w:val="single" w:color="000000" w:sz="4" w:space="0"/>
              <w:left w:val="single" w:color="000000" w:sz="4" w:space="0"/>
              <w:bottom w:val="single" w:color="000000" w:sz="4" w:space="0"/>
              <w:right w:val="single" w:color="000000" w:sz="4" w:space="0"/>
            </w:tcBorders>
            <w:noWrap/>
            <w:vAlign w:val="center"/>
          </w:tcPr>
          <w:p w14:paraId="202C11DC">
            <w:pPr>
              <w:jc w:val="center"/>
              <w:rPr>
                <w:rFonts w:hint="default" w:ascii="Times New Roman" w:hAnsi="Times New Roman" w:eastAsia="宋体" w:cs="Times New Roman"/>
                <w:i w:val="0"/>
                <w:iCs w:val="0"/>
                <w:color w:val="auto"/>
                <w:sz w:val="21"/>
                <w:szCs w:val="21"/>
                <w:highlight w:val="none"/>
                <w:u w:val="none"/>
              </w:rPr>
            </w:pPr>
          </w:p>
        </w:tc>
        <w:tc>
          <w:tcPr>
            <w:tcW w:w="1323" w:type="dxa"/>
            <w:tcBorders>
              <w:top w:val="single" w:color="000000" w:sz="4" w:space="0"/>
              <w:left w:val="single" w:color="000000" w:sz="4" w:space="0"/>
              <w:bottom w:val="single" w:color="000000" w:sz="4" w:space="0"/>
              <w:right w:val="single" w:color="000000" w:sz="4" w:space="0"/>
            </w:tcBorders>
            <w:noWrap/>
            <w:vAlign w:val="center"/>
          </w:tcPr>
          <w:p w14:paraId="6153D84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 xml:space="preserve">338.57 </w:t>
            </w:r>
          </w:p>
        </w:tc>
      </w:tr>
      <w:tr w14:paraId="7FC415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exact"/>
        </w:trPr>
        <w:tc>
          <w:tcPr>
            <w:tcW w:w="825" w:type="pct"/>
            <w:tcBorders>
              <w:top w:val="single" w:color="000000" w:sz="4" w:space="0"/>
              <w:left w:val="single" w:color="000000" w:sz="4" w:space="0"/>
              <w:bottom w:val="single" w:color="000000" w:sz="4" w:space="0"/>
              <w:right w:val="single" w:color="000000" w:sz="4" w:space="0"/>
            </w:tcBorders>
            <w:noWrap/>
            <w:vAlign w:val="center"/>
          </w:tcPr>
          <w:p w14:paraId="54A2ACBA">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326" w:type="pct"/>
            <w:tcBorders>
              <w:top w:val="single" w:color="000000" w:sz="4" w:space="0"/>
              <w:left w:val="single" w:color="000000" w:sz="4" w:space="0"/>
              <w:bottom w:val="single" w:color="000000" w:sz="4" w:space="0"/>
              <w:right w:val="single" w:color="000000" w:sz="4" w:space="0"/>
            </w:tcBorders>
            <w:noWrap/>
            <w:vAlign w:val="center"/>
          </w:tcPr>
          <w:p w14:paraId="5DB183AD">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人工费</w:t>
            </w:r>
          </w:p>
        </w:tc>
        <w:tc>
          <w:tcPr>
            <w:tcW w:w="1062" w:type="dxa"/>
            <w:tcBorders>
              <w:top w:val="single" w:color="000000" w:sz="4" w:space="0"/>
              <w:left w:val="single" w:color="000000" w:sz="4" w:space="0"/>
              <w:bottom w:val="single" w:color="000000" w:sz="4" w:space="0"/>
              <w:right w:val="single" w:color="000000" w:sz="4" w:space="0"/>
            </w:tcBorders>
            <w:noWrap/>
            <w:vAlign w:val="bottom"/>
          </w:tcPr>
          <w:p w14:paraId="4BD06F60">
            <w:pPr>
              <w:jc w:val="center"/>
              <w:rPr>
                <w:rFonts w:hint="default" w:ascii="Times New Roman" w:hAnsi="Times New Roman" w:eastAsia="宋体" w:cs="Times New Roman"/>
                <w:i w:val="0"/>
                <w:iCs w:val="0"/>
                <w:color w:val="auto"/>
                <w:sz w:val="21"/>
                <w:szCs w:val="21"/>
                <w:highlight w:val="none"/>
                <w:u w:val="none"/>
              </w:rPr>
            </w:pPr>
          </w:p>
        </w:tc>
        <w:tc>
          <w:tcPr>
            <w:tcW w:w="1148" w:type="dxa"/>
            <w:tcBorders>
              <w:top w:val="single" w:color="000000" w:sz="4" w:space="0"/>
              <w:left w:val="single" w:color="000000" w:sz="4" w:space="0"/>
              <w:bottom w:val="single" w:color="000000" w:sz="4" w:space="0"/>
              <w:right w:val="single" w:color="000000" w:sz="4" w:space="0"/>
            </w:tcBorders>
            <w:noWrap/>
            <w:vAlign w:val="center"/>
          </w:tcPr>
          <w:p w14:paraId="5FC9C5DC">
            <w:pPr>
              <w:jc w:val="center"/>
              <w:rPr>
                <w:rFonts w:hint="default" w:ascii="Times New Roman" w:hAnsi="Times New Roman" w:eastAsia="宋体" w:cs="Times New Roman"/>
                <w:i w:val="0"/>
                <w:iCs w:val="0"/>
                <w:color w:val="auto"/>
                <w:sz w:val="21"/>
                <w:szCs w:val="21"/>
                <w:highlight w:val="none"/>
                <w:u w:val="none"/>
              </w:rPr>
            </w:pPr>
          </w:p>
        </w:tc>
        <w:tc>
          <w:tcPr>
            <w:tcW w:w="1321" w:type="dxa"/>
            <w:tcBorders>
              <w:top w:val="single" w:color="000000" w:sz="4" w:space="0"/>
              <w:left w:val="single" w:color="000000" w:sz="4" w:space="0"/>
              <w:bottom w:val="single" w:color="000000" w:sz="4" w:space="0"/>
              <w:right w:val="single" w:color="000000" w:sz="4" w:space="0"/>
            </w:tcBorders>
            <w:noWrap/>
            <w:vAlign w:val="center"/>
          </w:tcPr>
          <w:p w14:paraId="6E2579E7">
            <w:pPr>
              <w:jc w:val="center"/>
              <w:rPr>
                <w:rFonts w:hint="default" w:ascii="Times New Roman" w:hAnsi="Times New Roman" w:eastAsia="宋体" w:cs="Times New Roman"/>
                <w:i w:val="0"/>
                <w:iCs w:val="0"/>
                <w:color w:val="auto"/>
                <w:sz w:val="21"/>
                <w:szCs w:val="21"/>
                <w:highlight w:val="none"/>
                <w:u w:val="none"/>
              </w:rPr>
            </w:pPr>
          </w:p>
        </w:tc>
        <w:tc>
          <w:tcPr>
            <w:tcW w:w="1323" w:type="dxa"/>
            <w:tcBorders>
              <w:top w:val="single" w:color="000000" w:sz="4" w:space="0"/>
              <w:left w:val="single" w:color="000000" w:sz="4" w:space="0"/>
              <w:bottom w:val="single" w:color="000000" w:sz="4" w:space="0"/>
              <w:right w:val="single" w:color="000000" w:sz="4" w:space="0"/>
            </w:tcBorders>
            <w:noWrap/>
            <w:vAlign w:val="center"/>
          </w:tcPr>
          <w:p w14:paraId="00570FA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 xml:space="preserve">63.32 </w:t>
            </w:r>
          </w:p>
        </w:tc>
      </w:tr>
      <w:tr w14:paraId="058142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exact"/>
        </w:trPr>
        <w:tc>
          <w:tcPr>
            <w:tcW w:w="825" w:type="pct"/>
            <w:tcBorders>
              <w:top w:val="single" w:color="000000" w:sz="4" w:space="0"/>
              <w:left w:val="single" w:color="000000" w:sz="4" w:space="0"/>
              <w:bottom w:val="single" w:color="000000" w:sz="4" w:space="0"/>
              <w:right w:val="single" w:color="000000" w:sz="4" w:space="0"/>
            </w:tcBorders>
            <w:noWrap/>
            <w:vAlign w:val="center"/>
          </w:tcPr>
          <w:p w14:paraId="3B0187B3">
            <w:pPr>
              <w:jc w:val="center"/>
              <w:rPr>
                <w:rFonts w:hint="default" w:ascii="Times New Roman" w:hAnsi="Times New Roman" w:eastAsia="宋体" w:cs="Times New Roman"/>
                <w:i w:val="0"/>
                <w:iCs w:val="0"/>
                <w:color w:val="auto"/>
                <w:sz w:val="21"/>
                <w:szCs w:val="21"/>
                <w:highlight w:val="none"/>
                <w:u w:val="none"/>
              </w:rPr>
            </w:pPr>
          </w:p>
        </w:tc>
        <w:tc>
          <w:tcPr>
            <w:tcW w:w="1326" w:type="pct"/>
            <w:tcBorders>
              <w:top w:val="single" w:color="000000" w:sz="4" w:space="0"/>
              <w:left w:val="single" w:color="000000" w:sz="4" w:space="0"/>
              <w:bottom w:val="single" w:color="000000" w:sz="4" w:space="0"/>
              <w:right w:val="single" w:color="000000" w:sz="4" w:space="0"/>
            </w:tcBorders>
            <w:noWrap/>
            <w:vAlign w:val="center"/>
          </w:tcPr>
          <w:p w14:paraId="2522A368">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甲类工</w:t>
            </w:r>
          </w:p>
        </w:tc>
        <w:tc>
          <w:tcPr>
            <w:tcW w:w="1062" w:type="dxa"/>
            <w:tcBorders>
              <w:top w:val="single" w:color="000000" w:sz="4" w:space="0"/>
              <w:left w:val="single" w:color="000000" w:sz="4" w:space="0"/>
              <w:bottom w:val="single" w:color="000000" w:sz="4" w:space="0"/>
              <w:right w:val="single" w:color="000000" w:sz="4" w:space="0"/>
            </w:tcBorders>
            <w:noWrap/>
            <w:vAlign w:val="bottom"/>
          </w:tcPr>
          <w:p w14:paraId="14AC12CD">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工日</w:t>
            </w:r>
          </w:p>
        </w:tc>
        <w:tc>
          <w:tcPr>
            <w:tcW w:w="1148" w:type="dxa"/>
            <w:tcBorders>
              <w:top w:val="single" w:color="000000" w:sz="4" w:space="0"/>
              <w:left w:val="single" w:color="000000" w:sz="4" w:space="0"/>
              <w:bottom w:val="single" w:color="000000" w:sz="4" w:space="0"/>
              <w:right w:val="single" w:color="000000" w:sz="4" w:space="0"/>
            </w:tcBorders>
            <w:noWrap/>
            <w:vAlign w:val="center"/>
          </w:tcPr>
          <w:p w14:paraId="71D282F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 xml:space="preserve">0.10 </w:t>
            </w:r>
          </w:p>
        </w:tc>
        <w:tc>
          <w:tcPr>
            <w:tcW w:w="1321" w:type="dxa"/>
            <w:tcBorders>
              <w:top w:val="single" w:color="000000" w:sz="4" w:space="0"/>
              <w:left w:val="single" w:color="000000" w:sz="4" w:space="0"/>
              <w:bottom w:val="single" w:color="000000" w:sz="4" w:space="0"/>
              <w:right w:val="single" w:color="000000" w:sz="4" w:space="0"/>
            </w:tcBorders>
            <w:noWrap/>
            <w:vAlign w:val="center"/>
          </w:tcPr>
          <w:p w14:paraId="06C6CD9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 xml:space="preserve">51.04 </w:t>
            </w:r>
          </w:p>
        </w:tc>
        <w:tc>
          <w:tcPr>
            <w:tcW w:w="1323" w:type="dxa"/>
            <w:tcBorders>
              <w:top w:val="single" w:color="000000" w:sz="4" w:space="0"/>
              <w:left w:val="single" w:color="000000" w:sz="4" w:space="0"/>
              <w:bottom w:val="single" w:color="000000" w:sz="4" w:space="0"/>
              <w:right w:val="single" w:color="000000" w:sz="4" w:space="0"/>
            </w:tcBorders>
            <w:noWrap/>
            <w:vAlign w:val="center"/>
          </w:tcPr>
          <w:p w14:paraId="7EFFAE7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 xml:space="preserve">5.10 </w:t>
            </w:r>
          </w:p>
        </w:tc>
      </w:tr>
      <w:tr w14:paraId="679D2E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exact"/>
        </w:trPr>
        <w:tc>
          <w:tcPr>
            <w:tcW w:w="825" w:type="pct"/>
            <w:tcBorders>
              <w:top w:val="single" w:color="000000" w:sz="4" w:space="0"/>
              <w:left w:val="single" w:color="000000" w:sz="4" w:space="0"/>
              <w:bottom w:val="single" w:color="000000" w:sz="4" w:space="0"/>
              <w:right w:val="single" w:color="000000" w:sz="4" w:space="0"/>
            </w:tcBorders>
            <w:noWrap/>
            <w:vAlign w:val="center"/>
          </w:tcPr>
          <w:p w14:paraId="4A25095A">
            <w:pPr>
              <w:jc w:val="center"/>
              <w:rPr>
                <w:rFonts w:hint="default" w:ascii="Times New Roman" w:hAnsi="Times New Roman" w:eastAsia="宋体" w:cs="Times New Roman"/>
                <w:i w:val="0"/>
                <w:iCs w:val="0"/>
                <w:color w:val="auto"/>
                <w:sz w:val="21"/>
                <w:szCs w:val="21"/>
                <w:highlight w:val="none"/>
                <w:u w:val="none"/>
              </w:rPr>
            </w:pPr>
          </w:p>
        </w:tc>
        <w:tc>
          <w:tcPr>
            <w:tcW w:w="1326" w:type="pct"/>
            <w:tcBorders>
              <w:top w:val="single" w:color="000000" w:sz="4" w:space="0"/>
              <w:left w:val="single" w:color="000000" w:sz="4" w:space="0"/>
              <w:bottom w:val="single" w:color="000000" w:sz="4" w:space="0"/>
              <w:right w:val="single" w:color="000000" w:sz="4" w:space="0"/>
            </w:tcBorders>
            <w:noWrap/>
            <w:vAlign w:val="center"/>
          </w:tcPr>
          <w:p w14:paraId="54678AFC">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乙类工</w:t>
            </w:r>
          </w:p>
        </w:tc>
        <w:tc>
          <w:tcPr>
            <w:tcW w:w="1062" w:type="dxa"/>
            <w:tcBorders>
              <w:top w:val="single" w:color="000000" w:sz="4" w:space="0"/>
              <w:left w:val="single" w:color="000000" w:sz="4" w:space="0"/>
              <w:bottom w:val="single" w:color="000000" w:sz="4" w:space="0"/>
              <w:right w:val="single" w:color="000000" w:sz="4" w:space="0"/>
            </w:tcBorders>
            <w:noWrap/>
            <w:vAlign w:val="bottom"/>
          </w:tcPr>
          <w:p w14:paraId="41988B2D">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工日</w:t>
            </w:r>
          </w:p>
        </w:tc>
        <w:tc>
          <w:tcPr>
            <w:tcW w:w="1148" w:type="dxa"/>
            <w:tcBorders>
              <w:top w:val="single" w:color="000000" w:sz="4" w:space="0"/>
              <w:left w:val="single" w:color="000000" w:sz="4" w:space="0"/>
              <w:bottom w:val="single" w:color="000000" w:sz="4" w:space="0"/>
              <w:right w:val="single" w:color="000000" w:sz="4" w:space="0"/>
            </w:tcBorders>
            <w:noWrap/>
            <w:vAlign w:val="center"/>
          </w:tcPr>
          <w:p w14:paraId="69E104B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 xml:space="preserve">1.30 </w:t>
            </w:r>
          </w:p>
        </w:tc>
        <w:tc>
          <w:tcPr>
            <w:tcW w:w="1321" w:type="dxa"/>
            <w:tcBorders>
              <w:top w:val="single" w:color="000000" w:sz="4" w:space="0"/>
              <w:left w:val="single" w:color="000000" w:sz="4" w:space="0"/>
              <w:bottom w:val="single" w:color="000000" w:sz="4" w:space="0"/>
              <w:right w:val="single" w:color="000000" w:sz="4" w:space="0"/>
            </w:tcBorders>
            <w:noWrap/>
            <w:vAlign w:val="center"/>
          </w:tcPr>
          <w:p w14:paraId="0DF626B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 xml:space="preserve">38.84 </w:t>
            </w:r>
          </w:p>
        </w:tc>
        <w:tc>
          <w:tcPr>
            <w:tcW w:w="1323" w:type="dxa"/>
            <w:tcBorders>
              <w:top w:val="single" w:color="000000" w:sz="4" w:space="0"/>
              <w:left w:val="single" w:color="000000" w:sz="4" w:space="0"/>
              <w:bottom w:val="single" w:color="000000" w:sz="4" w:space="0"/>
              <w:right w:val="single" w:color="000000" w:sz="4" w:space="0"/>
            </w:tcBorders>
            <w:noWrap/>
            <w:vAlign w:val="center"/>
          </w:tcPr>
          <w:p w14:paraId="7082EC4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 xml:space="preserve">50.49 </w:t>
            </w:r>
          </w:p>
        </w:tc>
      </w:tr>
      <w:tr w14:paraId="08707B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exact"/>
        </w:trPr>
        <w:tc>
          <w:tcPr>
            <w:tcW w:w="825" w:type="pct"/>
            <w:tcBorders>
              <w:top w:val="single" w:color="000000" w:sz="4" w:space="0"/>
              <w:left w:val="single" w:color="000000" w:sz="4" w:space="0"/>
              <w:bottom w:val="single" w:color="000000" w:sz="4" w:space="0"/>
              <w:right w:val="single" w:color="000000" w:sz="4" w:space="0"/>
            </w:tcBorders>
            <w:noWrap/>
            <w:vAlign w:val="center"/>
          </w:tcPr>
          <w:p w14:paraId="00AAA042">
            <w:pPr>
              <w:jc w:val="center"/>
              <w:rPr>
                <w:rFonts w:hint="default" w:ascii="Times New Roman" w:hAnsi="Times New Roman" w:eastAsia="宋体" w:cs="Times New Roman"/>
                <w:i w:val="0"/>
                <w:iCs w:val="0"/>
                <w:color w:val="auto"/>
                <w:sz w:val="21"/>
                <w:szCs w:val="21"/>
                <w:highlight w:val="none"/>
                <w:u w:val="none"/>
              </w:rPr>
            </w:pPr>
          </w:p>
        </w:tc>
        <w:tc>
          <w:tcPr>
            <w:tcW w:w="1326" w:type="pct"/>
            <w:tcBorders>
              <w:top w:val="single" w:color="000000" w:sz="4" w:space="0"/>
              <w:left w:val="single" w:color="000000" w:sz="4" w:space="0"/>
              <w:bottom w:val="single" w:color="000000" w:sz="4" w:space="0"/>
              <w:right w:val="single" w:color="000000" w:sz="4" w:space="0"/>
            </w:tcBorders>
            <w:noWrap/>
            <w:vAlign w:val="center"/>
          </w:tcPr>
          <w:p w14:paraId="102CBE15">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其他费用</w:t>
            </w:r>
          </w:p>
        </w:tc>
        <w:tc>
          <w:tcPr>
            <w:tcW w:w="1062" w:type="dxa"/>
            <w:tcBorders>
              <w:top w:val="single" w:color="000000" w:sz="4" w:space="0"/>
              <w:left w:val="single" w:color="000000" w:sz="4" w:space="0"/>
              <w:bottom w:val="single" w:color="000000" w:sz="4" w:space="0"/>
              <w:right w:val="single" w:color="000000" w:sz="4" w:space="0"/>
            </w:tcBorders>
            <w:noWrap/>
            <w:vAlign w:val="bottom"/>
          </w:tcPr>
          <w:p w14:paraId="7CC9C883">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148" w:type="dxa"/>
            <w:tcBorders>
              <w:top w:val="single" w:color="000000" w:sz="4" w:space="0"/>
              <w:left w:val="single" w:color="000000" w:sz="4" w:space="0"/>
              <w:bottom w:val="single" w:color="000000" w:sz="4" w:space="0"/>
              <w:right w:val="single" w:color="000000" w:sz="4" w:space="0"/>
            </w:tcBorders>
            <w:noWrap/>
            <w:vAlign w:val="center"/>
          </w:tcPr>
          <w:p w14:paraId="4CB44D9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 xml:space="preserve">13.90 </w:t>
            </w:r>
          </w:p>
        </w:tc>
        <w:tc>
          <w:tcPr>
            <w:tcW w:w="1321" w:type="dxa"/>
            <w:tcBorders>
              <w:top w:val="single" w:color="000000" w:sz="4" w:space="0"/>
              <w:left w:val="single" w:color="000000" w:sz="4" w:space="0"/>
              <w:bottom w:val="single" w:color="000000" w:sz="4" w:space="0"/>
              <w:right w:val="single" w:color="000000" w:sz="4" w:space="0"/>
            </w:tcBorders>
            <w:noWrap/>
            <w:vAlign w:val="center"/>
          </w:tcPr>
          <w:p w14:paraId="69DFDE1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 xml:space="preserve">55.60 </w:t>
            </w:r>
          </w:p>
        </w:tc>
        <w:tc>
          <w:tcPr>
            <w:tcW w:w="1323" w:type="dxa"/>
            <w:tcBorders>
              <w:top w:val="single" w:color="000000" w:sz="4" w:space="0"/>
              <w:left w:val="single" w:color="000000" w:sz="4" w:space="0"/>
              <w:bottom w:val="single" w:color="000000" w:sz="4" w:space="0"/>
              <w:right w:val="single" w:color="000000" w:sz="4" w:space="0"/>
            </w:tcBorders>
            <w:noWrap/>
            <w:vAlign w:val="center"/>
          </w:tcPr>
          <w:p w14:paraId="0F0526C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 xml:space="preserve">7.73 </w:t>
            </w:r>
          </w:p>
        </w:tc>
      </w:tr>
      <w:tr w14:paraId="5A5376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exact"/>
        </w:trPr>
        <w:tc>
          <w:tcPr>
            <w:tcW w:w="825" w:type="pct"/>
            <w:tcBorders>
              <w:top w:val="single" w:color="000000" w:sz="4" w:space="0"/>
              <w:left w:val="single" w:color="000000" w:sz="4" w:space="0"/>
              <w:bottom w:val="single" w:color="000000" w:sz="4" w:space="0"/>
              <w:right w:val="single" w:color="000000" w:sz="4" w:space="0"/>
            </w:tcBorders>
            <w:noWrap/>
            <w:vAlign w:val="center"/>
          </w:tcPr>
          <w:p w14:paraId="00FF550F">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326" w:type="pct"/>
            <w:tcBorders>
              <w:top w:val="single" w:color="000000" w:sz="4" w:space="0"/>
              <w:left w:val="single" w:color="000000" w:sz="4" w:space="0"/>
              <w:bottom w:val="single" w:color="000000" w:sz="4" w:space="0"/>
              <w:right w:val="single" w:color="000000" w:sz="4" w:space="0"/>
            </w:tcBorders>
            <w:noWrap/>
            <w:vAlign w:val="center"/>
          </w:tcPr>
          <w:p w14:paraId="5B41C8A8">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材料费</w:t>
            </w:r>
          </w:p>
        </w:tc>
        <w:tc>
          <w:tcPr>
            <w:tcW w:w="1062" w:type="dxa"/>
            <w:tcBorders>
              <w:top w:val="single" w:color="000000" w:sz="4" w:space="0"/>
              <w:left w:val="single" w:color="000000" w:sz="4" w:space="0"/>
              <w:bottom w:val="single" w:color="000000" w:sz="4" w:space="0"/>
              <w:right w:val="single" w:color="000000" w:sz="4" w:space="0"/>
            </w:tcBorders>
            <w:noWrap/>
            <w:vAlign w:val="bottom"/>
          </w:tcPr>
          <w:p w14:paraId="1CE99A8A">
            <w:pPr>
              <w:jc w:val="center"/>
              <w:rPr>
                <w:rFonts w:hint="default" w:ascii="Times New Roman" w:hAnsi="Times New Roman" w:eastAsia="宋体" w:cs="Times New Roman"/>
                <w:i w:val="0"/>
                <w:iCs w:val="0"/>
                <w:color w:val="auto"/>
                <w:sz w:val="21"/>
                <w:szCs w:val="21"/>
                <w:highlight w:val="none"/>
                <w:u w:val="none"/>
              </w:rPr>
            </w:pPr>
          </w:p>
        </w:tc>
        <w:tc>
          <w:tcPr>
            <w:tcW w:w="1148" w:type="dxa"/>
            <w:tcBorders>
              <w:top w:val="single" w:color="000000" w:sz="4" w:space="0"/>
              <w:left w:val="single" w:color="000000" w:sz="4" w:space="0"/>
              <w:bottom w:val="single" w:color="000000" w:sz="4" w:space="0"/>
              <w:right w:val="single" w:color="000000" w:sz="4" w:space="0"/>
            </w:tcBorders>
            <w:noWrap/>
            <w:vAlign w:val="center"/>
          </w:tcPr>
          <w:p w14:paraId="2D0E9894">
            <w:pPr>
              <w:jc w:val="center"/>
              <w:rPr>
                <w:rFonts w:hint="default" w:ascii="Times New Roman" w:hAnsi="Times New Roman" w:eastAsia="宋体" w:cs="Times New Roman"/>
                <w:i w:val="0"/>
                <w:iCs w:val="0"/>
                <w:color w:val="auto"/>
                <w:sz w:val="21"/>
                <w:szCs w:val="21"/>
                <w:highlight w:val="none"/>
                <w:u w:val="none"/>
              </w:rPr>
            </w:pPr>
          </w:p>
        </w:tc>
        <w:tc>
          <w:tcPr>
            <w:tcW w:w="1321" w:type="dxa"/>
            <w:tcBorders>
              <w:top w:val="single" w:color="000000" w:sz="4" w:space="0"/>
              <w:left w:val="single" w:color="000000" w:sz="4" w:space="0"/>
              <w:bottom w:val="single" w:color="000000" w:sz="4" w:space="0"/>
              <w:right w:val="single" w:color="000000" w:sz="4" w:space="0"/>
            </w:tcBorders>
            <w:noWrap/>
            <w:vAlign w:val="center"/>
          </w:tcPr>
          <w:p w14:paraId="13C7170F">
            <w:pPr>
              <w:jc w:val="center"/>
              <w:rPr>
                <w:rFonts w:hint="default" w:ascii="Times New Roman" w:hAnsi="Times New Roman" w:eastAsia="宋体" w:cs="Times New Roman"/>
                <w:i w:val="0"/>
                <w:iCs w:val="0"/>
                <w:color w:val="auto"/>
                <w:sz w:val="21"/>
                <w:szCs w:val="21"/>
                <w:highlight w:val="none"/>
                <w:u w:val="none"/>
              </w:rPr>
            </w:pPr>
          </w:p>
        </w:tc>
        <w:tc>
          <w:tcPr>
            <w:tcW w:w="1323" w:type="dxa"/>
            <w:tcBorders>
              <w:top w:val="single" w:color="000000" w:sz="4" w:space="0"/>
              <w:left w:val="single" w:color="000000" w:sz="4" w:space="0"/>
              <w:bottom w:val="single" w:color="000000" w:sz="4" w:space="0"/>
              <w:right w:val="single" w:color="000000" w:sz="4" w:space="0"/>
            </w:tcBorders>
            <w:noWrap/>
            <w:vAlign w:val="center"/>
          </w:tcPr>
          <w:p w14:paraId="13B9D5E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 xml:space="preserve">0.00 </w:t>
            </w:r>
          </w:p>
        </w:tc>
      </w:tr>
      <w:tr w14:paraId="6A4BE5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exact"/>
        </w:trPr>
        <w:tc>
          <w:tcPr>
            <w:tcW w:w="825" w:type="pct"/>
            <w:tcBorders>
              <w:top w:val="single" w:color="000000" w:sz="4" w:space="0"/>
              <w:left w:val="single" w:color="000000" w:sz="4" w:space="0"/>
              <w:bottom w:val="single" w:color="000000" w:sz="4" w:space="0"/>
              <w:right w:val="single" w:color="000000" w:sz="4" w:space="0"/>
            </w:tcBorders>
            <w:noWrap/>
            <w:vAlign w:val="center"/>
          </w:tcPr>
          <w:p w14:paraId="44BB759B">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1326" w:type="pct"/>
            <w:tcBorders>
              <w:top w:val="single" w:color="000000" w:sz="4" w:space="0"/>
              <w:left w:val="single" w:color="000000" w:sz="4" w:space="0"/>
              <w:bottom w:val="single" w:color="000000" w:sz="4" w:space="0"/>
              <w:right w:val="single" w:color="000000" w:sz="4" w:space="0"/>
            </w:tcBorders>
            <w:noWrap/>
            <w:vAlign w:val="center"/>
          </w:tcPr>
          <w:p w14:paraId="6F486E50">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机械费</w:t>
            </w:r>
          </w:p>
        </w:tc>
        <w:tc>
          <w:tcPr>
            <w:tcW w:w="1062" w:type="dxa"/>
            <w:tcBorders>
              <w:top w:val="single" w:color="000000" w:sz="4" w:space="0"/>
              <w:left w:val="single" w:color="000000" w:sz="4" w:space="0"/>
              <w:bottom w:val="single" w:color="000000" w:sz="4" w:space="0"/>
              <w:right w:val="single" w:color="000000" w:sz="4" w:space="0"/>
            </w:tcBorders>
            <w:noWrap/>
            <w:vAlign w:val="bottom"/>
          </w:tcPr>
          <w:p w14:paraId="4C72DB4C">
            <w:pPr>
              <w:jc w:val="center"/>
              <w:rPr>
                <w:rFonts w:hint="default" w:ascii="Times New Roman" w:hAnsi="Times New Roman" w:eastAsia="宋体" w:cs="Times New Roman"/>
                <w:i w:val="0"/>
                <w:iCs w:val="0"/>
                <w:color w:val="auto"/>
                <w:sz w:val="21"/>
                <w:szCs w:val="21"/>
                <w:highlight w:val="none"/>
                <w:u w:val="none"/>
              </w:rPr>
            </w:pPr>
          </w:p>
        </w:tc>
        <w:tc>
          <w:tcPr>
            <w:tcW w:w="1148" w:type="dxa"/>
            <w:tcBorders>
              <w:top w:val="single" w:color="000000" w:sz="4" w:space="0"/>
              <w:left w:val="single" w:color="000000" w:sz="4" w:space="0"/>
              <w:bottom w:val="single" w:color="000000" w:sz="4" w:space="0"/>
              <w:right w:val="single" w:color="000000" w:sz="4" w:space="0"/>
            </w:tcBorders>
            <w:noWrap/>
            <w:vAlign w:val="center"/>
          </w:tcPr>
          <w:p w14:paraId="1E13F25D">
            <w:pPr>
              <w:jc w:val="center"/>
              <w:rPr>
                <w:rFonts w:hint="default" w:ascii="Times New Roman" w:hAnsi="Times New Roman" w:eastAsia="宋体" w:cs="Times New Roman"/>
                <w:i w:val="0"/>
                <w:iCs w:val="0"/>
                <w:color w:val="auto"/>
                <w:sz w:val="21"/>
                <w:szCs w:val="21"/>
                <w:highlight w:val="none"/>
                <w:u w:val="none"/>
              </w:rPr>
            </w:pPr>
          </w:p>
        </w:tc>
        <w:tc>
          <w:tcPr>
            <w:tcW w:w="1321" w:type="dxa"/>
            <w:tcBorders>
              <w:top w:val="single" w:color="000000" w:sz="4" w:space="0"/>
              <w:left w:val="single" w:color="000000" w:sz="4" w:space="0"/>
              <w:bottom w:val="single" w:color="000000" w:sz="4" w:space="0"/>
              <w:right w:val="single" w:color="000000" w:sz="4" w:space="0"/>
            </w:tcBorders>
            <w:noWrap/>
            <w:vAlign w:val="center"/>
          </w:tcPr>
          <w:p w14:paraId="37E68AC0">
            <w:pPr>
              <w:jc w:val="center"/>
              <w:rPr>
                <w:rFonts w:hint="default" w:ascii="Times New Roman" w:hAnsi="Times New Roman" w:eastAsia="宋体" w:cs="Times New Roman"/>
                <w:i w:val="0"/>
                <w:iCs w:val="0"/>
                <w:color w:val="auto"/>
                <w:sz w:val="21"/>
                <w:szCs w:val="21"/>
                <w:highlight w:val="none"/>
                <w:u w:val="none"/>
              </w:rPr>
            </w:pPr>
          </w:p>
        </w:tc>
        <w:tc>
          <w:tcPr>
            <w:tcW w:w="1323" w:type="dxa"/>
            <w:tcBorders>
              <w:top w:val="single" w:color="000000" w:sz="4" w:space="0"/>
              <w:left w:val="single" w:color="000000" w:sz="4" w:space="0"/>
              <w:bottom w:val="single" w:color="000000" w:sz="4" w:space="0"/>
              <w:right w:val="single" w:color="000000" w:sz="4" w:space="0"/>
            </w:tcBorders>
            <w:noWrap/>
            <w:vAlign w:val="center"/>
          </w:tcPr>
          <w:p w14:paraId="1F2041B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 xml:space="preserve">275.25 </w:t>
            </w:r>
          </w:p>
        </w:tc>
      </w:tr>
      <w:tr w14:paraId="2B3B83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exact"/>
        </w:trPr>
        <w:tc>
          <w:tcPr>
            <w:tcW w:w="825" w:type="pct"/>
            <w:tcBorders>
              <w:top w:val="single" w:color="000000" w:sz="4" w:space="0"/>
              <w:left w:val="single" w:color="000000" w:sz="4" w:space="0"/>
              <w:bottom w:val="single" w:color="000000" w:sz="4" w:space="0"/>
              <w:right w:val="single" w:color="000000" w:sz="4" w:space="0"/>
            </w:tcBorders>
            <w:noWrap/>
            <w:vAlign w:val="center"/>
          </w:tcPr>
          <w:p w14:paraId="6AC6DE4C">
            <w:pPr>
              <w:jc w:val="center"/>
              <w:rPr>
                <w:rFonts w:hint="default" w:ascii="Times New Roman" w:hAnsi="Times New Roman" w:eastAsia="宋体" w:cs="Times New Roman"/>
                <w:i w:val="0"/>
                <w:iCs w:val="0"/>
                <w:color w:val="auto"/>
                <w:sz w:val="21"/>
                <w:szCs w:val="21"/>
                <w:highlight w:val="none"/>
                <w:u w:val="none"/>
              </w:rPr>
            </w:pPr>
          </w:p>
        </w:tc>
        <w:tc>
          <w:tcPr>
            <w:tcW w:w="1326" w:type="pct"/>
            <w:tcBorders>
              <w:top w:val="single" w:color="000000" w:sz="4" w:space="0"/>
              <w:left w:val="single" w:color="000000" w:sz="4" w:space="0"/>
              <w:bottom w:val="single" w:color="000000" w:sz="4" w:space="0"/>
              <w:right w:val="single" w:color="000000" w:sz="4" w:space="0"/>
            </w:tcBorders>
            <w:noWrap/>
            <w:vAlign w:val="center"/>
          </w:tcPr>
          <w:p w14:paraId="15F8F4EE">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推土机74</w:t>
            </w:r>
            <w:r>
              <w:rPr>
                <w:rFonts w:hint="eastAsia" w:ascii="Times New Roman" w:hAnsi="Times New Roman" w:cs="Times New Roman"/>
                <w:i w:val="0"/>
                <w:iCs w:val="0"/>
                <w:color w:val="auto"/>
                <w:kern w:val="0"/>
                <w:sz w:val="21"/>
                <w:szCs w:val="21"/>
                <w:highlight w:val="none"/>
                <w:u w:val="none"/>
                <w:lang w:val="en-US" w:eastAsia="zh-CN" w:bidi="ar"/>
              </w:rPr>
              <w:t>kW</w:t>
            </w:r>
          </w:p>
        </w:tc>
        <w:tc>
          <w:tcPr>
            <w:tcW w:w="1062" w:type="dxa"/>
            <w:tcBorders>
              <w:top w:val="single" w:color="000000" w:sz="4" w:space="0"/>
              <w:left w:val="single" w:color="000000" w:sz="4" w:space="0"/>
              <w:bottom w:val="single" w:color="000000" w:sz="4" w:space="0"/>
              <w:right w:val="single" w:color="000000" w:sz="4" w:space="0"/>
            </w:tcBorders>
            <w:noWrap/>
            <w:vAlign w:val="bottom"/>
          </w:tcPr>
          <w:p w14:paraId="6310DD45">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台班</w:t>
            </w:r>
          </w:p>
        </w:tc>
        <w:tc>
          <w:tcPr>
            <w:tcW w:w="1148" w:type="dxa"/>
            <w:tcBorders>
              <w:top w:val="single" w:color="000000" w:sz="4" w:space="0"/>
              <w:left w:val="single" w:color="000000" w:sz="4" w:space="0"/>
              <w:bottom w:val="single" w:color="000000" w:sz="4" w:space="0"/>
              <w:right w:val="single" w:color="000000" w:sz="4" w:space="0"/>
            </w:tcBorders>
            <w:noWrap/>
            <w:vAlign w:val="center"/>
          </w:tcPr>
          <w:p w14:paraId="1C62834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 xml:space="preserve">0.47 </w:t>
            </w:r>
          </w:p>
        </w:tc>
        <w:tc>
          <w:tcPr>
            <w:tcW w:w="1321" w:type="dxa"/>
            <w:tcBorders>
              <w:top w:val="single" w:color="000000" w:sz="4" w:space="0"/>
              <w:left w:val="single" w:color="000000" w:sz="4" w:space="0"/>
              <w:bottom w:val="single" w:color="000000" w:sz="4" w:space="0"/>
              <w:right w:val="single" w:color="000000" w:sz="4" w:space="0"/>
            </w:tcBorders>
            <w:noWrap/>
            <w:vAlign w:val="center"/>
          </w:tcPr>
          <w:p w14:paraId="75B226C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 xml:space="preserve">537.28 </w:t>
            </w:r>
          </w:p>
        </w:tc>
        <w:tc>
          <w:tcPr>
            <w:tcW w:w="1323" w:type="dxa"/>
            <w:tcBorders>
              <w:top w:val="single" w:color="000000" w:sz="4" w:space="0"/>
              <w:left w:val="single" w:color="000000" w:sz="4" w:space="0"/>
              <w:bottom w:val="single" w:color="000000" w:sz="4" w:space="0"/>
              <w:right w:val="single" w:color="000000" w:sz="4" w:space="0"/>
            </w:tcBorders>
            <w:noWrap/>
            <w:vAlign w:val="center"/>
          </w:tcPr>
          <w:p w14:paraId="49C2B3C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 xml:space="preserve">252.52 </w:t>
            </w:r>
          </w:p>
        </w:tc>
      </w:tr>
      <w:tr w14:paraId="70652B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exact"/>
        </w:trPr>
        <w:tc>
          <w:tcPr>
            <w:tcW w:w="825" w:type="pct"/>
            <w:tcBorders>
              <w:top w:val="single" w:color="000000" w:sz="4" w:space="0"/>
              <w:left w:val="single" w:color="000000" w:sz="4" w:space="0"/>
              <w:bottom w:val="single" w:color="000000" w:sz="4" w:space="0"/>
              <w:right w:val="single" w:color="000000" w:sz="4" w:space="0"/>
            </w:tcBorders>
            <w:noWrap/>
            <w:vAlign w:val="center"/>
          </w:tcPr>
          <w:p w14:paraId="3EC28159">
            <w:pPr>
              <w:jc w:val="center"/>
              <w:rPr>
                <w:rFonts w:hint="default" w:ascii="Times New Roman" w:hAnsi="Times New Roman" w:eastAsia="宋体" w:cs="Times New Roman"/>
                <w:i w:val="0"/>
                <w:iCs w:val="0"/>
                <w:color w:val="auto"/>
                <w:sz w:val="21"/>
                <w:szCs w:val="21"/>
                <w:highlight w:val="none"/>
                <w:u w:val="none"/>
              </w:rPr>
            </w:pPr>
          </w:p>
        </w:tc>
        <w:tc>
          <w:tcPr>
            <w:tcW w:w="1326" w:type="pct"/>
            <w:tcBorders>
              <w:top w:val="single" w:color="000000" w:sz="4" w:space="0"/>
              <w:left w:val="single" w:color="000000" w:sz="4" w:space="0"/>
              <w:bottom w:val="single" w:color="000000" w:sz="4" w:space="0"/>
              <w:right w:val="single" w:color="000000" w:sz="4" w:space="0"/>
            </w:tcBorders>
            <w:noWrap/>
            <w:vAlign w:val="center"/>
          </w:tcPr>
          <w:p w14:paraId="36C6A71F">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其他费用</w:t>
            </w:r>
          </w:p>
        </w:tc>
        <w:tc>
          <w:tcPr>
            <w:tcW w:w="1062" w:type="dxa"/>
            <w:tcBorders>
              <w:top w:val="single" w:color="000000" w:sz="4" w:space="0"/>
              <w:left w:val="single" w:color="000000" w:sz="4" w:space="0"/>
              <w:bottom w:val="single" w:color="000000" w:sz="4" w:space="0"/>
              <w:right w:val="single" w:color="000000" w:sz="4" w:space="0"/>
            </w:tcBorders>
            <w:noWrap/>
            <w:vAlign w:val="bottom"/>
          </w:tcPr>
          <w:p w14:paraId="7FB94BF0">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148" w:type="dxa"/>
            <w:tcBorders>
              <w:top w:val="single" w:color="000000" w:sz="4" w:space="0"/>
              <w:left w:val="single" w:color="000000" w:sz="4" w:space="0"/>
              <w:bottom w:val="single" w:color="000000" w:sz="4" w:space="0"/>
              <w:right w:val="single" w:color="000000" w:sz="4" w:space="0"/>
            </w:tcBorders>
            <w:noWrap/>
            <w:vAlign w:val="center"/>
          </w:tcPr>
          <w:p w14:paraId="443BC8F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 xml:space="preserve">9.00 </w:t>
            </w:r>
          </w:p>
        </w:tc>
        <w:tc>
          <w:tcPr>
            <w:tcW w:w="1321" w:type="dxa"/>
            <w:tcBorders>
              <w:top w:val="single" w:color="000000" w:sz="4" w:space="0"/>
              <w:left w:val="single" w:color="000000" w:sz="4" w:space="0"/>
              <w:bottom w:val="single" w:color="000000" w:sz="4" w:space="0"/>
              <w:right w:val="single" w:color="000000" w:sz="4" w:space="0"/>
            </w:tcBorders>
            <w:noWrap/>
            <w:vAlign w:val="center"/>
          </w:tcPr>
          <w:p w14:paraId="645ADBC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 xml:space="preserve">252.52 </w:t>
            </w:r>
          </w:p>
        </w:tc>
        <w:tc>
          <w:tcPr>
            <w:tcW w:w="1323" w:type="dxa"/>
            <w:tcBorders>
              <w:top w:val="single" w:color="000000" w:sz="4" w:space="0"/>
              <w:left w:val="single" w:color="000000" w:sz="4" w:space="0"/>
              <w:bottom w:val="single" w:color="000000" w:sz="4" w:space="0"/>
              <w:right w:val="single" w:color="000000" w:sz="4" w:space="0"/>
            </w:tcBorders>
            <w:noWrap/>
            <w:vAlign w:val="center"/>
          </w:tcPr>
          <w:p w14:paraId="7D45FE6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 xml:space="preserve">22.73 </w:t>
            </w:r>
          </w:p>
        </w:tc>
      </w:tr>
      <w:tr w14:paraId="77B13D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exact"/>
        </w:trPr>
        <w:tc>
          <w:tcPr>
            <w:tcW w:w="825" w:type="pct"/>
            <w:tcBorders>
              <w:top w:val="single" w:color="000000" w:sz="4" w:space="0"/>
              <w:left w:val="single" w:color="000000" w:sz="4" w:space="0"/>
              <w:bottom w:val="single" w:color="000000" w:sz="4" w:space="0"/>
              <w:right w:val="single" w:color="000000" w:sz="4" w:space="0"/>
            </w:tcBorders>
            <w:noWrap/>
            <w:vAlign w:val="center"/>
          </w:tcPr>
          <w:p w14:paraId="00BC22C4">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（二）</w:t>
            </w:r>
          </w:p>
        </w:tc>
        <w:tc>
          <w:tcPr>
            <w:tcW w:w="1326" w:type="pct"/>
            <w:tcBorders>
              <w:top w:val="single" w:color="000000" w:sz="4" w:space="0"/>
              <w:left w:val="single" w:color="000000" w:sz="4" w:space="0"/>
              <w:bottom w:val="single" w:color="000000" w:sz="4" w:space="0"/>
              <w:right w:val="single" w:color="000000" w:sz="4" w:space="0"/>
            </w:tcBorders>
            <w:noWrap/>
            <w:vAlign w:val="center"/>
          </w:tcPr>
          <w:p w14:paraId="3CEEBCFE">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措施费</w:t>
            </w:r>
          </w:p>
        </w:tc>
        <w:tc>
          <w:tcPr>
            <w:tcW w:w="1062" w:type="dxa"/>
            <w:tcBorders>
              <w:top w:val="single" w:color="000000" w:sz="4" w:space="0"/>
              <w:left w:val="single" w:color="000000" w:sz="4" w:space="0"/>
              <w:bottom w:val="single" w:color="000000" w:sz="4" w:space="0"/>
              <w:right w:val="single" w:color="000000" w:sz="4" w:space="0"/>
            </w:tcBorders>
            <w:noWrap/>
            <w:vAlign w:val="bottom"/>
          </w:tcPr>
          <w:p w14:paraId="1A67517B">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148" w:type="dxa"/>
            <w:tcBorders>
              <w:top w:val="single" w:color="000000" w:sz="4" w:space="0"/>
              <w:left w:val="single" w:color="000000" w:sz="4" w:space="0"/>
              <w:bottom w:val="single" w:color="000000" w:sz="4" w:space="0"/>
              <w:right w:val="single" w:color="000000" w:sz="4" w:space="0"/>
            </w:tcBorders>
            <w:noWrap/>
            <w:vAlign w:val="center"/>
          </w:tcPr>
          <w:p w14:paraId="4BE29C5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 xml:space="preserve">3.80 </w:t>
            </w:r>
          </w:p>
        </w:tc>
        <w:tc>
          <w:tcPr>
            <w:tcW w:w="1321" w:type="dxa"/>
            <w:tcBorders>
              <w:top w:val="single" w:color="000000" w:sz="4" w:space="0"/>
              <w:left w:val="single" w:color="000000" w:sz="4" w:space="0"/>
              <w:bottom w:val="single" w:color="000000" w:sz="4" w:space="0"/>
              <w:right w:val="single" w:color="000000" w:sz="4" w:space="0"/>
            </w:tcBorders>
            <w:noWrap/>
            <w:vAlign w:val="center"/>
          </w:tcPr>
          <w:p w14:paraId="172C006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 xml:space="preserve">338.57 </w:t>
            </w:r>
          </w:p>
        </w:tc>
        <w:tc>
          <w:tcPr>
            <w:tcW w:w="1323" w:type="dxa"/>
            <w:tcBorders>
              <w:top w:val="single" w:color="000000" w:sz="4" w:space="0"/>
              <w:left w:val="single" w:color="000000" w:sz="4" w:space="0"/>
              <w:bottom w:val="single" w:color="000000" w:sz="4" w:space="0"/>
              <w:right w:val="single" w:color="000000" w:sz="4" w:space="0"/>
            </w:tcBorders>
            <w:noWrap/>
            <w:vAlign w:val="center"/>
          </w:tcPr>
          <w:p w14:paraId="335AF2F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 xml:space="preserve">12.87 </w:t>
            </w:r>
          </w:p>
        </w:tc>
      </w:tr>
      <w:tr w14:paraId="22C84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exact"/>
        </w:trPr>
        <w:tc>
          <w:tcPr>
            <w:tcW w:w="825" w:type="pct"/>
            <w:tcBorders>
              <w:top w:val="single" w:color="000000" w:sz="4" w:space="0"/>
              <w:left w:val="single" w:color="000000" w:sz="4" w:space="0"/>
              <w:bottom w:val="single" w:color="000000" w:sz="4" w:space="0"/>
              <w:right w:val="single" w:color="000000" w:sz="4" w:space="0"/>
            </w:tcBorders>
            <w:noWrap/>
            <w:vAlign w:val="center"/>
          </w:tcPr>
          <w:p w14:paraId="44A2BD91">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二</w:t>
            </w:r>
          </w:p>
        </w:tc>
        <w:tc>
          <w:tcPr>
            <w:tcW w:w="1326" w:type="pct"/>
            <w:tcBorders>
              <w:top w:val="single" w:color="000000" w:sz="4" w:space="0"/>
              <w:left w:val="single" w:color="000000" w:sz="4" w:space="0"/>
              <w:bottom w:val="single" w:color="000000" w:sz="4" w:space="0"/>
              <w:right w:val="single" w:color="000000" w:sz="4" w:space="0"/>
            </w:tcBorders>
            <w:noWrap/>
            <w:vAlign w:val="center"/>
          </w:tcPr>
          <w:p w14:paraId="7184CCEF">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间接费</w:t>
            </w:r>
          </w:p>
        </w:tc>
        <w:tc>
          <w:tcPr>
            <w:tcW w:w="1062" w:type="dxa"/>
            <w:tcBorders>
              <w:top w:val="single" w:color="000000" w:sz="4" w:space="0"/>
              <w:left w:val="single" w:color="000000" w:sz="4" w:space="0"/>
              <w:bottom w:val="single" w:color="000000" w:sz="4" w:space="0"/>
              <w:right w:val="single" w:color="000000" w:sz="4" w:space="0"/>
            </w:tcBorders>
            <w:noWrap/>
            <w:vAlign w:val="bottom"/>
          </w:tcPr>
          <w:p w14:paraId="5B4609D3">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148" w:type="dxa"/>
            <w:tcBorders>
              <w:top w:val="single" w:color="000000" w:sz="4" w:space="0"/>
              <w:left w:val="single" w:color="000000" w:sz="4" w:space="0"/>
              <w:bottom w:val="single" w:color="000000" w:sz="4" w:space="0"/>
              <w:right w:val="single" w:color="000000" w:sz="4" w:space="0"/>
            </w:tcBorders>
            <w:noWrap/>
            <w:vAlign w:val="center"/>
          </w:tcPr>
          <w:p w14:paraId="6DA1920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 xml:space="preserve">7.20 </w:t>
            </w:r>
          </w:p>
        </w:tc>
        <w:tc>
          <w:tcPr>
            <w:tcW w:w="1321" w:type="dxa"/>
            <w:tcBorders>
              <w:top w:val="single" w:color="000000" w:sz="4" w:space="0"/>
              <w:left w:val="single" w:color="000000" w:sz="4" w:space="0"/>
              <w:bottom w:val="single" w:color="000000" w:sz="4" w:space="0"/>
              <w:right w:val="single" w:color="000000" w:sz="4" w:space="0"/>
            </w:tcBorders>
            <w:noWrap/>
            <w:vAlign w:val="center"/>
          </w:tcPr>
          <w:p w14:paraId="6AE4269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 xml:space="preserve">351.44 </w:t>
            </w:r>
          </w:p>
        </w:tc>
        <w:tc>
          <w:tcPr>
            <w:tcW w:w="1323" w:type="dxa"/>
            <w:tcBorders>
              <w:top w:val="single" w:color="000000" w:sz="4" w:space="0"/>
              <w:left w:val="single" w:color="000000" w:sz="4" w:space="0"/>
              <w:bottom w:val="single" w:color="000000" w:sz="4" w:space="0"/>
              <w:right w:val="single" w:color="000000" w:sz="4" w:space="0"/>
            </w:tcBorders>
            <w:noWrap/>
            <w:vAlign w:val="center"/>
          </w:tcPr>
          <w:p w14:paraId="5899E59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 xml:space="preserve">25.30 </w:t>
            </w:r>
          </w:p>
        </w:tc>
      </w:tr>
      <w:tr w14:paraId="3DA879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exact"/>
        </w:trPr>
        <w:tc>
          <w:tcPr>
            <w:tcW w:w="825" w:type="pct"/>
            <w:tcBorders>
              <w:top w:val="single" w:color="000000" w:sz="4" w:space="0"/>
              <w:left w:val="single" w:color="000000" w:sz="4" w:space="0"/>
              <w:bottom w:val="single" w:color="000000" w:sz="4" w:space="0"/>
              <w:right w:val="single" w:color="000000" w:sz="4" w:space="0"/>
            </w:tcBorders>
            <w:noWrap/>
            <w:vAlign w:val="center"/>
          </w:tcPr>
          <w:p w14:paraId="1CE6BD28">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三</w:t>
            </w:r>
          </w:p>
        </w:tc>
        <w:tc>
          <w:tcPr>
            <w:tcW w:w="1326" w:type="pct"/>
            <w:tcBorders>
              <w:top w:val="single" w:color="000000" w:sz="4" w:space="0"/>
              <w:left w:val="single" w:color="000000" w:sz="4" w:space="0"/>
              <w:bottom w:val="single" w:color="000000" w:sz="4" w:space="0"/>
              <w:right w:val="single" w:color="000000" w:sz="4" w:space="0"/>
            </w:tcBorders>
            <w:noWrap/>
            <w:vAlign w:val="center"/>
          </w:tcPr>
          <w:p w14:paraId="53FF74CC">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利润</w:t>
            </w:r>
          </w:p>
        </w:tc>
        <w:tc>
          <w:tcPr>
            <w:tcW w:w="1062" w:type="dxa"/>
            <w:tcBorders>
              <w:top w:val="single" w:color="000000" w:sz="4" w:space="0"/>
              <w:left w:val="single" w:color="000000" w:sz="4" w:space="0"/>
              <w:bottom w:val="single" w:color="000000" w:sz="4" w:space="0"/>
              <w:right w:val="single" w:color="000000" w:sz="4" w:space="0"/>
            </w:tcBorders>
            <w:noWrap/>
            <w:vAlign w:val="bottom"/>
          </w:tcPr>
          <w:p w14:paraId="2951DE66">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148" w:type="dxa"/>
            <w:tcBorders>
              <w:top w:val="single" w:color="000000" w:sz="4" w:space="0"/>
              <w:left w:val="single" w:color="000000" w:sz="4" w:space="0"/>
              <w:bottom w:val="single" w:color="000000" w:sz="4" w:space="0"/>
              <w:right w:val="single" w:color="000000" w:sz="4" w:space="0"/>
            </w:tcBorders>
            <w:noWrap/>
            <w:vAlign w:val="center"/>
          </w:tcPr>
          <w:p w14:paraId="11E9D45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 xml:space="preserve">3.00 </w:t>
            </w:r>
          </w:p>
        </w:tc>
        <w:tc>
          <w:tcPr>
            <w:tcW w:w="1321" w:type="dxa"/>
            <w:tcBorders>
              <w:top w:val="single" w:color="000000" w:sz="4" w:space="0"/>
              <w:left w:val="single" w:color="000000" w:sz="4" w:space="0"/>
              <w:bottom w:val="single" w:color="000000" w:sz="4" w:space="0"/>
              <w:right w:val="single" w:color="000000" w:sz="4" w:space="0"/>
            </w:tcBorders>
            <w:noWrap/>
            <w:vAlign w:val="center"/>
          </w:tcPr>
          <w:p w14:paraId="2EE5081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 xml:space="preserve">376.74 </w:t>
            </w:r>
          </w:p>
        </w:tc>
        <w:tc>
          <w:tcPr>
            <w:tcW w:w="1323" w:type="dxa"/>
            <w:tcBorders>
              <w:top w:val="single" w:color="000000" w:sz="4" w:space="0"/>
              <w:left w:val="single" w:color="000000" w:sz="4" w:space="0"/>
              <w:bottom w:val="single" w:color="000000" w:sz="4" w:space="0"/>
              <w:right w:val="single" w:color="000000" w:sz="4" w:space="0"/>
            </w:tcBorders>
            <w:noWrap/>
            <w:vAlign w:val="center"/>
          </w:tcPr>
          <w:p w14:paraId="150666B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 xml:space="preserve">11.30 </w:t>
            </w:r>
          </w:p>
        </w:tc>
      </w:tr>
      <w:tr w14:paraId="0C02B6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exact"/>
        </w:trPr>
        <w:tc>
          <w:tcPr>
            <w:tcW w:w="825" w:type="pct"/>
            <w:tcBorders>
              <w:top w:val="single" w:color="000000" w:sz="4" w:space="0"/>
              <w:left w:val="single" w:color="000000" w:sz="4" w:space="0"/>
              <w:bottom w:val="single" w:color="000000" w:sz="4" w:space="0"/>
              <w:right w:val="single" w:color="000000" w:sz="4" w:space="0"/>
            </w:tcBorders>
            <w:noWrap/>
            <w:vAlign w:val="center"/>
          </w:tcPr>
          <w:p w14:paraId="247D3549">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四</w:t>
            </w:r>
          </w:p>
        </w:tc>
        <w:tc>
          <w:tcPr>
            <w:tcW w:w="1326" w:type="pct"/>
            <w:tcBorders>
              <w:top w:val="single" w:color="000000" w:sz="4" w:space="0"/>
              <w:left w:val="single" w:color="000000" w:sz="4" w:space="0"/>
              <w:bottom w:val="single" w:color="000000" w:sz="4" w:space="0"/>
              <w:right w:val="single" w:color="000000" w:sz="4" w:space="0"/>
            </w:tcBorders>
            <w:noWrap/>
            <w:vAlign w:val="center"/>
          </w:tcPr>
          <w:p w14:paraId="21F0B250">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材料价差</w:t>
            </w:r>
          </w:p>
        </w:tc>
        <w:tc>
          <w:tcPr>
            <w:tcW w:w="1062" w:type="dxa"/>
            <w:tcBorders>
              <w:top w:val="single" w:color="000000" w:sz="4" w:space="0"/>
              <w:left w:val="single" w:color="000000" w:sz="4" w:space="0"/>
              <w:bottom w:val="single" w:color="000000" w:sz="4" w:space="0"/>
              <w:right w:val="single" w:color="000000" w:sz="4" w:space="0"/>
            </w:tcBorders>
            <w:noWrap/>
            <w:vAlign w:val="bottom"/>
          </w:tcPr>
          <w:p w14:paraId="54F6D918">
            <w:pPr>
              <w:jc w:val="center"/>
              <w:rPr>
                <w:rFonts w:hint="default" w:ascii="Times New Roman" w:hAnsi="Times New Roman" w:eastAsia="宋体" w:cs="Times New Roman"/>
                <w:i w:val="0"/>
                <w:iCs w:val="0"/>
                <w:color w:val="auto"/>
                <w:sz w:val="21"/>
                <w:szCs w:val="21"/>
                <w:highlight w:val="none"/>
                <w:u w:val="none"/>
              </w:rPr>
            </w:pPr>
          </w:p>
        </w:tc>
        <w:tc>
          <w:tcPr>
            <w:tcW w:w="1148" w:type="dxa"/>
            <w:tcBorders>
              <w:top w:val="single" w:color="000000" w:sz="4" w:space="0"/>
              <w:left w:val="single" w:color="000000" w:sz="4" w:space="0"/>
              <w:bottom w:val="single" w:color="000000" w:sz="4" w:space="0"/>
              <w:right w:val="single" w:color="000000" w:sz="4" w:space="0"/>
            </w:tcBorders>
            <w:noWrap/>
            <w:vAlign w:val="center"/>
          </w:tcPr>
          <w:p w14:paraId="0FD81782">
            <w:pPr>
              <w:jc w:val="center"/>
              <w:rPr>
                <w:rFonts w:hint="default" w:ascii="Times New Roman" w:hAnsi="Times New Roman" w:eastAsia="宋体" w:cs="Times New Roman"/>
                <w:i w:val="0"/>
                <w:iCs w:val="0"/>
                <w:color w:val="auto"/>
                <w:sz w:val="21"/>
                <w:szCs w:val="21"/>
                <w:highlight w:val="none"/>
                <w:u w:val="none"/>
              </w:rPr>
            </w:pPr>
          </w:p>
        </w:tc>
        <w:tc>
          <w:tcPr>
            <w:tcW w:w="1321" w:type="dxa"/>
            <w:tcBorders>
              <w:top w:val="single" w:color="000000" w:sz="4" w:space="0"/>
              <w:left w:val="single" w:color="000000" w:sz="4" w:space="0"/>
              <w:bottom w:val="single" w:color="000000" w:sz="4" w:space="0"/>
              <w:right w:val="single" w:color="000000" w:sz="4" w:space="0"/>
            </w:tcBorders>
            <w:noWrap/>
            <w:vAlign w:val="center"/>
          </w:tcPr>
          <w:p w14:paraId="0C33C009">
            <w:pPr>
              <w:jc w:val="center"/>
              <w:rPr>
                <w:rFonts w:hint="default" w:ascii="Times New Roman" w:hAnsi="Times New Roman" w:eastAsia="宋体" w:cs="Times New Roman"/>
                <w:i w:val="0"/>
                <w:iCs w:val="0"/>
                <w:color w:val="auto"/>
                <w:sz w:val="21"/>
                <w:szCs w:val="21"/>
                <w:highlight w:val="none"/>
                <w:u w:val="none"/>
              </w:rPr>
            </w:pPr>
          </w:p>
        </w:tc>
        <w:tc>
          <w:tcPr>
            <w:tcW w:w="1323" w:type="dxa"/>
            <w:tcBorders>
              <w:top w:val="single" w:color="000000" w:sz="4" w:space="0"/>
              <w:left w:val="single" w:color="000000" w:sz="4" w:space="0"/>
              <w:bottom w:val="single" w:color="000000" w:sz="4" w:space="0"/>
              <w:right w:val="single" w:color="000000" w:sz="4" w:space="0"/>
            </w:tcBorders>
            <w:noWrap/>
            <w:vAlign w:val="center"/>
          </w:tcPr>
          <w:p w14:paraId="5E688A2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 xml:space="preserve">79.10 </w:t>
            </w:r>
          </w:p>
        </w:tc>
      </w:tr>
      <w:tr w14:paraId="1344AB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exact"/>
        </w:trPr>
        <w:tc>
          <w:tcPr>
            <w:tcW w:w="825" w:type="pct"/>
            <w:tcBorders>
              <w:top w:val="single" w:color="000000" w:sz="4" w:space="0"/>
              <w:left w:val="single" w:color="000000" w:sz="4" w:space="0"/>
              <w:bottom w:val="single" w:color="000000" w:sz="4" w:space="0"/>
              <w:right w:val="single" w:color="000000" w:sz="4" w:space="0"/>
            </w:tcBorders>
            <w:noWrap/>
            <w:vAlign w:val="center"/>
          </w:tcPr>
          <w:p w14:paraId="48B31246">
            <w:pPr>
              <w:jc w:val="center"/>
              <w:rPr>
                <w:rFonts w:hint="default" w:ascii="Times New Roman" w:hAnsi="Times New Roman" w:eastAsia="宋体" w:cs="Times New Roman"/>
                <w:i w:val="0"/>
                <w:iCs w:val="0"/>
                <w:color w:val="auto"/>
                <w:sz w:val="21"/>
                <w:szCs w:val="21"/>
                <w:highlight w:val="none"/>
                <w:u w:val="none"/>
              </w:rPr>
            </w:pPr>
          </w:p>
        </w:tc>
        <w:tc>
          <w:tcPr>
            <w:tcW w:w="1326" w:type="pct"/>
            <w:tcBorders>
              <w:top w:val="single" w:color="000000" w:sz="4" w:space="0"/>
              <w:left w:val="single" w:color="000000" w:sz="4" w:space="0"/>
              <w:bottom w:val="single" w:color="000000" w:sz="4" w:space="0"/>
              <w:right w:val="single" w:color="000000" w:sz="4" w:space="0"/>
            </w:tcBorders>
            <w:noWrap/>
            <w:vAlign w:val="center"/>
          </w:tcPr>
          <w:p w14:paraId="2C02D59E">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柴油</w:t>
            </w:r>
          </w:p>
        </w:tc>
        <w:tc>
          <w:tcPr>
            <w:tcW w:w="1062" w:type="dxa"/>
            <w:tcBorders>
              <w:top w:val="single" w:color="000000" w:sz="4" w:space="0"/>
              <w:left w:val="single" w:color="000000" w:sz="4" w:space="0"/>
              <w:bottom w:val="single" w:color="000000" w:sz="4" w:space="0"/>
              <w:right w:val="single" w:color="000000" w:sz="4" w:space="0"/>
            </w:tcBorders>
            <w:noWrap/>
            <w:vAlign w:val="bottom"/>
          </w:tcPr>
          <w:p w14:paraId="2652C580">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kg</w:t>
            </w:r>
          </w:p>
        </w:tc>
        <w:tc>
          <w:tcPr>
            <w:tcW w:w="1148" w:type="dxa"/>
            <w:tcBorders>
              <w:top w:val="single" w:color="000000" w:sz="4" w:space="0"/>
              <w:left w:val="single" w:color="000000" w:sz="4" w:space="0"/>
              <w:bottom w:val="single" w:color="000000" w:sz="4" w:space="0"/>
              <w:right w:val="single" w:color="000000" w:sz="4" w:space="0"/>
            </w:tcBorders>
            <w:noWrap/>
            <w:vAlign w:val="center"/>
          </w:tcPr>
          <w:p w14:paraId="35BD7E1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 xml:space="preserve">25.85 </w:t>
            </w:r>
          </w:p>
        </w:tc>
        <w:tc>
          <w:tcPr>
            <w:tcW w:w="1321" w:type="dxa"/>
            <w:tcBorders>
              <w:top w:val="single" w:color="000000" w:sz="4" w:space="0"/>
              <w:left w:val="single" w:color="000000" w:sz="4" w:space="0"/>
              <w:bottom w:val="single" w:color="000000" w:sz="4" w:space="0"/>
              <w:right w:val="single" w:color="000000" w:sz="4" w:space="0"/>
            </w:tcBorders>
            <w:noWrap/>
            <w:vAlign w:val="center"/>
          </w:tcPr>
          <w:p w14:paraId="7997229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 xml:space="preserve">3.06 </w:t>
            </w:r>
          </w:p>
        </w:tc>
        <w:tc>
          <w:tcPr>
            <w:tcW w:w="1323" w:type="dxa"/>
            <w:tcBorders>
              <w:top w:val="single" w:color="000000" w:sz="4" w:space="0"/>
              <w:left w:val="single" w:color="000000" w:sz="4" w:space="0"/>
              <w:bottom w:val="single" w:color="000000" w:sz="4" w:space="0"/>
              <w:right w:val="single" w:color="000000" w:sz="4" w:space="0"/>
            </w:tcBorders>
            <w:noWrap/>
            <w:vAlign w:val="center"/>
          </w:tcPr>
          <w:p w14:paraId="34F6CFF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 xml:space="preserve">79.10 </w:t>
            </w:r>
          </w:p>
        </w:tc>
      </w:tr>
      <w:tr w14:paraId="2BA474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exact"/>
        </w:trPr>
        <w:tc>
          <w:tcPr>
            <w:tcW w:w="825" w:type="pct"/>
            <w:tcBorders>
              <w:top w:val="single" w:color="000000" w:sz="4" w:space="0"/>
              <w:left w:val="single" w:color="000000" w:sz="4" w:space="0"/>
              <w:bottom w:val="single" w:color="000000" w:sz="4" w:space="0"/>
              <w:right w:val="single" w:color="000000" w:sz="4" w:space="0"/>
            </w:tcBorders>
            <w:noWrap/>
            <w:vAlign w:val="center"/>
          </w:tcPr>
          <w:p w14:paraId="176DCDF9">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五</w:t>
            </w:r>
          </w:p>
        </w:tc>
        <w:tc>
          <w:tcPr>
            <w:tcW w:w="1326" w:type="pct"/>
            <w:tcBorders>
              <w:top w:val="single" w:color="000000" w:sz="4" w:space="0"/>
              <w:left w:val="single" w:color="000000" w:sz="4" w:space="0"/>
              <w:bottom w:val="single" w:color="000000" w:sz="4" w:space="0"/>
              <w:right w:val="single" w:color="000000" w:sz="4" w:space="0"/>
            </w:tcBorders>
            <w:noWrap/>
            <w:vAlign w:val="center"/>
          </w:tcPr>
          <w:p w14:paraId="7C0FCF38">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税金</w:t>
            </w:r>
          </w:p>
        </w:tc>
        <w:tc>
          <w:tcPr>
            <w:tcW w:w="1062" w:type="dxa"/>
            <w:tcBorders>
              <w:top w:val="single" w:color="000000" w:sz="4" w:space="0"/>
              <w:left w:val="single" w:color="000000" w:sz="4" w:space="0"/>
              <w:bottom w:val="single" w:color="000000" w:sz="4" w:space="0"/>
              <w:right w:val="single" w:color="000000" w:sz="4" w:space="0"/>
            </w:tcBorders>
            <w:noWrap/>
            <w:vAlign w:val="bottom"/>
          </w:tcPr>
          <w:p w14:paraId="3DAD6C47">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148" w:type="dxa"/>
            <w:tcBorders>
              <w:top w:val="single" w:color="000000" w:sz="4" w:space="0"/>
              <w:left w:val="single" w:color="000000" w:sz="4" w:space="0"/>
              <w:bottom w:val="single" w:color="000000" w:sz="4" w:space="0"/>
              <w:right w:val="single" w:color="000000" w:sz="4" w:space="0"/>
            </w:tcBorders>
            <w:noWrap/>
            <w:vAlign w:val="center"/>
          </w:tcPr>
          <w:p w14:paraId="3F7B54A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 xml:space="preserve">9.00 </w:t>
            </w:r>
          </w:p>
        </w:tc>
        <w:tc>
          <w:tcPr>
            <w:tcW w:w="1321" w:type="dxa"/>
            <w:tcBorders>
              <w:top w:val="single" w:color="000000" w:sz="4" w:space="0"/>
              <w:left w:val="single" w:color="000000" w:sz="4" w:space="0"/>
              <w:bottom w:val="single" w:color="000000" w:sz="4" w:space="0"/>
              <w:right w:val="single" w:color="000000" w:sz="4" w:space="0"/>
            </w:tcBorders>
            <w:noWrap/>
            <w:vAlign w:val="center"/>
          </w:tcPr>
          <w:p w14:paraId="1DB39E5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 xml:space="preserve">467.15 </w:t>
            </w:r>
          </w:p>
        </w:tc>
        <w:tc>
          <w:tcPr>
            <w:tcW w:w="1323" w:type="dxa"/>
            <w:tcBorders>
              <w:top w:val="single" w:color="000000" w:sz="4" w:space="0"/>
              <w:left w:val="single" w:color="000000" w:sz="4" w:space="0"/>
              <w:bottom w:val="single" w:color="000000" w:sz="4" w:space="0"/>
              <w:right w:val="single" w:color="000000" w:sz="4" w:space="0"/>
            </w:tcBorders>
            <w:noWrap/>
            <w:vAlign w:val="center"/>
          </w:tcPr>
          <w:p w14:paraId="4F3BAC8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 xml:space="preserve">42.04 </w:t>
            </w:r>
          </w:p>
        </w:tc>
      </w:tr>
      <w:tr w14:paraId="02FCCE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exact"/>
        </w:trPr>
        <w:tc>
          <w:tcPr>
            <w:tcW w:w="2152" w:type="pct"/>
            <w:gridSpan w:val="2"/>
            <w:tcBorders>
              <w:top w:val="single" w:color="000000" w:sz="4" w:space="0"/>
              <w:left w:val="single" w:color="000000" w:sz="4" w:space="0"/>
              <w:bottom w:val="single" w:color="000000" w:sz="4" w:space="0"/>
              <w:right w:val="single" w:color="000000" w:sz="4" w:space="0"/>
            </w:tcBorders>
            <w:noWrap/>
            <w:vAlign w:val="center"/>
          </w:tcPr>
          <w:p w14:paraId="7D83D4C4">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合计</w:t>
            </w:r>
          </w:p>
        </w:tc>
        <w:tc>
          <w:tcPr>
            <w:tcW w:w="1062" w:type="dxa"/>
            <w:tcBorders>
              <w:top w:val="single" w:color="000000" w:sz="4" w:space="0"/>
              <w:left w:val="single" w:color="000000" w:sz="4" w:space="0"/>
              <w:bottom w:val="single" w:color="000000" w:sz="4" w:space="0"/>
              <w:right w:val="single" w:color="000000" w:sz="4" w:space="0"/>
            </w:tcBorders>
            <w:noWrap/>
            <w:vAlign w:val="bottom"/>
          </w:tcPr>
          <w:p w14:paraId="7A750EA3">
            <w:pPr>
              <w:jc w:val="center"/>
              <w:rPr>
                <w:rFonts w:hint="default" w:ascii="Times New Roman" w:hAnsi="Times New Roman" w:eastAsia="宋体" w:cs="Times New Roman"/>
                <w:i w:val="0"/>
                <w:iCs w:val="0"/>
                <w:color w:val="auto"/>
                <w:sz w:val="21"/>
                <w:szCs w:val="21"/>
                <w:highlight w:val="none"/>
                <w:u w:val="none"/>
              </w:rPr>
            </w:pPr>
          </w:p>
        </w:tc>
        <w:tc>
          <w:tcPr>
            <w:tcW w:w="1148" w:type="dxa"/>
            <w:tcBorders>
              <w:top w:val="single" w:color="000000" w:sz="4" w:space="0"/>
              <w:left w:val="single" w:color="000000" w:sz="4" w:space="0"/>
              <w:bottom w:val="single" w:color="000000" w:sz="4" w:space="0"/>
              <w:right w:val="single" w:color="000000" w:sz="4" w:space="0"/>
            </w:tcBorders>
            <w:noWrap/>
            <w:vAlign w:val="center"/>
          </w:tcPr>
          <w:p w14:paraId="13DF39B0">
            <w:pPr>
              <w:jc w:val="center"/>
              <w:rPr>
                <w:rFonts w:hint="default" w:ascii="Times New Roman" w:hAnsi="Times New Roman" w:eastAsia="宋体" w:cs="Times New Roman"/>
                <w:i w:val="0"/>
                <w:iCs w:val="0"/>
                <w:color w:val="auto"/>
                <w:sz w:val="21"/>
                <w:szCs w:val="21"/>
                <w:highlight w:val="none"/>
                <w:u w:val="none"/>
              </w:rPr>
            </w:pPr>
          </w:p>
        </w:tc>
        <w:tc>
          <w:tcPr>
            <w:tcW w:w="1321" w:type="dxa"/>
            <w:tcBorders>
              <w:top w:val="single" w:color="000000" w:sz="4" w:space="0"/>
              <w:left w:val="single" w:color="000000" w:sz="4" w:space="0"/>
              <w:bottom w:val="single" w:color="000000" w:sz="4" w:space="0"/>
              <w:right w:val="single" w:color="000000" w:sz="4" w:space="0"/>
            </w:tcBorders>
            <w:noWrap/>
            <w:vAlign w:val="center"/>
          </w:tcPr>
          <w:p w14:paraId="0AD75D49">
            <w:pPr>
              <w:jc w:val="center"/>
              <w:rPr>
                <w:rFonts w:hint="default" w:ascii="Times New Roman" w:hAnsi="Times New Roman" w:eastAsia="宋体" w:cs="Times New Roman"/>
                <w:i w:val="0"/>
                <w:iCs w:val="0"/>
                <w:color w:val="auto"/>
                <w:sz w:val="21"/>
                <w:szCs w:val="21"/>
                <w:highlight w:val="none"/>
                <w:u w:val="none"/>
              </w:rPr>
            </w:pPr>
          </w:p>
        </w:tc>
        <w:tc>
          <w:tcPr>
            <w:tcW w:w="1323" w:type="dxa"/>
            <w:tcBorders>
              <w:top w:val="single" w:color="000000" w:sz="4" w:space="0"/>
              <w:left w:val="single" w:color="000000" w:sz="4" w:space="0"/>
              <w:bottom w:val="single" w:color="000000" w:sz="4" w:space="0"/>
              <w:right w:val="single" w:color="000000" w:sz="4" w:space="0"/>
            </w:tcBorders>
            <w:noWrap/>
            <w:vAlign w:val="center"/>
          </w:tcPr>
          <w:p w14:paraId="516B8C5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 xml:space="preserve">509.19 </w:t>
            </w:r>
          </w:p>
        </w:tc>
      </w:tr>
    </w:tbl>
    <w:p w14:paraId="434C4CDF">
      <w:pPr>
        <w:pStyle w:val="90"/>
        <w:autoSpaceDE w:val="0"/>
        <w:autoSpaceDN w:val="0"/>
        <w:rPr>
          <w:rFonts w:hint="default" w:ascii="Times New Roman" w:hAnsi="Times New Roman" w:eastAsia="宋体" w:cs="Times New Roman"/>
          <w:b w:val="0"/>
          <w:bCs/>
          <w:color w:val="auto"/>
          <w:sz w:val="21"/>
          <w:szCs w:val="21"/>
          <w:highlight w:val="none"/>
        </w:rPr>
      </w:pPr>
    </w:p>
    <w:tbl>
      <w:tblPr>
        <w:tblStyle w:val="3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89"/>
        <w:gridCol w:w="2011"/>
        <w:gridCol w:w="1289"/>
        <w:gridCol w:w="1104"/>
        <w:gridCol w:w="1273"/>
        <w:gridCol w:w="1556"/>
      </w:tblGrid>
      <w:tr w14:paraId="520DC7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2" w:hRule="exac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803331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、机械拆除建筑物</w:t>
            </w:r>
          </w:p>
        </w:tc>
      </w:tr>
      <w:tr w14:paraId="1FD52C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exac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9F7A2E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定额编号：30073*0.2+10205*0.8+10320*0.8</w:t>
            </w:r>
            <w:r>
              <w:rPr>
                <w:rFonts w:hint="eastAsia" w:ascii="Times New Roman" w:hAnsi="Times New Roman" w:eastAsia="宋体" w:cs="Times New Roman"/>
                <w:i w:val="0"/>
                <w:iCs w:val="0"/>
                <w:color w:val="auto"/>
                <w:kern w:val="0"/>
                <w:sz w:val="21"/>
                <w:szCs w:val="21"/>
                <w:u w:val="none"/>
                <w:lang w:val="en-US" w:eastAsia="zh-CN" w:bidi="ar"/>
              </w:rPr>
              <w:t xml:space="preserve">                           </w:t>
            </w:r>
            <w:r>
              <w:rPr>
                <w:rFonts w:hint="default" w:ascii="Times New Roman" w:hAnsi="Times New Roman" w:eastAsia="宋体" w:cs="Times New Roman"/>
                <w:i w:val="0"/>
                <w:iCs w:val="0"/>
                <w:color w:val="auto"/>
                <w:kern w:val="0"/>
                <w:sz w:val="21"/>
                <w:szCs w:val="21"/>
                <w:u w:val="none"/>
                <w:lang w:val="en-US" w:eastAsia="zh-CN" w:bidi="ar"/>
              </w:rPr>
              <w:t>单位：100m</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r>
      <w:tr w14:paraId="635415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exac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4C1D0A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施工方法：挖装、运输、卸除</w:t>
            </w:r>
          </w:p>
        </w:tc>
      </w:tr>
      <w:tr w14:paraId="58886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exact"/>
        </w:trPr>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325B3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序号</w:t>
            </w:r>
          </w:p>
        </w:tc>
        <w:tc>
          <w:tcPr>
            <w:tcW w:w="11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B270D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项目名称</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39BA7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单位</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F4E6E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数量</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34A4A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单价</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A738B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小计（元）</w:t>
            </w:r>
          </w:p>
        </w:tc>
      </w:tr>
      <w:tr w14:paraId="297EA8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exact"/>
        </w:trPr>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AC6AE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一</w:t>
            </w:r>
          </w:p>
        </w:tc>
        <w:tc>
          <w:tcPr>
            <w:tcW w:w="11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4F3F8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直接费</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BBEB1B">
            <w:pPr>
              <w:jc w:val="center"/>
              <w:rPr>
                <w:rFonts w:hint="default" w:ascii="Times New Roman" w:hAnsi="Times New Roman" w:eastAsia="宋体" w:cs="Times New Roman"/>
                <w:i w:val="0"/>
                <w:iCs w:val="0"/>
                <w:color w:val="auto"/>
                <w:sz w:val="21"/>
                <w:szCs w:val="21"/>
                <w:u w:val="none"/>
              </w:rPr>
            </w:pP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94A6E7">
            <w:pPr>
              <w:jc w:val="center"/>
              <w:rPr>
                <w:rFonts w:hint="default" w:ascii="Times New Roman" w:hAnsi="Times New Roman" w:eastAsia="宋体" w:cs="Times New Roman"/>
                <w:i w:val="0"/>
                <w:iCs w:val="0"/>
                <w:color w:val="auto"/>
                <w:sz w:val="21"/>
                <w:szCs w:val="21"/>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AAC6A7">
            <w:pPr>
              <w:jc w:val="center"/>
              <w:rPr>
                <w:rFonts w:hint="default" w:ascii="Times New Roman" w:hAnsi="Times New Roman" w:eastAsia="宋体" w:cs="Times New Roman"/>
                <w:i w:val="0"/>
                <w:iCs w:val="0"/>
                <w:color w:val="auto"/>
                <w:sz w:val="21"/>
                <w:szCs w:val="21"/>
                <w:u w:val="none"/>
              </w:rPr>
            </w:pP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CDAB0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1891.71 </w:t>
            </w:r>
          </w:p>
        </w:tc>
      </w:tr>
      <w:tr w14:paraId="0BF9CC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exact"/>
        </w:trPr>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5D230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（一）</w:t>
            </w:r>
          </w:p>
        </w:tc>
        <w:tc>
          <w:tcPr>
            <w:tcW w:w="11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B0F86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直接工程费</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91ABD0">
            <w:pPr>
              <w:jc w:val="center"/>
              <w:rPr>
                <w:rFonts w:hint="default" w:ascii="Times New Roman" w:hAnsi="Times New Roman" w:eastAsia="宋体" w:cs="Times New Roman"/>
                <w:i w:val="0"/>
                <w:iCs w:val="0"/>
                <w:color w:val="auto"/>
                <w:sz w:val="21"/>
                <w:szCs w:val="21"/>
                <w:u w:val="none"/>
              </w:rPr>
            </w:pP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C1645A">
            <w:pPr>
              <w:jc w:val="center"/>
              <w:rPr>
                <w:rFonts w:hint="default" w:ascii="Times New Roman" w:hAnsi="Times New Roman" w:eastAsia="宋体" w:cs="Times New Roman"/>
                <w:i w:val="0"/>
                <w:iCs w:val="0"/>
                <w:color w:val="auto"/>
                <w:sz w:val="21"/>
                <w:szCs w:val="21"/>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7BA72B">
            <w:pPr>
              <w:jc w:val="center"/>
              <w:rPr>
                <w:rFonts w:hint="default" w:ascii="Times New Roman" w:hAnsi="Times New Roman" w:eastAsia="宋体" w:cs="Times New Roman"/>
                <w:i w:val="0"/>
                <w:iCs w:val="0"/>
                <w:color w:val="auto"/>
                <w:sz w:val="21"/>
                <w:szCs w:val="21"/>
                <w:u w:val="none"/>
              </w:rPr>
            </w:pP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D52B0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1822.45 </w:t>
            </w:r>
          </w:p>
        </w:tc>
      </w:tr>
      <w:tr w14:paraId="0CC6FF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exact"/>
        </w:trPr>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F2DF3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1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8739E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人工费</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3F5FA7">
            <w:pPr>
              <w:jc w:val="center"/>
              <w:rPr>
                <w:rFonts w:hint="default" w:ascii="Times New Roman" w:hAnsi="Times New Roman" w:eastAsia="宋体" w:cs="Times New Roman"/>
                <w:i w:val="0"/>
                <w:iCs w:val="0"/>
                <w:color w:val="auto"/>
                <w:sz w:val="21"/>
                <w:szCs w:val="21"/>
                <w:u w:val="none"/>
              </w:rPr>
            </w:pP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C92843">
            <w:pPr>
              <w:jc w:val="center"/>
              <w:rPr>
                <w:rFonts w:hint="default" w:ascii="Times New Roman" w:hAnsi="Times New Roman" w:eastAsia="宋体" w:cs="Times New Roman"/>
                <w:i w:val="0"/>
                <w:iCs w:val="0"/>
                <w:color w:val="auto"/>
                <w:sz w:val="21"/>
                <w:szCs w:val="21"/>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914ABC">
            <w:pPr>
              <w:jc w:val="center"/>
              <w:rPr>
                <w:rFonts w:hint="default" w:ascii="Times New Roman" w:hAnsi="Times New Roman" w:eastAsia="宋体" w:cs="Times New Roman"/>
                <w:i w:val="0"/>
                <w:iCs w:val="0"/>
                <w:color w:val="auto"/>
                <w:sz w:val="21"/>
                <w:szCs w:val="21"/>
                <w:u w:val="none"/>
              </w:rPr>
            </w:pP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A81CC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1494.73 </w:t>
            </w:r>
          </w:p>
        </w:tc>
      </w:tr>
      <w:tr w14:paraId="578B53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exact"/>
        </w:trPr>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0BD122">
            <w:pPr>
              <w:jc w:val="center"/>
              <w:rPr>
                <w:rFonts w:hint="default" w:ascii="Times New Roman" w:hAnsi="Times New Roman" w:eastAsia="宋体" w:cs="Times New Roman"/>
                <w:i w:val="0"/>
                <w:iCs w:val="0"/>
                <w:color w:val="auto"/>
                <w:sz w:val="21"/>
                <w:szCs w:val="21"/>
                <w:u w:val="none"/>
              </w:rPr>
            </w:pPr>
          </w:p>
        </w:tc>
        <w:tc>
          <w:tcPr>
            <w:tcW w:w="11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74BF1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甲类工</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52760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工日</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53495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1.86</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78CC5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51.04 </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8D70F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94.93 </w:t>
            </w:r>
          </w:p>
        </w:tc>
      </w:tr>
      <w:tr w14:paraId="37A5EA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exact"/>
        </w:trPr>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1B2F96">
            <w:pPr>
              <w:jc w:val="center"/>
              <w:rPr>
                <w:rFonts w:hint="default" w:ascii="Times New Roman" w:hAnsi="Times New Roman" w:eastAsia="宋体" w:cs="Times New Roman"/>
                <w:i w:val="0"/>
                <w:iCs w:val="0"/>
                <w:color w:val="auto"/>
                <w:sz w:val="21"/>
                <w:szCs w:val="21"/>
                <w:u w:val="none"/>
              </w:rPr>
            </w:pPr>
          </w:p>
        </w:tc>
        <w:tc>
          <w:tcPr>
            <w:tcW w:w="11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C5BE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乙类工</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70475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工日</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03644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36.04</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A6684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38.84 </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DE975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1399.79 </w:t>
            </w:r>
          </w:p>
        </w:tc>
      </w:tr>
      <w:tr w14:paraId="765EC1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exact"/>
        </w:trPr>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22F332">
            <w:pPr>
              <w:jc w:val="center"/>
              <w:rPr>
                <w:rFonts w:hint="default" w:ascii="Times New Roman" w:hAnsi="Times New Roman" w:eastAsia="宋体" w:cs="Times New Roman"/>
                <w:i w:val="0"/>
                <w:iCs w:val="0"/>
                <w:color w:val="auto"/>
                <w:sz w:val="21"/>
                <w:szCs w:val="21"/>
                <w:u w:val="none"/>
              </w:rPr>
            </w:pPr>
          </w:p>
        </w:tc>
        <w:tc>
          <w:tcPr>
            <w:tcW w:w="11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15C27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其他费用</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B547E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A1652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337E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1494.73 </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5BA95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239.16 </w:t>
            </w:r>
          </w:p>
        </w:tc>
      </w:tr>
      <w:tr w14:paraId="692D49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exact"/>
        </w:trPr>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DF66C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11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047A9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材料费</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97988F">
            <w:pPr>
              <w:jc w:val="center"/>
              <w:rPr>
                <w:rFonts w:hint="default" w:ascii="Times New Roman" w:hAnsi="Times New Roman" w:eastAsia="宋体" w:cs="Times New Roman"/>
                <w:i w:val="0"/>
                <w:iCs w:val="0"/>
                <w:color w:val="auto"/>
                <w:sz w:val="21"/>
                <w:szCs w:val="21"/>
                <w:u w:val="none"/>
              </w:rPr>
            </w:pP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4D98B">
            <w:pPr>
              <w:jc w:val="center"/>
              <w:rPr>
                <w:rFonts w:hint="default" w:ascii="Times New Roman" w:hAnsi="Times New Roman" w:eastAsia="宋体" w:cs="Times New Roman"/>
                <w:i w:val="0"/>
                <w:iCs w:val="0"/>
                <w:color w:val="auto"/>
                <w:sz w:val="21"/>
                <w:szCs w:val="21"/>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352F82">
            <w:pPr>
              <w:jc w:val="center"/>
              <w:rPr>
                <w:rFonts w:hint="default" w:ascii="Times New Roman" w:hAnsi="Times New Roman" w:eastAsia="宋体" w:cs="Times New Roman"/>
                <w:i w:val="0"/>
                <w:iCs w:val="0"/>
                <w:color w:val="auto"/>
                <w:sz w:val="21"/>
                <w:szCs w:val="21"/>
                <w:u w:val="none"/>
              </w:rPr>
            </w:pP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117EB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0.00 </w:t>
            </w:r>
          </w:p>
        </w:tc>
      </w:tr>
      <w:tr w14:paraId="29EB5D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exact"/>
        </w:trPr>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BE16F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11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D327A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机械费</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73BC0A">
            <w:pPr>
              <w:jc w:val="center"/>
              <w:rPr>
                <w:rFonts w:hint="default" w:ascii="Times New Roman" w:hAnsi="Times New Roman" w:eastAsia="宋体" w:cs="Times New Roman"/>
                <w:i w:val="0"/>
                <w:iCs w:val="0"/>
                <w:color w:val="auto"/>
                <w:sz w:val="21"/>
                <w:szCs w:val="21"/>
                <w:u w:val="none"/>
              </w:rPr>
            </w:pP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5658B">
            <w:pPr>
              <w:jc w:val="center"/>
              <w:rPr>
                <w:rFonts w:hint="default" w:ascii="Times New Roman" w:hAnsi="Times New Roman" w:eastAsia="宋体" w:cs="Times New Roman"/>
                <w:i w:val="0"/>
                <w:iCs w:val="0"/>
                <w:color w:val="auto"/>
                <w:sz w:val="21"/>
                <w:szCs w:val="21"/>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F7A4C6">
            <w:pPr>
              <w:jc w:val="center"/>
              <w:rPr>
                <w:rFonts w:hint="default" w:ascii="Times New Roman" w:hAnsi="Times New Roman" w:eastAsia="宋体" w:cs="Times New Roman"/>
                <w:i w:val="0"/>
                <w:iCs w:val="0"/>
                <w:color w:val="auto"/>
                <w:sz w:val="21"/>
                <w:szCs w:val="21"/>
                <w:u w:val="none"/>
              </w:rPr>
            </w:pP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4048F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327.73 </w:t>
            </w:r>
          </w:p>
        </w:tc>
      </w:tr>
      <w:tr w14:paraId="111387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exact"/>
        </w:trPr>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1A91D5">
            <w:pPr>
              <w:jc w:val="center"/>
              <w:rPr>
                <w:rFonts w:hint="default" w:ascii="Times New Roman" w:hAnsi="Times New Roman" w:eastAsia="宋体" w:cs="Times New Roman"/>
                <w:i w:val="0"/>
                <w:iCs w:val="0"/>
                <w:color w:val="auto"/>
                <w:sz w:val="21"/>
                <w:szCs w:val="21"/>
                <w:u w:val="none"/>
              </w:rPr>
            </w:pPr>
          </w:p>
        </w:tc>
        <w:tc>
          <w:tcPr>
            <w:tcW w:w="11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F2497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挖掘机电动2m</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4AA4C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台班</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C2797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0.13</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937CC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1016.03 </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06535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132.08 </w:t>
            </w:r>
          </w:p>
        </w:tc>
      </w:tr>
      <w:tr w14:paraId="0EFE6E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exact"/>
        </w:trPr>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B68EF4">
            <w:pPr>
              <w:jc w:val="center"/>
              <w:rPr>
                <w:rFonts w:hint="default" w:ascii="Times New Roman" w:hAnsi="Times New Roman" w:eastAsia="宋体" w:cs="Times New Roman"/>
                <w:i w:val="0"/>
                <w:iCs w:val="0"/>
                <w:color w:val="auto"/>
                <w:sz w:val="21"/>
                <w:szCs w:val="21"/>
                <w:u w:val="none"/>
              </w:rPr>
            </w:pPr>
          </w:p>
        </w:tc>
        <w:tc>
          <w:tcPr>
            <w:tcW w:w="11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A8362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推土机74</w:t>
            </w:r>
            <w:r>
              <w:rPr>
                <w:rFonts w:hint="eastAsia" w:ascii="Times New Roman" w:hAnsi="Times New Roman" w:eastAsia="宋体" w:cs="Times New Roman"/>
                <w:i w:val="0"/>
                <w:iCs w:val="0"/>
                <w:color w:val="auto"/>
                <w:kern w:val="0"/>
                <w:sz w:val="21"/>
                <w:szCs w:val="21"/>
                <w:u w:val="none"/>
                <w:lang w:val="en-US" w:eastAsia="zh-CN" w:bidi="ar"/>
              </w:rPr>
              <w:t>kW</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11680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台班</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AB7E1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0.28</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C7F32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537.28 </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3838B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150.44 </w:t>
            </w:r>
          </w:p>
        </w:tc>
      </w:tr>
      <w:tr w14:paraId="66D005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exact"/>
        </w:trPr>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E811A0">
            <w:pPr>
              <w:jc w:val="center"/>
              <w:rPr>
                <w:rFonts w:hint="default" w:ascii="Times New Roman" w:hAnsi="Times New Roman" w:eastAsia="宋体" w:cs="Times New Roman"/>
                <w:i w:val="0"/>
                <w:iCs w:val="0"/>
                <w:color w:val="auto"/>
                <w:sz w:val="21"/>
                <w:szCs w:val="21"/>
                <w:u w:val="none"/>
              </w:rPr>
            </w:pPr>
          </w:p>
        </w:tc>
        <w:tc>
          <w:tcPr>
            <w:tcW w:w="11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FD914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其他费用</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D7C04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C9AEA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DC6C9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282.52 </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A6069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45.20 </w:t>
            </w:r>
          </w:p>
        </w:tc>
      </w:tr>
      <w:tr w14:paraId="20A3C7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exact"/>
        </w:trPr>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E3CC6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（二）</w:t>
            </w:r>
          </w:p>
        </w:tc>
        <w:tc>
          <w:tcPr>
            <w:tcW w:w="11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BA4EC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措施费</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03C24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B3C1B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3.8</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0E6FC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1822.45 </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BABE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69.25 </w:t>
            </w:r>
          </w:p>
        </w:tc>
      </w:tr>
      <w:tr w14:paraId="5B612E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exact"/>
        </w:trPr>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B30D1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二</w:t>
            </w:r>
          </w:p>
        </w:tc>
        <w:tc>
          <w:tcPr>
            <w:tcW w:w="11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5B6DE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间接费</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45D03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2E04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7.2</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6DD0C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1891.71 </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6316F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136.20 </w:t>
            </w:r>
          </w:p>
        </w:tc>
      </w:tr>
      <w:tr w14:paraId="7A209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exact"/>
        </w:trPr>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A534E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三</w:t>
            </w:r>
          </w:p>
        </w:tc>
        <w:tc>
          <w:tcPr>
            <w:tcW w:w="11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E7FA2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利润</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BF501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2BD6D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4A668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2027.91 </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94C10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60.84 </w:t>
            </w:r>
          </w:p>
        </w:tc>
      </w:tr>
      <w:tr w14:paraId="0C86E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exact"/>
        </w:trPr>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8EAC1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四</w:t>
            </w:r>
          </w:p>
        </w:tc>
        <w:tc>
          <w:tcPr>
            <w:tcW w:w="11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FEDA8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材料价差</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FCA4E">
            <w:pPr>
              <w:jc w:val="center"/>
              <w:rPr>
                <w:rFonts w:hint="default" w:ascii="Times New Roman" w:hAnsi="Times New Roman" w:eastAsia="宋体" w:cs="Times New Roman"/>
                <w:i w:val="0"/>
                <w:iCs w:val="0"/>
                <w:color w:val="auto"/>
                <w:sz w:val="21"/>
                <w:szCs w:val="21"/>
                <w:u w:val="none"/>
              </w:rPr>
            </w:pP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E2C9D1">
            <w:pPr>
              <w:jc w:val="center"/>
              <w:rPr>
                <w:rFonts w:hint="default" w:ascii="Times New Roman" w:hAnsi="Times New Roman" w:eastAsia="宋体" w:cs="Times New Roman"/>
                <w:i w:val="0"/>
                <w:iCs w:val="0"/>
                <w:color w:val="auto"/>
                <w:sz w:val="21"/>
                <w:szCs w:val="21"/>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1ED4A7">
            <w:pPr>
              <w:jc w:val="center"/>
              <w:rPr>
                <w:rFonts w:hint="default" w:ascii="Times New Roman" w:hAnsi="Times New Roman" w:eastAsia="宋体" w:cs="Times New Roman"/>
                <w:i w:val="0"/>
                <w:iCs w:val="0"/>
                <w:color w:val="auto"/>
                <w:sz w:val="21"/>
                <w:szCs w:val="21"/>
                <w:u w:val="none"/>
              </w:rPr>
            </w:pP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742ED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47.12 </w:t>
            </w:r>
          </w:p>
        </w:tc>
      </w:tr>
      <w:tr w14:paraId="6C5311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exact"/>
        </w:trPr>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F47C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1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2C061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柴油</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43745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kg</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2262D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15.4</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F7C01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3.06 </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1208F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47.12 </w:t>
            </w:r>
          </w:p>
        </w:tc>
      </w:tr>
      <w:tr w14:paraId="77D708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exact"/>
        </w:trPr>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DD044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五</w:t>
            </w:r>
          </w:p>
        </w:tc>
        <w:tc>
          <w:tcPr>
            <w:tcW w:w="11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977EE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税金</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77C82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A41C8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5B7AD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2135.87 </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FD2E8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192.23 </w:t>
            </w:r>
          </w:p>
        </w:tc>
      </w:tr>
      <w:tr w14:paraId="401DE0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exact"/>
        </w:trPr>
        <w:tc>
          <w:tcPr>
            <w:tcW w:w="193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3C3BE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合计</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E82511">
            <w:pPr>
              <w:jc w:val="center"/>
              <w:rPr>
                <w:rFonts w:hint="default" w:ascii="Times New Roman" w:hAnsi="Times New Roman" w:eastAsia="宋体" w:cs="Times New Roman"/>
                <w:i w:val="0"/>
                <w:iCs w:val="0"/>
                <w:color w:val="auto"/>
                <w:sz w:val="21"/>
                <w:szCs w:val="21"/>
                <w:u w:val="none"/>
              </w:rPr>
            </w:pP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13F845">
            <w:pPr>
              <w:jc w:val="center"/>
              <w:rPr>
                <w:rFonts w:hint="default" w:ascii="Times New Roman" w:hAnsi="Times New Roman" w:eastAsia="宋体" w:cs="Times New Roman"/>
                <w:i w:val="0"/>
                <w:iCs w:val="0"/>
                <w:color w:val="auto"/>
                <w:sz w:val="21"/>
                <w:szCs w:val="21"/>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883C6B">
            <w:pPr>
              <w:jc w:val="center"/>
              <w:rPr>
                <w:rFonts w:hint="default" w:ascii="Times New Roman" w:hAnsi="Times New Roman" w:eastAsia="宋体" w:cs="Times New Roman"/>
                <w:i w:val="0"/>
                <w:iCs w:val="0"/>
                <w:color w:val="auto"/>
                <w:sz w:val="21"/>
                <w:szCs w:val="21"/>
                <w:u w:val="none"/>
              </w:rPr>
            </w:pP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D8F88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2328.10 </w:t>
            </w:r>
          </w:p>
        </w:tc>
      </w:tr>
    </w:tbl>
    <w:p w14:paraId="545956D3">
      <w:pPr>
        <w:keepNext w:val="0"/>
        <w:keepLines w:val="0"/>
        <w:pageBreakBefore w:val="0"/>
        <w:widowControl/>
        <w:kinsoku/>
        <w:wordWrap/>
        <w:overflowPunct/>
        <w:topLinePunct w:val="0"/>
        <w:autoSpaceDE/>
        <w:autoSpaceDN/>
        <w:bidi w:val="0"/>
        <w:adjustRightInd/>
        <w:snapToGrid/>
        <w:spacing w:line="0" w:lineRule="atLeast"/>
        <w:rPr>
          <w:rFonts w:hint="default" w:ascii="Times New Roman" w:hAnsi="Times New Roman" w:eastAsia="宋体" w:cs="Times New Roman"/>
          <w:b/>
          <w:bCs/>
          <w:color w:val="auto"/>
          <w:sz w:val="21"/>
          <w:szCs w:val="21"/>
          <w:highlight w:val="none"/>
        </w:rPr>
      </w:pPr>
    </w:p>
    <w:tbl>
      <w:tblPr>
        <w:tblStyle w:val="3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83"/>
        <w:gridCol w:w="2306"/>
        <w:gridCol w:w="893"/>
        <w:gridCol w:w="1113"/>
        <w:gridCol w:w="1256"/>
        <w:gridCol w:w="1771"/>
      </w:tblGrid>
      <w:tr w14:paraId="1DFD8D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exact"/>
        </w:trPr>
        <w:tc>
          <w:tcPr>
            <w:tcW w:w="5000" w:type="pct"/>
            <w:gridSpan w:val="6"/>
            <w:tcBorders>
              <w:top w:val="single" w:color="000000" w:sz="4" w:space="0"/>
              <w:left w:val="single" w:color="000000" w:sz="4" w:space="0"/>
              <w:bottom w:val="single" w:color="000000" w:sz="4" w:space="0"/>
              <w:right w:val="single" w:color="000000" w:sz="4" w:space="0"/>
            </w:tcBorders>
            <w:noWrap/>
            <w:vAlign w:val="center"/>
          </w:tcPr>
          <w:p w14:paraId="11C7BB7B">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4</w:t>
            </w:r>
            <w:r>
              <w:rPr>
                <w:rFonts w:hint="default" w:ascii="Times New Roman" w:hAnsi="Times New Roman" w:eastAsia="宋体" w:cs="Times New Roman"/>
                <w:i w:val="0"/>
                <w:iCs w:val="0"/>
                <w:color w:val="auto"/>
                <w:kern w:val="0"/>
                <w:sz w:val="21"/>
                <w:szCs w:val="21"/>
                <w:highlight w:val="none"/>
                <w:u w:val="none"/>
                <w:lang w:val="en-US" w:eastAsia="zh-CN" w:bidi="ar"/>
              </w:rPr>
              <w:t>、运输建筑垃圾、硬覆盖</w:t>
            </w:r>
          </w:p>
        </w:tc>
      </w:tr>
      <w:tr w14:paraId="561CB0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exact"/>
        </w:trPr>
        <w:tc>
          <w:tcPr>
            <w:tcW w:w="5000" w:type="pct"/>
            <w:gridSpan w:val="6"/>
            <w:tcBorders>
              <w:top w:val="single" w:color="000000" w:sz="4" w:space="0"/>
              <w:left w:val="single" w:color="000000" w:sz="4" w:space="0"/>
              <w:bottom w:val="single" w:color="000000" w:sz="4" w:space="0"/>
              <w:right w:val="single" w:color="000000" w:sz="4" w:space="0"/>
            </w:tcBorders>
            <w:noWrap/>
            <w:vAlign w:val="center"/>
          </w:tcPr>
          <w:p w14:paraId="2E5D61D9">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定额编号： 20</w:t>
            </w:r>
            <w:r>
              <w:rPr>
                <w:rFonts w:hint="default" w:ascii="Times New Roman" w:hAnsi="Times New Roman" w:cs="Times New Roman"/>
                <w:i w:val="0"/>
                <w:iCs w:val="0"/>
                <w:color w:val="auto"/>
                <w:kern w:val="0"/>
                <w:sz w:val="21"/>
                <w:szCs w:val="21"/>
                <w:highlight w:val="none"/>
                <w:u w:val="none"/>
                <w:lang w:val="en-US" w:eastAsia="zh-CN" w:bidi="ar"/>
              </w:rPr>
              <w:t>306</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r>
              <w:rPr>
                <w:rFonts w:hint="eastAsia" w:cs="Times New Roman"/>
                <w:i w:val="0"/>
                <w:iCs w:val="0"/>
                <w:color w:val="auto"/>
                <w:kern w:val="0"/>
                <w:sz w:val="21"/>
                <w:szCs w:val="21"/>
                <w:highlight w:val="none"/>
                <w:u w:val="none"/>
                <w:lang w:val="en-US" w:eastAsia="zh-CN" w:bidi="ar"/>
              </w:rPr>
              <w:t xml:space="preserve">           </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定额单位：100</w:t>
            </w:r>
            <w:r>
              <w:rPr>
                <w:rFonts w:hint="default" w:ascii="Times New Roman" w:hAnsi="Times New Roman" w:cs="Times New Roman"/>
                <w:i w:val="0"/>
                <w:iCs w:val="0"/>
                <w:color w:val="auto"/>
                <w:kern w:val="0"/>
                <w:sz w:val="21"/>
                <w:szCs w:val="21"/>
                <w:highlight w:val="none"/>
                <w:u w:val="none"/>
                <w:lang w:val="en-US" w:eastAsia="zh-CN" w:bidi="ar"/>
              </w:rPr>
              <w:t>m</w:t>
            </w:r>
            <w:r>
              <w:rPr>
                <w:rFonts w:hint="default" w:ascii="Times New Roman" w:hAnsi="Times New Roman" w:cs="Times New Roman"/>
                <w:i w:val="0"/>
                <w:iCs w:val="0"/>
                <w:color w:val="auto"/>
                <w:kern w:val="0"/>
                <w:sz w:val="21"/>
                <w:szCs w:val="21"/>
                <w:highlight w:val="none"/>
                <w:u w:val="none"/>
                <w:vertAlign w:val="superscript"/>
                <w:lang w:val="en-US" w:eastAsia="zh-CN" w:bidi="ar"/>
              </w:rPr>
              <w:t>3</w:t>
            </w:r>
          </w:p>
        </w:tc>
      </w:tr>
      <w:tr w14:paraId="219D4A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exact"/>
        </w:trPr>
        <w:tc>
          <w:tcPr>
            <w:tcW w:w="5000" w:type="pct"/>
            <w:gridSpan w:val="6"/>
            <w:tcBorders>
              <w:top w:val="single" w:color="000000" w:sz="4" w:space="0"/>
              <w:left w:val="single" w:color="000000" w:sz="4" w:space="0"/>
              <w:bottom w:val="single" w:color="000000" w:sz="4" w:space="0"/>
              <w:right w:val="single" w:color="000000" w:sz="4" w:space="0"/>
            </w:tcBorders>
            <w:noWrap/>
            <w:vAlign w:val="center"/>
          </w:tcPr>
          <w:p w14:paraId="6B6BC026">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施工方法：装、运、卸、空回。运距</w:t>
            </w:r>
            <w:r>
              <w:rPr>
                <w:rFonts w:hint="default" w:ascii="Times New Roman" w:hAnsi="Times New Roman" w:cs="Times New Roman"/>
                <w:i w:val="0"/>
                <w:iCs w:val="0"/>
                <w:color w:val="auto"/>
                <w:kern w:val="0"/>
                <w:sz w:val="21"/>
                <w:szCs w:val="21"/>
                <w:highlight w:val="none"/>
                <w:u w:val="none"/>
                <w:lang w:val="en-US" w:eastAsia="zh-CN" w:bidi="ar"/>
              </w:rPr>
              <w:t>0-0.5k</w:t>
            </w:r>
            <w:r>
              <w:rPr>
                <w:rFonts w:hint="default" w:ascii="Times New Roman" w:hAnsi="Times New Roman" w:eastAsia="宋体" w:cs="Times New Roman"/>
                <w:i w:val="0"/>
                <w:iCs w:val="0"/>
                <w:color w:val="auto"/>
                <w:kern w:val="0"/>
                <w:sz w:val="21"/>
                <w:szCs w:val="21"/>
                <w:highlight w:val="none"/>
                <w:u w:val="none"/>
                <w:lang w:val="en-US" w:eastAsia="zh-CN" w:bidi="ar"/>
              </w:rPr>
              <w:t>m。</w:t>
            </w:r>
          </w:p>
        </w:tc>
      </w:tr>
      <w:tr w14:paraId="4B7136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exact"/>
        </w:trPr>
        <w:tc>
          <w:tcPr>
            <w:tcW w:w="1183" w:type="dxa"/>
            <w:tcBorders>
              <w:top w:val="single" w:color="000000" w:sz="4" w:space="0"/>
              <w:left w:val="single" w:color="000000" w:sz="4" w:space="0"/>
              <w:bottom w:val="single" w:color="000000" w:sz="4" w:space="0"/>
              <w:right w:val="single" w:color="000000" w:sz="4" w:space="0"/>
            </w:tcBorders>
            <w:noWrap/>
            <w:vAlign w:val="bottom"/>
          </w:tcPr>
          <w:p w14:paraId="2CF3CE1F">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序号</w:t>
            </w:r>
          </w:p>
        </w:tc>
        <w:tc>
          <w:tcPr>
            <w:tcW w:w="2306" w:type="dxa"/>
            <w:tcBorders>
              <w:top w:val="single" w:color="000000" w:sz="4" w:space="0"/>
              <w:left w:val="single" w:color="000000" w:sz="4" w:space="0"/>
              <w:bottom w:val="single" w:color="000000" w:sz="4" w:space="0"/>
              <w:right w:val="single" w:color="000000" w:sz="4" w:space="0"/>
            </w:tcBorders>
            <w:noWrap/>
            <w:vAlign w:val="bottom"/>
          </w:tcPr>
          <w:p w14:paraId="0EDA76F4">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项目名称</w:t>
            </w:r>
          </w:p>
        </w:tc>
        <w:tc>
          <w:tcPr>
            <w:tcW w:w="893" w:type="dxa"/>
            <w:tcBorders>
              <w:top w:val="single" w:color="000000" w:sz="4" w:space="0"/>
              <w:left w:val="single" w:color="000000" w:sz="4" w:space="0"/>
              <w:bottom w:val="single" w:color="000000" w:sz="4" w:space="0"/>
              <w:right w:val="single" w:color="000000" w:sz="4" w:space="0"/>
            </w:tcBorders>
            <w:noWrap/>
            <w:vAlign w:val="bottom"/>
          </w:tcPr>
          <w:p w14:paraId="467DCE95">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单位</w:t>
            </w:r>
          </w:p>
        </w:tc>
        <w:tc>
          <w:tcPr>
            <w:tcW w:w="1113" w:type="dxa"/>
            <w:tcBorders>
              <w:top w:val="single" w:color="000000" w:sz="4" w:space="0"/>
              <w:left w:val="single" w:color="000000" w:sz="4" w:space="0"/>
              <w:bottom w:val="single" w:color="000000" w:sz="4" w:space="0"/>
              <w:right w:val="single" w:color="000000" w:sz="4" w:space="0"/>
            </w:tcBorders>
            <w:noWrap/>
            <w:vAlign w:val="bottom"/>
          </w:tcPr>
          <w:p w14:paraId="6C34B354">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数量</w:t>
            </w:r>
          </w:p>
        </w:tc>
        <w:tc>
          <w:tcPr>
            <w:tcW w:w="1256" w:type="dxa"/>
            <w:tcBorders>
              <w:top w:val="single" w:color="000000" w:sz="4" w:space="0"/>
              <w:left w:val="single" w:color="000000" w:sz="4" w:space="0"/>
              <w:bottom w:val="single" w:color="000000" w:sz="4" w:space="0"/>
              <w:right w:val="single" w:color="000000" w:sz="4" w:space="0"/>
            </w:tcBorders>
            <w:noWrap/>
            <w:vAlign w:val="bottom"/>
          </w:tcPr>
          <w:p w14:paraId="225BDDFC">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单价</w:t>
            </w:r>
          </w:p>
        </w:tc>
        <w:tc>
          <w:tcPr>
            <w:tcW w:w="1771" w:type="dxa"/>
            <w:tcBorders>
              <w:top w:val="single" w:color="000000" w:sz="4" w:space="0"/>
              <w:left w:val="single" w:color="000000" w:sz="4" w:space="0"/>
              <w:bottom w:val="single" w:color="000000" w:sz="4" w:space="0"/>
              <w:right w:val="single" w:color="000000" w:sz="4" w:space="0"/>
            </w:tcBorders>
            <w:noWrap/>
            <w:vAlign w:val="bottom"/>
          </w:tcPr>
          <w:p w14:paraId="540B10BE">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小计（元）</w:t>
            </w:r>
          </w:p>
        </w:tc>
      </w:tr>
      <w:tr w14:paraId="147B2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exact"/>
        </w:trPr>
        <w:tc>
          <w:tcPr>
            <w:tcW w:w="1183" w:type="dxa"/>
            <w:tcBorders>
              <w:top w:val="single" w:color="000000" w:sz="4" w:space="0"/>
              <w:left w:val="single" w:color="000000" w:sz="4" w:space="0"/>
              <w:bottom w:val="single" w:color="000000" w:sz="4" w:space="0"/>
              <w:right w:val="single" w:color="000000" w:sz="4" w:space="0"/>
            </w:tcBorders>
            <w:noWrap/>
            <w:vAlign w:val="bottom"/>
          </w:tcPr>
          <w:p w14:paraId="744FD3FC">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w:t>
            </w:r>
          </w:p>
        </w:tc>
        <w:tc>
          <w:tcPr>
            <w:tcW w:w="2306" w:type="dxa"/>
            <w:tcBorders>
              <w:top w:val="single" w:color="000000" w:sz="4" w:space="0"/>
              <w:left w:val="single" w:color="000000" w:sz="4" w:space="0"/>
              <w:bottom w:val="single" w:color="000000" w:sz="4" w:space="0"/>
              <w:right w:val="single" w:color="000000" w:sz="4" w:space="0"/>
            </w:tcBorders>
            <w:noWrap/>
            <w:vAlign w:val="bottom"/>
          </w:tcPr>
          <w:p w14:paraId="7883FCC9">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直接费</w:t>
            </w:r>
          </w:p>
        </w:tc>
        <w:tc>
          <w:tcPr>
            <w:tcW w:w="893" w:type="dxa"/>
            <w:tcBorders>
              <w:top w:val="single" w:color="000000" w:sz="4" w:space="0"/>
              <w:left w:val="single" w:color="000000" w:sz="4" w:space="0"/>
              <w:bottom w:val="single" w:color="000000" w:sz="4" w:space="0"/>
              <w:right w:val="single" w:color="000000" w:sz="4" w:space="0"/>
            </w:tcBorders>
            <w:noWrap/>
            <w:vAlign w:val="bottom"/>
          </w:tcPr>
          <w:p w14:paraId="3496B340">
            <w:pPr>
              <w:jc w:val="center"/>
              <w:rPr>
                <w:rFonts w:hint="default" w:ascii="Times New Roman" w:hAnsi="Times New Roman" w:eastAsia="宋体" w:cs="Times New Roman"/>
                <w:i w:val="0"/>
                <w:iCs w:val="0"/>
                <w:color w:val="auto"/>
                <w:sz w:val="21"/>
                <w:szCs w:val="21"/>
                <w:highlight w:val="none"/>
                <w:u w:val="none"/>
              </w:rPr>
            </w:pPr>
          </w:p>
        </w:tc>
        <w:tc>
          <w:tcPr>
            <w:tcW w:w="1113" w:type="dxa"/>
            <w:tcBorders>
              <w:top w:val="single" w:color="000000" w:sz="4" w:space="0"/>
              <w:left w:val="single" w:color="000000" w:sz="4" w:space="0"/>
              <w:bottom w:val="single" w:color="000000" w:sz="4" w:space="0"/>
              <w:right w:val="single" w:color="000000" w:sz="4" w:space="0"/>
            </w:tcBorders>
            <w:noWrap/>
            <w:vAlign w:val="bottom"/>
          </w:tcPr>
          <w:p w14:paraId="2A8FF708">
            <w:pPr>
              <w:jc w:val="center"/>
              <w:rPr>
                <w:rFonts w:hint="default" w:ascii="Times New Roman" w:hAnsi="Times New Roman" w:eastAsia="宋体" w:cs="Times New Roman"/>
                <w:i w:val="0"/>
                <w:iCs w:val="0"/>
                <w:color w:val="auto"/>
                <w:sz w:val="21"/>
                <w:szCs w:val="21"/>
                <w:highlight w:val="none"/>
                <w:u w:val="none"/>
              </w:rPr>
            </w:pPr>
          </w:p>
        </w:tc>
        <w:tc>
          <w:tcPr>
            <w:tcW w:w="1256" w:type="dxa"/>
            <w:tcBorders>
              <w:top w:val="single" w:color="000000" w:sz="4" w:space="0"/>
              <w:left w:val="single" w:color="000000" w:sz="4" w:space="0"/>
              <w:bottom w:val="single" w:color="000000" w:sz="4" w:space="0"/>
              <w:right w:val="single" w:color="000000" w:sz="4" w:space="0"/>
            </w:tcBorders>
            <w:noWrap/>
            <w:vAlign w:val="bottom"/>
          </w:tcPr>
          <w:p w14:paraId="60A5F6A8">
            <w:pPr>
              <w:jc w:val="center"/>
              <w:rPr>
                <w:rFonts w:hint="default" w:ascii="Times New Roman" w:hAnsi="Times New Roman" w:eastAsia="宋体" w:cs="Times New Roman"/>
                <w:i w:val="0"/>
                <w:iCs w:val="0"/>
                <w:color w:val="auto"/>
                <w:sz w:val="21"/>
                <w:szCs w:val="21"/>
                <w:highlight w:val="none"/>
                <w:u w:val="none"/>
              </w:rPr>
            </w:pPr>
          </w:p>
        </w:tc>
        <w:tc>
          <w:tcPr>
            <w:tcW w:w="1771" w:type="dxa"/>
            <w:tcBorders>
              <w:top w:val="single" w:color="000000" w:sz="4" w:space="0"/>
              <w:left w:val="single" w:color="000000" w:sz="4" w:space="0"/>
              <w:bottom w:val="single" w:color="000000" w:sz="4" w:space="0"/>
              <w:right w:val="single" w:color="000000" w:sz="4" w:space="0"/>
            </w:tcBorders>
            <w:noWrap/>
            <w:vAlign w:val="bottom"/>
          </w:tcPr>
          <w:p w14:paraId="58194157">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1148.85 </w:t>
            </w:r>
          </w:p>
        </w:tc>
      </w:tr>
      <w:tr w14:paraId="16D99F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exact"/>
        </w:trPr>
        <w:tc>
          <w:tcPr>
            <w:tcW w:w="1183" w:type="dxa"/>
            <w:tcBorders>
              <w:top w:val="single" w:color="000000" w:sz="4" w:space="0"/>
              <w:left w:val="single" w:color="000000" w:sz="4" w:space="0"/>
              <w:bottom w:val="single" w:color="000000" w:sz="4" w:space="0"/>
              <w:right w:val="single" w:color="000000" w:sz="4" w:space="0"/>
            </w:tcBorders>
            <w:noWrap/>
            <w:vAlign w:val="bottom"/>
          </w:tcPr>
          <w:p w14:paraId="345B2EA8">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w:t>
            </w:r>
          </w:p>
        </w:tc>
        <w:tc>
          <w:tcPr>
            <w:tcW w:w="2306" w:type="dxa"/>
            <w:tcBorders>
              <w:top w:val="single" w:color="000000" w:sz="4" w:space="0"/>
              <w:left w:val="single" w:color="000000" w:sz="4" w:space="0"/>
              <w:bottom w:val="single" w:color="000000" w:sz="4" w:space="0"/>
              <w:right w:val="single" w:color="000000" w:sz="4" w:space="0"/>
            </w:tcBorders>
            <w:noWrap/>
            <w:vAlign w:val="bottom"/>
          </w:tcPr>
          <w:p w14:paraId="481F198B">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直接工程费</w:t>
            </w:r>
          </w:p>
        </w:tc>
        <w:tc>
          <w:tcPr>
            <w:tcW w:w="893" w:type="dxa"/>
            <w:tcBorders>
              <w:top w:val="single" w:color="000000" w:sz="4" w:space="0"/>
              <w:left w:val="single" w:color="000000" w:sz="4" w:space="0"/>
              <w:bottom w:val="single" w:color="000000" w:sz="4" w:space="0"/>
              <w:right w:val="single" w:color="000000" w:sz="4" w:space="0"/>
            </w:tcBorders>
            <w:noWrap/>
            <w:vAlign w:val="bottom"/>
          </w:tcPr>
          <w:p w14:paraId="6FD8B11C">
            <w:pPr>
              <w:jc w:val="center"/>
              <w:rPr>
                <w:rFonts w:hint="default" w:ascii="Times New Roman" w:hAnsi="Times New Roman" w:eastAsia="宋体" w:cs="Times New Roman"/>
                <w:i w:val="0"/>
                <w:iCs w:val="0"/>
                <w:color w:val="auto"/>
                <w:sz w:val="21"/>
                <w:szCs w:val="21"/>
                <w:highlight w:val="none"/>
                <w:u w:val="none"/>
              </w:rPr>
            </w:pPr>
          </w:p>
        </w:tc>
        <w:tc>
          <w:tcPr>
            <w:tcW w:w="1113" w:type="dxa"/>
            <w:tcBorders>
              <w:top w:val="single" w:color="000000" w:sz="4" w:space="0"/>
              <w:left w:val="single" w:color="000000" w:sz="4" w:space="0"/>
              <w:bottom w:val="single" w:color="000000" w:sz="4" w:space="0"/>
              <w:right w:val="single" w:color="000000" w:sz="4" w:space="0"/>
            </w:tcBorders>
            <w:noWrap/>
            <w:vAlign w:val="bottom"/>
          </w:tcPr>
          <w:p w14:paraId="71A5A141">
            <w:pPr>
              <w:jc w:val="center"/>
              <w:rPr>
                <w:rFonts w:hint="default" w:ascii="Times New Roman" w:hAnsi="Times New Roman" w:eastAsia="宋体" w:cs="Times New Roman"/>
                <w:i w:val="0"/>
                <w:iCs w:val="0"/>
                <w:color w:val="auto"/>
                <w:sz w:val="21"/>
                <w:szCs w:val="21"/>
                <w:highlight w:val="none"/>
                <w:u w:val="none"/>
              </w:rPr>
            </w:pPr>
          </w:p>
        </w:tc>
        <w:tc>
          <w:tcPr>
            <w:tcW w:w="1256" w:type="dxa"/>
            <w:tcBorders>
              <w:top w:val="single" w:color="000000" w:sz="4" w:space="0"/>
              <w:left w:val="single" w:color="000000" w:sz="4" w:space="0"/>
              <w:bottom w:val="single" w:color="000000" w:sz="4" w:space="0"/>
              <w:right w:val="single" w:color="000000" w:sz="4" w:space="0"/>
            </w:tcBorders>
            <w:noWrap/>
            <w:vAlign w:val="bottom"/>
          </w:tcPr>
          <w:p w14:paraId="1DB589AA">
            <w:pPr>
              <w:jc w:val="center"/>
              <w:rPr>
                <w:rFonts w:hint="default" w:ascii="Times New Roman" w:hAnsi="Times New Roman" w:eastAsia="宋体" w:cs="Times New Roman"/>
                <w:i w:val="0"/>
                <w:iCs w:val="0"/>
                <w:color w:val="auto"/>
                <w:sz w:val="21"/>
                <w:szCs w:val="21"/>
                <w:highlight w:val="none"/>
                <w:u w:val="none"/>
              </w:rPr>
            </w:pPr>
          </w:p>
        </w:tc>
        <w:tc>
          <w:tcPr>
            <w:tcW w:w="1771" w:type="dxa"/>
            <w:tcBorders>
              <w:top w:val="single" w:color="000000" w:sz="4" w:space="0"/>
              <w:left w:val="single" w:color="000000" w:sz="4" w:space="0"/>
              <w:bottom w:val="single" w:color="000000" w:sz="4" w:space="0"/>
              <w:right w:val="single" w:color="000000" w:sz="4" w:space="0"/>
            </w:tcBorders>
            <w:noWrap/>
            <w:vAlign w:val="bottom"/>
          </w:tcPr>
          <w:p w14:paraId="593C0380">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1106.79 </w:t>
            </w:r>
          </w:p>
        </w:tc>
      </w:tr>
      <w:tr w14:paraId="13F7F8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exact"/>
        </w:trPr>
        <w:tc>
          <w:tcPr>
            <w:tcW w:w="1183" w:type="dxa"/>
            <w:tcBorders>
              <w:top w:val="single" w:color="000000" w:sz="4" w:space="0"/>
              <w:left w:val="single" w:color="000000" w:sz="4" w:space="0"/>
              <w:bottom w:val="single" w:color="000000" w:sz="4" w:space="0"/>
              <w:right w:val="single" w:color="000000" w:sz="4" w:space="0"/>
            </w:tcBorders>
            <w:noWrap/>
            <w:vAlign w:val="bottom"/>
          </w:tcPr>
          <w:p w14:paraId="140E2832">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 </w:t>
            </w:r>
          </w:p>
        </w:tc>
        <w:tc>
          <w:tcPr>
            <w:tcW w:w="2306" w:type="dxa"/>
            <w:tcBorders>
              <w:top w:val="single" w:color="000000" w:sz="4" w:space="0"/>
              <w:left w:val="single" w:color="000000" w:sz="4" w:space="0"/>
              <w:bottom w:val="single" w:color="000000" w:sz="4" w:space="0"/>
              <w:right w:val="single" w:color="000000" w:sz="4" w:space="0"/>
            </w:tcBorders>
            <w:noWrap/>
            <w:vAlign w:val="bottom"/>
          </w:tcPr>
          <w:p w14:paraId="2667EA07">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人工费</w:t>
            </w:r>
          </w:p>
        </w:tc>
        <w:tc>
          <w:tcPr>
            <w:tcW w:w="893" w:type="dxa"/>
            <w:tcBorders>
              <w:top w:val="single" w:color="000000" w:sz="4" w:space="0"/>
              <w:left w:val="single" w:color="000000" w:sz="4" w:space="0"/>
              <w:bottom w:val="single" w:color="000000" w:sz="4" w:space="0"/>
              <w:right w:val="single" w:color="000000" w:sz="4" w:space="0"/>
            </w:tcBorders>
            <w:noWrap/>
            <w:vAlign w:val="bottom"/>
          </w:tcPr>
          <w:p w14:paraId="6EDE496E">
            <w:pPr>
              <w:jc w:val="center"/>
              <w:rPr>
                <w:rFonts w:hint="default" w:ascii="Times New Roman" w:hAnsi="Times New Roman" w:eastAsia="宋体" w:cs="Times New Roman"/>
                <w:i w:val="0"/>
                <w:iCs w:val="0"/>
                <w:color w:val="auto"/>
                <w:sz w:val="21"/>
                <w:szCs w:val="21"/>
                <w:highlight w:val="none"/>
                <w:u w:val="none"/>
              </w:rPr>
            </w:pPr>
          </w:p>
        </w:tc>
        <w:tc>
          <w:tcPr>
            <w:tcW w:w="1113" w:type="dxa"/>
            <w:tcBorders>
              <w:top w:val="single" w:color="000000" w:sz="4" w:space="0"/>
              <w:left w:val="single" w:color="000000" w:sz="4" w:space="0"/>
              <w:bottom w:val="single" w:color="000000" w:sz="4" w:space="0"/>
              <w:right w:val="single" w:color="000000" w:sz="4" w:space="0"/>
            </w:tcBorders>
            <w:noWrap/>
            <w:vAlign w:val="bottom"/>
          </w:tcPr>
          <w:p w14:paraId="31438703">
            <w:pPr>
              <w:jc w:val="center"/>
              <w:rPr>
                <w:rFonts w:hint="default" w:ascii="Times New Roman" w:hAnsi="Times New Roman" w:eastAsia="宋体" w:cs="Times New Roman"/>
                <w:i w:val="0"/>
                <w:iCs w:val="0"/>
                <w:color w:val="auto"/>
                <w:sz w:val="21"/>
                <w:szCs w:val="21"/>
                <w:highlight w:val="none"/>
                <w:u w:val="none"/>
              </w:rPr>
            </w:pPr>
          </w:p>
        </w:tc>
        <w:tc>
          <w:tcPr>
            <w:tcW w:w="1256" w:type="dxa"/>
            <w:tcBorders>
              <w:top w:val="single" w:color="000000" w:sz="4" w:space="0"/>
              <w:left w:val="single" w:color="000000" w:sz="4" w:space="0"/>
              <w:bottom w:val="single" w:color="000000" w:sz="4" w:space="0"/>
              <w:right w:val="single" w:color="000000" w:sz="4" w:space="0"/>
            </w:tcBorders>
            <w:noWrap/>
            <w:vAlign w:val="bottom"/>
          </w:tcPr>
          <w:p w14:paraId="35D56F3E">
            <w:pPr>
              <w:jc w:val="center"/>
              <w:rPr>
                <w:rFonts w:hint="default" w:ascii="Times New Roman" w:hAnsi="Times New Roman" w:eastAsia="宋体" w:cs="Times New Roman"/>
                <w:i w:val="0"/>
                <w:iCs w:val="0"/>
                <w:color w:val="auto"/>
                <w:sz w:val="21"/>
                <w:szCs w:val="21"/>
                <w:highlight w:val="none"/>
                <w:u w:val="none"/>
              </w:rPr>
            </w:pPr>
          </w:p>
        </w:tc>
        <w:tc>
          <w:tcPr>
            <w:tcW w:w="1771" w:type="dxa"/>
            <w:tcBorders>
              <w:top w:val="single" w:color="000000" w:sz="4" w:space="0"/>
              <w:left w:val="single" w:color="000000" w:sz="4" w:space="0"/>
              <w:bottom w:val="single" w:color="000000" w:sz="4" w:space="0"/>
              <w:right w:val="single" w:color="000000" w:sz="4" w:space="0"/>
            </w:tcBorders>
            <w:noWrap/>
            <w:vAlign w:val="bottom"/>
          </w:tcPr>
          <w:p w14:paraId="4F371C50">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60.91 </w:t>
            </w:r>
          </w:p>
        </w:tc>
      </w:tr>
      <w:tr w14:paraId="4612AE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exact"/>
        </w:trPr>
        <w:tc>
          <w:tcPr>
            <w:tcW w:w="1183" w:type="dxa"/>
            <w:tcBorders>
              <w:top w:val="single" w:color="000000" w:sz="4" w:space="0"/>
              <w:left w:val="single" w:color="000000" w:sz="4" w:space="0"/>
              <w:bottom w:val="single" w:color="000000" w:sz="4" w:space="0"/>
              <w:right w:val="single" w:color="000000" w:sz="4" w:space="0"/>
            </w:tcBorders>
            <w:noWrap/>
            <w:vAlign w:val="bottom"/>
          </w:tcPr>
          <w:p w14:paraId="32B3C2CC">
            <w:pPr>
              <w:jc w:val="center"/>
              <w:rPr>
                <w:rFonts w:hint="default" w:ascii="Times New Roman" w:hAnsi="Times New Roman" w:eastAsia="宋体" w:cs="Times New Roman"/>
                <w:i w:val="0"/>
                <w:iCs w:val="0"/>
                <w:color w:val="auto"/>
                <w:sz w:val="21"/>
                <w:szCs w:val="21"/>
                <w:highlight w:val="none"/>
                <w:u w:val="none"/>
              </w:rPr>
            </w:pPr>
          </w:p>
        </w:tc>
        <w:tc>
          <w:tcPr>
            <w:tcW w:w="2306" w:type="dxa"/>
            <w:tcBorders>
              <w:top w:val="single" w:color="000000" w:sz="4" w:space="0"/>
              <w:left w:val="single" w:color="000000" w:sz="4" w:space="0"/>
              <w:bottom w:val="single" w:color="000000" w:sz="4" w:space="0"/>
              <w:right w:val="single" w:color="000000" w:sz="4" w:space="0"/>
            </w:tcBorders>
            <w:noWrap/>
            <w:vAlign w:val="bottom"/>
          </w:tcPr>
          <w:p w14:paraId="0746FFC4">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甲类工</w:t>
            </w:r>
          </w:p>
        </w:tc>
        <w:tc>
          <w:tcPr>
            <w:tcW w:w="893" w:type="dxa"/>
            <w:tcBorders>
              <w:top w:val="single" w:color="000000" w:sz="4" w:space="0"/>
              <w:left w:val="single" w:color="000000" w:sz="4" w:space="0"/>
              <w:bottom w:val="single" w:color="000000" w:sz="4" w:space="0"/>
              <w:right w:val="single" w:color="000000" w:sz="4" w:space="0"/>
            </w:tcBorders>
            <w:noWrap/>
            <w:vAlign w:val="bottom"/>
          </w:tcPr>
          <w:p w14:paraId="1EFBF477">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工日</w:t>
            </w:r>
          </w:p>
        </w:tc>
        <w:tc>
          <w:tcPr>
            <w:tcW w:w="1113" w:type="dxa"/>
            <w:tcBorders>
              <w:top w:val="single" w:color="000000" w:sz="4" w:space="0"/>
              <w:left w:val="single" w:color="000000" w:sz="4" w:space="0"/>
              <w:bottom w:val="single" w:color="000000" w:sz="4" w:space="0"/>
              <w:right w:val="single" w:color="000000" w:sz="4" w:space="0"/>
            </w:tcBorders>
            <w:noWrap/>
            <w:vAlign w:val="bottom"/>
          </w:tcPr>
          <w:p w14:paraId="2AA1BF9E">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0.10 </w:t>
            </w:r>
          </w:p>
        </w:tc>
        <w:tc>
          <w:tcPr>
            <w:tcW w:w="1256" w:type="dxa"/>
            <w:tcBorders>
              <w:top w:val="single" w:color="000000" w:sz="4" w:space="0"/>
              <w:left w:val="single" w:color="000000" w:sz="4" w:space="0"/>
              <w:bottom w:val="single" w:color="000000" w:sz="4" w:space="0"/>
              <w:right w:val="single" w:color="000000" w:sz="4" w:space="0"/>
            </w:tcBorders>
            <w:noWrap/>
            <w:vAlign w:val="bottom"/>
          </w:tcPr>
          <w:p w14:paraId="5ADC03BC">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51.04 </w:t>
            </w:r>
          </w:p>
        </w:tc>
        <w:tc>
          <w:tcPr>
            <w:tcW w:w="1771" w:type="dxa"/>
            <w:tcBorders>
              <w:top w:val="single" w:color="000000" w:sz="4" w:space="0"/>
              <w:left w:val="single" w:color="000000" w:sz="4" w:space="0"/>
              <w:bottom w:val="single" w:color="000000" w:sz="4" w:space="0"/>
              <w:right w:val="single" w:color="000000" w:sz="4" w:space="0"/>
            </w:tcBorders>
            <w:noWrap/>
            <w:vAlign w:val="bottom"/>
          </w:tcPr>
          <w:p w14:paraId="4FEEB8BD">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5.10 </w:t>
            </w:r>
          </w:p>
        </w:tc>
      </w:tr>
      <w:tr w14:paraId="653E9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exact"/>
        </w:trPr>
        <w:tc>
          <w:tcPr>
            <w:tcW w:w="1183" w:type="dxa"/>
            <w:tcBorders>
              <w:top w:val="single" w:color="000000" w:sz="4" w:space="0"/>
              <w:left w:val="single" w:color="000000" w:sz="4" w:space="0"/>
              <w:bottom w:val="single" w:color="000000" w:sz="4" w:space="0"/>
              <w:right w:val="single" w:color="000000" w:sz="4" w:space="0"/>
            </w:tcBorders>
            <w:noWrap/>
            <w:vAlign w:val="bottom"/>
          </w:tcPr>
          <w:p w14:paraId="37490B41">
            <w:pPr>
              <w:jc w:val="center"/>
              <w:rPr>
                <w:rFonts w:hint="default" w:ascii="Times New Roman" w:hAnsi="Times New Roman" w:eastAsia="宋体" w:cs="Times New Roman"/>
                <w:i w:val="0"/>
                <w:iCs w:val="0"/>
                <w:color w:val="auto"/>
                <w:sz w:val="21"/>
                <w:szCs w:val="21"/>
                <w:highlight w:val="none"/>
                <w:u w:val="none"/>
              </w:rPr>
            </w:pPr>
          </w:p>
        </w:tc>
        <w:tc>
          <w:tcPr>
            <w:tcW w:w="2306" w:type="dxa"/>
            <w:tcBorders>
              <w:top w:val="single" w:color="000000" w:sz="4" w:space="0"/>
              <w:left w:val="single" w:color="000000" w:sz="4" w:space="0"/>
              <w:bottom w:val="single" w:color="000000" w:sz="4" w:space="0"/>
              <w:right w:val="single" w:color="000000" w:sz="4" w:space="0"/>
            </w:tcBorders>
            <w:noWrap/>
            <w:vAlign w:val="bottom"/>
          </w:tcPr>
          <w:p w14:paraId="7484C1BB">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乙类工</w:t>
            </w:r>
          </w:p>
        </w:tc>
        <w:tc>
          <w:tcPr>
            <w:tcW w:w="893" w:type="dxa"/>
            <w:tcBorders>
              <w:top w:val="single" w:color="000000" w:sz="4" w:space="0"/>
              <w:left w:val="single" w:color="000000" w:sz="4" w:space="0"/>
              <w:bottom w:val="single" w:color="000000" w:sz="4" w:space="0"/>
              <w:right w:val="single" w:color="000000" w:sz="4" w:space="0"/>
            </w:tcBorders>
            <w:noWrap/>
            <w:vAlign w:val="bottom"/>
          </w:tcPr>
          <w:p w14:paraId="3F7A5703">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工日</w:t>
            </w:r>
          </w:p>
        </w:tc>
        <w:tc>
          <w:tcPr>
            <w:tcW w:w="1113" w:type="dxa"/>
            <w:tcBorders>
              <w:top w:val="single" w:color="000000" w:sz="4" w:space="0"/>
              <w:left w:val="single" w:color="000000" w:sz="4" w:space="0"/>
              <w:bottom w:val="single" w:color="000000" w:sz="4" w:space="0"/>
              <w:right w:val="single" w:color="000000" w:sz="4" w:space="0"/>
            </w:tcBorders>
            <w:noWrap/>
            <w:vAlign w:val="bottom"/>
          </w:tcPr>
          <w:p w14:paraId="0F6BBCFC">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1.40 </w:t>
            </w:r>
          </w:p>
        </w:tc>
        <w:tc>
          <w:tcPr>
            <w:tcW w:w="1256" w:type="dxa"/>
            <w:tcBorders>
              <w:top w:val="single" w:color="000000" w:sz="4" w:space="0"/>
              <w:left w:val="single" w:color="000000" w:sz="4" w:space="0"/>
              <w:bottom w:val="single" w:color="000000" w:sz="4" w:space="0"/>
              <w:right w:val="single" w:color="000000" w:sz="4" w:space="0"/>
            </w:tcBorders>
            <w:noWrap/>
            <w:vAlign w:val="bottom"/>
          </w:tcPr>
          <w:p w14:paraId="17F44CA3">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38.84 </w:t>
            </w:r>
          </w:p>
        </w:tc>
        <w:tc>
          <w:tcPr>
            <w:tcW w:w="1771" w:type="dxa"/>
            <w:tcBorders>
              <w:top w:val="single" w:color="000000" w:sz="4" w:space="0"/>
              <w:left w:val="single" w:color="000000" w:sz="4" w:space="0"/>
              <w:bottom w:val="single" w:color="000000" w:sz="4" w:space="0"/>
              <w:right w:val="single" w:color="000000" w:sz="4" w:space="0"/>
            </w:tcBorders>
            <w:noWrap/>
            <w:vAlign w:val="bottom"/>
          </w:tcPr>
          <w:p w14:paraId="7DE1678B">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54.38 </w:t>
            </w:r>
          </w:p>
        </w:tc>
      </w:tr>
      <w:tr w14:paraId="10C4BD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exact"/>
        </w:trPr>
        <w:tc>
          <w:tcPr>
            <w:tcW w:w="1183" w:type="dxa"/>
            <w:tcBorders>
              <w:top w:val="single" w:color="000000" w:sz="4" w:space="0"/>
              <w:left w:val="single" w:color="000000" w:sz="4" w:space="0"/>
              <w:bottom w:val="single" w:color="000000" w:sz="4" w:space="0"/>
              <w:right w:val="single" w:color="000000" w:sz="4" w:space="0"/>
            </w:tcBorders>
            <w:noWrap/>
            <w:vAlign w:val="bottom"/>
          </w:tcPr>
          <w:p w14:paraId="1A8D96D1">
            <w:pPr>
              <w:jc w:val="center"/>
              <w:rPr>
                <w:rFonts w:hint="default" w:ascii="Times New Roman" w:hAnsi="Times New Roman" w:eastAsia="宋体" w:cs="Times New Roman"/>
                <w:i w:val="0"/>
                <w:iCs w:val="0"/>
                <w:color w:val="auto"/>
                <w:sz w:val="21"/>
                <w:szCs w:val="21"/>
                <w:highlight w:val="none"/>
                <w:u w:val="none"/>
              </w:rPr>
            </w:pPr>
          </w:p>
        </w:tc>
        <w:tc>
          <w:tcPr>
            <w:tcW w:w="2306" w:type="dxa"/>
            <w:tcBorders>
              <w:top w:val="single" w:color="000000" w:sz="4" w:space="0"/>
              <w:left w:val="single" w:color="000000" w:sz="4" w:space="0"/>
              <w:bottom w:val="single" w:color="000000" w:sz="4" w:space="0"/>
              <w:right w:val="single" w:color="000000" w:sz="4" w:space="0"/>
            </w:tcBorders>
            <w:noWrap/>
            <w:vAlign w:val="bottom"/>
          </w:tcPr>
          <w:p w14:paraId="7D247C8C">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其他费用</w:t>
            </w:r>
          </w:p>
        </w:tc>
        <w:tc>
          <w:tcPr>
            <w:tcW w:w="893" w:type="dxa"/>
            <w:tcBorders>
              <w:top w:val="single" w:color="000000" w:sz="4" w:space="0"/>
              <w:left w:val="single" w:color="000000" w:sz="4" w:space="0"/>
              <w:bottom w:val="single" w:color="000000" w:sz="4" w:space="0"/>
              <w:right w:val="single" w:color="000000" w:sz="4" w:space="0"/>
            </w:tcBorders>
            <w:noWrap/>
            <w:vAlign w:val="bottom"/>
          </w:tcPr>
          <w:p w14:paraId="1E7A2885">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113" w:type="dxa"/>
            <w:tcBorders>
              <w:top w:val="single" w:color="000000" w:sz="4" w:space="0"/>
              <w:left w:val="single" w:color="000000" w:sz="4" w:space="0"/>
              <w:bottom w:val="single" w:color="000000" w:sz="4" w:space="0"/>
              <w:right w:val="single" w:color="000000" w:sz="4" w:space="0"/>
            </w:tcBorders>
            <w:noWrap/>
            <w:vAlign w:val="bottom"/>
          </w:tcPr>
          <w:p w14:paraId="293836CA">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2.40 </w:t>
            </w:r>
          </w:p>
        </w:tc>
        <w:tc>
          <w:tcPr>
            <w:tcW w:w="1256" w:type="dxa"/>
            <w:tcBorders>
              <w:top w:val="single" w:color="000000" w:sz="4" w:space="0"/>
              <w:left w:val="single" w:color="000000" w:sz="4" w:space="0"/>
              <w:bottom w:val="single" w:color="000000" w:sz="4" w:space="0"/>
              <w:right w:val="single" w:color="000000" w:sz="4" w:space="0"/>
            </w:tcBorders>
            <w:noWrap/>
            <w:vAlign w:val="bottom"/>
          </w:tcPr>
          <w:p w14:paraId="148B822F">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59.48 </w:t>
            </w:r>
          </w:p>
        </w:tc>
        <w:tc>
          <w:tcPr>
            <w:tcW w:w="1771" w:type="dxa"/>
            <w:tcBorders>
              <w:top w:val="single" w:color="000000" w:sz="4" w:space="0"/>
              <w:left w:val="single" w:color="000000" w:sz="4" w:space="0"/>
              <w:bottom w:val="single" w:color="000000" w:sz="4" w:space="0"/>
              <w:right w:val="single" w:color="000000" w:sz="4" w:space="0"/>
            </w:tcBorders>
            <w:noWrap/>
            <w:vAlign w:val="bottom"/>
          </w:tcPr>
          <w:p w14:paraId="72F8A671">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1.43 </w:t>
            </w:r>
          </w:p>
        </w:tc>
      </w:tr>
      <w:tr w14:paraId="4631A6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exact"/>
        </w:trPr>
        <w:tc>
          <w:tcPr>
            <w:tcW w:w="1183" w:type="dxa"/>
            <w:tcBorders>
              <w:top w:val="single" w:color="000000" w:sz="4" w:space="0"/>
              <w:left w:val="single" w:color="000000" w:sz="4" w:space="0"/>
              <w:bottom w:val="single" w:color="000000" w:sz="4" w:space="0"/>
              <w:right w:val="single" w:color="000000" w:sz="4" w:space="0"/>
            </w:tcBorders>
            <w:noWrap/>
            <w:vAlign w:val="bottom"/>
          </w:tcPr>
          <w:p w14:paraId="5C0C0E5E">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 </w:t>
            </w:r>
          </w:p>
        </w:tc>
        <w:tc>
          <w:tcPr>
            <w:tcW w:w="2306" w:type="dxa"/>
            <w:tcBorders>
              <w:top w:val="single" w:color="000000" w:sz="4" w:space="0"/>
              <w:left w:val="single" w:color="000000" w:sz="4" w:space="0"/>
              <w:bottom w:val="single" w:color="000000" w:sz="4" w:space="0"/>
              <w:right w:val="single" w:color="000000" w:sz="4" w:space="0"/>
            </w:tcBorders>
            <w:noWrap/>
            <w:vAlign w:val="bottom"/>
          </w:tcPr>
          <w:p w14:paraId="65970F6B">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材料费</w:t>
            </w:r>
          </w:p>
        </w:tc>
        <w:tc>
          <w:tcPr>
            <w:tcW w:w="893" w:type="dxa"/>
            <w:tcBorders>
              <w:top w:val="single" w:color="000000" w:sz="4" w:space="0"/>
              <w:left w:val="single" w:color="000000" w:sz="4" w:space="0"/>
              <w:bottom w:val="single" w:color="000000" w:sz="4" w:space="0"/>
              <w:right w:val="single" w:color="000000" w:sz="4" w:space="0"/>
            </w:tcBorders>
            <w:noWrap/>
            <w:vAlign w:val="bottom"/>
          </w:tcPr>
          <w:p w14:paraId="3AA6C3FA">
            <w:pPr>
              <w:jc w:val="center"/>
              <w:rPr>
                <w:rFonts w:hint="default" w:ascii="Times New Roman" w:hAnsi="Times New Roman" w:eastAsia="宋体" w:cs="Times New Roman"/>
                <w:i w:val="0"/>
                <w:iCs w:val="0"/>
                <w:color w:val="auto"/>
                <w:sz w:val="21"/>
                <w:szCs w:val="21"/>
                <w:highlight w:val="none"/>
                <w:u w:val="none"/>
              </w:rPr>
            </w:pPr>
          </w:p>
        </w:tc>
        <w:tc>
          <w:tcPr>
            <w:tcW w:w="1113" w:type="dxa"/>
            <w:tcBorders>
              <w:top w:val="single" w:color="000000" w:sz="4" w:space="0"/>
              <w:left w:val="single" w:color="000000" w:sz="4" w:space="0"/>
              <w:bottom w:val="single" w:color="000000" w:sz="4" w:space="0"/>
              <w:right w:val="single" w:color="000000" w:sz="4" w:space="0"/>
            </w:tcBorders>
            <w:noWrap/>
            <w:vAlign w:val="bottom"/>
          </w:tcPr>
          <w:p w14:paraId="54026AED">
            <w:pPr>
              <w:jc w:val="center"/>
              <w:rPr>
                <w:rFonts w:hint="default" w:ascii="Times New Roman" w:hAnsi="Times New Roman" w:eastAsia="宋体" w:cs="Times New Roman"/>
                <w:i w:val="0"/>
                <w:iCs w:val="0"/>
                <w:color w:val="auto"/>
                <w:sz w:val="21"/>
                <w:szCs w:val="21"/>
                <w:highlight w:val="none"/>
                <w:u w:val="none"/>
              </w:rPr>
            </w:pPr>
          </w:p>
        </w:tc>
        <w:tc>
          <w:tcPr>
            <w:tcW w:w="1256" w:type="dxa"/>
            <w:tcBorders>
              <w:top w:val="single" w:color="000000" w:sz="4" w:space="0"/>
              <w:left w:val="single" w:color="000000" w:sz="4" w:space="0"/>
              <w:bottom w:val="single" w:color="000000" w:sz="4" w:space="0"/>
              <w:right w:val="single" w:color="000000" w:sz="4" w:space="0"/>
            </w:tcBorders>
            <w:noWrap/>
            <w:vAlign w:val="bottom"/>
          </w:tcPr>
          <w:p w14:paraId="4A63F2D6">
            <w:pPr>
              <w:jc w:val="center"/>
              <w:rPr>
                <w:rFonts w:hint="default" w:ascii="Times New Roman" w:hAnsi="Times New Roman" w:eastAsia="宋体" w:cs="Times New Roman"/>
                <w:i w:val="0"/>
                <w:iCs w:val="0"/>
                <w:color w:val="auto"/>
                <w:sz w:val="21"/>
                <w:szCs w:val="21"/>
                <w:highlight w:val="none"/>
                <w:u w:val="none"/>
              </w:rPr>
            </w:pPr>
          </w:p>
        </w:tc>
        <w:tc>
          <w:tcPr>
            <w:tcW w:w="1771" w:type="dxa"/>
            <w:tcBorders>
              <w:top w:val="single" w:color="000000" w:sz="4" w:space="0"/>
              <w:left w:val="single" w:color="000000" w:sz="4" w:space="0"/>
              <w:bottom w:val="single" w:color="000000" w:sz="4" w:space="0"/>
              <w:right w:val="single" w:color="000000" w:sz="4" w:space="0"/>
            </w:tcBorders>
            <w:noWrap/>
            <w:vAlign w:val="bottom"/>
          </w:tcPr>
          <w:p w14:paraId="090ECA9A">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 </w:t>
            </w:r>
          </w:p>
        </w:tc>
      </w:tr>
      <w:tr w14:paraId="1DE131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exact"/>
        </w:trPr>
        <w:tc>
          <w:tcPr>
            <w:tcW w:w="1183" w:type="dxa"/>
            <w:tcBorders>
              <w:top w:val="single" w:color="000000" w:sz="4" w:space="0"/>
              <w:left w:val="single" w:color="000000" w:sz="4" w:space="0"/>
              <w:bottom w:val="single" w:color="000000" w:sz="4" w:space="0"/>
              <w:right w:val="single" w:color="000000" w:sz="4" w:space="0"/>
            </w:tcBorders>
            <w:noWrap/>
            <w:vAlign w:val="bottom"/>
          </w:tcPr>
          <w:p w14:paraId="08106696">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 </w:t>
            </w:r>
          </w:p>
        </w:tc>
        <w:tc>
          <w:tcPr>
            <w:tcW w:w="2306" w:type="dxa"/>
            <w:tcBorders>
              <w:top w:val="single" w:color="000000" w:sz="4" w:space="0"/>
              <w:left w:val="single" w:color="000000" w:sz="4" w:space="0"/>
              <w:bottom w:val="single" w:color="000000" w:sz="4" w:space="0"/>
              <w:right w:val="single" w:color="000000" w:sz="4" w:space="0"/>
            </w:tcBorders>
            <w:noWrap/>
            <w:vAlign w:val="bottom"/>
          </w:tcPr>
          <w:p w14:paraId="104BF03E">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机械费</w:t>
            </w:r>
          </w:p>
        </w:tc>
        <w:tc>
          <w:tcPr>
            <w:tcW w:w="893" w:type="dxa"/>
            <w:tcBorders>
              <w:top w:val="single" w:color="000000" w:sz="4" w:space="0"/>
              <w:left w:val="single" w:color="000000" w:sz="4" w:space="0"/>
              <w:bottom w:val="single" w:color="000000" w:sz="4" w:space="0"/>
              <w:right w:val="single" w:color="000000" w:sz="4" w:space="0"/>
            </w:tcBorders>
            <w:noWrap/>
            <w:vAlign w:val="bottom"/>
          </w:tcPr>
          <w:p w14:paraId="33A4822A">
            <w:pPr>
              <w:jc w:val="center"/>
              <w:rPr>
                <w:rFonts w:hint="default" w:ascii="Times New Roman" w:hAnsi="Times New Roman" w:eastAsia="宋体" w:cs="Times New Roman"/>
                <w:i w:val="0"/>
                <w:iCs w:val="0"/>
                <w:color w:val="auto"/>
                <w:sz w:val="21"/>
                <w:szCs w:val="21"/>
                <w:highlight w:val="none"/>
                <w:u w:val="none"/>
              </w:rPr>
            </w:pPr>
          </w:p>
        </w:tc>
        <w:tc>
          <w:tcPr>
            <w:tcW w:w="1113" w:type="dxa"/>
            <w:tcBorders>
              <w:top w:val="single" w:color="000000" w:sz="4" w:space="0"/>
              <w:left w:val="single" w:color="000000" w:sz="4" w:space="0"/>
              <w:bottom w:val="single" w:color="000000" w:sz="4" w:space="0"/>
              <w:right w:val="single" w:color="000000" w:sz="4" w:space="0"/>
            </w:tcBorders>
            <w:noWrap/>
            <w:vAlign w:val="bottom"/>
          </w:tcPr>
          <w:p w14:paraId="296E0E0C">
            <w:pPr>
              <w:jc w:val="center"/>
              <w:rPr>
                <w:rFonts w:hint="default" w:ascii="Times New Roman" w:hAnsi="Times New Roman" w:eastAsia="宋体" w:cs="Times New Roman"/>
                <w:i w:val="0"/>
                <w:iCs w:val="0"/>
                <w:color w:val="auto"/>
                <w:sz w:val="21"/>
                <w:szCs w:val="21"/>
                <w:highlight w:val="none"/>
                <w:u w:val="none"/>
              </w:rPr>
            </w:pPr>
          </w:p>
        </w:tc>
        <w:tc>
          <w:tcPr>
            <w:tcW w:w="1256" w:type="dxa"/>
            <w:tcBorders>
              <w:top w:val="single" w:color="000000" w:sz="4" w:space="0"/>
              <w:left w:val="single" w:color="000000" w:sz="4" w:space="0"/>
              <w:bottom w:val="single" w:color="000000" w:sz="4" w:space="0"/>
              <w:right w:val="single" w:color="000000" w:sz="4" w:space="0"/>
            </w:tcBorders>
            <w:noWrap/>
            <w:vAlign w:val="bottom"/>
          </w:tcPr>
          <w:p w14:paraId="43457E51">
            <w:pPr>
              <w:jc w:val="center"/>
              <w:rPr>
                <w:rFonts w:hint="default" w:ascii="Times New Roman" w:hAnsi="Times New Roman" w:eastAsia="宋体" w:cs="Times New Roman"/>
                <w:i w:val="0"/>
                <w:iCs w:val="0"/>
                <w:color w:val="auto"/>
                <w:sz w:val="21"/>
                <w:szCs w:val="21"/>
                <w:highlight w:val="none"/>
                <w:u w:val="none"/>
              </w:rPr>
            </w:pPr>
          </w:p>
        </w:tc>
        <w:tc>
          <w:tcPr>
            <w:tcW w:w="1771" w:type="dxa"/>
            <w:tcBorders>
              <w:top w:val="single" w:color="000000" w:sz="4" w:space="0"/>
              <w:left w:val="single" w:color="000000" w:sz="4" w:space="0"/>
              <w:bottom w:val="single" w:color="000000" w:sz="4" w:space="0"/>
              <w:right w:val="single" w:color="000000" w:sz="4" w:space="0"/>
            </w:tcBorders>
            <w:noWrap/>
            <w:vAlign w:val="bottom"/>
          </w:tcPr>
          <w:p w14:paraId="47232E7E">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1045.88 </w:t>
            </w:r>
          </w:p>
        </w:tc>
      </w:tr>
      <w:tr w14:paraId="29065A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exact"/>
        </w:trPr>
        <w:tc>
          <w:tcPr>
            <w:tcW w:w="1183" w:type="dxa"/>
            <w:tcBorders>
              <w:top w:val="single" w:color="000000" w:sz="4" w:space="0"/>
              <w:left w:val="single" w:color="000000" w:sz="4" w:space="0"/>
              <w:bottom w:val="single" w:color="000000" w:sz="4" w:space="0"/>
              <w:right w:val="single" w:color="000000" w:sz="4" w:space="0"/>
            </w:tcBorders>
            <w:noWrap/>
            <w:vAlign w:val="bottom"/>
          </w:tcPr>
          <w:p w14:paraId="66D80658">
            <w:pPr>
              <w:jc w:val="center"/>
              <w:rPr>
                <w:rFonts w:hint="default" w:ascii="Times New Roman" w:hAnsi="Times New Roman" w:eastAsia="宋体" w:cs="Times New Roman"/>
                <w:i w:val="0"/>
                <w:iCs w:val="0"/>
                <w:color w:val="auto"/>
                <w:sz w:val="21"/>
                <w:szCs w:val="21"/>
                <w:highlight w:val="none"/>
                <w:u w:val="none"/>
              </w:rPr>
            </w:pPr>
          </w:p>
        </w:tc>
        <w:tc>
          <w:tcPr>
            <w:tcW w:w="2306" w:type="dxa"/>
            <w:tcBorders>
              <w:top w:val="single" w:color="000000" w:sz="4" w:space="0"/>
              <w:left w:val="single" w:color="000000" w:sz="4" w:space="0"/>
              <w:bottom w:val="single" w:color="000000" w:sz="4" w:space="0"/>
              <w:right w:val="single" w:color="000000" w:sz="4" w:space="0"/>
            </w:tcBorders>
            <w:noWrap/>
            <w:vAlign w:val="bottom"/>
          </w:tcPr>
          <w:p w14:paraId="4D751741">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挖掘机电动2</w:t>
            </w:r>
            <w:r>
              <w:rPr>
                <w:rFonts w:hint="default" w:ascii="Times New Roman" w:hAnsi="Times New Roman" w:cs="Times New Roman"/>
                <w:i w:val="0"/>
                <w:iCs w:val="0"/>
                <w:color w:val="auto"/>
                <w:kern w:val="0"/>
                <w:sz w:val="21"/>
                <w:szCs w:val="21"/>
                <w:highlight w:val="none"/>
                <w:u w:val="none"/>
                <w:lang w:val="en-US" w:eastAsia="zh-CN" w:bidi="ar"/>
              </w:rPr>
              <w:t>m</w:t>
            </w:r>
            <w:r>
              <w:rPr>
                <w:rFonts w:hint="default" w:ascii="Times New Roman" w:hAnsi="Times New Roman" w:cs="Times New Roman"/>
                <w:i w:val="0"/>
                <w:iCs w:val="0"/>
                <w:color w:val="auto"/>
                <w:kern w:val="0"/>
                <w:sz w:val="21"/>
                <w:szCs w:val="21"/>
                <w:highlight w:val="none"/>
                <w:u w:val="none"/>
                <w:vertAlign w:val="superscript"/>
                <w:lang w:val="en-US" w:eastAsia="zh-CN" w:bidi="ar"/>
              </w:rPr>
              <w:t>3</w:t>
            </w:r>
          </w:p>
        </w:tc>
        <w:tc>
          <w:tcPr>
            <w:tcW w:w="893" w:type="dxa"/>
            <w:tcBorders>
              <w:top w:val="single" w:color="000000" w:sz="4" w:space="0"/>
              <w:left w:val="single" w:color="000000" w:sz="4" w:space="0"/>
              <w:bottom w:val="single" w:color="000000" w:sz="4" w:space="0"/>
              <w:right w:val="single" w:color="000000" w:sz="4" w:space="0"/>
            </w:tcBorders>
            <w:noWrap/>
            <w:vAlign w:val="bottom"/>
          </w:tcPr>
          <w:p w14:paraId="6EED8E31">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台班</w:t>
            </w:r>
          </w:p>
        </w:tc>
        <w:tc>
          <w:tcPr>
            <w:tcW w:w="1113" w:type="dxa"/>
            <w:tcBorders>
              <w:top w:val="single" w:color="000000" w:sz="4" w:space="0"/>
              <w:left w:val="single" w:color="000000" w:sz="4" w:space="0"/>
              <w:bottom w:val="single" w:color="000000" w:sz="4" w:space="0"/>
              <w:right w:val="single" w:color="000000" w:sz="4" w:space="0"/>
            </w:tcBorders>
            <w:noWrap/>
            <w:vAlign w:val="bottom"/>
          </w:tcPr>
          <w:p w14:paraId="39A3EB09">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0.30 </w:t>
            </w:r>
          </w:p>
        </w:tc>
        <w:tc>
          <w:tcPr>
            <w:tcW w:w="1256" w:type="dxa"/>
            <w:tcBorders>
              <w:top w:val="single" w:color="000000" w:sz="4" w:space="0"/>
              <w:left w:val="single" w:color="000000" w:sz="4" w:space="0"/>
              <w:bottom w:val="single" w:color="000000" w:sz="4" w:space="0"/>
              <w:right w:val="single" w:color="000000" w:sz="4" w:space="0"/>
            </w:tcBorders>
            <w:noWrap/>
            <w:vAlign w:val="bottom"/>
          </w:tcPr>
          <w:p w14:paraId="4808F732">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1016.03 </w:t>
            </w:r>
          </w:p>
        </w:tc>
        <w:tc>
          <w:tcPr>
            <w:tcW w:w="1771" w:type="dxa"/>
            <w:tcBorders>
              <w:top w:val="single" w:color="000000" w:sz="4" w:space="0"/>
              <w:left w:val="single" w:color="000000" w:sz="4" w:space="0"/>
              <w:bottom w:val="single" w:color="000000" w:sz="4" w:space="0"/>
              <w:right w:val="single" w:color="000000" w:sz="4" w:space="0"/>
            </w:tcBorders>
            <w:noWrap/>
            <w:vAlign w:val="bottom"/>
          </w:tcPr>
          <w:p w14:paraId="7847D470">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304.81 </w:t>
            </w:r>
          </w:p>
        </w:tc>
      </w:tr>
      <w:tr w14:paraId="42AE6D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exact"/>
        </w:trPr>
        <w:tc>
          <w:tcPr>
            <w:tcW w:w="1183" w:type="dxa"/>
            <w:tcBorders>
              <w:top w:val="single" w:color="000000" w:sz="4" w:space="0"/>
              <w:left w:val="single" w:color="000000" w:sz="4" w:space="0"/>
              <w:bottom w:val="single" w:color="000000" w:sz="4" w:space="0"/>
              <w:right w:val="single" w:color="000000" w:sz="4" w:space="0"/>
            </w:tcBorders>
            <w:noWrap/>
            <w:vAlign w:val="bottom"/>
          </w:tcPr>
          <w:p w14:paraId="1B1011D3">
            <w:pPr>
              <w:jc w:val="center"/>
              <w:rPr>
                <w:rFonts w:hint="default" w:ascii="Times New Roman" w:hAnsi="Times New Roman" w:eastAsia="宋体" w:cs="Times New Roman"/>
                <w:i w:val="0"/>
                <w:iCs w:val="0"/>
                <w:color w:val="auto"/>
                <w:sz w:val="21"/>
                <w:szCs w:val="21"/>
                <w:highlight w:val="none"/>
                <w:u w:val="none"/>
              </w:rPr>
            </w:pPr>
          </w:p>
        </w:tc>
        <w:tc>
          <w:tcPr>
            <w:tcW w:w="2306" w:type="dxa"/>
            <w:tcBorders>
              <w:top w:val="single" w:color="000000" w:sz="4" w:space="0"/>
              <w:left w:val="single" w:color="000000" w:sz="4" w:space="0"/>
              <w:bottom w:val="single" w:color="000000" w:sz="4" w:space="0"/>
              <w:right w:val="single" w:color="000000" w:sz="4" w:space="0"/>
            </w:tcBorders>
            <w:noWrap/>
            <w:vAlign w:val="bottom"/>
          </w:tcPr>
          <w:p w14:paraId="01B47064">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推土机74</w:t>
            </w:r>
            <w:r>
              <w:rPr>
                <w:rFonts w:hint="eastAsia" w:ascii="Times New Roman" w:hAnsi="Times New Roman" w:cs="Times New Roman"/>
                <w:i w:val="0"/>
                <w:iCs w:val="0"/>
                <w:color w:val="auto"/>
                <w:kern w:val="0"/>
                <w:sz w:val="21"/>
                <w:szCs w:val="21"/>
                <w:highlight w:val="none"/>
                <w:u w:val="none"/>
                <w:lang w:val="en-US" w:eastAsia="zh-CN" w:bidi="ar"/>
              </w:rPr>
              <w:t>kW</w:t>
            </w:r>
          </w:p>
        </w:tc>
        <w:tc>
          <w:tcPr>
            <w:tcW w:w="893" w:type="dxa"/>
            <w:tcBorders>
              <w:top w:val="single" w:color="000000" w:sz="4" w:space="0"/>
              <w:left w:val="single" w:color="000000" w:sz="4" w:space="0"/>
              <w:bottom w:val="single" w:color="000000" w:sz="4" w:space="0"/>
              <w:right w:val="single" w:color="000000" w:sz="4" w:space="0"/>
            </w:tcBorders>
            <w:noWrap/>
            <w:vAlign w:val="bottom"/>
          </w:tcPr>
          <w:p w14:paraId="0D1DA90F">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台班</w:t>
            </w:r>
          </w:p>
        </w:tc>
        <w:tc>
          <w:tcPr>
            <w:tcW w:w="1113" w:type="dxa"/>
            <w:tcBorders>
              <w:top w:val="single" w:color="000000" w:sz="4" w:space="0"/>
              <w:left w:val="single" w:color="000000" w:sz="4" w:space="0"/>
              <w:bottom w:val="single" w:color="000000" w:sz="4" w:space="0"/>
              <w:right w:val="single" w:color="000000" w:sz="4" w:space="0"/>
            </w:tcBorders>
            <w:noWrap/>
            <w:vAlign w:val="bottom"/>
          </w:tcPr>
          <w:p w14:paraId="50CFC027">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0.15 </w:t>
            </w:r>
          </w:p>
        </w:tc>
        <w:tc>
          <w:tcPr>
            <w:tcW w:w="1256" w:type="dxa"/>
            <w:tcBorders>
              <w:top w:val="single" w:color="000000" w:sz="4" w:space="0"/>
              <w:left w:val="single" w:color="000000" w:sz="4" w:space="0"/>
              <w:bottom w:val="single" w:color="000000" w:sz="4" w:space="0"/>
              <w:right w:val="single" w:color="000000" w:sz="4" w:space="0"/>
            </w:tcBorders>
            <w:noWrap/>
            <w:vAlign w:val="bottom"/>
          </w:tcPr>
          <w:p w14:paraId="327C99C5">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537.26 </w:t>
            </w:r>
          </w:p>
        </w:tc>
        <w:tc>
          <w:tcPr>
            <w:tcW w:w="1771" w:type="dxa"/>
            <w:tcBorders>
              <w:top w:val="single" w:color="000000" w:sz="4" w:space="0"/>
              <w:left w:val="single" w:color="000000" w:sz="4" w:space="0"/>
              <w:bottom w:val="single" w:color="000000" w:sz="4" w:space="0"/>
              <w:right w:val="single" w:color="000000" w:sz="4" w:space="0"/>
            </w:tcBorders>
            <w:noWrap/>
            <w:vAlign w:val="bottom"/>
          </w:tcPr>
          <w:p w14:paraId="2C4428E3">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80.59 </w:t>
            </w:r>
          </w:p>
        </w:tc>
      </w:tr>
      <w:tr w14:paraId="6703AA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exact"/>
        </w:trPr>
        <w:tc>
          <w:tcPr>
            <w:tcW w:w="1183" w:type="dxa"/>
            <w:tcBorders>
              <w:top w:val="single" w:color="000000" w:sz="4" w:space="0"/>
              <w:left w:val="single" w:color="000000" w:sz="4" w:space="0"/>
              <w:bottom w:val="single" w:color="000000" w:sz="4" w:space="0"/>
              <w:right w:val="single" w:color="000000" w:sz="4" w:space="0"/>
            </w:tcBorders>
            <w:noWrap/>
            <w:vAlign w:val="bottom"/>
          </w:tcPr>
          <w:p w14:paraId="2B36A310">
            <w:pPr>
              <w:jc w:val="center"/>
              <w:rPr>
                <w:rFonts w:hint="default" w:ascii="Times New Roman" w:hAnsi="Times New Roman" w:eastAsia="宋体" w:cs="Times New Roman"/>
                <w:i w:val="0"/>
                <w:iCs w:val="0"/>
                <w:color w:val="auto"/>
                <w:sz w:val="21"/>
                <w:szCs w:val="21"/>
                <w:highlight w:val="none"/>
                <w:u w:val="none"/>
              </w:rPr>
            </w:pPr>
          </w:p>
        </w:tc>
        <w:tc>
          <w:tcPr>
            <w:tcW w:w="2306" w:type="dxa"/>
            <w:tcBorders>
              <w:top w:val="single" w:color="000000" w:sz="4" w:space="0"/>
              <w:left w:val="single" w:color="000000" w:sz="4" w:space="0"/>
              <w:bottom w:val="single" w:color="000000" w:sz="4" w:space="0"/>
              <w:right w:val="single" w:color="000000" w:sz="4" w:space="0"/>
            </w:tcBorders>
            <w:noWrap/>
            <w:vAlign w:val="bottom"/>
          </w:tcPr>
          <w:p w14:paraId="647A3BE8">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自卸汽车15t</w:t>
            </w:r>
          </w:p>
        </w:tc>
        <w:tc>
          <w:tcPr>
            <w:tcW w:w="893" w:type="dxa"/>
            <w:tcBorders>
              <w:top w:val="single" w:color="000000" w:sz="4" w:space="0"/>
              <w:left w:val="single" w:color="000000" w:sz="4" w:space="0"/>
              <w:bottom w:val="single" w:color="000000" w:sz="4" w:space="0"/>
              <w:right w:val="single" w:color="000000" w:sz="4" w:space="0"/>
            </w:tcBorders>
            <w:noWrap/>
            <w:vAlign w:val="bottom"/>
          </w:tcPr>
          <w:p w14:paraId="37C60D41">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台班</w:t>
            </w:r>
          </w:p>
        </w:tc>
        <w:tc>
          <w:tcPr>
            <w:tcW w:w="1113" w:type="dxa"/>
            <w:tcBorders>
              <w:top w:val="single" w:color="000000" w:sz="4" w:space="0"/>
              <w:left w:val="single" w:color="000000" w:sz="4" w:space="0"/>
              <w:bottom w:val="single" w:color="000000" w:sz="4" w:space="0"/>
              <w:right w:val="single" w:color="000000" w:sz="4" w:space="0"/>
            </w:tcBorders>
            <w:noWrap/>
            <w:vAlign w:val="bottom"/>
          </w:tcPr>
          <w:p w14:paraId="6A6AF7BB">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0.94 </w:t>
            </w:r>
          </w:p>
        </w:tc>
        <w:tc>
          <w:tcPr>
            <w:tcW w:w="1256" w:type="dxa"/>
            <w:tcBorders>
              <w:top w:val="single" w:color="000000" w:sz="4" w:space="0"/>
              <w:left w:val="single" w:color="000000" w:sz="4" w:space="0"/>
              <w:bottom w:val="single" w:color="000000" w:sz="4" w:space="0"/>
              <w:right w:val="single" w:color="000000" w:sz="4" w:space="0"/>
            </w:tcBorders>
            <w:noWrap/>
            <w:vAlign w:val="bottom"/>
          </w:tcPr>
          <w:p w14:paraId="226A757C">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676.57 </w:t>
            </w:r>
          </w:p>
        </w:tc>
        <w:tc>
          <w:tcPr>
            <w:tcW w:w="1771" w:type="dxa"/>
            <w:tcBorders>
              <w:top w:val="single" w:color="000000" w:sz="4" w:space="0"/>
              <w:left w:val="single" w:color="000000" w:sz="4" w:space="0"/>
              <w:bottom w:val="single" w:color="000000" w:sz="4" w:space="0"/>
              <w:right w:val="single" w:color="000000" w:sz="4" w:space="0"/>
            </w:tcBorders>
            <w:noWrap/>
            <w:vAlign w:val="bottom"/>
          </w:tcPr>
          <w:p w14:paraId="1AC40BD4">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635.97 </w:t>
            </w:r>
          </w:p>
        </w:tc>
      </w:tr>
      <w:tr w14:paraId="35D5AB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exact"/>
        </w:trPr>
        <w:tc>
          <w:tcPr>
            <w:tcW w:w="1183" w:type="dxa"/>
            <w:tcBorders>
              <w:top w:val="single" w:color="000000" w:sz="4" w:space="0"/>
              <w:left w:val="single" w:color="000000" w:sz="4" w:space="0"/>
              <w:bottom w:val="single" w:color="000000" w:sz="4" w:space="0"/>
              <w:right w:val="single" w:color="000000" w:sz="4" w:space="0"/>
            </w:tcBorders>
            <w:noWrap/>
            <w:vAlign w:val="bottom"/>
          </w:tcPr>
          <w:p w14:paraId="08178EA8">
            <w:pPr>
              <w:jc w:val="center"/>
              <w:rPr>
                <w:rFonts w:hint="default" w:ascii="Times New Roman" w:hAnsi="Times New Roman" w:eastAsia="宋体" w:cs="Times New Roman"/>
                <w:i w:val="0"/>
                <w:iCs w:val="0"/>
                <w:color w:val="auto"/>
                <w:sz w:val="21"/>
                <w:szCs w:val="21"/>
                <w:highlight w:val="none"/>
                <w:u w:val="none"/>
              </w:rPr>
            </w:pPr>
          </w:p>
        </w:tc>
        <w:tc>
          <w:tcPr>
            <w:tcW w:w="2306" w:type="dxa"/>
            <w:tcBorders>
              <w:top w:val="single" w:color="000000" w:sz="4" w:space="0"/>
              <w:left w:val="single" w:color="000000" w:sz="4" w:space="0"/>
              <w:bottom w:val="single" w:color="000000" w:sz="4" w:space="0"/>
              <w:right w:val="single" w:color="000000" w:sz="4" w:space="0"/>
            </w:tcBorders>
            <w:noWrap/>
            <w:vAlign w:val="bottom"/>
          </w:tcPr>
          <w:p w14:paraId="0CA3A141">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其他费用</w:t>
            </w:r>
          </w:p>
        </w:tc>
        <w:tc>
          <w:tcPr>
            <w:tcW w:w="893" w:type="dxa"/>
            <w:tcBorders>
              <w:top w:val="single" w:color="000000" w:sz="4" w:space="0"/>
              <w:left w:val="single" w:color="000000" w:sz="4" w:space="0"/>
              <w:bottom w:val="single" w:color="000000" w:sz="4" w:space="0"/>
              <w:right w:val="single" w:color="000000" w:sz="4" w:space="0"/>
            </w:tcBorders>
            <w:noWrap/>
            <w:vAlign w:val="bottom"/>
          </w:tcPr>
          <w:p w14:paraId="652FE8D2">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113" w:type="dxa"/>
            <w:tcBorders>
              <w:top w:val="single" w:color="000000" w:sz="4" w:space="0"/>
              <w:left w:val="single" w:color="000000" w:sz="4" w:space="0"/>
              <w:bottom w:val="single" w:color="000000" w:sz="4" w:space="0"/>
              <w:right w:val="single" w:color="000000" w:sz="4" w:space="0"/>
            </w:tcBorders>
            <w:noWrap/>
            <w:vAlign w:val="bottom"/>
          </w:tcPr>
          <w:p w14:paraId="06810A13">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2.40 </w:t>
            </w:r>
          </w:p>
        </w:tc>
        <w:tc>
          <w:tcPr>
            <w:tcW w:w="1256" w:type="dxa"/>
            <w:tcBorders>
              <w:top w:val="single" w:color="000000" w:sz="4" w:space="0"/>
              <w:left w:val="single" w:color="000000" w:sz="4" w:space="0"/>
              <w:bottom w:val="single" w:color="000000" w:sz="4" w:space="0"/>
              <w:right w:val="single" w:color="000000" w:sz="4" w:space="0"/>
            </w:tcBorders>
            <w:noWrap/>
            <w:vAlign w:val="bottom"/>
          </w:tcPr>
          <w:p w14:paraId="19F2B82D">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1021.37 </w:t>
            </w:r>
          </w:p>
        </w:tc>
        <w:tc>
          <w:tcPr>
            <w:tcW w:w="1771" w:type="dxa"/>
            <w:tcBorders>
              <w:top w:val="single" w:color="000000" w:sz="4" w:space="0"/>
              <w:left w:val="single" w:color="000000" w:sz="4" w:space="0"/>
              <w:bottom w:val="single" w:color="000000" w:sz="4" w:space="0"/>
              <w:right w:val="single" w:color="000000" w:sz="4" w:space="0"/>
            </w:tcBorders>
            <w:noWrap/>
            <w:vAlign w:val="bottom"/>
          </w:tcPr>
          <w:p w14:paraId="4849D60E">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24.51 </w:t>
            </w:r>
          </w:p>
        </w:tc>
      </w:tr>
      <w:tr w14:paraId="5EBD37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exact"/>
        </w:trPr>
        <w:tc>
          <w:tcPr>
            <w:tcW w:w="1183" w:type="dxa"/>
            <w:tcBorders>
              <w:top w:val="single" w:color="000000" w:sz="4" w:space="0"/>
              <w:left w:val="single" w:color="000000" w:sz="4" w:space="0"/>
              <w:bottom w:val="single" w:color="000000" w:sz="4" w:space="0"/>
              <w:right w:val="single" w:color="000000" w:sz="4" w:space="0"/>
            </w:tcBorders>
            <w:noWrap/>
            <w:vAlign w:val="bottom"/>
          </w:tcPr>
          <w:p w14:paraId="692B5CE5">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（二）</w:t>
            </w:r>
          </w:p>
        </w:tc>
        <w:tc>
          <w:tcPr>
            <w:tcW w:w="2306" w:type="dxa"/>
            <w:tcBorders>
              <w:top w:val="single" w:color="000000" w:sz="4" w:space="0"/>
              <w:left w:val="single" w:color="000000" w:sz="4" w:space="0"/>
              <w:bottom w:val="single" w:color="000000" w:sz="4" w:space="0"/>
              <w:right w:val="single" w:color="000000" w:sz="4" w:space="0"/>
            </w:tcBorders>
            <w:noWrap/>
            <w:vAlign w:val="bottom"/>
          </w:tcPr>
          <w:p w14:paraId="15488DE7">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措施费</w:t>
            </w:r>
          </w:p>
        </w:tc>
        <w:tc>
          <w:tcPr>
            <w:tcW w:w="893" w:type="dxa"/>
            <w:tcBorders>
              <w:top w:val="single" w:color="000000" w:sz="4" w:space="0"/>
              <w:left w:val="single" w:color="000000" w:sz="4" w:space="0"/>
              <w:bottom w:val="single" w:color="000000" w:sz="4" w:space="0"/>
              <w:right w:val="single" w:color="000000" w:sz="4" w:space="0"/>
            </w:tcBorders>
            <w:noWrap/>
            <w:vAlign w:val="bottom"/>
          </w:tcPr>
          <w:p w14:paraId="0AB9556A">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113" w:type="dxa"/>
            <w:tcBorders>
              <w:top w:val="single" w:color="000000" w:sz="4" w:space="0"/>
              <w:left w:val="single" w:color="000000" w:sz="4" w:space="0"/>
              <w:bottom w:val="single" w:color="000000" w:sz="4" w:space="0"/>
              <w:right w:val="single" w:color="000000" w:sz="4" w:space="0"/>
            </w:tcBorders>
            <w:noWrap/>
            <w:vAlign w:val="bottom"/>
          </w:tcPr>
          <w:p w14:paraId="7AE2995A">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3.80 </w:t>
            </w:r>
          </w:p>
        </w:tc>
        <w:tc>
          <w:tcPr>
            <w:tcW w:w="1256" w:type="dxa"/>
            <w:tcBorders>
              <w:top w:val="single" w:color="000000" w:sz="4" w:space="0"/>
              <w:left w:val="single" w:color="000000" w:sz="4" w:space="0"/>
              <w:bottom w:val="single" w:color="000000" w:sz="4" w:space="0"/>
              <w:right w:val="single" w:color="000000" w:sz="4" w:space="0"/>
            </w:tcBorders>
            <w:noWrap/>
            <w:vAlign w:val="bottom"/>
          </w:tcPr>
          <w:p w14:paraId="43821E9A">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1106.79 </w:t>
            </w:r>
          </w:p>
        </w:tc>
        <w:tc>
          <w:tcPr>
            <w:tcW w:w="1771" w:type="dxa"/>
            <w:tcBorders>
              <w:top w:val="single" w:color="000000" w:sz="4" w:space="0"/>
              <w:left w:val="single" w:color="000000" w:sz="4" w:space="0"/>
              <w:bottom w:val="single" w:color="000000" w:sz="4" w:space="0"/>
              <w:right w:val="single" w:color="000000" w:sz="4" w:space="0"/>
            </w:tcBorders>
            <w:noWrap/>
            <w:vAlign w:val="bottom"/>
          </w:tcPr>
          <w:p w14:paraId="41B97368">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42.06 </w:t>
            </w:r>
          </w:p>
        </w:tc>
      </w:tr>
      <w:tr w14:paraId="4ADB91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exact"/>
        </w:trPr>
        <w:tc>
          <w:tcPr>
            <w:tcW w:w="1183" w:type="dxa"/>
            <w:tcBorders>
              <w:top w:val="single" w:color="000000" w:sz="4" w:space="0"/>
              <w:left w:val="single" w:color="000000" w:sz="4" w:space="0"/>
              <w:bottom w:val="single" w:color="000000" w:sz="4" w:space="0"/>
              <w:right w:val="single" w:color="000000" w:sz="4" w:space="0"/>
            </w:tcBorders>
            <w:noWrap/>
            <w:vAlign w:val="bottom"/>
          </w:tcPr>
          <w:p w14:paraId="4A33808D">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二</w:t>
            </w:r>
          </w:p>
        </w:tc>
        <w:tc>
          <w:tcPr>
            <w:tcW w:w="2306" w:type="dxa"/>
            <w:tcBorders>
              <w:top w:val="single" w:color="000000" w:sz="4" w:space="0"/>
              <w:left w:val="single" w:color="000000" w:sz="4" w:space="0"/>
              <w:bottom w:val="single" w:color="000000" w:sz="4" w:space="0"/>
              <w:right w:val="single" w:color="000000" w:sz="4" w:space="0"/>
            </w:tcBorders>
            <w:noWrap/>
            <w:vAlign w:val="bottom"/>
          </w:tcPr>
          <w:p w14:paraId="01B77F35">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间接费</w:t>
            </w:r>
          </w:p>
        </w:tc>
        <w:tc>
          <w:tcPr>
            <w:tcW w:w="893" w:type="dxa"/>
            <w:tcBorders>
              <w:top w:val="single" w:color="000000" w:sz="4" w:space="0"/>
              <w:left w:val="single" w:color="000000" w:sz="4" w:space="0"/>
              <w:bottom w:val="single" w:color="000000" w:sz="4" w:space="0"/>
              <w:right w:val="single" w:color="000000" w:sz="4" w:space="0"/>
            </w:tcBorders>
            <w:noWrap/>
            <w:vAlign w:val="bottom"/>
          </w:tcPr>
          <w:p w14:paraId="7ABBF656">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113" w:type="dxa"/>
            <w:tcBorders>
              <w:top w:val="single" w:color="000000" w:sz="4" w:space="0"/>
              <w:left w:val="single" w:color="000000" w:sz="4" w:space="0"/>
              <w:bottom w:val="single" w:color="000000" w:sz="4" w:space="0"/>
              <w:right w:val="single" w:color="000000" w:sz="4" w:space="0"/>
            </w:tcBorders>
            <w:noWrap/>
            <w:vAlign w:val="bottom"/>
          </w:tcPr>
          <w:p w14:paraId="39ADC3F5">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7.20 </w:t>
            </w:r>
          </w:p>
        </w:tc>
        <w:tc>
          <w:tcPr>
            <w:tcW w:w="1256" w:type="dxa"/>
            <w:tcBorders>
              <w:top w:val="single" w:color="000000" w:sz="4" w:space="0"/>
              <w:left w:val="single" w:color="000000" w:sz="4" w:space="0"/>
              <w:bottom w:val="single" w:color="000000" w:sz="4" w:space="0"/>
              <w:right w:val="single" w:color="000000" w:sz="4" w:space="0"/>
            </w:tcBorders>
            <w:noWrap/>
            <w:vAlign w:val="bottom"/>
          </w:tcPr>
          <w:p w14:paraId="10613058">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1148.85 </w:t>
            </w:r>
          </w:p>
        </w:tc>
        <w:tc>
          <w:tcPr>
            <w:tcW w:w="1771" w:type="dxa"/>
            <w:tcBorders>
              <w:top w:val="single" w:color="000000" w:sz="4" w:space="0"/>
              <w:left w:val="single" w:color="000000" w:sz="4" w:space="0"/>
              <w:bottom w:val="single" w:color="000000" w:sz="4" w:space="0"/>
              <w:right w:val="single" w:color="000000" w:sz="4" w:space="0"/>
            </w:tcBorders>
            <w:noWrap/>
            <w:vAlign w:val="bottom"/>
          </w:tcPr>
          <w:p w14:paraId="68E69509">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82.72 </w:t>
            </w:r>
          </w:p>
        </w:tc>
      </w:tr>
      <w:tr w14:paraId="0E7D4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exact"/>
        </w:trPr>
        <w:tc>
          <w:tcPr>
            <w:tcW w:w="1183" w:type="dxa"/>
            <w:tcBorders>
              <w:top w:val="single" w:color="000000" w:sz="4" w:space="0"/>
              <w:left w:val="single" w:color="000000" w:sz="4" w:space="0"/>
              <w:bottom w:val="single" w:color="000000" w:sz="4" w:space="0"/>
              <w:right w:val="single" w:color="000000" w:sz="4" w:space="0"/>
            </w:tcBorders>
            <w:noWrap/>
            <w:vAlign w:val="bottom"/>
          </w:tcPr>
          <w:p w14:paraId="3539A8E0">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三</w:t>
            </w:r>
          </w:p>
        </w:tc>
        <w:tc>
          <w:tcPr>
            <w:tcW w:w="2306" w:type="dxa"/>
            <w:tcBorders>
              <w:top w:val="single" w:color="000000" w:sz="4" w:space="0"/>
              <w:left w:val="single" w:color="000000" w:sz="4" w:space="0"/>
              <w:bottom w:val="single" w:color="000000" w:sz="4" w:space="0"/>
              <w:right w:val="single" w:color="000000" w:sz="4" w:space="0"/>
            </w:tcBorders>
            <w:noWrap/>
            <w:vAlign w:val="bottom"/>
          </w:tcPr>
          <w:p w14:paraId="7B34E7BB">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利润</w:t>
            </w:r>
          </w:p>
        </w:tc>
        <w:tc>
          <w:tcPr>
            <w:tcW w:w="893" w:type="dxa"/>
            <w:tcBorders>
              <w:top w:val="single" w:color="000000" w:sz="4" w:space="0"/>
              <w:left w:val="single" w:color="000000" w:sz="4" w:space="0"/>
              <w:bottom w:val="single" w:color="000000" w:sz="4" w:space="0"/>
              <w:right w:val="single" w:color="000000" w:sz="4" w:space="0"/>
            </w:tcBorders>
            <w:noWrap/>
            <w:vAlign w:val="bottom"/>
          </w:tcPr>
          <w:p w14:paraId="027E5E91">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113" w:type="dxa"/>
            <w:tcBorders>
              <w:top w:val="single" w:color="000000" w:sz="4" w:space="0"/>
              <w:left w:val="single" w:color="000000" w:sz="4" w:space="0"/>
              <w:bottom w:val="single" w:color="000000" w:sz="4" w:space="0"/>
              <w:right w:val="single" w:color="000000" w:sz="4" w:space="0"/>
            </w:tcBorders>
            <w:noWrap/>
            <w:vAlign w:val="bottom"/>
          </w:tcPr>
          <w:p w14:paraId="4DCC6F5D">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3.00 </w:t>
            </w:r>
          </w:p>
        </w:tc>
        <w:tc>
          <w:tcPr>
            <w:tcW w:w="1256" w:type="dxa"/>
            <w:tcBorders>
              <w:top w:val="single" w:color="000000" w:sz="4" w:space="0"/>
              <w:left w:val="single" w:color="000000" w:sz="4" w:space="0"/>
              <w:bottom w:val="single" w:color="000000" w:sz="4" w:space="0"/>
              <w:right w:val="single" w:color="000000" w:sz="4" w:space="0"/>
            </w:tcBorders>
            <w:noWrap/>
            <w:vAlign w:val="bottom"/>
          </w:tcPr>
          <w:p w14:paraId="5B3662D3">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1231.57 </w:t>
            </w:r>
          </w:p>
        </w:tc>
        <w:tc>
          <w:tcPr>
            <w:tcW w:w="1771" w:type="dxa"/>
            <w:tcBorders>
              <w:top w:val="single" w:color="000000" w:sz="4" w:space="0"/>
              <w:left w:val="single" w:color="000000" w:sz="4" w:space="0"/>
              <w:bottom w:val="single" w:color="000000" w:sz="4" w:space="0"/>
              <w:right w:val="single" w:color="000000" w:sz="4" w:space="0"/>
            </w:tcBorders>
            <w:noWrap/>
            <w:vAlign w:val="bottom"/>
          </w:tcPr>
          <w:p w14:paraId="0913E91B">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36.95 </w:t>
            </w:r>
          </w:p>
        </w:tc>
      </w:tr>
      <w:tr w14:paraId="30EEB1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exact"/>
        </w:trPr>
        <w:tc>
          <w:tcPr>
            <w:tcW w:w="1183" w:type="dxa"/>
            <w:tcBorders>
              <w:top w:val="single" w:color="000000" w:sz="4" w:space="0"/>
              <w:left w:val="single" w:color="000000" w:sz="4" w:space="0"/>
              <w:bottom w:val="single" w:color="000000" w:sz="4" w:space="0"/>
              <w:right w:val="single" w:color="000000" w:sz="4" w:space="0"/>
            </w:tcBorders>
            <w:noWrap/>
            <w:vAlign w:val="bottom"/>
          </w:tcPr>
          <w:p w14:paraId="145E9755">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四</w:t>
            </w:r>
          </w:p>
        </w:tc>
        <w:tc>
          <w:tcPr>
            <w:tcW w:w="2306" w:type="dxa"/>
            <w:tcBorders>
              <w:top w:val="single" w:color="000000" w:sz="4" w:space="0"/>
              <w:left w:val="single" w:color="000000" w:sz="4" w:space="0"/>
              <w:bottom w:val="single" w:color="000000" w:sz="4" w:space="0"/>
              <w:right w:val="single" w:color="000000" w:sz="4" w:space="0"/>
            </w:tcBorders>
            <w:noWrap/>
            <w:vAlign w:val="bottom"/>
          </w:tcPr>
          <w:p w14:paraId="59674D49">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材料价差</w:t>
            </w:r>
          </w:p>
        </w:tc>
        <w:tc>
          <w:tcPr>
            <w:tcW w:w="893" w:type="dxa"/>
            <w:tcBorders>
              <w:top w:val="single" w:color="000000" w:sz="4" w:space="0"/>
              <w:left w:val="single" w:color="000000" w:sz="4" w:space="0"/>
              <w:bottom w:val="single" w:color="000000" w:sz="4" w:space="0"/>
              <w:right w:val="single" w:color="000000" w:sz="4" w:space="0"/>
            </w:tcBorders>
            <w:noWrap/>
            <w:vAlign w:val="bottom"/>
          </w:tcPr>
          <w:p w14:paraId="7B33ACC4">
            <w:pPr>
              <w:jc w:val="center"/>
              <w:rPr>
                <w:rFonts w:hint="default" w:ascii="Times New Roman" w:hAnsi="Times New Roman" w:eastAsia="宋体" w:cs="Times New Roman"/>
                <w:i w:val="0"/>
                <w:iCs w:val="0"/>
                <w:color w:val="auto"/>
                <w:sz w:val="21"/>
                <w:szCs w:val="21"/>
                <w:highlight w:val="none"/>
                <w:u w:val="none"/>
              </w:rPr>
            </w:pPr>
          </w:p>
        </w:tc>
        <w:tc>
          <w:tcPr>
            <w:tcW w:w="1113" w:type="dxa"/>
            <w:tcBorders>
              <w:top w:val="single" w:color="000000" w:sz="4" w:space="0"/>
              <w:left w:val="single" w:color="000000" w:sz="4" w:space="0"/>
              <w:bottom w:val="single" w:color="000000" w:sz="4" w:space="0"/>
              <w:right w:val="single" w:color="000000" w:sz="4" w:space="0"/>
            </w:tcBorders>
            <w:noWrap/>
            <w:vAlign w:val="bottom"/>
          </w:tcPr>
          <w:p w14:paraId="1484E065">
            <w:pPr>
              <w:jc w:val="center"/>
              <w:rPr>
                <w:rFonts w:hint="default" w:ascii="Times New Roman" w:hAnsi="Times New Roman" w:eastAsia="宋体" w:cs="Times New Roman"/>
                <w:i w:val="0"/>
                <w:iCs w:val="0"/>
                <w:color w:val="auto"/>
                <w:sz w:val="21"/>
                <w:szCs w:val="21"/>
                <w:highlight w:val="none"/>
                <w:u w:val="none"/>
              </w:rPr>
            </w:pPr>
          </w:p>
        </w:tc>
        <w:tc>
          <w:tcPr>
            <w:tcW w:w="1256" w:type="dxa"/>
            <w:tcBorders>
              <w:top w:val="single" w:color="000000" w:sz="4" w:space="0"/>
              <w:left w:val="single" w:color="000000" w:sz="4" w:space="0"/>
              <w:bottom w:val="single" w:color="000000" w:sz="4" w:space="0"/>
              <w:right w:val="single" w:color="000000" w:sz="4" w:space="0"/>
            </w:tcBorders>
            <w:noWrap/>
            <w:vAlign w:val="bottom"/>
          </w:tcPr>
          <w:p w14:paraId="1AF67C69">
            <w:pPr>
              <w:jc w:val="center"/>
              <w:rPr>
                <w:rFonts w:hint="default" w:ascii="Times New Roman" w:hAnsi="Times New Roman" w:eastAsia="宋体" w:cs="Times New Roman"/>
                <w:i w:val="0"/>
                <w:iCs w:val="0"/>
                <w:color w:val="auto"/>
                <w:sz w:val="21"/>
                <w:szCs w:val="21"/>
                <w:highlight w:val="none"/>
                <w:u w:val="none"/>
              </w:rPr>
            </w:pPr>
          </w:p>
        </w:tc>
        <w:tc>
          <w:tcPr>
            <w:tcW w:w="1771" w:type="dxa"/>
            <w:tcBorders>
              <w:top w:val="single" w:color="000000" w:sz="4" w:space="0"/>
              <w:left w:val="single" w:color="000000" w:sz="4" w:space="0"/>
              <w:bottom w:val="single" w:color="000000" w:sz="4" w:space="0"/>
              <w:right w:val="single" w:color="000000" w:sz="4" w:space="0"/>
            </w:tcBorders>
            <w:noWrap/>
            <w:vAlign w:val="bottom"/>
          </w:tcPr>
          <w:p w14:paraId="419723D2">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206.46 </w:t>
            </w:r>
          </w:p>
        </w:tc>
      </w:tr>
      <w:tr w14:paraId="7EA5B0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exact"/>
        </w:trPr>
        <w:tc>
          <w:tcPr>
            <w:tcW w:w="1183" w:type="dxa"/>
            <w:tcBorders>
              <w:top w:val="single" w:color="000000" w:sz="4" w:space="0"/>
              <w:left w:val="single" w:color="000000" w:sz="4" w:space="0"/>
              <w:bottom w:val="single" w:color="000000" w:sz="4" w:space="0"/>
              <w:right w:val="single" w:color="000000" w:sz="4" w:space="0"/>
            </w:tcBorders>
            <w:noWrap/>
            <w:vAlign w:val="bottom"/>
          </w:tcPr>
          <w:p w14:paraId="46740160">
            <w:pPr>
              <w:jc w:val="center"/>
              <w:rPr>
                <w:rFonts w:hint="default" w:ascii="Times New Roman" w:hAnsi="Times New Roman" w:eastAsia="宋体" w:cs="Times New Roman"/>
                <w:i w:val="0"/>
                <w:iCs w:val="0"/>
                <w:color w:val="auto"/>
                <w:sz w:val="21"/>
                <w:szCs w:val="21"/>
                <w:highlight w:val="none"/>
                <w:u w:val="none"/>
              </w:rPr>
            </w:pPr>
          </w:p>
        </w:tc>
        <w:tc>
          <w:tcPr>
            <w:tcW w:w="2306" w:type="dxa"/>
            <w:tcBorders>
              <w:top w:val="single" w:color="000000" w:sz="4" w:space="0"/>
              <w:left w:val="single" w:color="000000" w:sz="4" w:space="0"/>
              <w:bottom w:val="single" w:color="000000" w:sz="4" w:space="0"/>
              <w:right w:val="single" w:color="000000" w:sz="4" w:space="0"/>
            </w:tcBorders>
            <w:noWrap/>
            <w:vAlign w:val="bottom"/>
          </w:tcPr>
          <w:p w14:paraId="0D8FFD73">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柴油</w:t>
            </w:r>
          </w:p>
        </w:tc>
        <w:tc>
          <w:tcPr>
            <w:tcW w:w="893" w:type="dxa"/>
            <w:tcBorders>
              <w:top w:val="single" w:color="000000" w:sz="4" w:space="0"/>
              <w:left w:val="single" w:color="000000" w:sz="4" w:space="0"/>
              <w:bottom w:val="single" w:color="000000" w:sz="4" w:space="0"/>
              <w:right w:val="single" w:color="000000" w:sz="4" w:space="0"/>
            </w:tcBorders>
            <w:noWrap/>
            <w:vAlign w:val="bottom"/>
          </w:tcPr>
          <w:p w14:paraId="0BE402BF">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kg</w:t>
            </w:r>
          </w:p>
        </w:tc>
        <w:tc>
          <w:tcPr>
            <w:tcW w:w="1113" w:type="dxa"/>
            <w:tcBorders>
              <w:top w:val="single" w:color="000000" w:sz="4" w:space="0"/>
              <w:left w:val="single" w:color="000000" w:sz="4" w:space="0"/>
              <w:bottom w:val="single" w:color="000000" w:sz="4" w:space="0"/>
              <w:right w:val="single" w:color="000000" w:sz="4" w:space="0"/>
            </w:tcBorders>
            <w:noWrap/>
            <w:vAlign w:val="bottom"/>
          </w:tcPr>
          <w:p w14:paraId="2F2CB548">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67.47 </w:t>
            </w:r>
          </w:p>
        </w:tc>
        <w:tc>
          <w:tcPr>
            <w:tcW w:w="1256" w:type="dxa"/>
            <w:tcBorders>
              <w:top w:val="single" w:color="000000" w:sz="4" w:space="0"/>
              <w:left w:val="single" w:color="000000" w:sz="4" w:space="0"/>
              <w:bottom w:val="single" w:color="000000" w:sz="4" w:space="0"/>
              <w:right w:val="single" w:color="000000" w:sz="4" w:space="0"/>
            </w:tcBorders>
            <w:noWrap/>
            <w:vAlign w:val="bottom"/>
          </w:tcPr>
          <w:p w14:paraId="514006D2">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3.06 </w:t>
            </w:r>
          </w:p>
        </w:tc>
        <w:tc>
          <w:tcPr>
            <w:tcW w:w="1771" w:type="dxa"/>
            <w:tcBorders>
              <w:top w:val="single" w:color="000000" w:sz="4" w:space="0"/>
              <w:left w:val="single" w:color="000000" w:sz="4" w:space="0"/>
              <w:bottom w:val="single" w:color="000000" w:sz="4" w:space="0"/>
              <w:right w:val="single" w:color="000000" w:sz="4" w:space="0"/>
            </w:tcBorders>
            <w:noWrap/>
            <w:vAlign w:val="bottom"/>
          </w:tcPr>
          <w:p w14:paraId="7868ED88">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206.46 </w:t>
            </w:r>
          </w:p>
        </w:tc>
      </w:tr>
      <w:tr w14:paraId="7BC05D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exact"/>
        </w:trPr>
        <w:tc>
          <w:tcPr>
            <w:tcW w:w="1183" w:type="dxa"/>
            <w:tcBorders>
              <w:top w:val="single" w:color="000000" w:sz="4" w:space="0"/>
              <w:left w:val="single" w:color="000000" w:sz="4" w:space="0"/>
              <w:bottom w:val="single" w:color="000000" w:sz="4" w:space="0"/>
              <w:right w:val="single" w:color="000000" w:sz="4" w:space="0"/>
            </w:tcBorders>
            <w:noWrap/>
            <w:vAlign w:val="bottom"/>
          </w:tcPr>
          <w:p w14:paraId="1D76DEAE">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五</w:t>
            </w:r>
          </w:p>
        </w:tc>
        <w:tc>
          <w:tcPr>
            <w:tcW w:w="2306" w:type="dxa"/>
            <w:tcBorders>
              <w:top w:val="single" w:color="000000" w:sz="4" w:space="0"/>
              <w:left w:val="single" w:color="000000" w:sz="4" w:space="0"/>
              <w:bottom w:val="single" w:color="000000" w:sz="4" w:space="0"/>
              <w:right w:val="single" w:color="000000" w:sz="4" w:space="0"/>
            </w:tcBorders>
            <w:noWrap/>
            <w:vAlign w:val="bottom"/>
          </w:tcPr>
          <w:p w14:paraId="0623518B">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税金</w:t>
            </w:r>
          </w:p>
        </w:tc>
        <w:tc>
          <w:tcPr>
            <w:tcW w:w="893" w:type="dxa"/>
            <w:tcBorders>
              <w:top w:val="single" w:color="000000" w:sz="4" w:space="0"/>
              <w:left w:val="single" w:color="000000" w:sz="4" w:space="0"/>
              <w:bottom w:val="single" w:color="000000" w:sz="4" w:space="0"/>
              <w:right w:val="single" w:color="000000" w:sz="4" w:space="0"/>
            </w:tcBorders>
            <w:noWrap/>
            <w:vAlign w:val="bottom"/>
          </w:tcPr>
          <w:p w14:paraId="5806E2F3">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113" w:type="dxa"/>
            <w:tcBorders>
              <w:top w:val="single" w:color="000000" w:sz="4" w:space="0"/>
              <w:left w:val="single" w:color="000000" w:sz="4" w:space="0"/>
              <w:bottom w:val="single" w:color="000000" w:sz="4" w:space="0"/>
              <w:right w:val="single" w:color="000000" w:sz="4" w:space="0"/>
            </w:tcBorders>
            <w:noWrap/>
            <w:vAlign w:val="bottom"/>
          </w:tcPr>
          <w:p w14:paraId="0DCE323B">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9.00 </w:t>
            </w:r>
          </w:p>
        </w:tc>
        <w:tc>
          <w:tcPr>
            <w:tcW w:w="1256" w:type="dxa"/>
            <w:tcBorders>
              <w:top w:val="single" w:color="000000" w:sz="4" w:space="0"/>
              <w:left w:val="single" w:color="000000" w:sz="4" w:space="0"/>
              <w:bottom w:val="single" w:color="000000" w:sz="4" w:space="0"/>
              <w:right w:val="single" w:color="000000" w:sz="4" w:space="0"/>
            </w:tcBorders>
            <w:noWrap/>
            <w:vAlign w:val="bottom"/>
          </w:tcPr>
          <w:p w14:paraId="54EA638F">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1474.97 </w:t>
            </w:r>
          </w:p>
        </w:tc>
        <w:tc>
          <w:tcPr>
            <w:tcW w:w="1771" w:type="dxa"/>
            <w:tcBorders>
              <w:top w:val="single" w:color="000000" w:sz="4" w:space="0"/>
              <w:left w:val="single" w:color="000000" w:sz="4" w:space="0"/>
              <w:bottom w:val="single" w:color="000000" w:sz="4" w:space="0"/>
              <w:right w:val="single" w:color="000000" w:sz="4" w:space="0"/>
            </w:tcBorders>
            <w:noWrap/>
            <w:vAlign w:val="bottom"/>
          </w:tcPr>
          <w:p w14:paraId="59BB17CA">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132.75 </w:t>
            </w:r>
          </w:p>
        </w:tc>
      </w:tr>
      <w:tr w14:paraId="33E3A8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exact"/>
        </w:trPr>
        <w:tc>
          <w:tcPr>
            <w:tcW w:w="3489" w:type="dxa"/>
            <w:gridSpan w:val="2"/>
            <w:tcBorders>
              <w:top w:val="single" w:color="000000" w:sz="4" w:space="0"/>
              <w:left w:val="single" w:color="000000" w:sz="4" w:space="0"/>
              <w:bottom w:val="single" w:color="000000" w:sz="4" w:space="0"/>
              <w:right w:val="single" w:color="000000" w:sz="4" w:space="0"/>
            </w:tcBorders>
            <w:noWrap/>
            <w:vAlign w:val="bottom"/>
          </w:tcPr>
          <w:p w14:paraId="0886F217">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合计</w:t>
            </w:r>
          </w:p>
        </w:tc>
        <w:tc>
          <w:tcPr>
            <w:tcW w:w="893" w:type="dxa"/>
            <w:tcBorders>
              <w:top w:val="single" w:color="000000" w:sz="4" w:space="0"/>
              <w:left w:val="single" w:color="000000" w:sz="4" w:space="0"/>
              <w:bottom w:val="single" w:color="000000" w:sz="4" w:space="0"/>
              <w:right w:val="single" w:color="000000" w:sz="4" w:space="0"/>
            </w:tcBorders>
            <w:noWrap/>
            <w:vAlign w:val="bottom"/>
          </w:tcPr>
          <w:p w14:paraId="4E302F2A">
            <w:pPr>
              <w:jc w:val="center"/>
              <w:rPr>
                <w:rFonts w:hint="default" w:ascii="Times New Roman" w:hAnsi="Times New Roman" w:eastAsia="宋体" w:cs="Times New Roman"/>
                <w:i w:val="0"/>
                <w:iCs w:val="0"/>
                <w:color w:val="auto"/>
                <w:sz w:val="21"/>
                <w:szCs w:val="21"/>
                <w:highlight w:val="none"/>
                <w:u w:val="none"/>
              </w:rPr>
            </w:pPr>
          </w:p>
        </w:tc>
        <w:tc>
          <w:tcPr>
            <w:tcW w:w="1113" w:type="dxa"/>
            <w:tcBorders>
              <w:top w:val="single" w:color="000000" w:sz="4" w:space="0"/>
              <w:left w:val="single" w:color="000000" w:sz="4" w:space="0"/>
              <w:bottom w:val="single" w:color="000000" w:sz="4" w:space="0"/>
              <w:right w:val="single" w:color="000000" w:sz="4" w:space="0"/>
            </w:tcBorders>
            <w:noWrap/>
            <w:vAlign w:val="bottom"/>
          </w:tcPr>
          <w:p w14:paraId="0A095CD6">
            <w:pPr>
              <w:jc w:val="center"/>
              <w:rPr>
                <w:rFonts w:hint="default" w:ascii="Times New Roman" w:hAnsi="Times New Roman" w:eastAsia="宋体" w:cs="Times New Roman"/>
                <w:i w:val="0"/>
                <w:iCs w:val="0"/>
                <w:color w:val="auto"/>
                <w:sz w:val="21"/>
                <w:szCs w:val="21"/>
                <w:highlight w:val="none"/>
                <w:u w:val="none"/>
              </w:rPr>
            </w:pPr>
          </w:p>
        </w:tc>
        <w:tc>
          <w:tcPr>
            <w:tcW w:w="1256" w:type="dxa"/>
            <w:tcBorders>
              <w:top w:val="single" w:color="000000" w:sz="4" w:space="0"/>
              <w:left w:val="single" w:color="000000" w:sz="4" w:space="0"/>
              <w:bottom w:val="single" w:color="000000" w:sz="4" w:space="0"/>
              <w:right w:val="single" w:color="000000" w:sz="4" w:space="0"/>
            </w:tcBorders>
            <w:noWrap/>
            <w:vAlign w:val="bottom"/>
          </w:tcPr>
          <w:p w14:paraId="120177D7">
            <w:pPr>
              <w:jc w:val="center"/>
              <w:rPr>
                <w:rFonts w:hint="default" w:ascii="Times New Roman" w:hAnsi="Times New Roman" w:eastAsia="宋体" w:cs="Times New Roman"/>
                <w:i w:val="0"/>
                <w:iCs w:val="0"/>
                <w:color w:val="auto"/>
                <w:sz w:val="21"/>
                <w:szCs w:val="21"/>
                <w:highlight w:val="none"/>
                <w:u w:val="none"/>
              </w:rPr>
            </w:pPr>
          </w:p>
        </w:tc>
        <w:tc>
          <w:tcPr>
            <w:tcW w:w="1771" w:type="dxa"/>
            <w:tcBorders>
              <w:top w:val="single" w:color="000000" w:sz="4" w:space="0"/>
              <w:left w:val="single" w:color="000000" w:sz="4" w:space="0"/>
              <w:bottom w:val="single" w:color="000000" w:sz="4" w:space="0"/>
              <w:right w:val="single" w:color="000000" w:sz="4" w:space="0"/>
            </w:tcBorders>
            <w:noWrap/>
            <w:vAlign w:val="bottom"/>
          </w:tcPr>
          <w:p w14:paraId="5870140E">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1607.72 </w:t>
            </w:r>
          </w:p>
        </w:tc>
      </w:tr>
    </w:tbl>
    <w:p w14:paraId="6293B570">
      <w:pPr>
        <w:pStyle w:val="14"/>
        <w:rPr>
          <w:rFonts w:hint="default"/>
          <w:color w:val="auto"/>
          <w:highlight w:val="none"/>
        </w:rPr>
      </w:pPr>
    </w:p>
    <w:p w14:paraId="14C1531E">
      <w:pPr>
        <w:rPr>
          <w:rFonts w:hint="default" w:ascii="Times New Roman" w:hAnsi="Times New Roman" w:cs="Times New Roman"/>
          <w:color w:val="auto"/>
          <w:sz w:val="21"/>
          <w:szCs w:val="21"/>
          <w:highlight w:val="none"/>
        </w:rPr>
      </w:pPr>
    </w:p>
    <w:p w14:paraId="23C7A2DA">
      <w:pPr>
        <w:pStyle w:val="90"/>
        <w:autoSpaceDE w:val="0"/>
        <w:autoSpaceDN w:val="0"/>
        <w:rPr>
          <w:rFonts w:hint="default" w:ascii="Times New Roman" w:hAnsi="Times New Roman" w:eastAsia="宋体" w:cs="Times New Roman"/>
          <w:b w:val="0"/>
          <w:bCs/>
          <w:color w:val="auto"/>
          <w:sz w:val="21"/>
          <w:szCs w:val="21"/>
          <w:highlight w:val="none"/>
        </w:rPr>
      </w:pPr>
    </w:p>
    <w:tbl>
      <w:tblPr>
        <w:tblStyle w:val="3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65"/>
        <w:gridCol w:w="1628"/>
        <w:gridCol w:w="1367"/>
        <w:gridCol w:w="1253"/>
        <w:gridCol w:w="1384"/>
        <w:gridCol w:w="1525"/>
      </w:tblGrid>
      <w:tr w14:paraId="1F61E9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0DE5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rPr>
            </w:pPr>
            <w:bookmarkStart w:id="293" w:name="_Toc26605"/>
            <w:bookmarkStart w:id="294" w:name="_Toc487106188"/>
            <w:bookmarkStart w:id="295" w:name="_Toc23855663"/>
            <w:bookmarkStart w:id="296" w:name="_Toc19700"/>
            <w:r>
              <w:rPr>
                <w:rFonts w:hint="eastAsia" w:cs="Times New Roman"/>
                <w:b w:val="0"/>
                <w:bCs w:val="0"/>
                <w:i w:val="0"/>
                <w:iCs w:val="0"/>
                <w:color w:val="auto"/>
                <w:kern w:val="0"/>
                <w:sz w:val="21"/>
                <w:szCs w:val="21"/>
                <w:highlight w:val="none"/>
                <w:u w:val="none"/>
                <w:lang w:val="en-US" w:eastAsia="zh-CN" w:bidi="ar"/>
              </w:rPr>
              <w:t>5</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w:t>
            </w:r>
            <w:r>
              <w:rPr>
                <w:rFonts w:hint="eastAsia" w:cs="Times New Roman"/>
                <w:b w:val="0"/>
                <w:bCs w:val="0"/>
                <w:i w:val="0"/>
                <w:iCs w:val="0"/>
                <w:color w:val="auto"/>
                <w:kern w:val="0"/>
                <w:sz w:val="21"/>
                <w:szCs w:val="21"/>
                <w:highlight w:val="none"/>
                <w:u w:val="none"/>
                <w:lang w:val="en-US" w:eastAsia="zh-CN" w:bidi="ar"/>
              </w:rPr>
              <w:t>边坡清理</w:t>
            </w:r>
          </w:p>
        </w:tc>
      </w:tr>
      <w:tr w14:paraId="2ECBBF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6E3ECC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定额编号：20056                                                  定额单位：100m</w:t>
            </w:r>
            <w:r>
              <w:rPr>
                <w:rFonts w:hint="default" w:ascii="Times New Roman" w:hAnsi="Times New Roman" w:eastAsia="宋体" w:cs="Times New Roman"/>
                <w:b w:val="0"/>
                <w:bCs w:val="0"/>
                <w:i w:val="0"/>
                <w:iCs w:val="0"/>
                <w:color w:val="auto"/>
                <w:kern w:val="0"/>
                <w:sz w:val="21"/>
                <w:szCs w:val="21"/>
                <w:highlight w:val="none"/>
                <w:u w:val="none"/>
                <w:vertAlign w:val="superscript"/>
                <w:lang w:val="en-US" w:eastAsia="zh-CN" w:bidi="ar"/>
              </w:rPr>
              <w:t>3</w:t>
            </w:r>
          </w:p>
        </w:tc>
      </w:tr>
      <w:tr w14:paraId="5B05F8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DD6EAA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工作内容：电钻钻孔、爆破、撬移、解小、翻碴、清面。</w:t>
            </w:r>
          </w:p>
        </w:tc>
      </w:tr>
      <w:tr w14:paraId="4B2F86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C3871C">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序号</w:t>
            </w:r>
          </w:p>
        </w:tc>
        <w:tc>
          <w:tcPr>
            <w:tcW w:w="9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F8127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项目名称</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DE12B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单位</w:t>
            </w:r>
          </w:p>
        </w:tc>
        <w:tc>
          <w:tcPr>
            <w:tcW w:w="7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5E0F84">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数量</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1AE614">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单价</w:t>
            </w:r>
          </w:p>
        </w:tc>
        <w:tc>
          <w:tcPr>
            <w:tcW w:w="8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CC7AB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小计</w:t>
            </w:r>
          </w:p>
        </w:tc>
      </w:tr>
      <w:tr w14:paraId="03E10E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8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8B05E">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一</w:t>
            </w:r>
          </w:p>
        </w:tc>
        <w:tc>
          <w:tcPr>
            <w:tcW w:w="9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F51FE">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直接费</w:t>
            </w:r>
          </w:p>
        </w:tc>
        <w:tc>
          <w:tcPr>
            <w:tcW w:w="8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BF2B4">
            <w:pPr>
              <w:jc w:val="center"/>
              <w:rPr>
                <w:rFonts w:hint="default" w:ascii="Times New Roman" w:hAnsi="Times New Roman" w:eastAsia="宋体" w:cs="Times New Roman"/>
                <w:b w:val="0"/>
                <w:bCs w:val="0"/>
                <w:i w:val="0"/>
                <w:iCs w:val="0"/>
                <w:color w:val="auto"/>
                <w:sz w:val="21"/>
                <w:szCs w:val="21"/>
                <w:highlight w:val="none"/>
                <w:u w:val="none"/>
              </w:rPr>
            </w:pPr>
          </w:p>
        </w:tc>
        <w:tc>
          <w:tcPr>
            <w:tcW w:w="7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1081D">
            <w:pPr>
              <w:jc w:val="center"/>
              <w:rPr>
                <w:rFonts w:hint="default" w:ascii="Times New Roman" w:hAnsi="Times New Roman" w:eastAsia="宋体" w:cs="Times New Roman"/>
                <w:b w:val="0"/>
                <w:bCs w:val="0"/>
                <w:i w:val="0"/>
                <w:iCs w:val="0"/>
                <w:color w:val="auto"/>
                <w:sz w:val="21"/>
                <w:szCs w:val="21"/>
                <w:highlight w:val="none"/>
                <w:u w:val="none"/>
              </w:rPr>
            </w:pPr>
          </w:p>
        </w:tc>
        <w:tc>
          <w:tcPr>
            <w:tcW w:w="8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13B3B">
            <w:pPr>
              <w:jc w:val="center"/>
              <w:rPr>
                <w:rFonts w:hint="default" w:ascii="Times New Roman" w:hAnsi="Times New Roman" w:eastAsia="宋体" w:cs="Times New Roman"/>
                <w:b w:val="0"/>
                <w:bCs w:val="0"/>
                <w:i w:val="0"/>
                <w:iCs w:val="0"/>
                <w:color w:val="auto"/>
                <w:sz w:val="21"/>
                <w:szCs w:val="21"/>
                <w:highlight w:val="none"/>
                <w:u w:val="none"/>
              </w:rPr>
            </w:pPr>
          </w:p>
        </w:tc>
        <w:tc>
          <w:tcPr>
            <w:tcW w:w="8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110C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 xml:space="preserve">2125.08 </w:t>
            </w:r>
          </w:p>
        </w:tc>
      </w:tr>
      <w:tr w14:paraId="7833D3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E654D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（一）</w:t>
            </w:r>
          </w:p>
        </w:tc>
        <w:tc>
          <w:tcPr>
            <w:tcW w:w="9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585D0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直接工程费</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03D376">
            <w:pPr>
              <w:jc w:val="center"/>
              <w:rPr>
                <w:rFonts w:hint="default" w:ascii="Times New Roman" w:hAnsi="Times New Roman" w:eastAsia="宋体" w:cs="Times New Roman"/>
                <w:b w:val="0"/>
                <w:bCs w:val="0"/>
                <w:i w:val="0"/>
                <w:iCs w:val="0"/>
                <w:color w:val="auto"/>
                <w:sz w:val="21"/>
                <w:szCs w:val="21"/>
                <w:highlight w:val="none"/>
                <w:u w:val="none"/>
              </w:rPr>
            </w:pPr>
          </w:p>
        </w:tc>
        <w:tc>
          <w:tcPr>
            <w:tcW w:w="7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ACBACE">
            <w:pPr>
              <w:jc w:val="center"/>
              <w:rPr>
                <w:rFonts w:hint="default" w:ascii="Times New Roman" w:hAnsi="Times New Roman" w:eastAsia="宋体" w:cs="Times New Roman"/>
                <w:b w:val="0"/>
                <w:bCs w:val="0"/>
                <w:i w:val="0"/>
                <w:iCs w:val="0"/>
                <w:color w:val="auto"/>
                <w:sz w:val="21"/>
                <w:szCs w:val="21"/>
                <w:highlight w:val="none"/>
                <w:u w:val="none"/>
              </w:rPr>
            </w:pP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4B8CC5">
            <w:pPr>
              <w:jc w:val="center"/>
              <w:rPr>
                <w:rFonts w:hint="default" w:ascii="Times New Roman" w:hAnsi="Times New Roman" w:eastAsia="宋体" w:cs="Times New Roman"/>
                <w:b w:val="0"/>
                <w:bCs w:val="0"/>
                <w:i w:val="0"/>
                <w:iCs w:val="0"/>
                <w:color w:val="auto"/>
                <w:sz w:val="21"/>
                <w:szCs w:val="21"/>
                <w:highlight w:val="none"/>
                <w:u w:val="none"/>
              </w:rPr>
            </w:pPr>
          </w:p>
        </w:tc>
        <w:tc>
          <w:tcPr>
            <w:tcW w:w="8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C0BF5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 xml:space="preserve">2047.29 </w:t>
            </w:r>
          </w:p>
        </w:tc>
      </w:tr>
      <w:tr w14:paraId="506B22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A0BF7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p>
        </w:tc>
        <w:tc>
          <w:tcPr>
            <w:tcW w:w="9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22E389">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人工费</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35B0C">
            <w:pPr>
              <w:jc w:val="center"/>
              <w:rPr>
                <w:rFonts w:hint="default" w:ascii="Times New Roman" w:hAnsi="Times New Roman" w:eastAsia="宋体" w:cs="Times New Roman"/>
                <w:b w:val="0"/>
                <w:bCs w:val="0"/>
                <w:i w:val="0"/>
                <w:iCs w:val="0"/>
                <w:color w:val="auto"/>
                <w:sz w:val="21"/>
                <w:szCs w:val="21"/>
                <w:highlight w:val="none"/>
                <w:u w:val="none"/>
              </w:rPr>
            </w:pPr>
          </w:p>
        </w:tc>
        <w:tc>
          <w:tcPr>
            <w:tcW w:w="7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1E73C9">
            <w:pPr>
              <w:jc w:val="center"/>
              <w:rPr>
                <w:rFonts w:hint="default" w:ascii="Times New Roman" w:hAnsi="Times New Roman" w:eastAsia="宋体" w:cs="Times New Roman"/>
                <w:b w:val="0"/>
                <w:bCs w:val="0"/>
                <w:i w:val="0"/>
                <w:iCs w:val="0"/>
                <w:color w:val="auto"/>
                <w:sz w:val="21"/>
                <w:szCs w:val="21"/>
                <w:highlight w:val="none"/>
                <w:u w:val="none"/>
              </w:rPr>
            </w:pP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DA056">
            <w:pPr>
              <w:jc w:val="center"/>
              <w:rPr>
                <w:rFonts w:hint="default" w:ascii="Times New Roman" w:hAnsi="Times New Roman" w:eastAsia="宋体" w:cs="Times New Roman"/>
                <w:b w:val="0"/>
                <w:bCs w:val="0"/>
                <w:i w:val="0"/>
                <w:iCs w:val="0"/>
                <w:color w:val="auto"/>
                <w:sz w:val="21"/>
                <w:szCs w:val="21"/>
                <w:highlight w:val="none"/>
                <w:u w:val="none"/>
              </w:rPr>
            </w:pPr>
          </w:p>
        </w:tc>
        <w:tc>
          <w:tcPr>
            <w:tcW w:w="8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5621B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 xml:space="preserve">1270.15 </w:t>
            </w:r>
          </w:p>
        </w:tc>
      </w:tr>
      <w:tr w14:paraId="7A8CCA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D7AF58">
            <w:pPr>
              <w:jc w:val="center"/>
              <w:rPr>
                <w:rFonts w:hint="default" w:ascii="Times New Roman" w:hAnsi="Times New Roman" w:eastAsia="宋体" w:cs="Times New Roman"/>
                <w:b w:val="0"/>
                <w:bCs w:val="0"/>
                <w:i w:val="0"/>
                <w:iCs w:val="0"/>
                <w:color w:val="auto"/>
                <w:sz w:val="21"/>
                <w:szCs w:val="21"/>
                <w:highlight w:val="none"/>
                <w:u w:val="none"/>
              </w:rPr>
            </w:pPr>
          </w:p>
        </w:tc>
        <w:tc>
          <w:tcPr>
            <w:tcW w:w="9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6B0ECE">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甲类工</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FCAA8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工日</w:t>
            </w:r>
          </w:p>
        </w:tc>
        <w:tc>
          <w:tcPr>
            <w:tcW w:w="7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E1373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1.495</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8810BD">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 xml:space="preserve">51.04 </w:t>
            </w:r>
          </w:p>
        </w:tc>
        <w:tc>
          <w:tcPr>
            <w:tcW w:w="8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22D7E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 xml:space="preserve">76.30 </w:t>
            </w:r>
          </w:p>
        </w:tc>
      </w:tr>
      <w:tr w14:paraId="5D41C3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17453B">
            <w:pPr>
              <w:jc w:val="center"/>
              <w:rPr>
                <w:rFonts w:hint="default" w:ascii="Times New Roman" w:hAnsi="Times New Roman" w:eastAsia="宋体" w:cs="Times New Roman"/>
                <w:b w:val="0"/>
                <w:bCs w:val="0"/>
                <w:i w:val="0"/>
                <w:iCs w:val="0"/>
                <w:color w:val="auto"/>
                <w:sz w:val="21"/>
                <w:szCs w:val="21"/>
                <w:highlight w:val="none"/>
                <w:u w:val="none"/>
              </w:rPr>
            </w:pPr>
          </w:p>
        </w:tc>
        <w:tc>
          <w:tcPr>
            <w:tcW w:w="9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D2159E">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乙类工</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3B7F9B">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工日</w:t>
            </w:r>
          </w:p>
        </w:tc>
        <w:tc>
          <w:tcPr>
            <w:tcW w:w="7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51EEF9">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29.785</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D71FE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 xml:space="preserve">38.84 </w:t>
            </w:r>
          </w:p>
        </w:tc>
        <w:tc>
          <w:tcPr>
            <w:tcW w:w="8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EB645C">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 xml:space="preserve">1156.85 </w:t>
            </w:r>
          </w:p>
        </w:tc>
      </w:tr>
      <w:tr w14:paraId="712432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A61C0F">
            <w:pPr>
              <w:jc w:val="center"/>
              <w:rPr>
                <w:rFonts w:hint="default" w:ascii="Times New Roman" w:hAnsi="Times New Roman" w:eastAsia="宋体" w:cs="Times New Roman"/>
                <w:b w:val="0"/>
                <w:bCs w:val="0"/>
                <w:i w:val="0"/>
                <w:iCs w:val="0"/>
                <w:color w:val="auto"/>
                <w:sz w:val="21"/>
                <w:szCs w:val="21"/>
                <w:highlight w:val="none"/>
                <w:u w:val="none"/>
              </w:rPr>
            </w:pPr>
          </w:p>
        </w:tc>
        <w:tc>
          <w:tcPr>
            <w:tcW w:w="9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821F5C">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其他费用</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E4D8D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w:t>
            </w:r>
          </w:p>
        </w:tc>
        <w:tc>
          <w:tcPr>
            <w:tcW w:w="7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CF1719">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3</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4756A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 xml:space="preserve">1233.15 </w:t>
            </w:r>
          </w:p>
        </w:tc>
        <w:tc>
          <w:tcPr>
            <w:tcW w:w="8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479D1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 xml:space="preserve">36.99 </w:t>
            </w:r>
          </w:p>
        </w:tc>
      </w:tr>
      <w:tr w14:paraId="7F3D89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033ED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w:t>
            </w:r>
          </w:p>
        </w:tc>
        <w:tc>
          <w:tcPr>
            <w:tcW w:w="9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0335B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材料费</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89ABF3">
            <w:pPr>
              <w:jc w:val="center"/>
              <w:rPr>
                <w:rFonts w:hint="default" w:ascii="Times New Roman" w:hAnsi="Times New Roman" w:eastAsia="宋体" w:cs="Times New Roman"/>
                <w:b w:val="0"/>
                <w:bCs w:val="0"/>
                <w:i w:val="0"/>
                <w:iCs w:val="0"/>
                <w:color w:val="auto"/>
                <w:sz w:val="21"/>
                <w:szCs w:val="21"/>
                <w:highlight w:val="none"/>
                <w:u w:val="none"/>
              </w:rPr>
            </w:pPr>
          </w:p>
        </w:tc>
        <w:tc>
          <w:tcPr>
            <w:tcW w:w="7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000B59">
            <w:pPr>
              <w:jc w:val="center"/>
              <w:rPr>
                <w:rFonts w:hint="default" w:ascii="Times New Roman" w:hAnsi="Times New Roman" w:eastAsia="宋体" w:cs="Times New Roman"/>
                <w:b w:val="0"/>
                <w:bCs w:val="0"/>
                <w:i w:val="0"/>
                <w:iCs w:val="0"/>
                <w:color w:val="auto"/>
                <w:sz w:val="21"/>
                <w:szCs w:val="21"/>
                <w:highlight w:val="none"/>
                <w:u w:val="none"/>
              </w:rPr>
            </w:pP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2BA448">
            <w:pPr>
              <w:jc w:val="center"/>
              <w:rPr>
                <w:rFonts w:hint="default" w:ascii="Times New Roman" w:hAnsi="Times New Roman" w:eastAsia="宋体" w:cs="Times New Roman"/>
                <w:b w:val="0"/>
                <w:bCs w:val="0"/>
                <w:i w:val="0"/>
                <w:iCs w:val="0"/>
                <w:color w:val="auto"/>
                <w:sz w:val="21"/>
                <w:szCs w:val="21"/>
                <w:highlight w:val="none"/>
                <w:u w:val="none"/>
              </w:rPr>
            </w:pPr>
          </w:p>
        </w:tc>
        <w:tc>
          <w:tcPr>
            <w:tcW w:w="8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089D5C">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 xml:space="preserve">708.90 </w:t>
            </w:r>
          </w:p>
        </w:tc>
      </w:tr>
      <w:tr w14:paraId="488C3E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412495">
            <w:pPr>
              <w:jc w:val="center"/>
              <w:rPr>
                <w:rFonts w:hint="default" w:ascii="Times New Roman" w:hAnsi="Times New Roman" w:eastAsia="宋体" w:cs="Times New Roman"/>
                <w:b w:val="0"/>
                <w:bCs w:val="0"/>
                <w:i w:val="0"/>
                <w:iCs w:val="0"/>
                <w:color w:val="auto"/>
                <w:sz w:val="21"/>
                <w:szCs w:val="21"/>
                <w:highlight w:val="none"/>
                <w:u w:val="none"/>
              </w:rPr>
            </w:pPr>
          </w:p>
        </w:tc>
        <w:tc>
          <w:tcPr>
            <w:tcW w:w="9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57B83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电钻钻头</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5D2B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个</w:t>
            </w:r>
          </w:p>
        </w:tc>
        <w:tc>
          <w:tcPr>
            <w:tcW w:w="7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81F35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0.69</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2747B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 xml:space="preserve">15.00 </w:t>
            </w:r>
          </w:p>
        </w:tc>
        <w:tc>
          <w:tcPr>
            <w:tcW w:w="8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A1E1A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 xml:space="preserve">10.35 </w:t>
            </w:r>
          </w:p>
        </w:tc>
      </w:tr>
      <w:tr w14:paraId="01F68F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B4BC1F">
            <w:pPr>
              <w:jc w:val="center"/>
              <w:rPr>
                <w:rFonts w:hint="default" w:ascii="Times New Roman" w:hAnsi="Times New Roman" w:eastAsia="宋体" w:cs="Times New Roman"/>
                <w:b w:val="0"/>
                <w:bCs w:val="0"/>
                <w:i w:val="0"/>
                <w:iCs w:val="0"/>
                <w:color w:val="auto"/>
                <w:sz w:val="21"/>
                <w:szCs w:val="21"/>
                <w:highlight w:val="none"/>
                <w:u w:val="none"/>
              </w:rPr>
            </w:pPr>
          </w:p>
        </w:tc>
        <w:tc>
          <w:tcPr>
            <w:tcW w:w="9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C4200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电钻钻杆</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0B021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m</w:t>
            </w:r>
          </w:p>
        </w:tc>
        <w:tc>
          <w:tcPr>
            <w:tcW w:w="7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6FD02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2.53</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C7ED2B">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 xml:space="preserve">30.00 </w:t>
            </w:r>
          </w:p>
        </w:tc>
        <w:tc>
          <w:tcPr>
            <w:tcW w:w="8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352DC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 xml:space="preserve">75.90 </w:t>
            </w:r>
          </w:p>
        </w:tc>
      </w:tr>
      <w:tr w14:paraId="1F5E59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2D0348">
            <w:pPr>
              <w:jc w:val="center"/>
              <w:rPr>
                <w:rFonts w:hint="default" w:ascii="Times New Roman" w:hAnsi="Times New Roman" w:eastAsia="宋体" w:cs="Times New Roman"/>
                <w:b w:val="0"/>
                <w:bCs w:val="0"/>
                <w:i w:val="0"/>
                <w:iCs w:val="0"/>
                <w:color w:val="auto"/>
                <w:sz w:val="21"/>
                <w:szCs w:val="21"/>
                <w:highlight w:val="none"/>
                <w:u w:val="none"/>
              </w:rPr>
            </w:pPr>
          </w:p>
        </w:tc>
        <w:tc>
          <w:tcPr>
            <w:tcW w:w="9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5B150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炸药</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A2B86D">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kg</w:t>
            </w:r>
          </w:p>
        </w:tc>
        <w:tc>
          <w:tcPr>
            <w:tcW w:w="7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D4AC4C">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25</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F9728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 xml:space="preserve">12.00 </w:t>
            </w:r>
          </w:p>
        </w:tc>
        <w:tc>
          <w:tcPr>
            <w:tcW w:w="8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CC1C2C">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 xml:space="preserve">300.00 </w:t>
            </w:r>
          </w:p>
        </w:tc>
      </w:tr>
      <w:tr w14:paraId="1580B5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C33431">
            <w:pPr>
              <w:jc w:val="center"/>
              <w:rPr>
                <w:rFonts w:hint="default" w:ascii="Times New Roman" w:hAnsi="Times New Roman" w:eastAsia="宋体" w:cs="Times New Roman"/>
                <w:b w:val="0"/>
                <w:bCs w:val="0"/>
                <w:i w:val="0"/>
                <w:iCs w:val="0"/>
                <w:color w:val="auto"/>
                <w:sz w:val="21"/>
                <w:szCs w:val="21"/>
                <w:highlight w:val="none"/>
                <w:u w:val="none"/>
              </w:rPr>
            </w:pPr>
          </w:p>
        </w:tc>
        <w:tc>
          <w:tcPr>
            <w:tcW w:w="9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ADB9EB">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电雷管</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DE88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个</w:t>
            </w:r>
          </w:p>
        </w:tc>
        <w:tc>
          <w:tcPr>
            <w:tcW w:w="7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37B8B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38</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4C265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 xml:space="preserve">3.00 </w:t>
            </w:r>
          </w:p>
        </w:tc>
        <w:tc>
          <w:tcPr>
            <w:tcW w:w="8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71113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 xml:space="preserve">114.00 </w:t>
            </w:r>
          </w:p>
        </w:tc>
      </w:tr>
      <w:tr w14:paraId="6F4D00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0BCE8E">
            <w:pPr>
              <w:jc w:val="center"/>
              <w:rPr>
                <w:rFonts w:hint="default" w:ascii="Times New Roman" w:hAnsi="Times New Roman" w:eastAsia="宋体" w:cs="Times New Roman"/>
                <w:b w:val="0"/>
                <w:bCs w:val="0"/>
                <w:i w:val="0"/>
                <w:iCs w:val="0"/>
                <w:color w:val="auto"/>
                <w:sz w:val="21"/>
                <w:szCs w:val="21"/>
                <w:highlight w:val="none"/>
                <w:u w:val="none"/>
              </w:rPr>
            </w:pPr>
          </w:p>
        </w:tc>
        <w:tc>
          <w:tcPr>
            <w:tcW w:w="9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C05119">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导电线</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86213B">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m</w:t>
            </w:r>
          </w:p>
        </w:tc>
        <w:tc>
          <w:tcPr>
            <w:tcW w:w="7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263654">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94</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316B9C">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 xml:space="preserve">2.00 </w:t>
            </w:r>
          </w:p>
        </w:tc>
        <w:tc>
          <w:tcPr>
            <w:tcW w:w="8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B64CFE">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 xml:space="preserve">188.00 </w:t>
            </w:r>
          </w:p>
        </w:tc>
      </w:tr>
      <w:tr w14:paraId="1B001F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269F4F">
            <w:pPr>
              <w:jc w:val="center"/>
              <w:rPr>
                <w:rFonts w:hint="default" w:ascii="Times New Roman" w:hAnsi="Times New Roman" w:eastAsia="宋体" w:cs="Times New Roman"/>
                <w:b w:val="0"/>
                <w:bCs w:val="0"/>
                <w:i w:val="0"/>
                <w:iCs w:val="0"/>
                <w:color w:val="auto"/>
                <w:sz w:val="21"/>
                <w:szCs w:val="21"/>
                <w:highlight w:val="none"/>
                <w:u w:val="none"/>
              </w:rPr>
            </w:pPr>
          </w:p>
        </w:tc>
        <w:tc>
          <w:tcPr>
            <w:tcW w:w="9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A7EDF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其他费用</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A4D8F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w:t>
            </w:r>
          </w:p>
        </w:tc>
        <w:tc>
          <w:tcPr>
            <w:tcW w:w="7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8B7D5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3</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FB033D">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 xml:space="preserve">688.25 </w:t>
            </w:r>
          </w:p>
        </w:tc>
        <w:tc>
          <w:tcPr>
            <w:tcW w:w="8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3B12F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 xml:space="preserve">20.65 </w:t>
            </w:r>
          </w:p>
        </w:tc>
      </w:tr>
      <w:tr w14:paraId="34A79F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4828F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3</w:t>
            </w:r>
          </w:p>
        </w:tc>
        <w:tc>
          <w:tcPr>
            <w:tcW w:w="9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3892B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机械费</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297FA6">
            <w:pPr>
              <w:jc w:val="center"/>
              <w:rPr>
                <w:rFonts w:hint="default" w:ascii="Times New Roman" w:hAnsi="Times New Roman" w:eastAsia="宋体" w:cs="Times New Roman"/>
                <w:b w:val="0"/>
                <w:bCs w:val="0"/>
                <w:i w:val="0"/>
                <w:iCs w:val="0"/>
                <w:color w:val="auto"/>
                <w:sz w:val="21"/>
                <w:szCs w:val="21"/>
                <w:highlight w:val="none"/>
                <w:u w:val="none"/>
              </w:rPr>
            </w:pPr>
          </w:p>
        </w:tc>
        <w:tc>
          <w:tcPr>
            <w:tcW w:w="7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CF13A6">
            <w:pPr>
              <w:jc w:val="center"/>
              <w:rPr>
                <w:rFonts w:hint="default" w:ascii="Times New Roman" w:hAnsi="Times New Roman" w:eastAsia="宋体" w:cs="Times New Roman"/>
                <w:b w:val="0"/>
                <w:bCs w:val="0"/>
                <w:i w:val="0"/>
                <w:iCs w:val="0"/>
                <w:color w:val="auto"/>
                <w:sz w:val="21"/>
                <w:szCs w:val="21"/>
                <w:highlight w:val="none"/>
                <w:u w:val="none"/>
              </w:rPr>
            </w:pP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1751D6">
            <w:pPr>
              <w:jc w:val="center"/>
              <w:rPr>
                <w:rFonts w:hint="default" w:ascii="Times New Roman" w:hAnsi="Times New Roman" w:eastAsia="宋体" w:cs="Times New Roman"/>
                <w:b w:val="0"/>
                <w:bCs w:val="0"/>
                <w:i w:val="0"/>
                <w:iCs w:val="0"/>
                <w:color w:val="auto"/>
                <w:sz w:val="21"/>
                <w:szCs w:val="21"/>
                <w:highlight w:val="none"/>
                <w:u w:val="none"/>
              </w:rPr>
            </w:pPr>
          </w:p>
        </w:tc>
        <w:tc>
          <w:tcPr>
            <w:tcW w:w="8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8AE01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 xml:space="preserve">68.24 </w:t>
            </w:r>
          </w:p>
        </w:tc>
      </w:tr>
      <w:tr w14:paraId="40FDAD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D67172">
            <w:pPr>
              <w:jc w:val="center"/>
              <w:rPr>
                <w:rFonts w:hint="default" w:ascii="Times New Roman" w:hAnsi="Times New Roman" w:eastAsia="宋体" w:cs="Times New Roman"/>
                <w:b w:val="0"/>
                <w:bCs w:val="0"/>
                <w:i w:val="0"/>
                <w:iCs w:val="0"/>
                <w:color w:val="auto"/>
                <w:sz w:val="21"/>
                <w:szCs w:val="21"/>
                <w:highlight w:val="none"/>
                <w:u w:val="none"/>
              </w:rPr>
            </w:pPr>
          </w:p>
        </w:tc>
        <w:tc>
          <w:tcPr>
            <w:tcW w:w="9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91D7F9">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电钻1.5kW</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69D62D">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台班</w:t>
            </w:r>
          </w:p>
        </w:tc>
        <w:tc>
          <w:tcPr>
            <w:tcW w:w="7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CC826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1.2375</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80D969">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 xml:space="preserve">12.30 </w:t>
            </w:r>
          </w:p>
        </w:tc>
        <w:tc>
          <w:tcPr>
            <w:tcW w:w="8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5F327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 xml:space="preserve">15.22 </w:t>
            </w:r>
          </w:p>
        </w:tc>
      </w:tr>
      <w:tr w14:paraId="6A2F33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40500C">
            <w:pPr>
              <w:jc w:val="center"/>
              <w:rPr>
                <w:rFonts w:hint="default" w:ascii="Times New Roman" w:hAnsi="Times New Roman" w:eastAsia="宋体" w:cs="Times New Roman"/>
                <w:b w:val="0"/>
                <w:bCs w:val="0"/>
                <w:i w:val="0"/>
                <w:iCs w:val="0"/>
                <w:color w:val="auto"/>
                <w:sz w:val="21"/>
                <w:szCs w:val="21"/>
                <w:highlight w:val="none"/>
                <w:u w:val="none"/>
              </w:rPr>
            </w:pPr>
          </w:p>
        </w:tc>
        <w:tc>
          <w:tcPr>
            <w:tcW w:w="9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62861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载重汽车5t</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AF8E2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台班</w:t>
            </w:r>
          </w:p>
        </w:tc>
        <w:tc>
          <w:tcPr>
            <w:tcW w:w="7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A96FD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0.2</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82386D">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 xml:space="preserve">255.15 </w:t>
            </w:r>
          </w:p>
        </w:tc>
        <w:tc>
          <w:tcPr>
            <w:tcW w:w="8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A702E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 xml:space="preserve">51.03 </w:t>
            </w:r>
          </w:p>
        </w:tc>
      </w:tr>
      <w:tr w14:paraId="39D5E7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F7BF47">
            <w:pPr>
              <w:jc w:val="center"/>
              <w:rPr>
                <w:rFonts w:hint="default" w:ascii="Times New Roman" w:hAnsi="Times New Roman" w:eastAsia="宋体" w:cs="Times New Roman"/>
                <w:b w:val="0"/>
                <w:bCs w:val="0"/>
                <w:i w:val="0"/>
                <w:iCs w:val="0"/>
                <w:color w:val="auto"/>
                <w:sz w:val="21"/>
                <w:szCs w:val="21"/>
                <w:highlight w:val="none"/>
                <w:u w:val="none"/>
              </w:rPr>
            </w:pPr>
          </w:p>
        </w:tc>
        <w:tc>
          <w:tcPr>
            <w:tcW w:w="9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6C7224">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其他费用</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5AE73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w:t>
            </w:r>
          </w:p>
        </w:tc>
        <w:tc>
          <w:tcPr>
            <w:tcW w:w="7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DF9C5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3</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556F5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 xml:space="preserve">66.25 </w:t>
            </w:r>
          </w:p>
        </w:tc>
        <w:tc>
          <w:tcPr>
            <w:tcW w:w="8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A8ED8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 xml:space="preserve">1.99 </w:t>
            </w:r>
          </w:p>
        </w:tc>
      </w:tr>
      <w:tr w14:paraId="7D0BCB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FFB7C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（二）</w:t>
            </w:r>
          </w:p>
        </w:tc>
        <w:tc>
          <w:tcPr>
            <w:tcW w:w="9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36873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措施费</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B7358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w:t>
            </w:r>
          </w:p>
        </w:tc>
        <w:tc>
          <w:tcPr>
            <w:tcW w:w="7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59EA2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3.8</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2B8C6B">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 xml:space="preserve">2047.29 </w:t>
            </w:r>
          </w:p>
        </w:tc>
        <w:tc>
          <w:tcPr>
            <w:tcW w:w="8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CCA2C">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 xml:space="preserve">77.80 </w:t>
            </w:r>
          </w:p>
        </w:tc>
      </w:tr>
      <w:tr w14:paraId="2B3958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D4D75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二</w:t>
            </w:r>
          </w:p>
        </w:tc>
        <w:tc>
          <w:tcPr>
            <w:tcW w:w="9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FD5369">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间接费</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7BEDAB">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w:t>
            </w:r>
          </w:p>
        </w:tc>
        <w:tc>
          <w:tcPr>
            <w:tcW w:w="7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06B4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7.2</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C83009">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 xml:space="preserve">2125.08 </w:t>
            </w:r>
          </w:p>
        </w:tc>
        <w:tc>
          <w:tcPr>
            <w:tcW w:w="8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7985F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 xml:space="preserve">153.01 </w:t>
            </w:r>
          </w:p>
        </w:tc>
      </w:tr>
      <w:tr w14:paraId="32D7AB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EB86A4">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三</w:t>
            </w:r>
          </w:p>
        </w:tc>
        <w:tc>
          <w:tcPr>
            <w:tcW w:w="9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EC920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利润</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B8D5F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w:t>
            </w:r>
          </w:p>
        </w:tc>
        <w:tc>
          <w:tcPr>
            <w:tcW w:w="7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F9697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3</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FFF56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 xml:space="preserve">2278.09 </w:t>
            </w:r>
          </w:p>
        </w:tc>
        <w:tc>
          <w:tcPr>
            <w:tcW w:w="8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1FD2BE">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 xml:space="preserve">68.34 </w:t>
            </w:r>
          </w:p>
        </w:tc>
      </w:tr>
      <w:tr w14:paraId="7FEA48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292AB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四</w:t>
            </w:r>
          </w:p>
        </w:tc>
        <w:tc>
          <w:tcPr>
            <w:tcW w:w="9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2D171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价差费</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1DC111">
            <w:pPr>
              <w:jc w:val="center"/>
              <w:rPr>
                <w:rFonts w:hint="default" w:ascii="Times New Roman" w:hAnsi="Times New Roman" w:eastAsia="宋体" w:cs="Times New Roman"/>
                <w:b w:val="0"/>
                <w:bCs w:val="0"/>
                <w:i w:val="0"/>
                <w:iCs w:val="0"/>
                <w:color w:val="auto"/>
                <w:sz w:val="21"/>
                <w:szCs w:val="21"/>
                <w:highlight w:val="none"/>
                <w:u w:val="none"/>
              </w:rPr>
            </w:pPr>
          </w:p>
        </w:tc>
        <w:tc>
          <w:tcPr>
            <w:tcW w:w="7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EA9DCC">
            <w:pPr>
              <w:jc w:val="center"/>
              <w:rPr>
                <w:rFonts w:hint="default" w:ascii="Times New Roman" w:hAnsi="Times New Roman" w:eastAsia="宋体" w:cs="Times New Roman"/>
                <w:b w:val="0"/>
                <w:bCs w:val="0"/>
                <w:i w:val="0"/>
                <w:iCs w:val="0"/>
                <w:color w:val="auto"/>
                <w:sz w:val="21"/>
                <w:szCs w:val="21"/>
                <w:highlight w:val="none"/>
                <w:u w:val="none"/>
              </w:rPr>
            </w:pP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4C472">
            <w:pPr>
              <w:jc w:val="center"/>
              <w:rPr>
                <w:rFonts w:hint="default" w:ascii="Times New Roman" w:hAnsi="Times New Roman" w:eastAsia="宋体" w:cs="Times New Roman"/>
                <w:b w:val="0"/>
                <w:bCs w:val="0"/>
                <w:i w:val="0"/>
                <w:iCs w:val="0"/>
                <w:color w:val="auto"/>
                <w:sz w:val="21"/>
                <w:szCs w:val="21"/>
                <w:highlight w:val="none"/>
                <w:u w:val="none"/>
              </w:rPr>
            </w:pPr>
          </w:p>
        </w:tc>
        <w:tc>
          <w:tcPr>
            <w:tcW w:w="8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96B10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 xml:space="preserve">17.34 </w:t>
            </w:r>
          </w:p>
        </w:tc>
      </w:tr>
      <w:tr w14:paraId="3C01CE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E421A9">
            <w:pPr>
              <w:jc w:val="center"/>
              <w:rPr>
                <w:rFonts w:hint="default" w:ascii="Times New Roman" w:hAnsi="Times New Roman" w:eastAsia="宋体" w:cs="Times New Roman"/>
                <w:b w:val="0"/>
                <w:bCs w:val="0"/>
                <w:i w:val="0"/>
                <w:iCs w:val="0"/>
                <w:color w:val="auto"/>
                <w:sz w:val="21"/>
                <w:szCs w:val="21"/>
                <w:highlight w:val="none"/>
                <w:u w:val="none"/>
              </w:rPr>
            </w:pPr>
          </w:p>
        </w:tc>
        <w:tc>
          <w:tcPr>
            <w:tcW w:w="9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C5E3A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汽油</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405B6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kg</w:t>
            </w:r>
          </w:p>
        </w:tc>
        <w:tc>
          <w:tcPr>
            <w:tcW w:w="7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529FC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 xml:space="preserve">6.00 </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44E024">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 xml:space="preserve">2.89 </w:t>
            </w:r>
          </w:p>
        </w:tc>
        <w:tc>
          <w:tcPr>
            <w:tcW w:w="8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824CDB">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 xml:space="preserve">17.34 </w:t>
            </w:r>
          </w:p>
        </w:tc>
      </w:tr>
      <w:tr w14:paraId="08B236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0EBE84">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五</w:t>
            </w:r>
          </w:p>
        </w:tc>
        <w:tc>
          <w:tcPr>
            <w:tcW w:w="9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6CBC8B">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税金</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0CD70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w:t>
            </w:r>
          </w:p>
        </w:tc>
        <w:tc>
          <w:tcPr>
            <w:tcW w:w="7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DB9A3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9</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E3DB3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 xml:space="preserve">2363.77 </w:t>
            </w:r>
          </w:p>
        </w:tc>
        <w:tc>
          <w:tcPr>
            <w:tcW w:w="8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5A165E">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 xml:space="preserve">212.74 </w:t>
            </w:r>
          </w:p>
        </w:tc>
      </w:tr>
      <w:tr w14:paraId="6FA5C3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175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C5644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合计</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5A39DC">
            <w:pPr>
              <w:jc w:val="center"/>
              <w:rPr>
                <w:rFonts w:hint="default" w:ascii="Times New Roman" w:hAnsi="Times New Roman" w:eastAsia="宋体" w:cs="Times New Roman"/>
                <w:b w:val="0"/>
                <w:bCs w:val="0"/>
                <w:i w:val="0"/>
                <w:iCs w:val="0"/>
                <w:color w:val="auto"/>
                <w:sz w:val="21"/>
                <w:szCs w:val="21"/>
                <w:highlight w:val="none"/>
                <w:u w:val="none"/>
              </w:rPr>
            </w:pPr>
          </w:p>
        </w:tc>
        <w:tc>
          <w:tcPr>
            <w:tcW w:w="7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AD8152">
            <w:pPr>
              <w:jc w:val="center"/>
              <w:rPr>
                <w:rFonts w:hint="default" w:ascii="Times New Roman" w:hAnsi="Times New Roman" w:eastAsia="宋体" w:cs="Times New Roman"/>
                <w:b w:val="0"/>
                <w:bCs w:val="0"/>
                <w:i w:val="0"/>
                <w:iCs w:val="0"/>
                <w:color w:val="auto"/>
                <w:sz w:val="21"/>
                <w:szCs w:val="21"/>
                <w:highlight w:val="none"/>
                <w:u w:val="none"/>
              </w:rPr>
            </w:pP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45F234">
            <w:pPr>
              <w:jc w:val="center"/>
              <w:rPr>
                <w:rFonts w:hint="default" w:ascii="Times New Roman" w:hAnsi="Times New Roman" w:eastAsia="宋体" w:cs="Times New Roman"/>
                <w:b w:val="0"/>
                <w:bCs w:val="0"/>
                <w:i w:val="0"/>
                <w:iCs w:val="0"/>
                <w:color w:val="auto"/>
                <w:sz w:val="21"/>
                <w:szCs w:val="21"/>
                <w:highlight w:val="none"/>
                <w:u w:val="none"/>
              </w:rPr>
            </w:pPr>
          </w:p>
        </w:tc>
        <w:tc>
          <w:tcPr>
            <w:tcW w:w="8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39CA0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 xml:space="preserve">2576.51 </w:t>
            </w:r>
          </w:p>
        </w:tc>
      </w:tr>
    </w:tbl>
    <w:p w14:paraId="7A373C6B">
      <w:pPr>
        <w:keepNext/>
        <w:keepLines/>
        <w:widowControl w:val="0"/>
        <w:spacing w:before="260" w:after="260" w:line="415" w:lineRule="auto"/>
        <w:outlineLvl w:val="1"/>
        <w:rPr>
          <w:rFonts w:hint="default" w:ascii="Times New Roman" w:hAnsi="Times New Roman" w:eastAsia="黑体" w:cs="Times New Roman"/>
          <w:bCs/>
          <w:color w:val="auto"/>
          <w:sz w:val="30"/>
          <w:szCs w:val="30"/>
          <w:highlight w:val="none"/>
        </w:rPr>
      </w:pPr>
      <w:r>
        <w:rPr>
          <w:rFonts w:hint="default" w:ascii="Times New Roman" w:hAnsi="Times New Roman" w:eastAsia="黑体" w:cs="Times New Roman"/>
          <w:bCs/>
          <w:color w:val="auto"/>
          <w:sz w:val="30"/>
          <w:szCs w:val="30"/>
          <w:highlight w:val="none"/>
        </w:rPr>
        <w:t>三、土地复垦工程经费估算</w:t>
      </w:r>
      <w:bookmarkEnd w:id="293"/>
      <w:bookmarkEnd w:id="294"/>
      <w:bookmarkEnd w:id="295"/>
      <w:bookmarkEnd w:id="296"/>
    </w:p>
    <w:p w14:paraId="0A41FED3">
      <w:pPr>
        <w:pStyle w:val="5"/>
        <w:rPr>
          <w:rFonts w:hint="default" w:ascii="Times New Roman" w:hAnsi="Times New Roman" w:eastAsia="黑体" w:cs="Times New Roman"/>
          <w:color w:val="auto"/>
          <w:szCs w:val="28"/>
          <w:highlight w:val="none"/>
        </w:rPr>
      </w:pPr>
      <w:r>
        <w:rPr>
          <w:rFonts w:hint="default" w:ascii="Times New Roman" w:hAnsi="Times New Roman" w:eastAsia="黑体" w:cs="Times New Roman"/>
          <w:color w:val="auto"/>
          <w:szCs w:val="28"/>
          <w:highlight w:val="none"/>
          <w:lang w:eastAsia="zh-CN"/>
        </w:rPr>
        <w:t>（</w:t>
      </w:r>
      <w:r>
        <w:rPr>
          <w:rFonts w:hint="default" w:ascii="Times New Roman" w:hAnsi="Times New Roman" w:eastAsia="黑体" w:cs="Times New Roman"/>
          <w:color w:val="auto"/>
          <w:szCs w:val="28"/>
          <w:highlight w:val="none"/>
        </w:rPr>
        <w:t>一）总投资估算</w:t>
      </w:r>
    </w:p>
    <w:p w14:paraId="5E9A09B6">
      <w:pPr>
        <w:spacing w:line="360" w:lineRule="auto"/>
        <w:ind w:firstLine="480" w:firstLineChars="200"/>
        <w:rPr>
          <w:rFonts w:hint="default" w:ascii="Times New Roman" w:hAnsi="Times New Roman" w:cs="Times New Roman"/>
          <w:color w:val="auto"/>
          <w:sz w:val="24"/>
          <w:highlight w:val="none"/>
          <w:lang w:val="en-US" w:eastAsia="zh-CN"/>
        </w:rPr>
      </w:pPr>
      <w:r>
        <w:rPr>
          <w:rFonts w:hint="eastAsia" w:cs="Times New Roman"/>
          <w:color w:val="auto"/>
          <w:sz w:val="24"/>
          <w:highlight w:val="none"/>
          <w:lang w:eastAsia="zh-CN"/>
        </w:rPr>
        <w:t>北大湖采石场</w:t>
      </w:r>
      <w:r>
        <w:rPr>
          <w:rFonts w:hint="default" w:ascii="Times New Roman" w:hAnsi="Times New Roman" w:cs="Times New Roman"/>
          <w:color w:val="auto"/>
          <w:sz w:val="24"/>
          <w:highlight w:val="none"/>
        </w:rPr>
        <w:t>土地复垦</w:t>
      </w:r>
      <w:r>
        <w:rPr>
          <w:rFonts w:hint="default" w:ascii="Times New Roman" w:hAnsi="Times New Roman" w:cs="Times New Roman"/>
          <w:color w:val="auto"/>
          <w:sz w:val="24"/>
          <w:highlight w:val="none"/>
          <w:lang w:val="en-US" w:eastAsia="zh-CN"/>
        </w:rPr>
        <w:t>静态</w:t>
      </w:r>
      <w:r>
        <w:rPr>
          <w:rFonts w:hint="default" w:ascii="Times New Roman" w:hAnsi="Times New Roman" w:cs="Times New Roman"/>
          <w:color w:val="auto"/>
          <w:sz w:val="24"/>
          <w:highlight w:val="none"/>
        </w:rPr>
        <w:t>总费用为</w:t>
      </w:r>
      <w:r>
        <w:rPr>
          <w:rFonts w:hint="eastAsia" w:cs="Times New Roman"/>
          <w:color w:val="auto"/>
          <w:sz w:val="24"/>
          <w:highlight w:val="none"/>
          <w:lang w:val="en-US" w:eastAsia="zh-CN"/>
        </w:rPr>
        <w:t>34.20</w:t>
      </w:r>
      <w:r>
        <w:rPr>
          <w:rFonts w:hint="default" w:ascii="Times New Roman" w:hAnsi="Times New Roman" w:cs="Times New Roman"/>
          <w:color w:val="auto"/>
          <w:sz w:val="24"/>
          <w:highlight w:val="none"/>
        </w:rPr>
        <w:t>万元，其中工程施工费</w:t>
      </w:r>
      <w:r>
        <w:rPr>
          <w:rFonts w:hint="eastAsia" w:cs="Times New Roman"/>
          <w:color w:val="auto"/>
          <w:sz w:val="24"/>
          <w:highlight w:val="none"/>
          <w:lang w:val="en-US" w:eastAsia="zh-CN"/>
        </w:rPr>
        <w:t>23.93</w:t>
      </w:r>
      <w:r>
        <w:rPr>
          <w:rFonts w:hint="default" w:ascii="Times New Roman" w:hAnsi="Times New Roman" w:cs="Times New Roman"/>
          <w:color w:val="auto"/>
          <w:sz w:val="24"/>
          <w:highlight w:val="none"/>
        </w:rPr>
        <w:t>万元，监测费与管护费</w:t>
      </w:r>
      <w:r>
        <w:rPr>
          <w:rFonts w:hint="eastAsia" w:cs="Times New Roman"/>
          <w:color w:val="auto"/>
          <w:sz w:val="24"/>
          <w:highlight w:val="none"/>
          <w:lang w:val="en-US" w:eastAsia="zh-CN"/>
        </w:rPr>
        <w:t>4.78</w:t>
      </w:r>
      <w:r>
        <w:rPr>
          <w:rFonts w:hint="default" w:ascii="Times New Roman" w:hAnsi="Times New Roman" w:cs="Times New Roman"/>
          <w:color w:val="auto"/>
          <w:sz w:val="24"/>
          <w:highlight w:val="none"/>
        </w:rPr>
        <w:t>万元，其他费用</w:t>
      </w:r>
      <w:r>
        <w:rPr>
          <w:rFonts w:hint="eastAsia" w:cs="Times New Roman"/>
          <w:color w:val="auto"/>
          <w:sz w:val="24"/>
          <w:highlight w:val="none"/>
          <w:lang w:val="en-US" w:eastAsia="zh-CN"/>
        </w:rPr>
        <w:t>3.48</w:t>
      </w:r>
      <w:r>
        <w:rPr>
          <w:rFonts w:hint="default" w:ascii="Times New Roman" w:hAnsi="Times New Roman" w:cs="Times New Roman"/>
          <w:color w:val="auto"/>
          <w:sz w:val="24"/>
          <w:highlight w:val="none"/>
        </w:rPr>
        <w:t>万元，预备费</w:t>
      </w:r>
      <w:r>
        <w:rPr>
          <w:rFonts w:hint="eastAsia" w:cs="Times New Roman"/>
          <w:color w:val="auto"/>
          <w:sz w:val="24"/>
          <w:highlight w:val="none"/>
          <w:lang w:val="en-US" w:eastAsia="zh-CN"/>
        </w:rPr>
        <w:t>7.93</w:t>
      </w:r>
      <w:r>
        <w:rPr>
          <w:rFonts w:hint="default" w:ascii="Times New Roman" w:hAnsi="Times New Roman" w:cs="Times New Roman"/>
          <w:color w:val="auto"/>
          <w:sz w:val="24"/>
          <w:highlight w:val="none"/>
        </w:rPr>
        <w:t>万元。</w:t>
      </w:r>
      <w:r>
        <w:rPr>
          <w:rFonts w:hint="default" w:ascii="Times New Roman" w:hAnsi="Times New Roman" w:cs="Times New Roman"/>
          <w:color w:val="auto"/>
          <w:sz w:val="24"/>
          <w:highlight w:val="none"/>
          <w:lang w:val="en-US" w:eastAsia="zh-CN"/>
        </w:rPr>
        <w:t>动态投资</w:t>
      </w:r>
      <w:r>
        <w:rPr>
          <w:rFonts w:hint="eastAsia" w:cs="Times New Roman"/>
          <w:color w:val="auto"/>
          <w:sz w:val="24"/>
          <w:highlight w:val="none"/>
          <w:lang w:val="en-US" w:eastAsia="zh-CN"/>
        </w:rPr>
        <w:t>40.11</w:t>
      </w:r>
      <w:r>
        <w:rPr>
          <w:rFonts w:hint="default" w:ascii="Times New Roman" w:hAnsi="Times New Roman" w:cs="Times New Roman"/>
          <w:color w:val="auto"/>
          <w:sz w:val="24"/>
          <w:highlight w:val="none"/>
          <w:lang w:val="en-US" w:eastAsia="zh-CN"/>
        </w:rPr>
        <w:t>万元。</w:t>
      </w:r>
    </w:p>
    <w:p w14:paraId="0C523E82">
      <w:pPr>
        <w:pStyle w:val="90"/>
        <w:keepNext w:val="0"/>
        <w:keepLines w:val="0"/>
        <w:pageBreakBefore w:val="0"/>
        <w:widowControl w:val="0"/>
        <w:kinsoku/>
        <w:wordWrap/>
        <w:overflowPunct/>
        <w:topLinePunct w:val="0"/>
        <w:autoSpaceDE w:val="0"/>
        <w:autoSpaceDN w:val="0"/>
        <w:bidi w:val="0"/>
        <w:adjustRightInd/>
        <w:snapToGrid/>
        <w:spacing w:before="1561" w:beforeLines="500"/>
        <w:textAlignment w:val="auto"/>
        <w:rPr>
          <w:rFonts w:hint="default" w:ascii="Times New Roman" w:hAnsi="Times New Roman" w:eastAsia="黑体" w:cs="Times New Roman"/>
          <w:b w:val="0"/>
          <w:bCs/>
          <w:color w:val="auto"/>
          <w:sz w:val="21"/>
          <w:szCs w:val="21"/>
          <w:highlight w:val="none"/>
        </w:rPr>
      </w:pPr>
      <w:r>
        <w:rPr>
          <w:rFonts w:hint="default" w:ascii="Times New Roman" w:hAnsi="Times New Roman" w:eastAsia="黑体" w:cs="Times New Roman"/>
          <w:b w:val="0"/>
          <w:bCs/>
          <w:color w:val="auto"/>
          <w:sz w:val="21"/>
          <w:szCs w:val="21"/>
          <w:highlight w:val="none"/>
        </w:rPr>
        <w:t>表7-1</w:t>
      </w:r>
      <w:r>
        <w:rPr>
          <w:rFonts w:hint="default" w:ascii="Times New Roman" w:hAnsi="Times New Roman" w:cs="Times New Roman"/>
          <w:b w:val="0"/>
          <w:bCs/>
          <w:color w:val="auto"/>
          <w:sz w:val="21"/>
          <w:szCs w:val="21"/>
          <w:highlight w:val="none"/>
          <w:lang w:val="en-US" w:eastAsia="zh-CN"/>
        </w:rPr>
        <w:t>3</w:t>
      </w:r>
      <w:r>
        <w:rPr>
          <w:rFonts w:hint="default" w:ascii="Times New Roman" w:hAnsi="Times New Roman" w:eastAsia="黑体" w:cs="Times New Roman"/>
          <w:b w:val="0"/>
          <w:bCs/>
          <w:color w:val="auto"/>
          <w:sz w:val="21"/>
          <w:szCs w:val="21"/>
          <w:highlight w:val="none"/>
        </w:rPr>
        <w:t xml:space="preserve">  </w:t>
      </w:r>
      <w:r>
        <w:rPr>
          <w:rFonts w:hint="default" w:ascii="Times New Roman" w:hAnsi="Times New Roman" w:cs="Times New Roman"/>
          <w:b w:val="0"/>
          <w:bCs/>
          <w:color w:val="auto"/>
          <w:sz w:val="21"/>
          <w:szCs w:val="21"/>
          <w:highlight w:val="none"/>
          <w:lang w:val="en-US" w:eastAsia="zh-CN"/>
        </w:rPr>
        <w:t>土地复垦</w:t>
      </w:r>
      <w:r>
        <w:rPr>
          <w:rFonts w:hint="default" w:ascii="Times New Roman" w:hAnsi="Times New Roman" w:eastAsia="黑体" w:cs="Times New Roman"/>
          <w:b w:val="0"/>
          <w:bCs/>
          <w:color w:val="auto"/>
          <w:sz w:val="21"/>
          <w:szCs w:val="21"/>
          <w:highlight w:val="none"/>
        </w:rPr>
        <w:t>估算表</w:t>
      </w:r>
    </w:p>
    <w:tbl>
      <w:tblPr>
        <w:tblStyle w:val="34"/>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798"/>
        <w:gridCol w:w="2540"/>
        <w:gridCol w:w="2180"/>
        <w:gridCol w:w="2001"/>
      </w:tblGrid>
      <w:tr w14:paraId="7CB345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0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2E1B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序号</w:t>
            </w:r>
          </w:p>
        </w:tc>
        <w:tc>
          <w:tcPr>
            <w:tcW w:w="14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93F7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工程或费用名称</w:t>
            </w:r>
          </w:p>
        </w:tc>
        <w:tc>
          <w:tcPr>
            <w:tcW w:w="1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4B12C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费用（</w:t>
            </w:r>
            <w:r>
              <w:rPr>
                <w:rFonts w:hint="default" w:ascii="Times New Roman" w:hAnsi="Times New Roman" w:cs="Times New Roman"/>
                <w:i w:val="0"/>
                <w:iCs w:val="0"/>
                <w:color w:val="auto"/>
                <w:kern w:val="0"/>
                <w:sz w:val="21"/>
                <w:szCs w:val="21"/>
                <w:highlight w:val="none"/>
                <w:u w:val="none"/>
                <w:lang w:val="en-US" w:eastAsia="zh-CN" w:bidi="ar"/>
              </w:rPr>
              <w:t>万</w:t>
            </w:r>
            <w:r>
              <w:rPr>
                <w:rFonts w:hint="default" w:ascii="Times New Roman" w:hAnsi="Times New Roman" w:eastAsia="宋体" w:cs="Times New Roman"/>
                <w:i w:val="0"/>
                <w:iCs w:val="0"/>
                <w:color w:val="auto"/>
                <w:kern w:val="0"/>
                <w:sz w:val="21"/>
                <w:szCs w:val="21"/>
                <w:highlight w:val="none"/>
                <w:u w:val="none"/>
                <w:lang w:val="en-US" w:eastAsia="zh-CN" w:bidi="ar"/>
              </w:rPr>
              <w:t>元）</w:t>
            </w:r>
          </w:p>
        </w:tc>
        <w:tc>
          <w:tcPr>
            <w:tcW w:w="11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78E1D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所占投资比例（%）</w:t>
            </w:r>
          </w:p>
        </w:tc>
      </w:tr>
      <w:tr w14:paraId="1D3283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2" w:hRule="atLeast"/>
        </w:trPr>
        <w:tc>
          <w:tcPr>
            <w:tcW w:w="10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0C4A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w:t>
            </w:r>
          </w:p>
        </w:tc>
        <w:tc>
          <w:tcPr>
            <w:tcW w:w="14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21F7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工程施工费</w:t>
            </w:r>
          </w:p>
        </w:tc>
        <w:tc>
          <w:tcPr>
            <w:tcW w:w="218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5F637E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23.93 </w:t>
            </w:r>
          </w:p>
        </w:tc>
        <w:tc>
          <w:tcPr>
            <w:tcW w:w="2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8CD7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69.96 </w:t>
            </w:r>
          </w:p>
        </w:tc>
      </w:tr>
      <w:tr w14:paraId="1879E0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DCFA0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二</w:t>
            </w:r>
          </w:p>
        </w:tc>
        <w:tc>
          <w:tcPr>
            <w:tcW w:w="14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0AEE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设备费</w:t>
            </w:r>
          </w:p>
        </w:tc>
        <w:tc>
          <w:tcPr>
            <w:tcW w:w="21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CD864C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 </w:t>
            </w:r>
          </w:p>
        </w:tc>
        <w:tc>
          <w:tcPr>
            <w:tcW w:w="2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280C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 </w:t>
            </w:r>
          </w:p>
        </w:tc>
      </w:tr>
      <w:tr w14:paraId="50A3EF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73161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三</w:t>
            </w:r>
          </w:p>
        </w:tc>
        <w:tc>
          <w:tcPr>
            <w:tcW w:w="14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878A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其他费用</w:t>
            </w:r>
          </w:p>
        </w:tc>
        <w:tc>
          <w:tcPr>
            <w:tcW w:w="21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9950A3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3.48 </w:t>
            </w:r>
          </w:p>
        </w:tc>
        <w:tc>
          <w:tcPr>
            <w:tcW w:w="2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BC2F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10.17 </w:t>
            </w:r>
          </w:p>
        </w:tc>
      </w:tr>
      <w:tr w14:paraId="53CBF8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5BAF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四</w:t>
            </w:r>
          </w:p>
        </w:tc>
        <w:tc>
          <w:tcPr>
            <w:tcW w:w="14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F49C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监测与管护费</w:t>
            </w:r>
          </w:p>
        </w:tc>
        <w:tc>
          <w:tcPr>
            <w:tcW w:w="21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590066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4.78 </w:t>
            </w:r>
          </w:p>
        </w:tc>
        <w:tc>
          <w:tcPr>
            <w:tcW w:w="2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959B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13.97 </w:t>
            </w:r>
          </w:p>
        </w:tc>
      </w:tr>
      <w:tr w14:paraId="1D313D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3D1FF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w:t>
            </w:r>
          </w:p>
        </w:tc>
        <w:tc>
          <w:tcPr>
            <w:tcW w:w="14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996A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复垦监测费</w:t>
            </w:r>
          </w:p>
        </w:tc>
        <w:tc>
          <w:tcPr>
            <w:tcW w:w="21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81090D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0.93 </w:t>
            </w:r>
          </w:p>
        </w:tc>
        <w:tc>
          <w:tcPr>
            <w:tcW w:w="2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54C2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2.72 </w:t>
            </w:r>
          </w:p>
        </w:tc>
      </w:tr>
      <w:tr w14:paraId="2CD636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D4C11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（二）</w:t>
            </w:r>
          </w:p>
        </w:tc>
        <w:tc>
          <w:tcPr>
            <w:tcW w:w="14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8FE7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管护费</w:t>
            </w:r>
          </w:p>
        </w:tc>
        <w:tc>
          <w:tcPr>
            <w:tcW w:w="21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D2DDBB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3.85 </w:t>
            </w:r>
          </w:p>
        </w:tc>
        <w:tc>
          <w:tcPr>
            <w:tcW w:w="2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275B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11.25 </w:t>
            </w:r>
          </w:p>
        </w:tc>
      </w:tr>
      <w:tr w14:paraId="57717E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AF08C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五</w:t>
            </w:r>
          </w:p>
        </w:tc>
        <w:tc>
          <w:tcPr>
            <w:tcW w:w="14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F918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预备费</w:t>
            </w:r>
          </w:p>
        </w:tc>
        <w:tc>
          <w:tcPr>
            <w:tcW w:w="21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486934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7.93 </w:t>
            </w:r>
          </w:p>
        </w:tc>
        <w:tc>
          <w:tcPr>
            <w:tcW w:w="2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DEF7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23.18 </w:t>
            </w:r>
          </w:p>
        </w:tc>
      </w:tr>
      <w:tr w14:paraId="1D13DF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6214F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w:t>
            </w:r>
          </w:p>
        </w:tc>
        <w:tc>
          <w:tcPr>
            <w:tcW w:w="14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D42E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基本预备费</w:t>
            </w:r>
          </w:p>
        </w:tc>
        <w:tc>
          <w:tcPr>
            <w:tcW w:w="21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61C058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0.82 </w:t>
            </w:r>
          </w:p>
        </w:tc>
        <w:tc>
          <w:tcPr>
            <w:tcW w:w="2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AC41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2.40 </w:t>
            </w:r>
          </w:p>
        </w:tc>
      </w:tr>
      <w:tr w14:paraId="7E7728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FEA39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（二）</w:t>
            </w:r>
          </w:p>
        </w:tc>
        <w:tc>
          <w:tcPr>
            <w:tcW w:w="14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9A96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价差预备费</w:t>
            </w:r>
          </w:p>
        </w:tc>
        <w:tc>
          <w:tcPr>
            <w:tcW w:w="21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C5E3F0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5.91 </w:t>
            </w:r>
          </w:p>
        </w:tc>
        <w:tc>
          <w:tcPr>
            <w:tcW w:w="2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A376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r w14:paraId="2B7934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622AB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eastAsia" w:ascii="Times New Roman" w:hAnsi="Times New Roman" w:cs="Times New Roman"/>
                <w:i w:val="0"/>
                <w:iCs w:val="0"/>
                <w:color w:val="auto"/>
                <w:kern w:val="0"/>
                <w:sz w:val="21"/>
                <w:szCs w:val="21"/>
                <w:highlight w:val="none"/>
                <w:u w:val="none"/>
                <w:lang w:val="en-US" w:eastAsia="zh-CN" w:bidi="ar"/>
              </w:rPr>
              <w:t>三</w:t>
            </w: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4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0C61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风险金</w:t>
            </w:r>
          </w:p>
        </w:tc>
        <w:tc>
          <w:tcPr>
            <w:tcW w:w="21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C0C86C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1.20 </w:t>
            </w:r>
          </w:p>
        </w:tc>
        <w:tc>
          <w:tcPr>
            <w:tcW w:w="2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ADB3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3.50 </w:t>
            </w:r>
          </w:p>
        </w:tc>
      </w:tr>
      <w:tr w14:paraId="750CE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A82F1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六</w:t>
            </w:r>
          </w:p>
        </w:tc>
        <w:tc>
          <w:tcPr>
            <w:tcW w:w="14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8AC7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静态总投资</w:t>
            </w:r>
          </w:p>
        </w:tc>
        <w:tc>
          <w:tcPr>
            <w:tcW w:w="21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24E119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34.20 </w:t>
            </w:r>
          </w:p>
        </w:tc>
        <w:tc>
          <w:tcPr>
            <w:tcW w:w="2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003C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100.00 </w:t>
            </w:r>
          </w:p>
        </w:tc>
      </w:tr>
      <w:tr w14:paraId="1380F1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F380C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七</w:t>
            </w:r>
          </w:p>
        </w:tc>
        <w:tc>
          <w:tcPr>
            <w:tcW w:w="14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43BE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动态总投资</w:t>
            </w:r>
          </w:p>
        </w:tc>
        <w:tc>
          <w:tcPr>
            <w:tcW w:w="21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0E3731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40.11 </w:t>
            </w:r>
          </w:p>
        </w:tc>
        <w:tc>
          <w:tcPr>
            <w:tcW w:w="2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D2BC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bl>
    <w:p w14:paraId="51DEB881">
      <w:pPr>
        <w:pStyle w:val="90"/>
        <w:keepNext w:val="0"/>
        <w:keepLines w:val="0"/>
        <w:pageBreakBefore w:val="0"/>
        <w:widowControl w:val="0"/>
        <w:kinsoku/>
        <w:wordWrap/>
        <w:overflowPunct/>
        <w:topLinePunct w:val="0"/>
        <w:autoSpaceDE w:val="0"/>
        <w:autoSpaceDN w:val="0"/>
        <w:bidi w:val="0"/>
        <w:adjustRightInd/>
        <w:snapToGrid/>
        <w:spacing w:before="95" w:beforeLines="30"/>
        <w:textAlignment w:val="auto"/>
        <w:rPr>
          <w:rFonts w:hint="default" w:ascii="Times New Roman" w:hAnsi="Times New Roman" w:eastAsia="黑体" w:cs="Times New Roman"/>
          <w:b w:val="0"/>
          <w:bCs/>
          <w:color w:val="auto"/>
          <w:sz w:val="21"/>
          <w:szCs w:val="21"/>
          <w:highlight w:val="none"/>
        </w:rPr>
      </w:pPr>
      <w:r>
        <w:rPr>
          <w:rFonts w:hint="default" w:ascii="Times New Roman" w:hAnsi="Times New Roman" w:eastAsia="黑体" w:cs="Times New Roman"/>
          <w:b w:val="0"/>
          <w:bCs/>
          <w:color w:val="auto"/>
          <w:sz w:val="21"/>
          <w:szCs w:val="21"/>
          <w:highlight w:val="none"/>
        </w:rPr>
        <w:t>表7-14  施工费估算表</w:t>
      </w:r>
    </w:p>
    <w:tbl>
      <w:tblPr>
        <w:tblStyle w:val="34"/>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65"/>
        <w:gridCol w:w="860"/>
        <w:gridCol w:w="2213"/>
        <w:gridCol w:w="860"/>
        <w:gridCol w:w="860"/>
        <w:gridCol w:w="1462"/>
        <w:gridCol w:w="1197"/>
      </w:tblGrid>
      <w:tr w14:paraId="5B5981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65D0A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序号</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88E6D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定额编号</w:t>
            </w:r>
          </w:p>
        </w:tc>
        <w:tc>
          <w:tcPr>
            <w:tcW w:w="12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EE222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工程或费用名称</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849D9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计量单位</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516E6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工程量</w:t>
            </w:r>
          </w:p>
        </w:tc>
        <w:tc>
          <w:tcPr>
            <w:tcW w:w="8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2D183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综合单价（元）</w:t>
            </w: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C8B9D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合计（元）</w:t>
            </w:r>
          </w:p>
        </w:tc>
      </w:tr>
      <w:tr w14:paraId="414FB0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25" w:type="pct"/>
            <w:tcBorders>
              <w:top w:val="single" w:color="000000" w:sz="4" w:space="0"/>
              <w:left w:val="single" w:color="000000" w:sz="4" w:space="0"/>
              <w:bottom w:val="single" w:color="000000" w:sz="4" w:space="0"/>
              <w:right w:val="single" w:color="000000" w:sz="4" w:space="0"/>
            </w:tcBorders>
            <w:shd w:val="clear" w:color="auto" w:fill="auto"/>
            <w:vAlign w:val="bottom"/>
          </w:tcPr>
          <w:p w14:paraId="58D88BDB">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一</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bottom"/>
          </w:tcPr>
          <w:p w14:paraId="1F19B13E">
            <w:pPr>
              <w:jc w:val="center"/>
              <w:rPr>
                <w:rFonts w:hint="default" w:ascii="Times New Roman" w:hAnsi="Times New Roman" w:eastAsia="宋体" w:cs="Times New Roman"/>
                <w:i w:val="0"/>
                <w:iCs w:val="0"/>
                <w:color w:val="auto"/>
                <w:sz w:val="21"/>
                <w:szCs w:val="21"/>
                <w:u w:val="none"/>
              </w:rPr>
            </w:pPr>
          </w:p>
        </w:tc>
        <w:tc>
          <w:tcPr>
            <w:tcW w:w="1299" w:type="pct"/>
            <w:tcBorders>
              <w:top w:val="single" w:color="000000" w:sz="4" w:space="0"/>
              <w:left w:val="single" w:color="000000" w:sz="4" w:space="0"/>
              <w:bottom w:val="single" w:color="000000" w:sz="4" w:space="0"/>
              <w:right w:val="single" w:color="000000" w:sz="4" w:space="0"/>
            </w:tcBorders>
            <w:shd w:val="clear" w:color="auto" w:fill="auto"/>
            <w:vAlign w:val="bottom"/>
          </w:tcPr>
          <w:p w14:paraId="574B8B4C">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土壤剥覆工程</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bottom"/>
          </w:tcPr>
          <w:p w14:paraId="5F747C23">
            <w:pPr>
              <w:jc w:val="center"/>
              <w:rPr>
                <w:rFonts w:hint="default" w:ascii="Times New Roman" w:hAnsi="Times New Roman" w:eastAsia="宋体" w:cs="Times New Roman"/>
                <w:i w:val="0"/>
                <w:iCs w:val="0"/>
                <w:color w:val="auto"/>
                <w:sz w:val="21"/>
                <w:szCs w:val="21"/>
                <w:u w:val="none"/>
              </w:rPr>
            </w:pP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bottom"/>
          </w:tcPr>
          <w:p w14:paraId="013D8ADA">
            <w:pPr>
              <w:jc w:val="center"/>
              <w:rPr>
                <w:rFonts w:hint="default" w:ascii="Times New Roman" w:hAnsi="Times New Roman" w:eastAsia="宋体" w:cs="Times New Roman"/>
                <w:i w:val="0"/>
                <w:iCs w:val="0"/>
                <w:color w:val="auto"/>
                <w:sz w:val="21"/>
                <w:szCs w:val="21"/>
                <w:u w:val="none"/>
              </w:rPr>
            </w:pPr>
          </w:p>
        </w:tc>
        <w:tc>
          <w:tcPr>
            <w:tcW w:w="8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694CB">
            <w:pPr>
              <w:jc w:val="center"/>
              <w:rPr>
                <w:rFonts w:hint="default" w:ascii="Times New Roman" w:hAnsi="Times New Roman" w:eastAsia="宋体" w:cs="Times New Roman"/>
                <w:i w:val="0"/>
                <w:iCs w:val="0"/>
                <w:color w:val="auto"/>
                <w:sz w:val="21"/>
                <w:szCs w:val="21"/>
                <w:u w:val="none"/>
              </w:rPr>
            </w:pPr>
          </w:p>
        </w:tc>
        <w:tc>
          <w:tcPr>
            <w:tcW w:w="7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817E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143944 </w:t>
            </w:r>
          </w:p>
        </w:tc>
      </w:tr>
      <w:tr w14:paraId="5658E8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25" w:type="pct"/>
            <w:tcBorders>
              <w:top w:val="single" w:color="000000" w:sz="4" w:space="0"/>
              <w:left w:val="single" w:color="000000" w:sz="4" w:space="0"/>
              <w:bottom w:val="single" w:color="000000" w:sz="4" w:space="0"/>
              <w:right w:val="single" w:color="000000" w:sz="4" w:space="0"/>
            </w:tcBorders>
            <w:shd w:val="clear" w:color="auto" w:fill="auto"/>
            <w:vAlign w:val="bottom"/>
          </w:tcPr>
          <w:p w14:paraId="03538EA1">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bottom"/>
          </w:tcPr>
          <w:p w14:paraId="09A70A17">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10304</w:t>
            </w:r>
          </w:p>
        </w:tc>
        <w:tc>
          <w:tcPr>
            <w:tcW w:w="1299" w:type="pct"/>
            <w:tcBorders>
              <w:top w:val="single" w:color="000000" w:sz="4" w:space="0"/>
              <w:left w:val="single" w:color="000000" w:sz="4" w:space="0"/>
              <w:bottom w:val="single" w:color="000000" w:sz="4" w:space="0"/>
              <w:right w:val="single" w:color="000000" w:sz="4" w:space="0"/>
            </w:tcBorders>
            <w:shd w:val="clear" w:color="auto" w:fill="auto"/>
            <w:vAlign w:val="bottom"/>
          </w:tcPr>
          <w:p w14:paraId="1904D7A6">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表土剥离</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bottom"/>
          </w:tcPr>
          <w:p w14:paraId="1A3C691F">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bottom"/>
          </w:tcPr>
          <w:p w14:paraId="36A77342">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543</w:t>
            </w:r>
          </w:p>
        </w:tc>
        <w:tc>
          <w:tcPr>
            <w:tcW w:w="8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52E4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2.48 </w:t>
            </w:r>
          </w:p>
        </w:tc>
        <w:tc>
          <w:tcPr>
            <w:tcW w:w="7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692D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1345 </w:t>
            </w:r>
          </w:p>
        </w:tc>
      </w:tr>
      <w:tr w14:paraId="1888E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25" w:type="pct"/>
            <w:tcBorders>
              <w:top w:val="single" w:color="000000" w:sz="4" w:space="0"/>
              <w:left w:val="single" w:color="000000" w:sz="4" w:space="0"/>
              <w:bottom w:val="single" w:color="000000" w:sz="4" w:space="0"/>
              <w:right w:val="single" w:color="000000" w:sz="4" w:space="0"/>
            </w:tcBorders>
            <w:shd w:val="clear" w:color="auto" w:fill="auto"/>
            <w:vAlign w:val="bottom"/>
          </w:tcPr>
          <w:p w14:paraId="6EC26148">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bottom"/>
          </w:tcPr>
          <w:p w14:paraId="611B9DBA">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10218</w:t>
            </w:r>
          </w:p>
        </w:tc>
        <w:tc>
          <w:tcPr>
            <w:tcW w:w="1299" w:type="pct"/>
            <w:tcBorders>
              <w:top w:val="single" w:color="000000" w:sz="4" w:space="0"/>
              <w:left w:val="single" w:color="000000" w:sz="4" w:space="0"/>
              <w:bottom w:val="single" w:color="000000" w:sz="4" w:space="0"/>
              <w:right w:val="single" w:color="000000" w:sz="4" w:space="0"/>
            </w:tcBorders>
            <w:shd w:val="clear" w:color="auto" w:fill="auto"/>
            <w:vAlign w:val="bottom"/>
          </w:tcPr>
          <w:p w14:paraId="5B797C53">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表土剥离运输</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bottom"/>
          </w:tcPr>
          <w:p w14:paraId="0139B178">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166C8A1">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543</w:t>
            </w:r>
          </w:p>
        </w:tc>
        <w:tc>
          <w:tcPr>
            <w:tcW w:w="85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9EA7B65">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10.19 </w:t>
            </w:r>
          </w:p>
        </w:tc>
        <w:tc>
          <w:tcPr>
            <w:tcW w:w="7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27E7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5534 </w:t>
            </w:r>
          </w:p>
        </w:tc>
      </w:tr>
      <w:tr w14:paraId="35D218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25" w:type="pct"/>
            <w:tcBorders>
              <w:top w:val="single" w:color="000000" w:sz="4" w:space="0"/>
              <w:left w:val="single" w:color="000000" w:sz="4" w:space="0"/>
              <w:bottom w:val="single" w:color="000000" w:sz="4" w:space="0"/>
              <w:right w:val="single" w:color="000000" w:sz="4" w:space="0"/>
            </w:tcBorders>
            <w:shd w:val="clear" w:color="auto" w:fill="auto"/>
            <w:vAlign w:val="bottom"/>
          </w:tcPr>
          <w:p w14:paraId="1A9D908D">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bottom"/>
          </w:tcPr>
          <w:p w14:paraId="6BF6E73F">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水利90002</w:t>
            </w:r>
          </w:p>
        </w:tc>
        <w:tc>
          <w:tcPr>
            <w:tcW w:w="1299" w:type="pct"/>
            <w:tcBorders>
              <w:top w:val="single" w:color="000000" w:sz="4" w:space="0"/>
              <w:left w:val="single" w:color="000000" w:sz="4" w:space="0"/>
              <w:bottom w:val="single" w:color="000000" w:sz="4" w:space="0"/>
              <w:right w:val="single" w:color="000000" w:sz="4" w:space="0"/>
            </w:tcBorders>
            <w:shd w:val="clear" w:color="auto" w:fill="auto"/>
            <w:vAlign w:val="bottom"/>
          </w:tcPr>
          <w:p w14:paraId="4072376A">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编织袋挡墙</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bottom"/>
          </w:tcPr>
          <w:p w14:paraId="3A654FFF">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AD31D76">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145</w:t>
            </w:r>
          </w:p>
        </w:tc>
        <w:tc>
          <w:tcPr>
            <w:tcW w:w="85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EA16AD5">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99.60 </w:t>
            </w:r>
          </w:p>
        </w:tc>
        <w:tc>
          <w:tcPr>
            <w:tcW w:w="7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FC46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14442 </w:t>
            </w:r>
          </w:p>
        </w:tc>
      </w:tr>
      <w:tr w14:paraId="7F3B32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25" w:type="pct"/>
            <w:tcBorders>
              <w:top w:val="single" w:color="000000" w:sz="4" w:space="0"/>
              <w:left w:val="single" w:color="000000" w:sz="4" w:space="0"/>
              <w:bottom w:val="single" w:color="000000" w:sz="4" w:space="0"/>
              <w:right w:val="single" w:color="000000" w:sz="4" w:space="0"/>
            </w:tcBorders>
            <w:shd w:val="clear" w:color="auto" w:fill="auto"/>
            <w:vAlign w:val="bottom"/>
          </w:tcPr>
          <w:p w14:paraId="5525D3ED">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bottom"/>
          </w:tcPr>
          <w:p w14:paraId="1A45251E">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90030</w:t>
            </w:r>
          </w:p>
        </w:tc>
        <w:tc>
          <w:tcPr>
            <w:tcW w:w="1299" w:type="pct"/>
            <w:tcBorders>
              <w:top w:val="single" w:color="000000" w:sz="4" w:space="0"/>
              <w:left w:val="single" w:color="000000" w:sz="4" w:space="0"/>
              <w:bottom w:val="single" w:color="000000" w:sz="4" w:space="0"/>
              <w:right w:val="single" w:color="000000" w:sz="4" w:space="0"/>
            </w:tcBorders>
            <w:shd w:val="clear" w:color="auto" w:fill="auto"/>
            <w:vAlign w:val="bottom"/>
          </w:tcPr>
          <w:p w14:paraId="1996C119">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表土养护</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bottom"/>
          </w:tcPr>
          <w:p w14:paraId="7C12A604">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hm</w:t>
            </w:r>
            <w:r>
              <w:rPr>
                <w:rFonts w:hint="default" w:ascii="Times New Roman" w:hAnsi="Times New Roman" w:eastAsia="宋体" w:cs="Times New Roman"/>
                <w:i w:val="0"/>
                <w:iCs w:val="0"/>
                <w:color w:val="auto"/>
                <w:kern w:val="0"/>
                <w:sz w:val="21"/>
                <w:szCs w:val="21"/>
                <w:u w:val="none"/>
                <w:vertAlign w:val="superscript"/>
                <w:lang w:val="en-US" w:eastAsia="zh-CN" w:bidi="ar"/>
              </w:rPr>
              <w:t>2</w:t>
            </w: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C36E2AA">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0.433</w:t>
            </w:r>
          </w:p>
        </w:tc>
        <w:tc>
          <w:tcPr>
            <w:tcW w:w="85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1543B73">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1688.34 </w:t>
            </w:r>
          </w:p>
        </w:tc>
        <w:tc>
          <w:tcPr>
            <w:tcW w:w="7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8CC8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731 </w:t>
            </w:r>
          </w:p>
        </w:tc>
      </w:tr>
      <w:tr w14:paraId="35447B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5" w:type="pct"/>
            <w:tcBorders>
              <w:top w:val="single" w:color="000000" w:sz="4" w:space="0"/>
              <w:left w:val="single" w:color="000000" w:sz="4" w:space="0"/>
              <w:bottom w:val="single" w:color="000000" w:sz="4" w:space="0"/>
              <w:right w:val="single" w:color="000000" w:sz="4" w:space="0"/>
            </w:tcBorders>
            <w:shd w:val="clear" w:color="auto" w:fill="auto"/>
            <w:vAlign w:val="bottom"/>
          </w:tcPr>
          <w:p w14:paraId="566A8042">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bottom"/>
          </w:tcPr>
          <w:p w14:paraId="24D2055B">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10218</w:t>
            </w:r>
          </w:p>
        </w:tc>
        <w:tc>
          <w:tcPr>
            <w:tcW w:w="1299" w:type="pct"/>
            <w:tcBorders>
              <w:top w:val="single" w:color="000000" w:sz="4" w:space="0"/>
              <w:left w:val="single" w:color="000000" w:sz="4" w:space="0"/>
              <w:bottom w:val="single" w:color="000000" w:sz="4" w:space="0"/>
              <w:right w:val="single" w:color="000000" w:sz="4" w:space="0"/>
            </w:tcBorders>
            <w:shd w:val="clear" w:color="auto" w:fill="auto"/>
            <w:vAlign w:val="bottom"/>
          </w:tcPr>
          <w:p w14:paraId="42C1B958">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表土回填运输</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bottom"/>
          </w:tcPr>
          <w:p w14:paraId="61E648D0">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FAA8F4D">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9621</w:t>
            </w:r>
          </w:p>
        </w:tc>
        <w:tc>
          <w:tcPr>
            <w:tcW w:w="85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74E44C3">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10.19 </w:t>
            </w:r>
          </w:p>
        </w:tc>
        <w:tc>
          <w:tcPr>
            <w:tcW w:w="7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E67A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98054 </w:t>
            </w:r>
          </w:p>
        </w:tc>
      </w:tr>
      <w:tr w14:paraId="1E65F6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25" w:type="pct"/>
            <w:tcBorders>
              <w:top w:val="single" w:color="000000" w:sz="4" w:space="0"/>
              <w:left w:val="single" w:color="000000" w:sz="4" w:space="0"/>
              <w:bottom w:val="single" w:color="000000" w:sz="4" w:space="0"/>
              <w:right w:val="single" w:color="000000" w:sz="4" w:space="0"/>
            </w:tcBorders>
            <w:shd w:val="clear" w:color="auto" w:fill="auto"/>
            <w:vAlign w:val="bottom"/>
          </w:tcPr>
          <w:p w14:paraId="26C197EA">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bottom"/>
          </w:tcPr>
          <w:p w14:paraId="3E7010F7">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10304</w:t>
            </w:r>
          </w:p>
        </w:tc>
        <w:tc>
          <w:tcPr>
            <w:tcW w:w="1299" w:type="pct"/>
            <w:tcBorders>
              <w:top w:val="single" w:color="000000" w:sz="4" w:space="0"/>
              <w:left w:val="single" w:color="000000" w:sz="4" w:space="0"/>
              <w:bottom w:val="single" w:color="000000" w:sz="4" w:space="0"/>
              <w:right w:val="single" w:color="000000" w:sz="4" w:space="0"/>
            </w:tcBorders>
            <w:shd w:val="clear" w:color="auto" w:fill="auto"/>
            <w:vAlign w:val="bottom"/>
          </w:tcPr>
          <w:p w14:paraId="1E7D9BE0">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表土回填</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bottom"/>
          </w:tcPr>
          <w:p w14:paraId="543E40BD">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bottom"/>
          </w:tcPr>
          <w:p w14:paraId="11880AB9">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9621</w:t>
            </w:r>
          </w:p>
        </w:tc>
        <w:tc>
          <w:tcPr>
            <w:tcW w:w="8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B3AE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2.48 </w:t>
            </w:r>
          </w:p>
        </w:tc>
        <w:tc>
          <w:tcPr>
            <w:tcW w:w="7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9D60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23837 </w:t>
            </w:r>
          </w:p>
        </w:tc>
      </w:tr>
      <w:tr w14:paraId="0A8C75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2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9747B1F">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二</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bottom"/>
          </w:tcPr>
          <w:p w14:paraId="5167181F">
            <w:pPr>
              <w:jc w:val="center"/>
              <w:rPr>
                <w:rFonts w:hint="default" w:ascii="Times New Roman" w:hAnsi="Times New Roman" w:eastAsia="宋体" w:cs="Times New Roman"/>
                <w:i w:val="0"/>
                <w:iCs w:val="0"/>
                <w:color w:val="auto"/>
                <w:sz w:val="21"/>
                <w:szCs w:val="21"/>
                <w:u w:val="none"/>
              </w:rPr>
            </w:pPr>
          </w:p>
        </w:tc>
        <w:tc>
          <w:tcPr>
            <w:tcW w:w="1299" w:type="pct"/>
            <w:tcBorders>
              <w:top w:val="single" w:color="000000" w:sz="4" w:space="0"/>
              <w:left w:val="single" w:color="000000" w:sz="4" w:space="0"/>
              <w:bottom w:val="single" w:color="000000" w:sz="4" w:space="0"/>
              <w:right w:val="single" w:color="000000" w:sz="4" w:space="0"/>
            </w:tcBorders>
            <w:shd w:val="clear" w:color="auto" w:fill="auto"/>
            <w:vAlign w:val="bottom"/>
          </w:tcPr>
          <w:p w14:paraId="0D3C7AFC">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植被恢复工程</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bottom"/>
          </w:tcPr>
          <w:p w14:paraId="1B86B18A">
            <w:pPr>
              <w:jc w:val="center"/>
              <w:rPr>
                <w:rFonts w:hint="default" w:ascii="Times New Roman" w:hAnsi="Times New Roman" w:eastAsia="宋体" w:cs="Times New Roman"/>
                <w:i w:val="0"/>
                <w:iCs w:val="0"/>
                <w:color w:val="auto"/>
                <w:sz w:val="21"/>
                <w:szCs w:val="21"/>
                <w:u w:val="none"/>
              </w:rPr>
            </w:pP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bottom"/>
          </w:tcPr>
          <w:p w14:paraId="4E1BCDE5">
            <w:pPr>
              <w:jc w:val="center"/>
              <w:rPr>
                <w:rFonts w:hint="default" w:ascii="Times New Roman" w:hAnsi="Times New Roman" w:eastAsia="宋体" w:cs="Times New Roman"/>
                <w:i w:val="0"/>
                <w:iCs w:val="0"/>
                <w:color w:val="auto"/>
                <w:sz w:val="21"/>
                <w:szCs w:val="21"/>
                <w:u w:val="none"/>
              </w:rPr>
            </w:pPr>
          </w:p>
        </w:tc>
        <w:tc>
          <w:tcPr>
            <w:tcW w:w="8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1FF68">
            <w:pPr>
              <w:jc w:val="center"/>
              <w:rPr>
                <w:rFonts w:hint="default" w:ascii="Times New Roman" w:hAnsi="Times New Roman" w:eastAsia="宋体" w:cs="Times New Roman"/>
                <w:i w:val="0"/>
                <w:iCs w:val="0"/>
                <w:color w:val="auto"/>
                <w:sz w:val="21"/>
                <w:szCs w:val="21"/>
                <w:u w:val="none"/>
              </w:rPr>
            </w:pPr>
          </w:p>
        </w:tc>
        <w:tc>
          <w:tcPr>
            <w:tcW w:w="7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3CBE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95359 </w:t>
            </w:r>
          </w:p>
        </w:tc>
      </w:tr>
      <w:tr w14:paraId="7A18B2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25" w:type="pct"/>
            <w:tcBorders>
              <w:top w:val="single" w:color="000000" w:sz="4" w:space="0"/>
              <w:left w:val="single" w:color="000000" w:sz="4" w:space="0"/>
              <w:bottom w:val="single" w:color="000000" w:sz="4" w:space="0"/>
              <w:right w:val="single" w:color="000000" w:sz="4" w:space="0"/>
            </w:tcBorders>
            <w:shd w:val="clear" w:color="auto" w:fill="auto"/>
            <w:vAlign w:val="bottom"/>
          </w:tcPr>
          <w:p w14:paraId="3DFA31EF">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bottom"/>
          </w:tcPr>
          <w:p w14:paraId="5C38A694">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90007</w:t>
            </w:r>
          </w:p>
        </w:tc>
        <w:tc>
          <w:tcPr>
            <w:tcW w:w="1299" w:type="pct"/>
            <w:tcBorders>
              <w:top w:val="single" w:color="000000" w:sz="4" w:space="0"/>
              <w:left w:val="single" w:color="000000" w:sz="4" w:space="0"/>
              <w:bottom w:val="single" w:color="000000" w:sz="4" w:space="0"/>
              <w:right w:val="single" w:color="000000" w:sz="4" w:space="0"/>
            </w:tcBorders>
            <w:shd w:val="clear" w:color="auto" w:fill="auto"/>
            <w:vAlign w:val="bottom"/>
          </w:tcPr>
          <w:p w14:paraId="30835CB2">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栽植落叶松</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bottom"/>
          </w:tcPr>
          <w:p w14:paraId="7ADA07BE">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株</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bottom"/>
          </w:tcPr>
          <w:p w14:paraId="0121F0A5">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8016</w:t>
            </w:r>
          </w:p>
        </w:tc>
        <w:tc>
          <w:tcPr>
            <w:tcW w:w="857" w:type="pct"/>
            <w:tcBorders>
              <w:top w:val="single" w:color="000000" w:sz="4" w:space="0"/>
              <w:left w:val="single" w:color="000000" w:sz="4" w:space="0"/>
              <w:bottom w:val="single" w:color="000000" w:sz="4" w:space="0"/>
              <w:right w:val="single" w:color="000000" w:sz="4" w:space="0"/>
            </w:tcBorders>
            <w:shd w:val="clear" w:color="auto" w:fill="auto"/>
            <w:vAlign w:val="bottom"/>
          </w:tcPr>
          <w:p w14:paraId="6218F949">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9.96 </w:t>
            </w:r>
          </w:p>
        </w:tc>
        <w:tc>
          <w:tcPr>
            <w:tcW w:w="7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631E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79850 </w:t>
            </w:r>
          </w:p>
        </w:tc>
      </w:tr>
      <w:tr w14:paraId="4B56A1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25" w:type="pct"/>
            <w:tcBorders>
              <w:top w:val="single" w:color="000000" w:sz="4" w:space="0"/>
              <w:left w:val="single" w:color="000000" w:sz="4" w:space="0"/>
              <w:bottom w:val="single" w:color="000000" w:sz="4" w:space="0"/>
              <w:right w:val="single" w:color="000000" w:sz="4" w:space="0"/>
            </w:tcBorders>
            <w:shd w:val="clear" w:color="auto" w:fill="auto"/>
            <w:vAlign w:val="bottom"/>
          </w:tcPr>
          <w:p w14:paraId="438DD399">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bottom"/>
          </w:tcPr>
          <w:p w14:paraId="529AD193">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90018</w:t>
            </w:r>
          </w:p>
        </w:tc>
        <w:tc>
          <w:tcPr>
            <w:tcW w:w="1299" w:type="pct"/>
            <w:tcBorders>
              <w:top w:val="single" w:color="000000" w:sz="4" w:space="0"/>
              <w:left w:val="single" w:color="000000" w:sz="4" w:space="0"/>
              <w:bottom w:val="single" w:color="000000" w:sz="4" w:space="0"/>
              <w:right w:val="single" w:color="000000" w:sz="4" w:space="0"/>
            </w:tcBorders>
            <w:shd w:val="clear" w:color="auto" w:fill="auto"/>
            <w:vAlign w:val="bottom"/>
          </w:tcPr>
          <w:p w14:paraId="4FE81E12">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栽植爬山虎</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bottom"/>
          </w:tcPr>
          <w:p w14:paraId="562F2E34">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株</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bottom"/>
          </w:tcPr>
          <w:p w14:paraId="756A1EDA">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2480</w:t>
            </w:r>
          </w:p>
        </w:tc>
        <w:tc>
          <w:tcPr>
            <w:tcW w:w="857" w:type="pct"/>
            <w:tcBorders>
              <w:top w:val="single" w:color="000000" w:sz="4" w:space="0"/>
              <w:left w:val="single" w:color="000000" w:sz="4" w:space="0"/>
              <w:bottom w:val="single" w:color="000000" w:sz="4" w:space="0"/>
              <w:right w:val="single" w:color="000000" w:sz="4" w:space="0"/>
            </w:tcBorders>
            <w:shd w:val="clear" w:color="auto" w:fill="auto"/>
            <w:vAlign w:val="bottom"/>
          </w:tcPr>
          <w:p w14:paraId="29C3FE65">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3.14 </w:t>
            </w:r>
          </w:p>
        </w:tc>
        <w:tc>
          <w:tcPr>
            <w:tcW w:w="7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0732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7784 </w:t>
            </w:r>
          </w:p>
        </w:tc>
      </w:tr>
      <w:tr w14:paraId="1094B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25" w:type="pct"/>
            <w:tcBorders>
              <w:top w:val="single" w:color="000000" w:sz="4" w:space="0"/>
              <w:left w:val="single" w:color="000000" w:sz="4" w:space="0"/>
              <w:bottom w:val="single" w:color="000000" w:sz="4" w:space="0"/>
              <w:right w:val="single" w:color="000000" w:sz="4" w:space="0"/>
            </w:tcBorders>
            <w:shd w:val="clear" w:color="auto" w:fill="auto"/>
            <w:vAlign w:val="bottom"/>
          </w:tcPr>
          <w:p w14:paraId="3665644E">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bottom"/>
          </w:tcPr>
          <w:p w14:paraId="5A7EB167">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90030</w:t>
            </w:r>
          </w:p>
        </w:tc>
        <w:tc>
          <w:tcPr>
            <w:tcW w:w="1299" w:type="pct"/>
            <w:tcBorders>
              <w:top w:val="single" w:color="000000" w:sz="4" w:space="0"/>
              <w:left w:val="single" w:color="000000" w:sz="4" w:space="0"/>
              <w:bottom w:val="single" w:color="000000" w:sz="4" w:space="0"/>
              <w:right w:val="single" w:color="000000" w:sz="4" w:space="0"/>
            </w:tcBorders>
            <w:shd w:val="clear" w:color="auto" w:fill="auto"/>
            <w:vAlign w:val="bottom"/>
          </w:tcPr>
          <w:p w14:paraId="765D6B57">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播撒草籽</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bottom"/>
          </w:tcPr>
          <w:p w14:paraId="3460C6EA">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hm</w:t>
            </w:r>
            <w:r>
              <w:rPr>
                <w:rFonts w:hint="default" w:ascii="Times New Roman" w:hAnsi="Times New Roman" w:eastAsia="宋体" w:cs="Times New Roman"/>
                <w:i w:val="0"/>
                <w:iCs w:val="0"/>
                <w:color w:val="auto"/>
                <w:kern w:val="0"/>
                <w:sz w:val="21"/>
                <w:szCs w:val="21"/>
                <w:u w:val="none"/>
                <w:vertAlign w:val="superscript"/>
                <w:lang w:val="en-US" w:eastAsia="zh-CN" w:bidi="ar"/>
              </w:rPr>
              <w:t>2</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bottom"/>
          </w:tcPr>
          <w:p w14:paraId="5FD30C71">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3.2066</w:t>
            </w:r>
          </w:p>
        </w:tc>
        <w:tc>
          <w:tcPr>
            <w:tcW w:w="857" w:type="pct"/>
            <w:tcBorders>
              <w:top w:val="single" w:color="000000" w:sz="4" w:space="0"/>
              <w:left w:val="single" w:color="000000" w:sz="4" w:space="0"/>
              <w:bottom w:val="single" w:color="000000" w:sz="4" w:space="0"/>
              <w:right w:val="single" w:color="000000" w:sz="4" w:space="0"/>
            </w:tcBorders>
            <w:shd w:val="clear" w:color="auto" w:fill="auto"/>
            <w:vAlign w:val="bottom"/>
          </w:tcPr>
          <w:p w14:paraId="479C4DDE">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1688.34 </w:t>
            </w:r>
          </w:p>
        </w:tc>
        <w:tc>
          <w:tcPr>
            <w:tcW w:w="7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CCAD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5414 </w:t>
            </w:r>
          </w:p>
        </w:tc>
      </w:tr>
      <w:tr w14:paraId="12EB42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25" w:type="pct"/>
            <w:tcBorders>
              <w:top w:val="single" w:color="000000" w:sz="4" w:space="0"/>
              <w:left w:val="single" w:color="000000" w:sz="4" w:space="0"/>
              <w:bottom w:val="single" w:color="000000" w:sz="4" w:space="0"/>
              <w:right w:val="single" w:color="000000" w:sz="4" w:space="0"/>
            </w:tcBorders>
            <w:shd w:val="clear" w:color="auto" w:fill="auto"/>
            <w:vAlign w:val="bottom"/>
          </w:tcPr>
          <w:p w14:paraId="6EF95F97">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A417A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10043</w:t>
            </w:r>
          </w:p>
        </w:tc>
        <w:tc>
          <w:tcPr>
            <w:tcW w:w="12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AB3EA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土地翻耕</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bottom"/>
          </w:tcPr>
          <w:p w14:paraId="24314ABB">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hm</w:t>
            </w:r>
            <w:r>
              <w:rPr>
                <w:rFonts w:hint="default" w:ascii="Times New Roman" w:hAnsi="Times New Roman" w:eastAsia="宋体" w:cs="Times New Roman"/>
                <w:i w:val="0"/>
                <w:iCs w:val="0"/>
                <w:color w:val="auto"/>
                <w:kern w:val="0"/>
                <w:sz w:val="21"/>
                <w:szCs w:val="21"/>
                <w:u w:val="none"/>
                <w:vertAlign w:val="superscript"/>
                <w:lang w:val="en-US" w:eastAsia="zh-CN" w:bidi="ar"/>
              </w:rPr>
              <w:t>2</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bottom"/>
          </w:tcPr>
          <w:p w14:paraId="2C35ED7C">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1.5345</w:t>
            </w:r>
          </w:p>
        </w:tc>
        <w:tc>
          <w:tcPr>
            <w:tcW w:w="857" w:type="pct"/>
            <w:tcBorders>
              <w:top w:val="single" w:color="000000" w:sz="4" w:space="0"/>
              <w:left w:val="single" w:color="000000" w:sz="4" w:space="0"/>
              <w:bottom w:val="single" w:color="000000" w:sz="4" w:space="0"/>
              <w:right w:val="single" w:color="000000" w:sz="4" w:space="0"/>
            </w:tcBorders>
            <w:shd w:val="clear" w:color="auto" w:fill="auto"/>
            <w:vAlign w:val="bottom"/>
          </w:tcPr>
          <w:p w14:paraId="356462B0">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1505.78 </w:t>
            </w:r>
          </w:p>
        </w:tc>
        <w:tc>
          <w:tcPr>
            <w:tcW w:w="7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0D91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2311 </w:t>
            </w:r>
          </w:p>
        </w:tc>
      </w:tr>
      <w:tr w14:paraId="599EB7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297" w:type="pct"/>
            <w:gridSpan w:val="6"/>
            <w:tcBorders>
              <w:top w:val="single" w:color="000000" w:sz="4" w:space="0"/>
              <w:left w:val="single" w:color="000000" w:sz="4" w:space="0"/>
              <w:bottom w:val="single" w:color="000000" w:sz="4" w:space="0"/>
              <w:right w:val="single" w:color="000000" w:sz="4" w:space="0"/>
            </w:tcBorders>
            <w:shd w:val="clear" w:color="auto" w:fill="auto"/>
            <w:vAlign w:val="bottom"/>
          </w:tcPr>
          <w:p w14:paraId="7376D95E">
            <w:pPr>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合计</w:t>
            </w: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00825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239303 </w:t>
            </w:r>
          </w:p>
        </w:tc>
      </w:tr>
    </w:tbl>
    <w:p w14:paraId="1118A72E">
      <w:pPr>
        <w:keepNext w:val="0"/>
        <w:keepLines w:val="0"/>
        <w:pageBreakBefore w:val="0"/>
        <w:widowControl/>
        <w:kinsoku/>
        <w:wordWrap/>
        <w:overflowPunct/>
        <w:topLinePunct w:val="0"/>
        <w:autoSpaceDE/>
        <w:autoSpaceDN/>
        <w:bidi w:val="0"/>
        <w:adjustRightInd/>
        <w:snapToGrid/>
        <w:spacing w:before="313" w:beforeLines="100"/>
        <w:ind w:firstLine="0" w:firstLineChars="0"/>
        <w:jc w:val="center"/>
        <w:textAlignment w:val="auto"/>
        <w:rPr>
          <w:rFonts w:hint="default" w:ascii="Times New Roman" w:hAnsi="Times New Roman" w:eastAsia="黑体" w:cs="Times New Roman"/>
          <w:b w:val="0"/>
          <w:bCs/>
          <w:color w:val="auto"/>
          <w:kern w:val="2"/>
          <w:sz w:val="21"/>
          <w:szCs w:val="21"/>
          <w:highlight w:val="none"/>
          <w:lang w:val="en-US" w:eastAsia="zh-CN" w:bidi="ar-SA"/>
        </w:rPr>
      </w:pPr>
      <w:r>
        <w:rPr>
          <w:rFonts w:hint="default" w:ascii="Times New Roman" w:hAnsi="Times New Roman" w:eastAsia="黑体" w:cs="Times New Roman"/>
          <w:b w:val="0"/>
          <w:bCs/>
          <w:color w:val="auto"/>
          <w:kern w:val="2"/>
          <w:sz w:val="21"/>
          <w:szCs w:val="21"/>
          <w:highlight w:val="none"/>
          <w:lang w:val="en-US" w:eastAsia="zh-CN" w:bidi="ar-SA"/>
        </w:rPr>
        <w:t>表7-15</w:t>
      </w:r>
      <w:r>
        <w:rPr>
          <w:rFonts w:hint="eastAsia" w:ascii="Times New Roman" w:hAnsi="Times New Roman" w:eastAsia="黑体" w:cs="Times New Roman"/>
          <w:b w:val="0"/>
          <w:bCs/>
          <w:color w:val="auto"/>
          <w:kern w:val="2"/>
          <w:sz w:val="21"/>
          <w:szCs w:val="21"/>
          <w:highlight w:val="none"/>
          <w:lang w:val="en-US" w:eastAsia="zh-CN" w:bidi="ar-SA"/>
        </w:rPr>
        <w:t xml:space="preserve">  </w:t>
      </w:r>
      <w:r>
        <w:rPr>
          <w:rFonts w:hint="default" w:ascii="Times New Roman" w:hAnsi="Times New Roman" w:eastAsia="黑体" w:cs="Times New Roman"/>
          <w:b w:val="0"/>
          <w:bCs/>
          <w:color w:val="auto"/>
          <w:kern w:val="2"/>
          <w:sz w:val="21"/>
          <w:szCs w:val="21"/>
          <w:highlight w:val="none"/>
          <w:lang w:val="en-US" w:eastAsia="zh-CN" w:bidi="ar-SA"/>
        </w:rPr>
        <w:t>管护、监测费预算表</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9"/>
        <w:gridCol w:w="1539"/>
        <w:gridCol w:w="993"/>
        <w:gridCol w:w="1337"/>
        <w:gridCol w:w="1094"/>
        <w:gridCol w:w="1094"/>
        <w:gridCol w:w="1216"/>
      </w:tblGrid>
      <w:tr w14:paraId="680D3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249" w:type="dxa"/>
            <w:vMerge w:val="restart"/>
            <w:noWrap/>
            <w:vAlign w:val="center"/>
          </w:tcPr>
          <w:p w14:paraId="1D68BE1C">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序号</w:t>
            </w:r>
          </w:p>
        </w:tc>
        <w:tc>
          <w:tcPr>
            <w:tcW w:w="1539" w:type="dxa"/>
            <w:noWrap/>
            <w:vAlign w:val="center"/>
          </w:tcPr>
          <w:p w14:paraId="5B4EA0E6">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工程分类名称</w:t>
            </w:r>
          </w:p>
        </w:tc>
        <w:tc>
          <w:tcPr>
            <w:tcW w:w="993" w:type="dxa"/>
            <w:noWrap/>
            <w:vAlign w:val="center"/>
          </w:tcPr>
          <w:p w14:paraId="30654228">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次</w:t>
            </w:r>
          </w:p>
        </w:tc>
        <w:tc>
          <w:tcPr>
            <w:tcW w:w="1337" w:type="dxa"/>
            <w:noWrap/>
            <w:vAlign w:val="center"/>
          </w:tcPr>
          <w:p w14:paraId="5A17F217">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面积</w:t>
            </w:r>
          </w:p>
        </w:tc>
        <w:tc>
          <w:tcPr>
            <w:tcW w:w="1094" w:type="dxa"/>
            <w:noWrap/>
            <w:vAlign w:val="center"/>
          </w:tcPr>
          <w:p w14:paraId="09BEF7F4">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年</w:t>
            </w:r>
          </w:p>
        </w:tc>
        <w:tc>
          <w:tcPr>
            <w:tcW w:w="1094" w:type="dxa"/>
            <w:noWrap/>
            <w:vAlign w:val="center"/>
          </w:tcPr>
          <w:p w14:paraId="1A4D0768">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单价</w:t>
            </w:r>
          </w:p>
        </w:tc>
        <w:tc>
          <w:tcPr>
            <w:tcW w:w="1216" w:type="dxa"/>
            <w:noWrap/>
            <w:vAlign w:val="center"/>
          </w:tcPr>
          <w:p w14:paraId="132DFEFC">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合计（元）</w:t>
            </w:r>
          </w:p>
        </w:tc>
      </w:tr>
      <w:tr w14:paraId="2FE7C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49" w:type="dxa"/>
            <w:vMerge w:val="continue"/>
            <w:noWrap w:val="0"/>
            <w:vAlign w:val="center"/>
          </w:tcPr>
          <w:p w14:paraId="6A4A112D">
            <w:pPr>
              <w:jc w:val="center"/>
              <w:rPr>
                <w:rFonts w:hint="default" w:ascii="Times New Roman" w:hAnsi="Times New Roman" w:eastAsia="宋体" w:cs="Times New Roman"/>
                <w:color w:val="auto"/>
                <w:kern w:val="0"/>
                <w:sz w:val="21"/>
                <w:szCs w:val="21"/>
                <w:highlight w:val="none"/>
              </w:rPr>
            </w:pPr>
          </w:p>
        </w:tc>
        <w:tc>
          <w:tcPr>
            <w:tcW w:w="1539" w:type="dxa"/>
            <w:noWrap/>
            <w:vAlign w:val="center"/>
          </w:tcPr>
          <w:p w14:paraId="25E8909A">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993" w:type="dxa"/>
            <w:noWrap/>
            <w:vAlign w:val="center"/>
          </w:tcPr>
          <w:p w14:paraId="3EACC7EB">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337" w:type="dxa"/>
            <w:noWrap/>
            <w:vAlign w:val="center"/>
          </w:tcPr>
          <w:p w14:paraId="2415F1A8">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1094" w:type="dxa"/>
            <w:noWrap/>
            <w:vAlign w:val="center"/>
          </w:tcPr>
          <w:p w14:paraId="38C01D33">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1094" w:type="dxa"/>
            <w:noWrap/>
            <w:vAlign w:val="center"/>
          </w:tcPr>
          <w:p w14:paraId="08ED3177">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1216" w:type="dxa"/>
            <w:noWrap/>
            <w:vAlign w:val="center"/>
          </w:tcPr>
          <w:p w14:paraId="587858B3">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w:t>
            </w:r>
          </w:p>
        </w:tc>
      </w:tr>
      <w:tr w14:paraId="71AE7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49" w:type="dxa"/>
            <w:noWrap w:val="0"/>
            <w:vAlign w:val="bottom"/>
          </w:tcPr>
          <w:p w14:paraId="1C62A387">
            <w:pPr>
              <w:keepNext w:val="0"/>
              <w:keepLines w:val="0"/>
              <w:widowControl/>
              <w:suppressLineNumbers w:val="0"/>
              <w:jc w:val="center"/>
              <w:textAlignment w:val="bottom"/>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539" w:type="dxa"/>
            <w:noWrap w:val="0"/>
            <w:vAlign w:val="center"/>
          </w:tcPr>
          <w:p w14:paraId="6E50C986">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管护费</w:t>
            </w:r>
          </w:p>
        </w:tc>
        <w:tc>
          <w:tcPr>
            <w:tcW w:w="993" w:type="dxa"/>
            <w:noWrap w:val="0"/>
            <w:vAlign w:val="center"/>
          </w:tcPr>
          <w:p w14:paraId="70FA5F6A">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337" w:type="dxa"/>
            <w:noWrap/>
            <w:vAlign w:val="center"/>
          </w:tcPr>
          <w:p w14:paraId="67D4FC26">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3.2066 </w:t>
            </w:r>
          </w:p>
        </w:tc>
        <w:tc>
          <w:tcPr>
            <w:tcW w:w="1094" w:type="dxa"/>
            <w:noWrap/>
            <w:vAlign w:val="center"/>
          </w:tcPr>
          <w:p w14:paraId="6E1DD529">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3.00 </w:t>
            </w:r>
          </w:p>
        </w:tc>
        <w:tc>
          <w:tcPr>
            <w:tcW w:w="1094" w:type="dxa"/>
            <w:noWrap/>
            <w:vAlign w:val="center"/>
          </w:tcPr>
          <w:p w14:paraId="1C89F3E3">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4000</w:t>
            </w:r>
          </w:p>
        </w:tc>
        <w:tc>
          <w:tcPr>
            <w:tcW w:w="1216" w:type="dxa"/>
            <w:noWrap/>
            <w:vAlign w:val="center"/>
          </w:tcPr>
          <w:p w14:paraId="50265CD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38479 </w:t>
            </w:r>
          </w:p>
        </w:tc>
      </w:tr>
      <w:tr w14:paraId="0CD5B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49" w:type="dxa"/>
            <w:noWrap w:val="0"/>
            <w:vAlign w:val="bottom"/>
          </w:tcPr>
          <w:p w14:paraId="192076D9">
            <w:pPr>
              <w:keepNext w:val="0"/>
              <w:keepLines w:val="0"/>
              <w:widowControl/>
              <w:suppressLineNumbers w:val="0"/>
              <w:jc w:val="center"/>
              <w:textAlignment w:val="bottom"/>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1539" w:type="dxa"/>
            <w:noWrap w:val="0"/>
            <w:vAlign w:val="center"/>
          </w:tcPr>
          <w:p w14:paraId="23B543BC">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土壤监测费</w:t>
            </w:r>
          </w:p>
        </w:tc>
        <w:tc>
          <w:tcPr>
            <w:tcW w:w="993" w:type="dxa"/>
            <w:noWrap w:val="0"/>
            <w:vAlign w:val="center"/>
          </w:tcPr>
          <w:p w14:paraId="29C043AE">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1337" w:type="dxa"/>
            <w:noWrap/>
            <w:vAlign w:val="center"/>
          </w:tcPr>
          <w:p w14:paraId="42811062">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094" w:type="dxa"/>
            <w:noWrap/>
            <w:vAlign w:val="center"/>
          </w:tcPr>
          <w:p w14:paraId="6BB0CA9A">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7.72 </w:t>
            </w:r>
          </w:p>
        </w:tc>
        <w:tc>
          <w:tcPr>
            <w:tcW w:w="1094" w:type="dxa"/>
            <w:noWrap/>
            <w:vAlign w:val="center"/>
          </w:tcPr>
          <w:p w14:paraId="5F8B4AA4">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300</w:t>
            </w:r>
          </w:p>
        </w:tc>
        <w:tc>
          <w:tcPr>
            <w:tcW w:w="1216" w:type="dxa"/>
            <w:noWrap/>
            <w:vAlign w:val="center"/>
          </w:tcPr>
          <w:p w14:paraId="73BA9D69">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9300 </w:t>
            </w:r>
          </w:p>
        </w:tc>
      </w:tr>
      <w:tr w14:paraId="47AC3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306" w:type="dxa"/>
            <w:gridSpan w:val="6"/>
            <w:noWrap w:val="0"/>
            <w:vAlign w:val="bottom"/>
          </w:tcPr>
          <w:p w14:paraId="7072F3CC">
            <w:pPr>
              <w:keepNext w:val="0"/>
              <w:keepLines w:val="0"/>
              <w:widowControl/>
              <w:suppressLineNumbers w:val="0"/>
              <w:jc w:val="center"/>
              <w:textAlignment w:val="bottom"/>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合计</w:t>
            </w:r>
          </w:p>
        </w:tc>
        <w:tc>
          <w:tcPr>
            <w:tcW w:w="1216" w:type="dxa"/>
            <w:noWrap/>
            <w:vAlign w:val="bottom"/>
          </w:tcPr>
          <w:p w14:paraId="56EC9406">
            <w:pPr>
              <w:keepNext w:val="0"/>
              <w:keepLines w:val="0"/>
              <w:widowControl/>
              <w:suppressLineNumbers w:val="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47779 </w:t>
            </w:r>
          </w:p>
        </w:tc>
      </w:tr>
    </w:tbl>
    <w:p w14:paraId="3E394251">
      <w:pPr>
        <w:pStyle w:val="90"/>
        <w:keepNext w:val="0"/>
        <w:keepLines w:val="0"/>
        <w:pageBreakBefore w:val="0"/>
        <w:widowControl w:val="0"/>
        <w:kinsoku/>
        <w:wordWrap/>
        <w:overflowPunct/>
        <w:topLinePunct w:val="0"/>
        <w:autoSpaceDE w:val="0"/>
        <w:autoSpaceDN w:val="0"/>
        <w:bidi w:val="0"/>
        <w:adjustRightInd/>
        <w:snapToGrid/>
        <w:spacing w:before="3121" w:beforeLines="1000"/>
        <w:textAlignment w:val="auto"/>
        <w:rPr>
          <w:rFonts w:hint="default" w:ascii="Times New Roman" w:hAnsi="Times New Roman" w:eastAsia="黑体" w:cs="Times New Roman"/>
          <w:b w:val="0"/>
          <w:bCs/>
          <w:color w:val="auto"/>
          <w:sz w:val="21"/>
          <w:szCs w:val="21"/>
          <w:highlight w:val="none"/>
        </w:rPr>
      </w:pPr>
      <w:r>
        <w:rPr>
          <w:rFonts w:hint="default" w:ascii="Times New Roman" w:hAnsi="Times New Roman" w:eastAsia="黑体" w:cs="Times New Roman"/>
          <w:b w:val="0"/>
          <w:bCs/>
          <w:color w:val="auto"/>
          <w:sz w:val="21"/>
          <w:szCs w:val="21"/>
          <w:highlight w:val="none"/>
        </w:rPr>
        <w:t>表7-16</w:t>
      </w:r>
      <w:r>
        <w:rPr>
          <w:rFonts w:hint="default" w:ascii="Times New Roman" w:hAnsi="Times New Roman" w:cs="Times New Roman"/>
          <w:b w:val="0"/>
          <w:bCs/>
          <w:color w:val="auto"/>
          <w:sz w:val="21"/>
          <w:szCs w:val="21"/>
          <w:highlight w:val="none"/>
          <w:lang w:val="en-US" w:eastAsia="zh-CN"/>
        </w:rPr>
        <w:t xml:space="preserve">  </w:t>
      </w:r>
      <w:r>
        <w:rPr>
          <w:rFonts w:hint="default" w:ascii="Times New Roman" w:hAnsi="Times New Roman" w:eastAsia="黑体" w:cs="Times New Roman"/>
          <w:b w:val="0"/>
          <w:bCs/>
          <w:color w:val="auto"/>
          <w:sz w:val="21"/>
          <w:szCs w:val="21"/>
          <w:highlight w:val="none"/>
        </w:rPr>
        <w:t>其他费用估算表</w:t>
      </w:r>
    </w:p>
    <w:tbl>
      <w:tblPr>
        <w:tblStyle w:val="34"/>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63"/>
        <w:gridCol w:w="2518"/>
        <w:gridCol w:w="2869"/>
        <w:gridCol w:w="1116"/>
        <w:gridCol w:w="1351"/>
      </w:tblGrid>
      <w:tr w14:paraId="0FD8E0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trPr>
        <w:tc>
          <w:tcPr>
            <w:tcW w:w="3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5D922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序号</w:t>
            </w:r>
          </w:p>
        </w:tc>
        <w:tc>
          <w:tcPr>
            <w:tcW w:w="1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5A0CB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费用名称</w:t>
            </w:r>
          </w:p>
        </w:tc>
        <w:tc>
          <w:tcPr>
            <w:tcW w:w="16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FCAA4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计算式</w:t>
            </w:r>
          </w:p>
        </w:tc>
        <w:tc>
          <w:tcPr>
            <w:tcW w:w="6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45FFD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预算金额（元）</w:t>
            </w:r>
          </w:p>
        </w:tc>
        <w:tc>
          <w:tcPr>
            <w:tcW w:w="7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9044C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各项费用占其他费用的比例（％）</w:t>
            </w:r>
          </w:p>
        </w:tc>
      </w:tr>
      <w:tr w14:paraId="1C0582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4B0F86">
            <w:pPr>
              <w:jc w:val="center"/>
              <w:rPr>
                <w:rFonts w:hint="default" w:ascii="Times New Roman" w:hAnsi="Times New Roman" w:eastAsia="宋体" w:cs="Times New Roman"/>
                <w:i w:val="0"/>
                <w:iCs w:val="0"/>
                <w:color w:val="auto"/>
                <w:sz w:val="21"/>
                <w:szCs w:val="21"/>
                <w:u w:val="none"/>
              </w:rPr>
            </w:pPr>
          </w:p>
        </w:tc>
        <w:tc>
          <w:tcPr>
            <w:tcW w:w="1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F1813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6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50524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6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61F2C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7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D4963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r>
      <w:tr w14:paraId="7114DE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8B2A0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一</w:t>
            </w:r>
          </w:p>
        </w:tc>
        <w:tc>
          <w:tcPr>
            <w:tcW w:w="1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704BE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前期工作费</w:t>
            </w:r>
          </w:p>
        </w:tc>
        <w:tc>
          <w:tcPr>
            <w:tcW w:w="16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59E692">
            <w:pPr>
              <w:jc w:val="center"/>
              <w:rPr>
                <w:rFonts w:hint="default" w:ascii="Times New Roman" w:hAnsi="Times New Roman" w:eastAsia="宋体" w:cs="Times New Roman"/>
                <w:i w:val="0"/>
                <w:iCs w:val="0"/>
                <w:color w:val="auto"/>
                <w:sz w:val="21"/>
                <w:szCs w:val="21"/>
                <w:u w:val="none"/>
              </w:rPr>
            </w:pPr>
          </w:p>
        </w:tc>
        <w:tc>
          <w:tcPr>
            <w:tcW w:w="6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667A7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12517 </w:t>
            </w:r>
          </w:p>
        </w:tc>
        <w:tc>
          <w:tcPr>
            <w:tcW w:w="7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CDBF7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35.99 </w:t>
            </w:r>
          </w:p>
        </w:tc>
      </w:tr>
      <w:tr w14:paraId="1D68CC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22386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 </w:t>
            </w:r>
          </w:p>
        </w:tc>
        <w:tc>
          <w:tcPr>
            <w:tcW w:w="1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6259B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土地清查费</w:t>
            </w:r>
          </w:p>
        </w:tc>
        <w:tc>
          <w:tcPr>
            <w:tcW w:w="16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9AB0A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工程施工费×0.5%</w:t>
            </w:r>
          </w:p>
        </w:tc>
        <w:tc>
          <w:tcPr>
            <w:tcW w:w="6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83404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1197 </w:t>
            </w:r>
          </w:p>
        </w:tc>
        <w:tc>
          <w:tcPr>
            <w:tcW w:w="7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BAF81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3.44 </w:t>
            </w:r>
          </w:p>
        </w:tc>
      </w:tr>
      <w:tr w14:paraId="642D2C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7ACEF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 </w:t>
            </w:r>
          </w:p>
        </w:tc>
        <w:tc>
          <w:tcPr>
            <w:tcW w:w="1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3C298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项目勘察费</w:t>
            </w:r>
          </w:p>
        </w:tc>
        <w:tc>
          <w:tcPr>
            <w:tcW w:w="16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0667B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工程施工费×1.65%</w:t>
            </w:r>
          </w:p>
        </w:tc>
        <w:tc>
          <w:tcPr>
            <w:tcW w:w="6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284F4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3949 </w:t>
            </w:r>
          </w:p>
        </w:tc>
        <w:tc>
          <w:tcPr>
            <w:tcW w:w="7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2FF9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11.36 </w:t>
            </w:r>
          </w:p>
        </w:tc>
      </w:tr>
      <w:tr w14:paraId="1049FB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786EF6C">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1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F2DE9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项目设计与预算编制费</w:t>
            </w:r>
          </w:p>
        </w:tc>
        <w:tc>
          <w:tcPr>
            <w:tcW w:w="16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91295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工程施工费×2.8%×1.1</w:t>
            </w:r>
          </w:p>
        </w:tc>
        <w:tc>
          <w:tcPr>
            <w:tcW w:w="6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8A34A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7371 </w:t>
            </w:r>
          </w:p>
        </w:tc>
        <w:tc>
          <w:tcPr>
            <w:tcW w:w="7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A3915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21.20 </w:t>
            </w:r>
          </w:p>
        </w:tc>
      </w:tr>
      <w:tr w14:paraId="606D40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trPr>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F21C6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二</w:t>
            </w:r>
          </w:p>
        </w:tc>
        <w:tc>
          <w:tcPr>
            <w:tcW w:w="1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A31D0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工程监理费</w:t>
            </w:r>
          </w:p>
        </w:tc>
        <w:tc>
          <w:tcPr>
            <w:tcW w:w="16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775D7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工程施工费×2.4%</w:t>
            </w:r>
          </w:p>
        </w:tc>
        <w:tc>
          <w:tcPr>
            <w:tcW w:w="6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5B2F9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5743 </w:t>
            </w:r>
          </w:p>
        </w:tc>
        <w:tc>
          <w:tcPr>
            <w:tcW w:w="7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AA9AE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16.51 </w:t>
            </w:r>
          </w:p>
        </w:tc>
      </w:tr>
      <w:tr w14:paraId="1BDDA0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A6B7D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三</w:t>
            </w:r>
          </w:p>
        </w:tc>
        <w:tc>
          <w:tcPr>
            <w:tcW w:w="1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3139A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竣工验收费</w:t>
            </w:r>
          </w:p>
        </w:tc>
        <w:tc>
          <w:tcPr>
            <w:tcW w:w="16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3FC28">
            <w:pPr>
              <w:jc w:val="center"/>
              <w:rPr>
                <w:rFonts w:hint="default" w:ascii="Times New Roman" w:hAnsi="Times New Roman" w:eastAsia="宋体" w:cs="Times New Roman"/>
                <w:i w:val="0"/>
                <w:iCs w:val="0"/>
                <w:color w:val="auto"/>
                <w:sz w:val="21"/>
                <w:szCs w:val="21"/>
                <w:u w:val="none"/>
              </w:rPr>
            </w:pPr>
          </w:p>
        </w:tc>
        <w:tc>
          <w:tcPr>
            <w:tcW w:w="6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E41AA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9051 </w:t>
            </w:r>
          </w:p>
        </w:tc>
        <w:tc>
          <w:tcPr>
            <w:tcW w:w="7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09436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26.03 </w:t>
            </w:r>
          </w:p>
        </w:tc>
      </w:tr>
      <w:tr w14:paraId="4EC7BE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9DBEE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15B1E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工程复核费</w:t>
            </w:r>
          </w:p>
        </w:tc>
        <w:tc>
          <w:tcPr>
            <w:tcW w:w="16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C5D1D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工程施工费×0.7%</w:t>
            </w:r>
          </w:p>
        </w:tc>
        <w:tc>
          <w:tcPr>
            <w:tcW w:w="6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35964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1675 </w:t>
            </w:r>
          </w:p>
        </w:tc>
        <w:tc>
          <w:tcPr>
            <w:tcW w:w="7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5C8BA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4.82 </w:t>
            </w:r>
          </w:p>
        </w:tc>
      </w:tr>
      <w:tr w14:paraId="5CDBE8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F9999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1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FD3F3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工程验收费</w:t>
            </w:r>
          </w:p>
        </w:tc>
        <w:tc>
          <w:tcPr>
            <w:tcW w:w="16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1A704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工程施工费×1.4%</w:t>
            </w:r>
          </w:p>
        </w:tc>
        <w:tc>
          <w:tcPr>
            <w:tcW w:w="6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133C3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3350 </w:t>
            </w:r>
          </w:p>
        </w:tc>
        <w:tc>
          <w:tcPr>
            <w:tcW w:w="7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FF788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9.63 </w:t>
            </w:r>
          </w:p>
        </w:tc>
      </w:tr>
      <w:tr w14:paraId="2E4799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C93F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1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0A898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项目决算编制与审计费</w:t>
            </w:r>
          </w:p>
        </w:tc>
        <w:tc>
          <w:tcPr>
            <w:tcW w:w="16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0DE27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工程施工费×1%</w:t>
            </w:r>
          </w:p>
        </w:tc>
        <w:tc>
          <w:tcPr>
            <w:tcW w:w="6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A7D5E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2393 </w:t>
            </w:r>
          </w:p>
        </w:tc>
        <w:tc>
          <w:tcPr>
            <w:tcW w:w="7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18862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6.88 </w:t>
            </w:r>
          </w:p>
        </w:tc>
      </w:tr>
      <w:tr w14:paraId="3153C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6D48B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14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055A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土地重估与登记费</w:t>
            </w:r>
          </w:p>
        </w:tc>
        <w:tc>
          <w:tcPr>
            <w:tcW w:w="16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1FE81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工程施工费×0.65%</w:t>
            </w:r>
          </w:p>
        </w:tc>
        <w:tc>
          <w:tcPr>
            <w:tcW w:w="6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DD244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1397 </w:t>
            </w:r>
          </w:p>
        </w:tc>
        <w:tc>
          <w:tcPr>
            <w:tcW w:w="7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1AC4C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4.02 </w:t>
            </w:r>
          </w:p>
        </w:tc>
      </w:tr>
      <w:tr w14:paraId="608884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EA4A7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w:t>
            </w:r>
          </w:p>
        </w:tc>
        <w:tc>
          <w:tcPr>
            <w:tcW w:w="14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29A9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标识设定费</w:t>
            </w:r>
          </w:p>
        </w:tc>
        <w:tc>
          <w:tcPr>
            <w:tcW w:w="16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7529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工程施工费×0.11%</w:t>
            </w:r>
          </w:p>
        </w:tc>
        <w:tc>
          <w:tcPr>
            <w:tcW w:w="6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89BAD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236 </w:t>
            </w:r>
          </w:p>
        </w:tc>
        <w:tc>
          <w:tcPr>
            <w:tcW w:w="7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54A83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0.68 </w:t>
            </w:r>
          </w:p>
        </w:tc>
      </w:tr>
      <w:tr w14:paraId="789827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008A6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四</w:t>
            </w:r>
          </w:p>
        </w:tc>
        <w:tc>
          <w:tcPr>
            <w:tcW w:w="1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ED73D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业主管理费</w:t>
            </w:r>
          </w:p>
        </w:tc>
        <w:tc>
          <w:tcPr>
            <w:tcW w:w="16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BA167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（工程施工费+前期工作费+工程监理费+竣工验收费）×2.8%</w:t>
            </w:r>
          </w:p>
        </w:tc>
        <w:tc>
          <w:tcPr>
            <w:tcW w:w="6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4462E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7465 </w:t>
            </w:r>
          </w:p>
        </w:tc>
        <w:tc>
          <w:tcPr>
            <w:tcW w:w="7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EAF2A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21.47 </w:t>
            </w:r>
          </w:p>
        </w:tc>
      </w:tr>
      <w:tr w14:paraId="058210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5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66030A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总计</w:t>
            </w:r>
          </w:p>
        </w:tc>
        <w:tc>
          <w:tcPr>
            <w:tcW w:w="6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7CECF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34776 </w:t>
            </w:r>
          </w:p>
        </w:tc>
        <w:tc>
          <w:tcPr>
            <w:tcW w:w="7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CC8A5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100.00 </w:t>
            </w:r>
          </w:p>
        </w:tc>
      </w:tr>
    </w:tbl>
    <w:p w14:paraId="225E230E">
      <w:pPr>
        <w:pStyle w:val="90"/>
        <w:keepNext w:val="0"/>
        <w:keepLines w:val="0"/>
        <w:pageBreakBefore w:val="0"/>
        <w:widowControl w:val="0"/>
        <w:kinsoku/>
        <w:wordWrap/>
        <w:overflowPunct/>
        <w:topLinePunct w:val="0"/>
        <w:autoSpaceDE w:val="0"/>
        <w:autoSpaceDN w:val="0"/>
        <w:bidi w:val="0"/>
        <w:adjustRightInd/>
        <w:snapToGrid/>
        <w:spacing w:before="157" w:beforeLines="50"/>
        <w:textAlignment w:val="auto"/>
        <w:rPr>
          <w:rFonts w:hint="default" w:ascii="Times New Roman" w:hAnsi="Times New Roman" w:eastAsia="黑体" w:cs="Times New Roman"/>
          <w:b w:val="0"/>
          <w:bCs/>
          <w:color w:val="auto"/>
          <w:sz w:val="21"/>
          <w:szCs w:val="21"/>
          <w:highlight w:val="none"/>
          <w:lang w:val="en-US" w:eastAsia="zh-CN"/>
        </w:rPr>
      </w:pPr>
      <w:r>
        <w:rPr>
          <w:rFonts w:hint="default" w:ascii="Times New Roman" w:hAnsi="Times New Roman" w:eastAsia="黑体" w:cs="Times New Roman"/>
          <w:b w:val="0"/>
          <w:bCs/>
          <w:color w:val="auto"/>
          <w:sz w:val="21"/>
          <w:szCs w:val="21"/>
          <w:highlight w:val="none"/>
          <w:lang w:val="en-US" w:eastAsia="zh-CN"/>
        </w:rPr>
        <w:t>表7-17</w:t>
      </w:r>
      <w:r>
        <w:rPr>
          <w:rFonts w:hint="default" w:ascii="Times New Roman" w:hAnsi="Times New Roman" w:cs="Times New Roman"/>
          <w:b w:val="0"/>
          <w:bCs/>
          <w:color w:val="auto"/>
          <w:sz w:val="21"/>
          <w:szCs w:val="21"/>
          <w:highlight w:val="none"/>
          <w:lang w:val="en-US" w:eastAsia="zh-CN"/>
        </w:rPr>
        <w:t xml:space="preserve">  </w:t>
      </w:r>
      <w:r>
        <w:rPr>
          <w:rFonts w:hint="default" w:ascii="Times New Roman" w:hAnsi="Times New Roman" w:eastAsia="黑体" w:cs="Times New Roman"/>
          <w:b w:val="0"/>
          <w:bCs/>
          <w:color w:val="auto"/>
          <w:sz w:val="21"/>
          <w:szCs w:val="21"/>
          <w:highlight w:val="none"/>
          <w:lang w:val="en-US" w:eastAsia="zh-CN"/>
        </w:rPr>
        <w:t xml:space="preserve">预备费估算表 </w:t>
      </w:r>
    </w:p>
    <w:tbl>
      <w:tblPr>
        <w:tblStyle w:val="34"/>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06"/>
        <w:gridCol w:w="2047"/>
        <w:gridCol w:w="2007"/>
        <w:gridCol w:w="1700"/>
        <w:gridCol w:w="1659"/>
      </w:tblGrid>
      <w:tr w14:paraId="1AFA1C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3" w:hRule="atLeast"/>
        </w:trPr>
        <w:tc>
          <w:tcPr>
            <w:tcW w:w="649" w:type="pct"/>
            <w:tcBorders>
              <w:top w:val="single" w:color="000000" w:sz="4" w:space="0"/>
              <w:left w:val="single" w:color="000000" w:sz="4" w:space="0"/>
              <w:bottom w:val="nil"/>
              <w:right w:val="single" w:color="000000" w:sz="4" w:space="0"/>
            </w:tcBorders>
            <w:shd w:val="clear" w:color="auto" w:fill="auto"/>
            <w:noWrap/>
            <w:vAlign w:val="center"/>
          </w:tcPr>
          <w:p w14:paraId="761EB62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序号</w:t>
            </w:r>
          </w:p>
        </w:tc>
        <w:tc>
          <w:tcPr>
            <w:tcW w:w="1201" w:type="pct"/>
            <w:tcBorders>
              <w:top w:val="single" w:color="000000" w:sz="4" w:space="0"/>
              <w:left w:val="single" w:color="000000" w:sz="4" w:space="0"/>
              <w:bottom w:val="nil"/>
              <w:right w:val="single" w:color="000000" w:sz="4" w:space="0"/>
            </w:tcBorders>
            <w:shd w:val="clear" w:color="auto" w:fill="auto"/>
            <w:noWrap/>
            <w:vAlign w:val="center"/>
          </w:tcPr>
          <w:p w14:paraId="6C8CF24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费用名称</w:t>
            </w:r>
          </w:p>
        </w:tc>
        <w:tc>
          <w:tcPr>
            <w:tcW w:w="1177" w:type="pct"/>
            <w:tcBorders>
              <w:top w:val="single" w:color="000000" w:sz="4" w:space="0"/>
              <w:left w:val="single" w:color="000000" w:sz="4" w:space="0"/>
              <w:bottom w:val="nil"/>
              <w:right w:val="single" w:color="000000" w:sz="4" w:space="0"/>
            </w:tcBorders>
            <w:shd w:val="clear" w:color="auto" w:fill="auto"/>
            <w:noWrap/>
            <w:vAlign w:val="center"/>
          </w:tcPr>
          <w:p w14:paraId="0C1CF50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费基（元）</w:t>
            </w:r>
          </w:p>
        </w:tc>
        <w:tc>
          <w:tcPr>
            <w:tcW w:w="997" w:type="pct"/>
            <w:tcBorders>
              <w:top w:val="single" w:color="000000" w:sz="4" w:space="0"/>
              <w:left w:val="single" w:color="000000" w:sz="4" w:space="0"/>
              <w:bottom w:val="nil"/>
              <w:right w:val="single" w:color="000000" w:sz="4" w:space="0"/>
            </w:tcBorders>
            <w:shd w:val="clear" w:color="auto" w:fill="auto"/>
            <w:noWrap/>
            <w:vAlign w:val="center"/>
          </w:tcPr>
          <w:p w14:paraId="21202DB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费率%</w:t>
            </w:r>
          </w:p>
        </w:tc>
        <w:tc>
          <w:tcPr>
            <w:tcW w:w="973" w:type="pct"/>
            <w:tcBorders>
              <w:top w:val="single" w:color="000000" w:sz="4" w:space="0"/>
              <w:left w:val="single" w:color="000000" w:sz="4" w:space="0"/>
              <w:bottom w:val="nil"/>
              <w:right w:val="single" w:color="000000" w:sz="4" w:space="0"/>
            </w:tcBorders>
            <w:shd w:val="clear" w:color="auto" w:fill="auto"/>
            <w:noWrap/>
            <w:vAlign w:val="center"/>
          </w:tcPr>
          <w:p w14:paraId="1C18E20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合计（元）</w:t>
            </w:r>
          </w:p>
        </w:tc>
      </w:tr>
      <w:tr w14:paraId="0EBD75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8E6F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 </w:t>
            </w:r>
          </w:p>
        </w:tc>
        <w:tc>
          <w:tcPr>
            <w:tcW w:w="12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0D53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基本预备费</w:t>
            </w:r>
          </w:p>
        </w:tc>
        <w:tc>
          <w:tcPr>
            <w:tcW w:w="2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B4B9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274079 </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9A6B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 </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1641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8222 </w:t>
            </w:r>
          </w:p>
        </w:tc>
      </w:tr>
      <w:tr w14:paraId="51047B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F382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 </w:t>
            </w:r>
          </w:p>
        </w:tc>
        <w:tc>
          <w:tcPr>
            <w:tcW w:w="12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77B3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价差预备费</w:t>
            </w:r>
          </w:p>
        </w:tc>
        <w:tc>
          <w:tcPr>
            <w:tcW w:w="2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CA1AD">
            <w:pPr>
              <w:jc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F4C03">
            <w:pPr>
              <w:jc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125C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59096 </w:t>
            </w:r>
          </w:p>
        </w:tc>
      </w:tr>
      <w:tr w14:paraId="7AA793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E1DF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cs="Times New Roman"/>
                <w:i w:val="0"/>
                <w:iCs w:val="0"/>
                <w:color w:val="auto"/>
                <w:kern w:val="0"/>
                <w:sz w:val="21"/>
                <w:szCs w:val="21"/>
                <w:highlight w:val="none"/>
                <w:u w:val="none"/>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c>
          <w:tcPr>
            <w:tcW w:w="12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0BCD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风险金</w:t>
            </w:r>
          </w:p>
        </w:tc>
        <w:tc>
          <w:tcPr>
            <w:tcW w:w="2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9B00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239303 </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A479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 </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C68F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11965 </w:t>
            </w:r>
          </w:p>
        </w:tc>
      </w:tr>
      <w:tr w14:paraId="119CF7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850" w:type="pct"/>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14:paraId="2B2293C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合计</w:t>
            </w:r>
          </w:p>
        </w:tc>
        <w:tc>
          <w:tcPr>
            <w:tcW w:w="20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8BD9C1B">
            <w:pPr>
              <w:jc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E8C9B10">
            <w:pPr>
              <w:jc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21C5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79283 </w:t>
            </w:r>
          </w:p>
        </w:tc>
      </w:tr>
    </w:tbl>
    <w:p w14:paraId="0C1D1857">
      <w:pPr>
        <w:pStyle w:val="90"/>
        <w:keepNext w:val="0"/>
        <w:keepLines w:val="0"/>
        <w:pageBreakBefore w:val="0"/>
        <w:widowControl w:val="0"/>
        <w:kinsoku/>
        <w:wordWrap/>
        <w:overflowPunct/>
        <w:topLinePunct w:val="0"/>
        <w:autoSpaceDE w:val="0"/>
        <w:autoSpaceDN w:val="0"/>
        <w:bidi w:val="0"/>
        <w:adjustRightInd/>
        <w:snapToGrid/>
        <w:spacing w:before="157" w:beforeLines="50"/>
        <w:textAlignment w:val="auto"/>
        <w:rPr>
          <w:rFonts w:hint="default" w:ascii="Times New Roman" w:hAnsi="Times New Roman" w:eastAsia="黑体" w:cs="Times New Roman"/>
          <w:b w:val="0"/>
          <w:bCs/>
          <w:color w:val="auto"/>
          <w:sz w:val="21"/>
          <w:szCs w:val="21"/>
          <w:highlight w:val="none"/>
          <w:lang w:val="en-US" w:eastAsia="zh-CN"/>
        </w:rPr>
      </w:pPr>
      <w:r>
        <w:rPr>
          <w:rFonts w:hint="default" w:ascii="Times New Roman" w:hAnsi="Times New Roman" w:eastAsia="黑体" w:cs="Times New Roman"/>
          <w:b w:val="0"/>
          <w:bCs/>
          <w:color w:val="auto"/>
          <w:sz w:val="21"/>
          <w:szCs w:val="21"/>
          <w:highlight w:val="none"/>
          <w:lang w:val="en-US" w:eastAsia="zh-CN"/>
        </w:rPr>
        <w:t>表7-1</w:t>
      </w:r>
      <w:r>
        <w:rPr>
          <w:rFonts w:hint="default" w:ascii="Times New Roman" w:hAnsi="Times New Roman" w:cs="Times New Roman"/>
          <w:b w:val="0"/>
          <w:bCs/>
          <w:color w:val="auto"/>
          <w:sz w:val="21"/>
          <w:szCs w:val="21"/>
          <w:highlight w:val="none"/>
          <w:lang w:val="en-US" w:eastAsia="zh-CN"/>
        </w:rPr>
        <w:t xml:space="preserve">8  </w:t>
      </w:r>
      <w:r>
        <w:rPr>
          <w:rFonts w:hint="default" w:ascii="Times New Roman" w:hAnsi="Times New Roman" w:eastAsia="黑体" w:cs="Times New Roman"/>
          <w:b w:val="0"/>
          <w:bCs/>
          <w:color w:val="auto"/>
          <w:sz w:val="21"/>
          <w:szCs w:val="21"/>
          <w:highlight w:val="none"/>
          <w:lang w:val="en-US" w:eastAsia="zh-CN"/>
        </w:rPr>
        <w:t xml:space="preserve"> </w:t>
      </w:r>
      <w:r>
        <w:rPr>
          <w:rFonts w:hint="default" w:ascii="Times New Roman" w:hAnsi="Times New Roman" w:cs="Times New Roman"/>
          <w:b w:val="0"/>
          <w:bCs/>
          <w:color w:val="auto"/>
          <w:sz w:val="21"/>
          <w:szCs w:val="21"/>
          <w:highlight w:val="none"/>
          <w:lang w:val="en-US" w:eastAsia="zh-CN"/>
        </w:rPr>
        <w:t>动态投资</w:t>
      </w:r>
      <w:r>
        <w:rPr>
          <w:rFonts w:hint="default" w:ascii="Times New Roman" w:hAnsi="Times New Roman" w:eastAsia="黑体" w:cs="Times New Roman"/>
          <w:b w:val="0"/>
          <w:bCs/>
          <w:color w:val="auto"/>
          <w:sz w:val="21"/>
          <w:szCs w:val="21"/>
          <w:highlight w:val="none"/>
          <w:lang w:val="en-US" w:eastAsia="zh-CN"/>
        </w:rPr>
        <w:t>估算表</w:t>
      </w:r>
    </w:p>
    <w:bookmarkEnd w:id="289"/>
    <w:tbl>
      <w:tblPr>
        <w:tblStyle w:val="34"/>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861"/>
        <w:gridCol w:w="2487"/>
        <w:gridCol w:w="1360"/>
        <w:gridCol w:w="1507"/>
        <w:gridCol w:w="1304"/>
      </w:tblGrid>
      <w:tr w14:paraId="0A9ECB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0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889278">
            <w:pPr>
              <w:keepNext w:val="0"/>
              <w:keepLines w:val="0"/>
              <w:widowControl/>
              <w:suppressLineNumbers w:val="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年度</w:t>
            </w:r>
          </w:p>
        </w:tc>
        <w:tc>
          <w:tcPr>
            <w:tcW w:w="1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63EA4B">
            <w:pPr>
              <w:keepNext w:val="0"/>
              <w:keepLines w:val="0"/>
              <w:widowControl/>
              <w:suppressLineNumbers w:val="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年投资（元）</w:t>
            </w:r>
          </w:p>
        </w:tc>
        <w:tc>
          <w:tcPr>
            <w:tcW w:w="7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78CE4">
            <w:pPr>
              <w:keepNext w:val="0"/>
              <w:keepLines w:val="0"/>
              <w:widowControl/>
              <w:suppressLineNumbers w:val="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系数（</w:t>
            </w:r>
            <w:r>
              <w:rPr>
                <w:rFonts w:hint="default" w:ascii="Times New Roman" w:hAnsi="Times New Roman" w:eastAsia="宋体" w:cs="Times New Roman"/>
                <w:i w:val="0"/>
                <w:iCs w:val="0"/>
                <w:color w:val="auto"/>
                <w:kern w:val="0"/>
                <w:sz w:val="21"/>
                <w:szCs w:val="21"/>
                <w:u w:val="none"/>
                <w:lang w:val="en-US" w:eastAsia="zh-CN" w:bidi="ar"/>
              </w:rPr>
              <w:t>1.05</w:t>
            </w:r>
            <w:r>
              <w:rPr>
                <w:rFonts w:hint="default" w:ascii="Times New Roman" w:hAnsi="Times New Roman" w:eastAsia="宋体" w:cs="Times New Roman"/>
                <w:i w:val="0"/>
                <w:iCs w:val="0"/>
                <w:color w:val="auto"/>
                <w:kern w:val="0"/>
                <w:sz w:val="21"/>
                <w:szCs w:val="21"/>
                <w:u w:val="none"/>
                <w:vertAlign w:val="superscript"/>
                <w:lang w:val="en-US" w:eastAsia="zh-CN" w:bidi="ar"/>
              </w:rPr>
              <w:t>n-1</w:t>
            </w:r>
            <w:r>
              <w:rPr>
                <w:rFonts w:hint="default" w:ascii="Times New Roman" w:hAnsi="Times New Roman" w:eastAsia="宋体" w:cs="Times New Roman"/>
                <w:i w:val="0"/>
                <w:iCs w:val="0"/>
                <w:color w:val="auto"/>
                <w:kern w:val="0"/>
                <w:sz w:val="21"/>
                <w:szCs w:val="21"/>
                <w:u w:val="none"/>
                <w:lang w:val="en-US" w:eastAsia="zh-CN" w:bidi="ar"/>
              </w:rPr>
              <w:t>-1</w:t>
            </w:r>
            <w:r>
              <w:rPr>
                <w:rFonts w:ascii="仿宋" w:hAnsi="仿宋" w:eastAsia="仿宋" w:cs="仿宋"/>
                <w:i w:val="0"/>
                <w:iCs w:val="0"/>
                <w:color w:val="auto"/>
                <w:kern w:val="0"/>
                <w:sz w:val="21"/>
                <w:szCs w:val="21"/>
                <w:u w:val="none"/>
                <w:lang w:val="en-US" w:eastAsia="zh-CN" w:bidi="ar"/>
              </w:rPr>
              <w:t>）</w:t>
            </w:r>
          </w:p>
        </w:tc>
        <w:tc>
          <w:tcPr>
            <w:tcW w:w="8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FC379F">
            <w:pPr>
              <w:keepNext w:val="0"/>
              <w:keepLines w:val="0"/>
              <w:widowControl/>
              <w:suppressLineNumbers w:val="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差价预备金（元）</w:t>
            </w:r>
          </w:p>
        </w:tc>
        <w:tc>
          <w:tcPr>
            <w:tcW w:w="7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B99EA2">
            <w:pPr>
              <w:keepNext w:val="0"/>
              <w:keepLines w:val="0"/>
              <w:widowControl/>
              <w:suppressLineNumbers w:val="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动态投资（元）</w:t>
            </w:r>
          </w:p>
        </w:tc>
      </w:tr>
      <w:tr w14:paraId="4C136F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0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F1DF2">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2025</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25AC2">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34570</w:t>
            </w: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37E04">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0.00</w:t>
            </w:r>
          </w:p>
        </w:tc>
        <w:tc>
          <w:tcPr>
            <w:tcW w:w="8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71841">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0</w:t>
            </w:r>
          </w:p>
        </w:tc>
        <w:tc>
          <w:tcPr>
            <w:tcW w:w="7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74CFB">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34570</w:t>
            </w:r>
          </w:p>
        </w:tc>
      </w:tr>
      <w:tr w14:paraId="7C9C7F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0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0CA7D">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2026</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740B7">
            <w:pPr>
              <w:keepNext w:val="0"/>
              <w:keepLines w:val="0"/>
              <w:widowControl/>
              <w:suppressLineNumbers w:val="0"/>
              <w:jc w:val="center"/>
              <w:textAlignment w:val="bottom"/>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78199</w:t>
            </w: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2ADAF">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0.05</w:t>
            </w:r>
          </w:p>
        </w:tc>
        <w:tc>
          <w:tcPr>
            <w:tcW w:w="8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B5F0A">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3910</w:t>
            </w:r>
          </w:p>
        </w:tc>
        <w:tc>
          <w:tcPr>
            <w:tcW w:w="7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F3856">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82109</w:t>
            </w:r>
          </w:p>
        </w:tc>
      </w:tr>
      <w:tr w14:paraId="60B5D4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0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4B177">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2027</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AC2CA">
            <w:pPr>
              <w:keepNext w:val="0"/>
              <w:keepLines w:val="0"/>
              <w:widowControl/>
              <w:suppressLineNumbers w:val="0"/>
              <w:jc w:val="center"/>
              <w:textAlignment w:val="bottom"/>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1200</w:t>
            </w: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484F1">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0.10</w:t>
            </w:r>
          </w:p>
        </w:tc>
        <w:tc>
          <w:tcPr>
            <w:tcW w:w="8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E3743">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120</w:t>
            </w:r>
          </w:p>
        </w:tc>
        <w:tc>
          <w:tcPr>
            <w:tcW w:w="7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2711F">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1320</w:t>
            </w:r>
          </w:p>
        </w:tc>
      </w:tr>
      <w:tr w14:paraId="55D41C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0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5AE36">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2028</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B2D95">
            <w:pPr>
              <w:keepNext w:val="0"/>
              <w:keepLines w:val="0"/>
              <w:widowControl/>
              <w:suppressLineNumbers w:val="0"/>
              <w:jc w:val="center"/>
              <w:textAlignment w:val="bottom"/>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1200</w:t>
            </w: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2F60A">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0.16</w:t>
            </w:r>
          </w:p>
        </w:tc>
        <w:tc>
          <w:tcPr>
            <w:tcW w:w="8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01DE9">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192</w:t>
            </w:r>
          </w:p>
        </w:tc>
        <w:tc>
          <w:tcPr>
            <w:tcW w:w="7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B03FE">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1392</w:t>
            </w:r>
          </w:p>
        </w:tc>
      </w:tr>
      <w:tr w14:paraId="3494D3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0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4235F">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2029</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3C847">
            <w:pPr>
              <w:keepNext w:val="0"/>
              <w:keepLines w:val="0"/>
              <w:widowControl/>
              <w:suppressLineNumbers w:val="0"/>
              <w:jc w:val="center"/>
              <w:textAlignment w:val="bottom"/>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185997</w:t>
            </w: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E74C9">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0.22</w:t>
            </w:r>
          </w:p>
        </w:tc>
        <w:tc>
          <w:tcPr>
            <w:tcW w:w="8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853F9">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40919</w:t>
            </w:r>
          </w:p>
        </w:tc>
        <w:tc>
          <w:tcPr>
            <w:tcW w:w="7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6125A">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226916</w:t>
            </w:r>
          </w:p>
        </w:tc>
      </w:tr>
      <w:tr w14:paraId="2D9E96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0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750C6">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2030</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869DC">
            <w:pPr>
              <w:keepNext w:val="0"/>
              <w:keepLines w:val="0"/>
              <w:widowControl/>
              <w:suppressLineNumbers w:val="0"/>
              <w:jc w:val="center"/>
              <w:textAlignment w:val="bottom"/>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14026</w:t>
            </w: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067F2">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0.28</w:t>
            </w:r>
          </w:p>
        </w:tc>
        <w:tc>
          <w:tcPr>
            <w:tcW w:w="8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D378F">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3927</w:t>
            </w:r>
          </w:p>
        </w:tc>
        <w:tc>
          <w:tcPr>
            <w:tcW w:w="7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7D1DB">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17953</w:t>
            </w:r>
          </w:p>
        </w:tc>
      </w:tr>
      <w:tr w14:paraId="74F23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0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2143E">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2031</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10799">
            <w:pPr>
              <w:keepNext w:val="0"/>
              <w:keepLines w:val="0"/>
              <w:widowControl/>
              <w:suppressLineNumbers w:val="0"/>
              <w:jc w:val="center"/>
              <w:textAlignment w:val="bottom"/>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14026</w:t>
            </w: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73B37">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0.34</w:t>
            </w:r>
          </w:p>
        </w:tc>
        <w:tc>
          <w:tcPr>
            <w:tcW w:w="8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E32FB">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4769</w:t>
            </w:r>
          </w:p>
        </w:tc>
        <w:tc>
          <w:tcPr>
            <w:tcW w:w="7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6DA22">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18795</w:t>
            </w:r>
          </w:p>
        </w:tc>
      </w:tr>
      <w:tr w14:paraId="52168B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0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62E68">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2032</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1F0F0">
            <w:pPr>
              <w:keepNext w:val="0"/>
              <w:keepLines w:val="0"/>
              <w:widowControl/>
              <w:suppressLineNumbers w:val="0"/>
              <w:jc w:val="center"/>
              <w:textAlignment w:val="bottom"/>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12826</w:t>
            </w: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6631C">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0.41</w:t>
            </w:r>
          </w:p>
        </w:tc>
        <w:tc>
          <w:tcPr>
            <w:tcW w:w="8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E5A6D">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5259</w:t>
            </w:r>
          </w:p>
        </w:tc>
        <w:tc>
          <w:tcPr>
            <w:tcW w:w="7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2B802">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18085</w:t>
            </w:r>
          </w:p>
        </w:tc>
      </w:tr>
      <w:tr w14:paraId="61FBDD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0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B40B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合计</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07B0B">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342045</w:t>
            </w: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A2F62">
            <w:pPr>
              <w:jc w:val="center"/>
              <w:rPr>
                <w:rFonts w:hint="default" w:ascii="Times New Roman" w:hAnsi="Times New Roman" w:eastAsia="宋体" w:cs="Times New Roman"/>
                <w:i w:val="0"/>
                <w:iCs w:val="0"/>
                <w:color w:val="auto"/>
                <w:sz w:val="20"/>
                <w:szCs w:val="20"/>
                <w:u w:val="none"/>
              </w:rPr>
            </w:pPr>
          </w:p>
        </w:tc>
        <w:tc>
          <w:tcPr>
            <w:tcW w:w="8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053F6">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59096</w:t>
            </w:r>
          </w:p>
        </w:tc>
        <w:tc>
          <w:tcPr>
            <w:tcW w:w="7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58DAA">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401141</w:t>
            </w:r>
          </w:p>
        </w:tc>
      </w:tr>
    </w:tbl>
    <w:p w14:paraId="0405BC34">
      <w:pPr>
        <w:pStyle w:val="5"/>
        <w:rPr>
          <w:rFonts w:hint="default" w:ascii="Times New Roman" w:hAnsi="Times New Roman" w:eastAsia="黑体" w:cs="Times New Roman"/>
          <w:b w:val="0"/>
          <w:bCs w:val="0"/>
          <w:color w:val="auto"/>
          <w:szCs w:val="28"/>
          <w:highlight w:val="none"/>
        </w:rPr>
      </w:pPr>
      <w:r>
        <w:rPr>
          <w:rFonts w:hint="default" w:ascii="Times New Roman" w:hAnsi="Times New Roman" w:eastAsia="黑体" w:cs="Times New Roman"/>
          <w:b w:val="0"/>
          <w:bCs w:val="0"/>
          <w:color w:val="auto"/>
          <w:szCs w:val="28"/>
          <w:highlight w:val="none"/>
          <w:lang w:eastAsia="zh-CN"/>
        </w:rPr>
        <w:t>（</w:t>
      </w:r>
      <w:r>
        <w:rPr>
          <w:rFonts w:hint="default" w:ascii="Times New Roman" w:hAnsi="Times New Roman" w:eastAsia="黑体" w:cs="Times New Roman"/>
          <w:b w:val="0"/>
          <w:bCs w:val="0"/>
          <w:color w:val="auto"/>
          <w:szCs w:val="28"/>
          <w:highlight w:val="none"/>
        </w:rPr>
        <w:t>二）单项投资估算</w:t>
      </w:r>
    </w:p>
    <w:p w14:paraId="1CFD05F2">
      <w:pPr>
        <w:jc w:val="center"/>
        <w:rPr>
          <w:rFonts w:hint="default" w:ascii="Times New Roman" w:hAnsi="Times New Roman" w:eastAsia="黑体" w:cs="Times New Roman"/>
          <w:b w:val="0"/>
          <w:bCs/>
          <w:color w:val="auto"/>
          <w:kern w:val="2"/>
          <w:sz w:val="21"/>
          <w:szCs w:val="21"/>
          <w:highlight w:val="none"/>
          <w:lang w:val="en-US" w:eastAsia="zh-CN" w:bidi="ar-SA"/>
        </w:rPr>
      </w:pPr>
      <w:bookmarkStart w:id="297" w:name="_Hlk84808954"/>
      <w:r>
        <w:rPr>
          <w:rFonts w:hint="default" w:ascii="Times New Roman" w:hAnsi="Times New Roman" w:eastAsia="黑体" w:cs="Times New Roman"/>
          <w:b w:val="0"/>
          <w:bCs/>
          <w:color w:val="auto"/>
          <w:kern w:val="2"/>
          <w:sz w:val="21"/>
          <w:szCs w:val="21"/>
          <w:highlight w:val="none"/>
          <w:lang w:val="en-US" w:eastAsia="zh-CN" w:bidi="ar-SA"/>
        </w:rPr>
        <w:t>表7-19    材料费单价表         金额单位：元</w:t>
      </w:r>
    </w:p>
    <w:tbl>
      <w:tblPr>
        <w:tblStyle w:val="34"/>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11"/>
        <w:gridCol w:w="1218"/>
        <w:gridCol w:w="1111"/>
        <w:gridCol w:w="1111"/>
        <w:gridCol w:w="1743"/>
        <w:gridCol w:w="1111"/>
        <w:gridCol w:w="1112"/>
      </w:tblGrid>
      <w:tr w14:paraId="5B787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1E59248">
            <w:pPr>
              <w:keepNext w:val="0"/>
              <w:keepLines w:val="0"/>
              <w:widowControl/>
              <w:suppressLineNumbers w:val="0"/>
              <w:jc w:val="center"/>
              <w:textAlignment w:val="bottom"/>
              <w:rPr>
                <w:rFonts w:hint="default" w:ascii="Times New Roman" w:hAnsi="Times New Roman" w:eastAsia="宋体" w:cs="Times New Roman"/>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71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188B61C">
            <w:pPr>
              <w:keepNext w:val="0"/>
              <w:keepLines w:val="0"/>
              <w:widowControl/>
              <w:suppressLineNumbers w:val="0"/>
              <w:jc w:val="center"/>
              <w:textAlignment w:val="bottom"/>
              <w:rPr>
                <w:rFonts w:hint="default" w:ascii="Times New Roman" w:hAnsi="Times New Roman" w:eastAsia="宋体" w:cs="Times New Roman"/>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名称及规格</w:t>
            </w:r>
          </w:p>
        </w:tc>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C39DD28">
            <w:pPr>
              <w:keepNext w:val="0"/>
              <w:keepLines w:val="0"/>
              <w:widowControl/>
              <w:suppressLineNumbers w:val="0"/>
              <w:jc w:val="center"/>
              <w:textAlignment w:val="bottom"/>
              <w:rPr>
                <w:rFonts w:hint="default" w:ascii="Times New Roman" w:hAnsi="Times New Roman" w:eastAsia="宋体" w:cs="Times New Roman"/>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单位</w:t>
            </w:r>
          </w:p>
        </w:tc>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CB33C2A">
            <w:pPr>
              <w:keepNext w:val="0"/>
              <w:keepLines w:val="0"/>
              <w:widowControl/>
              <w:suppressLineNumbers w:val="0"/>
              <w:jc w:val="center"/>
              <w:textAlignment w:val="bottom"/>
              <w:rPr>
                <w:rFonts w:hint="default" w:ascii="Times New Roman" w:hAnsi="Times New Roman" w:eastAsia="宋体" w:cs="Times New Roman"/>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规范价格</w:t>
            </w:r>
          </w:p>
        </w:tc>
        <w:tc>
          <w:tcPr>
            <w:tcW w:w="102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2BB9D1D">
            <w:pPr>
              <w:keepNext w:val="0"/>
              <w:keepLines w:val="0"/>
              <w:widowControl/>
              <w:suppressLineNumbers w:val="0"/>
              <w:jc w:val="center"/>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去税价格（元）</w:t>
            </w:r>
          </w:p>
        </w:tc>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F3B5C79">
            <w:pPr>
              <w:keepNext w:val="0"/>
              <w:keepLines w:val="0"/>
              <w:widowControl/>
              <w:suppressLineNumbers w:val="0"/>
              <w:jc w:val="center"/>
              <w:textAlignment w:val="bottom"/>
              <w:rPr>
                <w:rFonts w:hint="default" w:ascii="Times New Roman" w:hAnsi="Times New Roman" w:eastAsia="宋体" w:cs="Times New Roman"/>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材料价差</w:t>
            </w:r>
          </w:p>
        </w:tc>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411B7F1">
            <w:pPr>
              <w:keepNext w:val="0"/>
              <w:keepLines w:val="0"/>
              <w:widowControl/>
              <w:suppressLineNumbers w:val="0"/>
              <w:jc w:val="center"/>
              <w:textAlignment w:val="bottom"/>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备注</w:t>
            </w:r>
          </w:p>
        </w:tc>
      </w:tr>
      <w:tr w14:paraId="6AF4B4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84C6CA7">
            <w:pPr>
              <w:keepNext w:val="0"/>
              <w:keepLines w:val="0"/>
              <w:widowControl/>
              <w:suppressLineNumbers w:val="0"/>
              <w:jc w:val="center"/>
              <w:textAlignment w:val="bottom"/>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1</w:t>
            </w:r>
          </w:p>
        </w:tc>
        <w:tc>
          <w:tcPr>
            <w:tcW w:w="71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226A16C">
            <w:pPr>
              <w:keepNext w:val="0"/>
              <w:keepLines w:val="0"/>
              <w:widowControl/>
              <w:suppressLineNumbers w:val="0"/>
              <w:jc w:val="center"/>
              <w:textAlignment w:val="bottom"/>
              <w:rPr>
                <w:rFonts w:hint="default" w:ascii="Times New Roman" w:hAnsi="Times New Roman" w:eastAsia="宋体" w:cs="Times New Roman"/>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柴油</w:t>
            </w:r>
          </w:p>
        </w:tc>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EA3A077">
            <w:pPr>
              <w:keepNext w:val="0"/>
              <w:keepLines w:val="0"/>
              <w:widowControl/>
              <w:suppressLineNumbers w:val="0"/>
              <w:jc w:val="center"/>
              <w:textAlignment w:val="bottom"/>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kg</w:t>
            </w:r>
          </w:p>
        </w:tc>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E443B50">
            <w:pPr>
              <w:keepNext w:val="0"/>
              <w:keepLines w:val="0"/>
              <w:widowControl/>
              <w:suppressLineNumbers w:val="0"/>
              <w:jc w:val="center"/>
              <w:textAlignment w:val="bottom"/>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4.50 </w:t>
            </w:r>
          </w:p>
        </w:tc>
        <w:tc>
          <w:tcPr>
            <w:tcW w:w="102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ECBD8FC">
            <w:pPr>
              <w:keepNext w:val="0"/>
              <w:keepLines w:val="0"/>
              <w:widowControl/>
              <w:suppressLineNumbers w:val="0"/>
              <w:jc w:val="center"/>
              <w:textAlignment w:val="bottom"/>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7.56 </w:t>
            </w:r>
          </w:p>
        </w:tc>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3D9DD37">
            <w:pPr>
              <w:keepNext w:val="0"/>
              <w:keepLines w:val="0"/>
              <w:widowControl/>
              <w:suppressLineNumbers w:val="0"/>
              <w:jc w:val="center"/>
              <w:textAlignment w:val="bottom"/>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3.06 </w:t>
            </w:r>
          </w:p>
        </w:tc>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F9DA7F0">
            <w:pPr>
              <w:jc w:val="center"/>
              <w:rPr>
                <w:rFonts w:hint="eastAsia" w:ascii="宋体" w:hAnsi="宋体" w:eastAsia="宋体" w:cs="宋体"/>
                <w:i w:val="0"/>
                <w:iCs w:val="0"/>
                <w:color w:val="auto"/>
                <w:sz w:val="20"/>
                <w:szCs w:val="20"/>
                <w:highlight w:val="none"/>
                <w:u w:val="none"/>
              </w:rPr>
            </w:pPr>
          </w:p>
        </w:tc>
      </w:tr>
      <w:tr w14:paraId="218B96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919D16A">
            <w:pPr>
              <w:keepNext w:val="0"/>
              <w:keepLines w:val="0"/>
              <w:widowControl/>
              <w:suppressLineNumbers w:val="0"/>
              <w:jc w:val="center"/>
              <w:textAlignment w:val="bottom"/>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2</w:t>
            </w:r>
          </w:p>
        </w:tc>
        <w:tc>
          <w:tcPr>
            <w:tcW w:w="71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AFB5903">
            <w:pPr>
              <w:keepNext w:val="0"/>
              <w:keepLines w:val="0"/>
              <w:widowControl/>
              <w:suppressLineNumbers w:val="0"/>
              <w:jc w:val="center"/>
              <w:textAlignment w:val="bottom"/>
              <w:rPr>
                <w:rFonts w:hint="default" w:ascii="Times New Roman" w:hAnsi="Times New Roman" w:eastAsia="宋体" w:cs="Times New Roman"/>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水</w:t>
            </w:r>
          </w:p>
        </w:tc>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EEC52B2">
            <w:pPr>
              <w:keepNext w:val="0"/>
              <w:keepLines w:val="0"/>
              <w:widowControl/>
              <w:suppressLineNumbers w:val="0"/>
              <w:jc w:val="center"/>
              <w:textAlignment w:val="bottom"/>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m</w:t>
            </w:r>
            <w:r>
              <w:rPr>
                <w:rFonts w:hint="default" w:ascii="Times New Roman" w:hAnsi="Times New Roman" w:eastAsia="宋体" w:cs="Times New Roman"/>
                <w:i w:val="0"/>
                <w:iCs w:val="0"/>
                <w:color w:val="auto"/>
                <w:kern w:val="0"/>
                <w:sz w:val="20"/>
                <w:szCs w:val="20"/>
                <w:highlight w:val="none"/>
                <w:u w:val="none"/>
                <w:vertAlign w:val="superscript"/>
                <w:lang w:val="en-US" w:eastAsia="zh-CN" w:bidi="ar"/>
              </w:rPr>
              <w:t>3</w:t>
            </w:r>
          </w:p>
        </w:tc>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5ABD8D6">
            <w:pPr>
              <w:jc w:val="center"/>
              <w:rPr>
                <w:rFonts w:hint="default" w:ascii="Times New Roman" w:hAnsi="Times New Roman" w:eastAsia="宋体" w:cs="Times New Roman"/>
                <w:i w:val="0"/>
                <w:iCs w:val="0"/>
                <w:color w:val="auto"/>
                <w:sz w:val="20"/>
                <w:szCs w:val="20"/>
                <w:highlight w:val="none"/>
                <w:u w:val="none"/>
              </w:rPr>
            </w:pPr>
          </w:p>
        </w:tc>
        <w:tc>
          <w:tcPr>
            <w:tcW w:w="102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ADF8BEE">
            <w:pPr>
              <w:keepNext w:val="0"/>
              <w:keepLines w:val="0"/>
              <w:widowControl/>
              <w:suppressLineNumbers w:val="0"/>
              <w:jc w:val="center"/>
              <w:textAlignment w:val="bottom"/>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3.20 </w:t>
            </w:r>
          </w:p>
        </w:tc>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DD8D10C">
            <w:pPr>
              <w:jc w:val="center"/>
              <w:rPr>
                <w:rFonts w:hint="default" w:ascii="Times New Roman" w:hAnsi="Times New Roman" w:eastAsia="宋体" w:cs="Times New Roman"/>
                <w:i w:val="0"/>
                <w:iCs w:val="0"/>
                <w:color w:val="auto"/>
                <w:sz w:val="20"/>
                <w:szCs w:val="20"/>
                <w:highlight w:val="none"/>
                <w:u w:val="none"/>
              </w:rPr>
            </w:pPr>
          </w:p>
        </w:tc>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7FC4F3A">
            <w:pPr>
              <w:jc w:val="center"/>
              <w:rPr>
                <w:rFonts w:hint="default" w:ascii="Times New Roman" w:hAnsi="Times New Roman" w:eastAsia="宋体" w:cs="Times New Roman"/>
                <w:i w:val="0"/>
                <w:iCs w:val="0"/>
                <w:color w:val="auto"/>
                <w:sz w:val="20"/>
                <w:szCs w:val="20"/>
                <w:highlight w:val="none"/>
                <w:u w:val="none"/>
              </w:rPr>
            </w:pPr>
          </w:p>
        </w:tc>
      </w:tr>
      <w:tr w14:paraId="7D872D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C4FEB51">
            <w:pPr>
              <w:keepNext w:val="0"/>
              <w:keepLines w:val="0"/>
              <w:widowControl/>
              <w:suppressLineNumbers w:val="0"/>
              <w:jc w:val="center"/>
              <w:textAlignment w:val="bottom"/>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3</w:t>
            </w:r>
          </w:p>
        </w:tc>
        <w:tc>
          <w:tcPr>
            <w:tcW w:w="71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CA66F99">
            <w:pPr>
              <w:keepNext w:val="0"/>
              <w:keepLines w:val="0"/>
              <w:widowControl/>
              <w:suppressLineNumbers w:val="0"/>
              <w:jc w:val="center"/>
              <w:textAlignment w:val="bottom"/>
              <w:rPr>
                <w:rFonts w:hint="default" w:ascii="Times New Roman" w:hAnsi="Times New Roman" w:eastAsia="宋体" w:cs="Times New Roman"/>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电</w:t>
            </w:r>
          </w:p>
        </w:tc>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FA720D4">
            <w:pPr>
              <w:keepNext w:val="0"/>
              <w:keepLines w:val="0"/>
              <w:widowControl/>
              <w:suppressLineNumbers w:val="0"/>
              <w:jc w:val="center"/>
              <w:textAlignment w:val="bottom"/>
              <w:rPr>
                <w:rFonts w:hint="default" w:ascii="Times New Roman" w:hAnsi="Times New Roman" w:eastAsia="宋体" w:cs="Times New Roman"/>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度</w:t>
            </w:r>
          </w:p>
        </w:tc>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7D87E40">
            <w:pPr>
              <w:jc w:val="center"/>
              <w:rPr>
                <w:rFonts w:hint="default" w:ascii="Times New Roman" w:hAnsi="Times New Roman" w:eastAsia="宋体" w:cs="Times New Roman"/>
                <w:i w:val="0"/>
                <w:iCs w:val="0"/>
                <w:color w:val="auto"/>
                <w:sz w:val="20"/>
                <w:szCs w:val="20"/>
                <w:highlight w:val="none"/>
                <w:u w:val="none"/>
              </w:rPr>
            </w:pPr>
          </w:p>
        </w:tc>
        <w:tc>
          <w:tcPr>
            <w:tcW w:w="102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A7CCB6E">
            <w:pPr>
              <w:keepNext w:val="0"/>
              <w:keepLines w:val="0"/>
              <w:widowControl/>
              <w:suppressLineNumbers w:val="0"/>
              <w:jc w:val="center"/>
              <w:textAlignment w:val="bottom"/>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1.00 </w:t>
            </w:r>
          </w:p>
        </w:tc>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A782CAC">
            <w:pPr>
              <w:jc w:val="center"/>
              <w:rPr>
                <w:rFonts w:hint="default" w:ascii="Times New Roman" w:hAnsi="Times New Roman" w:eastAsia="宋体" w:cs="Times New Roman"/>
                <w:i w:val="0"/>
                <w:iCs w:val="0"/>
                <w:color w:val="auto"/>
                <w:sz w:val="20"/>
                <w:szCs w:val="20"/>
                <w:highlight w:val="none"/>
                <w:u w:val="none"/>
              </w:rPr>
            </w:pPr>
          </w:p>
        </w:tc>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47BFF42">
            <w:pPr>
              <w:jc w:val="center"/>
              <w:rPr>
                <w:rFonts w:hint="default" w:ascii="Times New Roman" w:hAnsi="Times New Roman" w:eastAsia="宋体" w:cs="Times New Roman"/>
                <w:i w:val="0"/>
                <w:iCs w:val="0"/>
                <w:color w:val="auto"/>
                <w:sz w:val="20"/>
                <w:szCs w:val="20"/>
                <w:highlight w:val="none"/>
                <w:u w:val="none"/>
              </w:rPr>
            </w:pPr>
          </w:p>
        </w:tc>
      </w:tr>
      <w:tr w14:paraId="43A1B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81B37A6">
            <w:pPr>
              <w:keepNext w:val="0"/>
              <w:keepLines w:val="0"/>
              <w:widowControl/>
              <w:suppressLineNumbers w:val="0"/>
              <w:jc w:val="center"/>
              <w:textAlignment w:val="bottom"/>
              <w:rPr>
                <w:rFonts w:hint="default" w:ascii="Times New Roman" w:hAnsi="Times New Roman" w:eastAsia="宋体" w:cs="Times New Roman"/>
                <w:i w:val="0"/>
                <w:iCs w:val="0"/>
                <w:color w:val="auto"/>
                <w:sz w:val="20"/>
                <w:szCs w:val="20"/>
                <w:highlight w:val="none"/>
                <w:u w:val="none"/>
              </w:rPr>
            </w:pPr>
            <w:r>
              <w:rPr>
                <w:rFonts w:hint="eastAsia" w:ascii="Times New Roman" w:hAnsi="Times New Roman" w:eastAsia="宋体" w:cs="Times New Roman"/>
                <w:i w:val="0"/>
                <w:iCs w:val="0"/>
                <w:color w:val="auto"/>
                <w:kern w:val="0"/>
                <w:sz w:val="20"/>
                <w:szCs w:val="20"/>
                <w:highlight w:val="none"/>
                <w:u w:val="none"/>
                <w:lang w:val="en-US" w:eastAsia="zh-CN" w:bidi="ar"/>
              </w:rPr>
              <w:t>4</w:t>
            </w:r>
          </w:p>
        </w:tc>
        <w:tc>
          <w:tcPr>
            <w:tcW w:w="71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4F8F244">
            <w:pPr>
              <w:keepNext w:val="0"/>
              <w:keepLines w:val="0"/>
              <w:widowControl/>
              <w:suppressLineNumbers w:val="0"/>
              <w:jc w:val="center"/>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落叶松</w:t>
            </w:r>
          </w:p>
        </w:tc>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93D1151">
            <w:pPr>
              <w:keepNext w:val="0"/>
              <w:keepLines w:val="0"/>
              <w:widowControl/>
              <w:suppressLineNumbers w:val="0"/>
              <w:jc w:val="center"/>
              <w:textAlignment w:val="bottom"/>
              <w:rPr>
                <w:rFonts w:hint="default" w:ascii="Times New Roman" w:hAnsi="Times New Roman" w:eastAsia="宋体" w:cs="Times New Roman"/>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株</w:t>
            </w:r>
          </w:p>
        </w:tc>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4B34882">
            <w:pPr>
              <w:keepNext w:val="0"/>
              <w:keepLines w:val="0"/>
              <w:widowControl/>
              <w:suppressLineNumbers w:val="0"/>
              <w:jc w:val="center"/>
              <w:textAlignment w:val="bottom"/>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5.00 </w:t>
            </w:r>
          </w:p>
        </w:tc>
        <w:tc>
          <w:tcPr>
            <w:tcW w:w="102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43A1455">
            <w:pPr>
              <w:keepNext w:val="0"/>
              <w:keepLines w:val="0"/>
              <w:widowControl/>
              <w:suppressLineNumbers w:val="0"/>
              <w:jc w:val="center"/>
              <w:textAlignment w:val="bottom"/>
              <w:rPr>
                <w:rFonts w:hint="default" w:ascii="Times New Roman" w:hAnsi="Times New Roman" w:eastAsia="宋体" w:cs="Times New Roman"/>
                <w:i w:val="0"/>
                <w:iCs w:val="0"/>
                <w:color w:val="auto"/>
                <w:sz w:val="20"/>
                <w:szCs w:val="20"/>
                <w:highlight w:val="none"/>
                <w:u w:val="none"/>
                <w:lang w:val="en-US"/>
              </w:rPr>
            </w:pPr>
            <w:r>
              <w:rPr>
                <w:rFonts w:hint="eastAsia" w:cs="Times New Roman"/>
                <w:i w:val="0"/>
                <w:iCs w:val="0"/>
                <w:color w:val="auto"/>
                <w:kern w:val="0"/>
                <w:sz w:val="20"/>
                <w:szCs w:val="20"/>
                <w:highlight w:val="none"/>
                <w:u w:val="none"/>
                <w:lang w:val="en-US" w:eastAsia="zh-CN" w:bidi="ar"/>
              </w:rPr>
              <w:t>7.50</w:t>
            </w:r>
          </w:p>
        </w:tc>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C839849">
            <w:pPr>
              <w:keepNext w:val="0"/>
              <w:keepLines w:val="0"/>
              <w:widowControl/>
              <w:suppressLineNumbers w:val="0"/>
              <w:jc w:val="center"/>
              <w:textAlignment w:val="bottom"/>
              <w:rPr>
                <w:rFonts w:hint="default" w:ascii="Times New Roman" w:hAnsi="Times New Roman" w:eastAsia="宋体" w:cs="Times New Roman"/>
                <w:i w:val="0"/>
                <w:iCs w:val="0"/>
                <w:color w:val="auto"/>
                <w:sz w:val="20"/>
                <w:szCs w:val="20"/>
                <w:highlight w:val="none"/>
                <w:u w:val="none"/>
                <w:lang w:val="en-US"/>
              </w:rPr>
            </w:pPr>
            <w:r>
              <w:rPr>
                <w:rFonts w:hint="eastAsia" w:cs="Times New Roman"/>
                <w:i w:val="0"/>
                <w:iCs w:val="0"/>
                <w:color w:val="auto"/>
                <w:kern w:val="0"/>
                <w:sz w:val="20"/>
                <w:szCs w:val="20"/>
                <w:highlight w:val="none"/>
                <w:u w:val="none"/>
                <w:lang w:val="en-US" w:eastAsia="zh-CN" w:bidi="ar"/>
              </w:rPr>
              <w:t>5.20</w:t>
            </w:r>
          </w:p>
        </w:tc>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D2CC26B">
            <w:pPr>
              <w:jc w:val="center"/>
              <w:rPr>
                <w:rFonts w:hint="default" w:ascii="Times New Roman" w:hAnsi="Times New Roman" w:eastAsia="宋体" w:cs="Times New Roman"/>
                <w:i w:val="0"/>
                <w:iCs w:val="0"/>
                <w:color w:val="auto"/>
                <w:sz w:val="20"/>
                <w:szCs w:val="20"/>
                <w:highlight w:val="none"/>
                <w:u w:val="none"/>
              </w:rPr>
            </w:pPr>
          </w:p>
        </w:tc>
      </w:tr>
      <w:tr w14:paraId="06EC70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111460C">
            <w:pPr>
              <w:keepNext w:val="0"/>
              <w:keepLines w:val="0"/>
              <w:widowControl/>
              <w:suppressLineNumbers w:val="0"/>
              <w:jc w:val="center"/>
              <w:textAlignment w:val="bottom"/>
              <w:rPr>
                <w:rFonts w:hint="default" w:ascii="Times New Roman" w:hAnsi="Times New Roman" w:eastAsia="宋体" w:cs="Times New Roman"/>
                <w:i w:val="0"/>
                <w:iCs w:val="0"/>
                <w:color w:val="auto"/>
                <w:sz w:val="20"/>
                <w:szCs w:val="20"/>
                <w:highlight w:val="none"/>
                <w:u w:val="none"/>
              </w:rPr>
            </w:pPr>
            <w:r>
              <w:rPr>
                <w:rFonts w:hint="eastAsia" w:ascii="Times New Roman" w:hAnsi="Times New Roman" w:eastAsia="宋体" w:cs="Times New Roman"/>
                <w:i w:val="0"/>
                <w:iCs w:val="0"/>
                <w:color w:val="auto"/>
                <w:kern w:val="0"/>
                <w:sz w:val="20"/>
                <w:szCs w:val="20"/>
                <w:highlight w:val="none"/>
                <w:u w:val="none"/>
                <w:lang w:val="en-US" w:eastAsia="zh-CN" w:bidi="ar"/>
              </w:rPr>
              <w:t>5</w:t>
            </w:r>
          </w:p>
        </w:tc>
        <w:tc>
          <w:tcPr>
            <w:tcW w:w="71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675E4F8">
            <w:pPr>
              <w:keepNext w:val="0"/>
              <w:keepLines w:val="0"/>
              <w:widowControl/>
              <w:suppressLineNumbers w:val="0"/>
              <w:jc w:val="center"/>
              <w:textAlignment w:val="bottom"/>
              <w:rPr>
                <w:rFonts w:hint="default" w:ascii="Times New Roman" w:hAnsi="Times New Roman" w:eastAsia="宋体" w:cs="Times New Roman"/>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紫花苜蓿</w:t>
            </w:r>
          </w:p>
        </w:tc>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95BF055">
            <w:pPr>
              <w:keepNext w:val="0"/>
              <w:keepLines w:val="0"/>
              <w:widowControl/>
              <w:suppressLineNumbers w:val="0"/>
              <w:jc w:val="center"/>
              <w:textAlignment w:val="bottom"/>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kg</w:t>
            </w:r>
          </w:p>
        </w:tc>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AB35537">
            <w:pPr>
              <w:jc w:val="center"/>
              <w:rPr>
                <w:rFonts w:hint="default" w:ascii="Times New Roman" w:hAnsi="Times New Roman" w:eastAsia="宋体" w:cs="Times New Roman"/>
                <w:i w:val="0"/>
                <w:iCs w:val="0"/>
                <w:color w:val="auto"/>
                <w:sz w:val="20"/>
                <w:szCs w:val="20"/>
                <w:highlight w:val="none"/>
                <w:u w:val="none"/>
              </w:rPr>
            </w:pPr>
          </w:p>
        </w:tc>
        <w:tc>
          <w:tcPr>
            <w:tcW w:w="102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6603149">
            <w:pPr>
              <w:keepNext w:val="0"/>
              <w:keepLines w:val="0"/>
              <w:widowControl/>
              <w:suppressLineNumbers w:val="0"/>
              <w:jc w:val="center"/>
              <w:textAlignment w:val="bottom"/>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42.00 </w:t>
            </w:r>
          </w:p>
        </w:tc>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35CC7C1">
            <w:pPr>
              <w:keepNext w:val="0"/>
              <w:keepLines w:val="0"/>
              <w:widowControl/>
              <w:suppressLineNumbers w:val="0"/>
              <w:jc w:val="center"/>
              <w:textAlignment w:val="bottom"/>
              <w:rPr>
                <w:rFonts w:hint="default" w:ascii="Times New Roman" w:hAnsi="Times New Roman" w:eastAsia="宋体" w:cs="Times New Roman"/>
                <w:i w:val="0"/>
                <w:iCs w:val="0"/>
                <w:color w:val="auto"/>
                <w:sz w:val="20"/>
                <w:szCs w:val="20"/>
                <w:highlight w:val="none"/>
                <w:u w:val="none"/>
              </w:rPr>
            </w:pPr>
          </w:p>
        </w:tc>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77E3BA2">
            <w:pPr>
              <w:jc w:val="center"/>
              <w:rPr>
                <w:rFonts w:hint="default" w:ascii="Times New Roman" w:hAnsi="Times New Roman" w:eastAsia="宋体" w:cs="Times New Roman"/>
                <w:i w:val="0"/>
                <w:iCs w:val="0"/>
                <w:color w:val="auto"/>
                <w:sz w:val="20"/>
                <w:szCs w:val="20"/>
                <w:highlight w:val="none"/>
                <w:u w:val="none"/>
              </w:rPr>
            </w:pPr>
          </w:p>
        </w:tc>
      </w:tr>
      <w:tr w14:paraId="6D2C8E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7EC3632">
            <w:pPr>
              <w:keepNext w:val="0"/>
              <w:keepLines w:val="0"/>
              <w:widowControl/>
              <w:suppressLineNumbers w:val="0"/>
              <w:jc w:val="center"/>
              <w:textAlignment w:val="bottom"/>
              <w:rPr>
                <w:rFonts w:hint="default" w:ascii="Times New Roman" w:hAnsi="Times New Roman" w:eastAsia="宋体" w:cs="Times New Roman"/>
                <w:i w:val="0"/>
                <w:iCs w:val="0"/>
                <w:color w:val="auto"/>
                <w:sz w:val="20"/>
                <w:szCs w:val="20"/>
                <w:highlight w:val="none"/>
                <w:u w:val="none"/>
              </w:rPr>
            </w:pPr>
            <w:r>
              <w:rPr>
                <w:rFonts w:hint="eastAsia" w:ascii="Times New Roman" w:hAnsi="Times New Roman" w:eastAsia="宋体" w:cs="Times New Roman"/>
                <w:i w:val="0"/>
                <w:iCs w:val="0"/>
                <w:color w:val="auto"/>
                <w:kern w:val="0"/>
                <w:sz w:val="20"/>
                <w:szCs w:val="20"/>
                <w:highlight w:val="none"/>
                <w:u w:val="none"/>
                <w:lang w:val="en-US" w:eastAsia="zh-CN" w:bidi="ar"/>
              </w:rPr>
              <w:t>6</w:t>
            </w:r>
          </w:p>
        </w:tc>
        <w:tc>
          <w:tcPr>
            <w:tcW w:w="71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28BD2CE">
            <w:pPr>
              <w:keepNext w:val="0"/>
              <w:keepLines w:val="0"/>
              <w:widowControl/>
              <w:suppressLineNumbers w:val="0"/>
              <w:jc w:val="center"/>
              <w:textAlignment w:val="bottom"/>
              <w:rPr>
                <w:rFonts w:hint="default" w:ascii="Times New Roman" w:hAnsi="Times New Roman" w:eastAsia="宋体" w:cs="Times New Roman"/>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汽油</w:t>
            </w:r>
          </w:p>
        </w:tc>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9AA612E">
            <w:pPr>
              <w:keepNext w:val="0"/>
              <w:keepLines w:val="0"/>
              <w:widowControl/>
              <w:suppressLineNumbers w:val="0"/>
              <w:jc w:val="center"/>
              <w:textAlignment w:val="bottom"/>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kg</w:t>
            </w:r>
          </w:p>
        </w:tc>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9DBF9F0">
            <w:pPr>
              <w:keepNext w:val="0"/>
              <w:keepLines w:val="0"/>
              <w:widowControl/>
              <w:suppressLineNumbers w:val="0"/>
              <w:jc w:val="center"/>
              <w:textAlignment w:val="bottom"/>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5.00 </w:t>
            </w:r>
          </w:p>
        </w:tc>
        <w:tc>
          <w:tcPr>
            <w:tcW w:w="102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D20ECF0">
            <w:pPr>
              <w:keepNext w:val="0"/>
              <w:keepLines w:val="0"/>
              <w:widowControl/>
              <w:suppressLineNumbers w:val="0"/>
              <w:jc w:val="center"/>
              <w:textAlignment w:val="bottom"/>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7.89 </w:t>
            </w:r>
          </w:p>
        </w:tc>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EE71C2C">
            <w:pPr>
              <w:keepNext w:val="0"/>
              <w:keepLines w:val="0"/>
              <w:widowControl/>
              <w:suppressLineNumbers w:val="0"/>
              <w:jc w:val="center"/>
              <w:textAlignment w:val="bottom"/>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2.89 </w:t>
            </w:r>
          </w:p>
        </w:tc>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F37378D">
            <w:pPr>
              <w:jc w:val="center"/>
              <w:rPr>
                <w:rFonts w:hint="eastAsia" w:ascii="宋体" w:hAnsi="宋体" w:eastAsia="宋体" w:cs="宋体"/>
                <w:i w:val="0"/>
                <w:iCs w:val="0"/>
                <w:color w:val="auto"/>
                <w:sz w:val="20"/>
                <w:szCs w:val="20"/>
                <w:highlight w:val="none"/>
                <w:u w:val="none"/>
              </w:rPr>
            </w:pPr>
          </w:p>
        </w:tc>
      </w:tr>
      <w:tr w14:paraId="3C2BEE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DD93BBD">
            <w:pPr>
              <w:keepNext w:val="0"/>
              <w:keepLines w:val="0"/>
              <w:widowControl/>
              <w:suppressLineNumbers w:val="0"/>
              <w:jc w:val="center"/>
              <w:textAlignment w:val="bottom"/>
              <w:rPr>
                <w:rFonts w:hint="default" w:ascii="Times New Roman" w:hAnsi="Times New Roman" w:eastAsia="宋体" w:cs="Times New Roman"/>
                <w:i w:val="0"/>
                <w:iCs w:val="0"/>
                <w:color w:val="auto"/>
                <w:sz w:val="20"/>
                <w:szCs w:val="20"/>
                <w:highlight w:val="none"/>
                <w:u w:val="none"/>
              </w:rPr>
            </w:pPr>
            <w:r>
              <w:rPr>
                <w:rFonts w:hint="eastAsia" w:ascii="Times New Roman" w:hAnsi="Times New Roman" w:eastAsia="宋体" w:cs="Times New Roman"/>
                <w:i w:val="0"/>
                <w:iCs w:val="0"/>
                <w:color w:val="auto"/>
                <w:kern w:val="0"/>
                <w:sz w:val="20"/>
                <w:szCs w:val="20"/>
                <w:highlight w:val="none"/>
                <w:u w:val="none"/>
                <w:lang w:val="en-US" w:eastAsia="zh-CN" w:bidi="ar"/>
              </w:rPr>
              <w:t>7</w:t>
            </w:r>
          </w:p>
        </w:tc>
        <w:tc>
          <w:tcPr>
            <w:tcW w:w="71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64F3343">
            <w:pPr>
              <w:keepNext w:val="0"/>
              <w:keepLines w:val="0"/>
              <w:widowControl/>
              <w:suppressLineNumbers w:val="0"/>
              <w:jc w:val="center"/>
              <w:textAlignment w:val="bottom"/>
              <w:rPr>
                <w:rFonts w:hint="default" w:ascii="宋体" w:hAnsi="宋体" w:eastAsia="宋体" w:cs="宋体"/>
                <w:i w:val="0"/>
                <w:iCs w:val="0"/>
                <w:color w:val="auto"/>
                <w:sz w:val="20"/>
                <w:szCs w:val="20"/>
                <w:highlight w:val="none"/>
                <w:u w:val="none"/>
                <w:lang w:val="en-US"/>
              </w:rPr>
            </w:pPr>
            <w:r>
              <w:rPr>
                <w:rFonts w:hint="eastAsia" w:ascii="宋体" w:hAnsi="宋体" w:eastAsia="宋体" w:cs="宋体"/>
                <w:i w:val="0"/>
                <w:iCs w:val="0"/>
                <w:color w:val="auto"/>
                <w:kern w:val="0"/>
                <w:sz w:val="20"/>
                <w:szCs w:val="20"/>
                <w:highlight w:val="none"/>
                <w:u w:val="none"/>
                <w:lang w:val="en-US" w:eastAsia="zh-CN" w:bidi="ar"/>
              </w:rPr>
              <w:t xml:space="preserve">爬山虎 </w:t>
            </w:r>
          </w:p>
        </w:tc>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C465EC9">
            <w:pPr>
              <w:keepNext w:val="0"/>
              <w:keepLines w:val="0"/>
              <w:widowControl/>
              <w:suppressLineNumbers w:val="0"/>
              <w:jc w:val="center"/>
              <w:textAlignment w:val="bottom"/>
              <w:rPr>
                <w:rFonts w:hint="default" w:ascii="Times New Roman" w:hAnsi="Times New Roman" w:eastAsia="宋体" w:cs="Times New Roman"/>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株</w:t>
            </w:r>
          </w:p>
        </w:tc>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49E7576">
            <w:pPr>
              <w:keepNext w:val="0"/>
              <w:keepLines w:val="0"/>
              <w:widowControl/>
              <w:suppressLineNumbers w:val="0"/>
              <w:jc w:val="center"/>
              <w:textAlignment w:val="bottom"/>
              <w:rPr>
                <w:rFonts w:hint="default" w:ascii="Times New Roman" w:hAnsi="Times New Roman" w:eastAsia="宋体" w:cs="Times New Roman"/>
                <w:i w:val="0"/>
                <w:iCs w:val="0"/>
                <w:color w:val="auto"/>
                <w:sz w:val="20"/>
                <w:szCs w:val="20"/>
                <w:highlight w:val="none"/>
                <w:u w:val="none"/>
              </w:rPr>
            </w:pPr>
          </w:p>
        </w:tc>
        <w:tc>
          <w:tcPr>
            <w:tcW w:w="102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C3A509B">
            <w:pPr>
              <w:keepNext w:val="0"/>
              <w:keepLines w:val="0"/>
              <w:widowControl/>
              <w:suppressLineNumbers w:val="0"/>
              <w:jc w:val="center"/>
              <w:textAlignment w:val="bottom"/>
              <w:rPr>
                <w:rFonts w:hint="default" w:ascii="Times New Roman" w:hAnsi="Times New Roman" w:eastAsia="宋体" w:cs="Times New Roman"/>
                <w:i w:val="0"/>
                <w:iCs w:val="0"/>
                <w:color w:val="auto"/>
                <w:sz w:val="20"/>
                <w:szCs w:val="20"/>
                <w:highlight w:val="none"/>
                <w:u w:val="none"/>
                <w:lang w:val="en-US"/>
              </w:rPr>
            </w:pPr>
            <w:r>
              <w:rPr>
                <w:rFonts w:hint="eastAsia" w:ascii="Times New Roman" w:hAnsi="Times New Roman" w:eastAsia="宋体" w:cs="Times New Roman"/>
                <w:i w:val="0"/>
                <w:iCs w:val="0"/>
                <w:color w:val="auto"/>
                <w:kern w:val="0"/>
                <w:sz w:val="20"/>
                <w:szCs w:val="20"/>
                <w:highlight w:val="none"/>
                <w:u w:val="none"/>
                <w:lang w:val="en-US" w:eastAsia="zh-CN" w:bidi="ar"/>
              </w:rPr>
              <w:t>2.00</w:t>
            </w:r>
          </w:p>
        </w:tc>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80CAA1B">
            <w:pPr>
              <w:keepNext w:val="0"/>
              <w:keepLines w:val="0"/>
              <w:widowControl/>
              <w:suppressLineNumbers w:val="0"/>
              <w:jc w:val="center"/>
              <w:textAlignment w:val="bottom"/>
              <w:rPr>
                <w:rFonts w:hint="default" w:ascii="Times New Roman" w:hAnsi="Times New Roman" w:eastAsia="宋体" w:cs="Times New Roman"/>
                <w:i w:val="0"/>
                <w:iCs w:val="0"/>
                <w:color w:val="auto"/>
                <w:sz w:val="20"/>
                <w:szCs w:val="20"/>
                <w:highlight w:val="none"/>
                <w:u w:val="none"/>
              </w:rPr>
            </w:pPr>
          </w:p>
        </w:tc>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FFA429A">
            <w:pPr>
              <w:jc w:val="center"/>
              <w:rPr>
                <w:rFonts w:hint="default" w:ascii="Times New Roman" w:hAnsi="Times New Roman" w:eastAsia="宋体" w:cs="Times New Roman"/>
                <w:i w:val="0"/>
                <w:iCs w:val="0"/>
                <w:color w:val="auto"/>
                <w:sz w:val="20"/>
                <w:szCs w:val="20"/>
                <w:highlight w:val="none"/>
                <w:u w:val="none"/>
              </w:rPr>
            </w:pPr>
          </w:p>
        </w:tc>
      </w:tr>
    </w:tbl>
    <w:p w14:paraId="243ADEBD">
      <w:pPr>
        <w:autoSpaceDE w:val="0"/>
        <w:autoSpaceDN w:val="0"/>
        <w:spacing w:line="360" w:lineRule="auto"/>
        <w:ind w:firstLine="422" w:firstLineChars="200"/>
        <w:rPr>
          <w:rFonts w:hint="default" w:ascii="Times New Roman" w:hAnsi="Times New Roman" w:cs="Times New Roman"/>
          <w:b/>
          <w:bCs/>
          <w:color w:val="auto"/>
          <w:sz w:val="21"/>
          <w:szCs w:val="21"/>
          <w:highlight w:val="none"/>
        </w:rPr>
      </w:pPr>
    </w:p>
    <w:p w14:paraId="3EAF293D">
      <w:pPr>
        <w:rPr>
          <w:rFonts w:hint="default" w:ascii="Times New Roman" w:hAnsi="Times New Roman" w:cs="Times New Roman"/>
          <w:color w:val="auto"/>
          <w:sz w:val="21"/>
          <w:szCs w:val="21"/>
          <w:highlight w:val="none"/>
        </w:rPr>
      </w:pPr>
    </w:p>
    <w:p w14:paraId="6630E266">
      <w:pPr>
        <w:rPr>
          <w:rFonts w:hint="default" w:ascii="Times New Roman" w:hAnsi="Times New Roman" w:cs="Times New Roman"/>
          <w:color w:val="auto"/>
          <w:sz w:val="21"/>
          <w:szCs w:val="21"/>
          <w:highlight w:val="none"/>
        </w:rPr>
      </w:pPr>
    </w:p>
    <w:p w14:paraId="062DAE7D">
      <w:pPr>
        <w:rPr>
          <w:rFonts w:hint="default" w:ascii="Times New Roman" w:hAnsi="Times New Roman" w:cs="Times New Roman"/>
          <w:color w:val="auto"/>
          <w:sz w:val="21"/>
          <w:szCs w:val="21"/>
          <w:highlight w:val="none"/>
        </w:rPr>
        <w:sectPr>
          <w:pgSz w:w="11906" w:h="16838"/>
          <w:pgMar w:top="1440" w:right="1800" w:bottom="1440" w:left="1800" w:header="851" w:footer="992" w:gutter="0"/>
          <w:pgBorders w:offsetFrom="page">
            <w:top w:val="none" w:sz="0" w:space="0"/>
            <w:left w:val="none" w:sz="0" w:space="0"/>
            <w:bottom w:val="none" w:sz="0" w:space="0"/>
            <w:right w:val="none" w:sz="0" w:space="0"/>
          </w:pgBorders>
          <w:pgNumType w:fmt="decimal"/>
          <w:cols w:space="720" w:num="1"/>
          <w:docGrid w:type="lines" w:linePitch="312" w:charSpace="0"/>
        </w:sectPr>
      </w:pPr>
    </w:p>
    <w:p w14:paraId="684273BC">
      <w:pPr>
        <w:jc w:val="center"/>
        <w:rPr>
          <w:rFonts w:hint="default" w:ascii="Times New Roman" w:hAnsi="Times New Roman" w:eastAsia="黑体" w:cs="Times New Roman"/>
          <w:b w:val="0"/>
          <w:bCs/>
          <w:color w:val="auto"/>
          <w:kern w:val="2"/>
          <w:sz w:val="21"/>
          <w:szCs w:val="21"/>
          <w:highlight w:val="none"/>
          <w:lang w:val="en-US" w:eastAsia="zh-CN" w:bidi="ar-SA"/>
        </w:rPr>
      </w:pPr>
      <w:r>
        <w:rPr>
          <w:rFonts w:hint="default" w:ascii="Times New Roman" w:hAnsi="Times New Roman" w:eastAsia="黑体" w:cs="Times New Roman"/>
          <w:b w:val="0"/>
          <w:bCs/>
          <w:color w:val="auto"/>
          <w:kern w:val="2"/>
          <w:sz w:val="21"/>
          <w:szCs w:val="21"/>
          <w:highlight w:val="none"/>
          <w:lang w:val="en-US" w:eastAsia="zh-CN" w:bidi="ar-SA"/>
        </w:rPr>
        <w:t>表7-20  施工机械台班费汇总表</w:t>
      </w:r>
      <w:r>
        <w:rPr>
          <w:rFonts w:hint="eastAsia" w:ascii="Times New Roman" w:hAnsi="Times New Roman" w:eastAsia="黑体" w:cs="Times New Roman"/>
          <w:b w:val="0"/>
          <w:bCs/>
          <w:color w:val="auto"/>
          <w:kern w:val="2"/>
          <w:sz w:val="21"/>
          <w:szCs w:val="21"/>
          <w:highlight w:val="none"/>
          <w:lang w:val="en-US" w:eastAsia="zh-CN" w:bidi="ar-SA"/>
        </w:rPr>
        <w:t xml:space="preserve">  单价：元</w:t>
      </w:r>
    </w:p>
    <w:tbl>
      <w:tblPr>
        <w:tblStyle w:val="34"/>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6"/>
        <w:gridCol w:w="2073"/>
        <w:gridCol w:w="855"/>
        <w:gridCol w:w="1957"/>
        <w:gridCol w:w="1298"/>
        <w:gridCol w:w="997"/>
        <w:gridCol w:w="975"/>
        <w:gridCol w:w="864"/>
        <w:gridCol w:w="977"/>
        <w:gridCol w:w="977"/>
        <w:gridCol w:w="994"/>
        <w:gridCol w:w="932"/>
      </w:tblGrid>
      <w:tr w14:paraId="0B24E8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46" w:type="pct"/>
            <w:vMerge w:val="restart"/>
            <w:tcBorders>
              <w:top w:val="single" w:color="000000" w:sz="4" w:space="0"/>
              <w:left w:val="single" w:color="000000" w:sz="4" w:space="0"/>
              <w:bottom w:val="single" w:color="000000" w:sz="4" w:space="0"/>
              <w:right w:val="single" w:color="000000" w:sz="4" w:space="0"/>
            </w:tcBorders>
            <w:noWrap/>
            <w:vAlign w:val="center"/>
          </w:tcPr>
          <w:p w14:paraId="5FB0C957">
            <w:pP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cs="Times New Roman"/>
                <w:color w:val="auto"/>
                <w:sz w:val="21"/>
                <w:szCs w:val="21"/>
                <w:highlight w:val="none"/>
              </w:rPr>
              <w:t xml:space="preserve">      </w:t>
            </w:r>
            <w:r>
              <w:rPr>
                <w:rFonts w:hint="default" w:ascii="Times New Roman" w:hAnsi="Times New Roman" w:eastAsia="宋体" w:cs="Times New Roman"/>
                <w:i w:val="0"/>
                <w:iCs w:val="0"/>
                <w:color w:val="auto"/>
                <w:kern w:val="0"/>
                <w:sz w:val="21"/>
                <w:szCs w:val="21"/>
                <w:highlight w:val="none"/>
                <w:u w:val="none"/>
                <w:lang w:val="en-US" w:eastAsia="zh-CN" w:bidi="ar"/>
              </w:rPr>
              <w:t>编号</w:t>
            </w:r>
          </w:p>
        </w:tc>
        <w:tc>
          <w:tcPr>
            <w:tcW w:w="732" w:type="pct"/>
            <w:vMerge w:val="restart"/>
            <w:tcBorders>
              <w:top w:val="single" w:color="000000" w:sz="4" w:space="0"/>
              <w:left w:val="single" w:color="000000" w:sz="4" w:space="0"/>
              <w:bottom w:val="single" w:color="000000" w:sz="4" w:space="0"/>
              <w:right w:val="single" w:color="000000" w:sz="4" w:space="0"/>
            </w:tcBorders>
            <w:noWrap w:val="0"/>
            <w:vAlign w:val="center"/>
          </w:tcPr>
          <w:p w14:paraId="221A078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机械名称及规格</w:t>
            </w:r>
          </w:p>
        </w:tc>
        <w:tc>
          <w:tcPr>
            <w:tcW w:w="3820" w:type="pct"/>
            <w:gridSpan w:val="10"/>
            <w:tcBorders>
              <w:top w:val="single" w:color="000000" w:sz="4" w:space="0"/>
              <w:left w:val="single" w:color="000000" w:sz="4" w:space="0"/>
              <w:bottom w:val="single" w:color="000000" w:sz="4" w:space="0"/>
              <w:right w:val="single" w:color="000000" w:sz="4" w:space="0"/>
            </w:tcBorders>
            <w:noWrap/>
            <w:vAlign w:val="center"/>
          </w:tcPr>
          <w:p w14:paraId="0FAB2D4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费用构成</w:t>
            </w:r>
          </w:p>
        </w:tc>
      </w:tr>
      <w:tr w14:paraId="3A7718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46" w:type="pct"/>
            <w:vMerge w:val="continue"/>
            <w:tcBorders>
              <w:top w:val="single" w:color="000000" w:sz="4" w:space="0"/>
              <w:left w:val="single" w:color="000000" w:sz="4" w:space="0"/>
              <w:bottom w:val="single" w:color="000000" w:sz="4" w:space="0"/>
              <w:right w:val="single" w:color="000000" w:sz="4" w:space="0"/>
            </w:tcBorders>
            <w:noWrap/>
            <w:vAlign w:val="center"/>
          </w:tcPr>
          <w:p w14:paraId="5D727343">
            <w:pPr>
              <w:jc w:val="center"/>
              <w:rPr>
                <w:rFonts w:hint="default" w:ascii="Times New Roman" w:hAnsi="Times New Roman" w:eastAsia="宋体" w:cs="Times New Roman"/>
                <w:i w:val="0"/>
                <w:iCs w:val="0"/>
                <w:color w:val="auto"/>
                <w:sz w:val="21"/>
                <w:szCs w:val="21"/>
                <w:highlight w:val="none"/>
                <w:u w:val="none"/>
              </w:rPr>
            </w:pPr>
          </w:p>
        </w:tc>
        <w:tc>
          <w:tcPr>
            <w:tcW w:w="7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24728A82">
            <w:pPr>
              <w:jc w:val="center"/>
              <w:rPr>
                <w:rFonts w:hint="default" w:ascii="Times New Roman" w:hAnsi="Times New Roman" w:eastAsia="宋体" w:cs="Times New Roman"/>
                <w:i w:val="0"/>
                <w:iCs w:val="0"/>
                <w:color w:val="auto"/>
                <w:sz w:val="21"/>
                <w:szCs w:val="21"/>
                <w:highlight w:val="none"/>
                <w:u w:val="none"/>
              </w:rPr>
            </w:pPr>
          </w:p>
        </w:tc>
        <w:tc>
          <w:tcPr>
            <w:tcW w:w="1803" w:type="pct"/>
            <w:gridSpan w:val="4"/>
            <w:tcBorders>
              <w:top w:val="single" w:color="000000" w:sz="4" w:space="0"/>
              <w:left w:val="single" w:color="000000" w:sz="4" w:space="0"/>
              <w:bottom w:val="single" w:color="000000" w:sz="4" w:space="0"/>
              <w:right w:val="single" w:color="000000" w:sz="4" w:space="0"/>
            </w:tcBorders>
            <w:noWrap/>
            <w:vAlign w:val="center"/>
          </w:tcPr>
          <w:p w14:paraId="3FF07F9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一类费用</w:t>
            </w:r>
          </w:p>
        </w:tc>
        <w:tc>
          <w:tcPr>
            <w:tcW w:w="1690" w:type="pct"/>
            <w:gridSpan w:val="5"/>
            <w:tcBorders>
              <w:top w:val="single" w:color="000000" w:sz="4" w:space="0"/>
              <w:left w:val="single" w:color="000000" w:sz="4" w:space="0"/>
              <w:bottom w:val="single" w:color="000000" w:sz="4" w:space="0"/>
              <w:right w:val="single" w:color="000000" w:sz="4" w:space="0"/>
            </w:tcBorders>
            <w:noWrap/>
            <w:vAlign w:val="center"/>
          </w:tcPr>
          <w:p w14:paraId="19C5A88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二类费用</w:t>
            </w:r>
          </w:p>
        </w:tc>
        <w:tc>
          <w:tcPr>
            <w:tcW w:w="327" w:type="pct"/>
            <w:vMerge w:val="restart"/>
            <w:tcBorders>
              <w:top w:val="single" w:color="000000" w:sz="4" w:space="0"/>
              <w:left w:val="single" w:color="000000" w:sz="4" w:space="0"/>
              <w:bottom w:val="single" w:color="000000" w:sz="4" w:space="0"/>
              <w:right w:val="single" w:color="000000" w:sz="4" w:space="0"/>
            </w:tcBorders>
            <w:noWrap/>
            <w:vAlign w:val="center"/>
          </w:tcPr>
          <w:p w14:paraId="04D18D9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总计</w:t>
            </w:r>
          </w:p>
        </w:tc>
      </w:tr>
      <w:tr w14:paraId="1A5E97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46" w:type="pct"/>
            <w:vMerge w:val="continue"/>
            <w:tcBorders>
              <w:top w:val="single" w:color="000000" w:sz="4" w:space="0"/>
              <w:left w:val="single" w:color="000000" w:sz="4" w:space="0"/>
              <w:bottom w:val="single" w:color="000000" w:sz="4" w:space="0"/>
              <w:right w:val="single" w:color="000000" w:sz="4" w:space="0"/>
            </w:tcBorders>
            <w:noWrap/>
            <w:vAlign w:val="center"/>
          </w:tcPr>
          <w:p w14:paraId="67DE7EE4">
            <w:pPr>
              <w:jc w:val="center"/>
              <w:rPr>
                <w:rFonts w:hint="default" w:ascii="Times New Roman" w:hAnsi="Times New Roman" w:eastAsia="宋体" w:cs="Times New Roman"/>
                <w:i w:val="0"/>
                <w:iCs w:val="0"/>
                <w:color w:val="auto"/>
                <w:sz w:val="21"/>
                <w:szCs w:val="21"/>
                <w:highlight w:val="none"/>
                <w:u w:val="none"/>
              </w:rPr>
            </w:pPr>
          </w:p>
        </w:tc>
        <w:tc>
          <w:tcPr>
            <w:tcW w:w="7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77CCA170">
            <w:pPr>
              <w:jc w:val="center"/>
              <w:rPr>
                <w:rFonts w:hint="default" w:ascii="Times New Roman" w:hAnsi="Times New Roman" w:eastAsia="宋体" w:cs="Times New Roman"/>
                <w:i w:val="0"/>
                <w:iCs w:val="0"/>
                <w:color w:val="auto"/>
                <w:sz w:val="21"/>
                <w:szCs w:val="21"/>
                <w:highlight w:val="none"/>
                <w:u w:val="none"/>
              </w:rPr>
            </w:pPr>
          </w:p>
        </w:tc>
        <w:tc>
          <w:tcPr>
            <w:tcW w:w="302" w:type="pct"/>
            <w:tcBorders>
              <w:top w:val="single" w:color="000000" w:sz="4" w:space="0"/>
              <w:left w:val="single" w:color="000000" w:sz="4" w:space="0"/>
              <w:bottom w:val="single" w:color="000000" w:sz="4" w:space="0"/>
              <w:right w:val="single" w:color="000000" w:sz="4" w:space="0"/>
            </w:tcBorders>
            <w:noWrap/>
            <w:vAlign w:val="center"/>
          </w:tcPr>
          <w:p w14:paraId="5F0D672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折旧费</w:t>
            </w:r>
          </w:p>
        </w:tc>
        <w:tc>
          <w:tcPr>
            <w:tcW w:w="691" w:type="pct"/>
            <w:tcBorders>
              <w:top w:val="single" w:color="000000" w:sz="4" w:space="0"/>
              <w:left w:val="single" w:color="000000" w:sz="4" w:space="0"/>
              <w:bottom w:val="single" w:color="000000" w:sz="4" w:space="0"/>
              <w:right w:val="single" w:color="000000" w:sz="4" w:space="0"/>
            </w:tcBorders>
            <w:noWrap/>
            <w:vAlign w:val="center"/>
          </w:tcPr>
          <w:p w14:paraId="335523F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修理及替换设备费</w:t>
            </w:r>
          </w:p>
        </w:tc>
        <w:tc>
          <w:tcPr>
            <w:tcW w:w="458" w:type="pct"/>
            <w:tcBorders>
              <w:top w:val="single" w:color="000000" w:sz="4" w:space="0"/>
              <w:left w:val="single" w:color="000000" w:sz="4" w:space="0"/>
              <w:bottom w:val="single" w:color="000000" w:sz="4" w:space="0"/>
              <w:right w:val="single" w:color="000000" w:sz="4" w:space="0"/>
            </w:tcBorders>
            <w:noWrap/>
            <w:vAlign w:val="center"/>
          </w:tcPr>
          <w:p w14:paraId="51C8B78A">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安装拆卸费</w:t>
            </w:r>
          </w:p>
        </w:tc>
        <w:tc>
          <w:tcPr>
            <w:tcW w:w="349" w:type="pct"/>
            <w:tcBorders>
              <w:top w:val="single" w:color="000000" w:sz="4" w:space="0"/>
              <w:left w:val="single" w:color="000000" w:sz="4" w:space="0"/>
              <w:bottom w:val="single" w:color="000000" w:sz="4" w:space="0"/>
              <w:right w:val="single" w:color="000000" w:sz="4" w:space="0"/>
            </w:tcBorders>
            <w:noWrap w:val="0"/>
            <w:vAlign w:val="center"/>
          </w:tcPr>
          <w:p w14:paraId="1B75BC7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小计</w:t>
            </w:r>
          </w:p>
        </w:tc>
        <w:tc>
          <w:tcPr>
            <w:tcW w:w="344" w:type="pct"/>
            <w:tcBorders>
              <w:top w:val="single" w:color="000000" w:sz="4" w:space="0"/>
              <w:left w:val="single" w:color="000000" w:sz="4" w:space="0"/>
              <w:bottom w:val="single" w:color="000000" w:sz="4" w:space="0"/>
              <w:right w:val="single" w:color="000000" w:sz="4" w:space="0"/>
            </w:tcBorders>
            <w:noWrap w:val="0"/>
            <w:vAlign w:val="center"/>
          </w:tcPr>
          <w:p w14:paraId="7D6E534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人工</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23B2CBD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汽油</w:t>
            </w:r>
          </w:p>
        </w:tc>
        <w:tc>
          <w:tcPr>
            <w:tcW w:w="345" w:type="pct"/>
            <w:tcBorders>
              <w:top w:val="single" w:color="000000" w:sz="4" w:space="0"/>
              <w:left w:val="single" w:color="000000" w:sz="4" w:space="0"/>
              <w:bottom w:val="single" w:color="000000" w:sz="4" w:space="0"/>
              <w:right w:val="single" w:color="000000" w:sz="4" w:space="0"/>
            </w:tcBorders>
            <w:noWrap w:val="0"/>
            <w:vAlign w:val="center"/>
          </w:tcPr>
          <w:p w14:paraId="6414997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柴油</w:t>
            </w:r>
          </w:p>
        </w:tc>
        <w:tc>
          <w:tcPr>
            <w:tcW w:w="345" w:type="pct"/>
            <w:tcBorders>
              <w:top w:val="single" w:color="000000" w:sz="4" w:space="0"/>
              <w:left w:val="single" w:color="000000" w:sz="4" w:space="0"/>
              <w:bottom w:val="single" w:color="000000" w:sz="4" w:space="0"/>
              <w:right w:val="single" w:color="000000" w:sz="4" w:space="0"/>
            </w:tcBorders>
            <w:noWrap w:val="0"/>
            <w:vAlign w:val="center"/>
          </w:tcPr>
          <w:p w14:paraId="6C9F75C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电/风</w:t>
            </w:r>
          </w:p>
        </w:tc>
        <w:tc>
          <w:tcPr>
            <w:tcW w:w="349" w:type="pct"/>
            <w:tcBorders>
              <w:top w:val="single" w:color="000000" w:sz="4" w:space="0"/>
              <w:left w:val="single" w:color="000000" w:sz="4" w:space="0"/>
              <w:bottom w:val="single" w:color="000000" w:sz="4" w:space="0"/>
              <w:right w:val="single" w:color="000000" w:sz="4" w:space="0"/>
            </w:tcBorders>
            <w:noWrap w:val="0"/>
            <w:vAlign w:val="center"/>
          </w:tcPr>
          <w:p w14:paraId="4D52C07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小计</w:t>
            </w:r>
          </w:p>
        </w:tc>
        <w:tc>
          <w:tcPr>
            <w:tcW w:w="327" w:type="pct"/>
            <w:vMerge w:val="continue"/>
            <w:tcBorders>
              <w:top w:val="single" w:color="000000" w:sz="4" w:space="0"/>
              <w:left w:val="single" w:color="000000" w:sz="4" w:space="0"/>
              <w:bottom w:val="single" w:color="000000" w:sz="4" w:space="0"/>
              <w:right w:val="single" w:color="000000" w:sz="4" w:space="0"/>
            </w:tcBorders>
            <w:noWrap/>
            <w:vAlign w:val="center"/>
          </w:tcPr>
          <w:p w14:paraId="5598E5E1">
            <w:pPr>
              <w:jc w:val="center"/>
              <w:rPr>
                <w:rFonts w:hint="default" w:ascii="Times New Roman" w:hAnsi="Times New Roman" w:eastAsia="宋体" w:cs="Times New Roman"/>
                <w:i w:val="0"/>
                <w:iCs w:val="0"/>
                <w:color w:val="auto"/>
                <w:sz w:val="21"/>
                <w:szCs w:val="21"/>
                <w:highlight w:val="none"/>
                <w:u w:val="none"/>
              </w:rPr>
            </w:pPr>
          </w:p>
        </w:tc>
      </w:tr>
      <w:tr w14:paraId="251C4B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266" w:type="dxa"/>
            <w:tcBorders>
              <w:top w:val="single" w:color="000000" w:sz="4" w:space="0"/>
              <w:left w:val="single" w:color="000000" w:sz="4" w:space="0"/>
              <w:bottom w:val="single" w:color="000000" w:sz="4" w:space="0"/>
              <w:right w:val="single" w:color="000000" w:sz="4" w:space="0"/>
            </w:tcBorders>
            <w:noWrap/>
            <w:vAlign w:val="center"/>
          </w:tcPr>
          <w:p w14:paraId="4830A82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1014 </w:t>
            </w:r>
          </w:p>
        </w:tc>
        <w:tc>
          <w:tcPr>
            <w:tcW w:w="2073" w:type="dxa"/>
            <w:tcBorders>
              <w:top w:val="single" w:color="000000" w:sz="4" w:space="0"/>
              <w:left w:val="single" w:color="000000" w:sz="4" w:space="0"/>
              <w:bottom w:val="single" w:color="000000" w:sz="4" w:space="0"/>
              <w:right w:val="single" w:color="000000" w:sz="4" w:space="0"/>
            </w:tcBorders>
            <w:noWrap/>
            <w:vAlign w:val="center"/>
          </w:tcPr>
          <w:p w14:paraId="44EEE6B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推土机</w:t>
            </w:r>
            <w:r>
              <w:rPr>
                <w:rFonts w:hint="default" w:ascii="Times New Roman" w:hAnsi="Times New Roman" w:eastAsia="宋体" w:cs="Times New Roman"/>
                <w:i w:val="0"/>
                <w:iCs w:val="0"/>
                <w:color w:val="auto"/>
                <w:kern w:val="0"/>
                <w:sz w:val="21"/>
                <w:szCs w:val="21"/>
                <w:highlight w:val="none"/>
                <w:u w:val="none"/>
                <w:lang w:val="en-US" w:eastAsia="zh-CN" w:bidi="ar"/>
              </w:rPr>
              <w:t>74k</w:t>
            </w:r>
            <w:r>
              <w:rPr>
                <w:rFonts w:hint="eastAsia" w:cs="Times New Roman"/>
                <w:i w:val="0"/>
                <w:iCs w:val="0"/>
                <w:color w:val="auto"/>
                <w:kern w:val="0"/>
                <w:sz w:val="21"/>
                <w:szCs w:val="21"/>
                <w:highlight w:val="none"/>
                <w:u w:val="none"/>
                <w:lang w:val="en-US" w:eastAsia="zh-CN" w:bidi="ar"/>
              </w:rPr>
              <w:t>W</w:t>
            </w:r>
          </w:p>
        </w:tc>
        <w:tc>
          <w:tcPr>
            <w:tcW w:w="855" w:type="dxa"/>
            <w:tcBorders>
              <w:top w:val="single" w:color="000000" w:sz="4" w:space="0"/>
              <w:left w:val="single" w:color="000000" w:sz="4" w:space="0"/>
              <w:bottom w:val="single" w:color="000000" w:sz="4" w:space="0"/>
              <w:right w:val="single" w:color="000000" w:sz="4" w:space="0"/>
            </w:tcBorders>
            <w:noWrap/>
            <w:vAlign w:val="center"/>
          </w:tcPr>
          <w:p w14:paraId="6C2AA9C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81.76 </w:t>
            </w:r>
          </w:p>
        </w:tc>
        <w:tc>
          <w:tcPr>
            <w:tcW w:w="1957" w:type="dxa"/>
            <w:tcBorders>
              <w:top w:val="single" w:color="000000" w:sz="4" w:space="0"/>
              <w:left w:val="single" w:color="000000" w:sz="4" w:space="0"/>
              <w:bottom w:val="single" w:color="000000" w:sz="4" w:space="0"/>
              <w:right w:val="single" w:color="000000" w:sz="4" w:space="0"/>
            </w:tcBorders>
            <w:noWrap/>
            <w:vAlign w:val="center"/>
          </w:tcPr>
          <w:p w14:paraId="2C71E4A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101.76 </w:t>
            </w:r>
          </w:p>
        </w:tc>
        <w:tc>
          <w:tcPr>
            <w:tcW w:w="1298" w:type="dxa"/>
            <w:tcBorders>
              <w:top w:val="single" w:color="000000" w:sz="4" w:space="0"/>
              <w:left w:val="single" w:color="000000" w:sz="4" w:space="0"/>
              <w:bottom w:val="single" w:color="000000" w:sz="4" w:space="0"/>
              <w:right w:val="single" w:color="000000" w:sz="4" w:space="0"/>
            </w:tcBorders>
            <w:noWrap/>
            <w:vAlign w:val="center"/>
          </w:tcPr>
          <w:p w14:paraId="0A98BD7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4.18 </w:t>
            </w:r>
          </w:p>
        </w:tc>
        <w:tc>
          <w:tcPr>
            <w:tcW w:w="997" w:type="dxa"/>
            <w:tcBorders>
              <w:top w:val="single" w:color="000000" w:sz="4" w:space="0"/>
              <w:left w:val="single" w:color="000000" w:sz="4" w:space="0"/>
              <w:bottom w:val="single" w:color="000000" w:sz="4" w:space="0"/>
              <w:right w:val="single" w:color="000000" w:sz="4" w:space="0"/>
            </w:tcBorders>
            <w:noWrap/>
            <w:vAlign w:val="center"/>
          </w:tcPr>
          <w:p w14:paraId="413E6E1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187.70 </w:t>
            </w:r>
          </w:p>
        </w:tc>
        <w:tc>
          <w:tcPr>
            <w:tcW w:w="975" w:type="dxa"/>
            <w:tcBorders>
              <w:top w:val="single" w:color="000000" w:sz="4" w:space="0"/>
              <w:left w:val="single" w:color="000000" w:sz="4" w:space="0"/>
              <w:bottom w:val="single" w:color="000000" w:sz="4" w:space="0"/>
              <w:right w:val="single" w:color="000000" w:sz="4" w:space="0"/>
            </w:tcBorders>
            <w:noWrap/>
            <w:vAlign w:val="center"/>
          </w:tcPr>
          <w:p w14:paraId="0B0EDBA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102.08 </w:t>
            </w: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51A973A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 </w:t>
            </w:r>
          </w:p>
        </w:tc>
        <w:tc>
          <w:tcPr>
            <w:tcW w:w="977" w:type="dxa"/>
            <w:tcBorders>
              <w:top w:val="single" w:color="000000" w:sz="4" w:space="0"/>
              <w:left w:val="single" w:color="000000" w:sz="4" w:space="0"/>
              <w:bottom w:val="single" w:color="000000" w:sz="4" w:space="0"/>
              <w:right w:val="single" w:color="000000" w:sz="4" w:space="0"/>
            </w:tcBorders>
            <w:noWrap/>
            <w:vAlign w:val="center"/>
          </w:tcPr>
          <w:p w14:paraId="79CC970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247.50 </w:t>
            </w:r>
          </w:p>
        </w:tc>
        <w:tc>
          <w:tcPr>
            <w:tcW w:w="977" w:type="dxa"/>
            <w:tcBorders>
              <w:top w:val="single" w:color="000000" w:sz="4" w:space="0"/>
              <w:left w:val="single" w:color="000000" w:sz="4" w:space="0"/>
              <w:bottom w:val="single" w:color="000000" w:sz="4" w:space="0"/>
              <w:right w:val="single" w:color="000000" w:sz="4" w:space="0"/>
            </w:tcBorders>
            <w:noWrap/>
            <w:vAlign w:val="center"/>
          </w:tcPr>
          <w:p w14:paraId="342375A8">
            <w:pPr>
              <w:jc w:val="center"/>
              <w:rPr>
                <w:rFonts w:hint="default" w:ascii="Times New Roman" w:hAnsi="Times New Roman" w:eastAsia="宋体" w:cs="Times New Roman"/>
                <w:i w:val="0"/>
                <w:iCs w:val="0"/>
                <w:color w:val="auto"/>
                <w:sz w:val="21"/>
                <w:szCs w:val="21"/>
                <w:highlight w:val="none"/>
                <w:u w:val="none"/>
              </w:rPr>
            </w:pPr>
          </w:p>
        </w:tc>
        <w:tc>
          <w:tcPr>
            <w:tcW w:w="994" w:type="dxa"/>
            <w:tcBorders>
              <w:top w:val="single" w:color="000000" w:sz="4" w:space="0"/>
              <w:left w:val="single" w:color="000000" w:sz="4" w:space="0"/>
              <w:bottom w:val="single" w:color="000000" w:sz="4" w:space="0"/>
              <w:right w:val="single" w:color="000000" w:sz="4" w:space="0"/>
            </w:tcBorders>
            <w:noWrap/>
            <w:vAlign w:val="center"/>
          </w:tcPr>
          <w:p w14:paraId="111DE8A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349.58 </w:t>
            </w:r>
          </w:p>
        </w:tc>
        <w:tc>
          <w:tcPr>
            <w:tcW w:w="932" w:type="dxa"/>
            <w:tcBorders>
              <w:top w:val="single" w:color="000000" w:sz="4" w:space="0"/>
              <w:left w:val="single" w:color="000000" w:sz="4" w:space="0"/>
              <w:bottom w:val="single" w:color="000000" w:sz="4" w:space="0"/>
              <w:right w:val="single" w:color="000000" w:sz="4" w:space="0"/>
            </w:tcBorders>
            <w:noWrap/>
            <w:vAlign w:val="center"/>
          </w:tcPr>
          <w:p w14:paraId="0FF9F89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537.28 </w:t>
            </w:r>
          </w:p>
        </w:tc>
      </w:tr>
      <w:tr w14:paraId="10560D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266" w:type="dxa"/>
            <w:tcBorders>
              <w:top w:val="single" w:color="000000" w:sz="4" w:space="0"/>
              <w:left w:val="single" w:color="000000" w:sz="4" w:space="0"/>
              <w:bottom w:val="single" w:color="000000" w:sz="4" w:space="0"/>
              <w:right w:val="single" w:color="000000" w:sz="4" w:space="0"/>
            </w:tcBorders>
            <w:noWrap/>
            <w:vAlign w:val="center"/>
          </w:tcPr>
          <w:p w14:paraId="04A459B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1021 </w:t>
            </w:r>
          </w:p>
        </w:tc>
        <w:tc>
          <w:tcPr>
            <w:tcW w:w="2073" w:type="dxa"/>
            <w:tcBorders>
              <w:top w:val="single" w:color="000000" w:sz="4" w:space="0"/>
              <w:left w:val="single" w:color="000000" w:sz="4" w:space="0"/>
              <w:bottom w:val="single" w:color="000000" w:sz="4" w:space="0"/>
              <w:right w:val="single" w:color="000000" w:sz="4" w:space="0"/>
            </w:tcBorders>
            <w:noWrap/>
            <w:vAlign w:val="center"/>
          </w:tcPr>
          <w:p w14:paraId="571E0F4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拖拉机</w:t>
            </w:r>
            <w:r>
              <w:rPr>
                <w:rFonts w:hint="default" w:ascii="Times New Roman" w:hAnsi="Times New Roman" w:eastAsia="宋体" w:cs="Times New Roman"/>
                <w:i w:val="0"/>
                <w:iCs w:val="0"/>
                <w:color w:val="auto"/>
                <w:kern w:val="0"/>
                <w:sz w:val="21"/>
                <w:szCs w:val="21"/>
                <w:highlight w:val="none"/>
                <w:u w:val="none"/>
                <w:lang w:val="en-US" w:eastAsia="zh-CN" w:bidi="ar"/>
              </w:rPr>
              <w:t>59k</w:t>
            </w:r>
            <w:r>
              <w:rPr>
                <w:rFonts w:hint="eastAsia" w:cs="Times New Roman"/>
                <w:i w:val="0"/>
                <w:iCs w:val="0"/>
                <w:color w:val="auto"/>
                <w:kern w:val="0"/>
                <w:sz w:val="21"/>
                <w:szCs w:val="21"/>
                <w:highlight w:val="none"/>
                <w:u w:val="none"/>
                <w:lang w:val="en-US" w:eastAsia="zh-CN" w:bidi="ar"/>
              </w:rPr>
              <w:t>W</w:t>
            </w:r>
          </w:p>
        </w:tc>
        <w:tc>
          <w:tcPr>
            <w:tcW w:w="855" w:type="dxa"/>
            <w:tcBorders>
              <w:top w:val="single" w:color="000000" w:sz="4" w:space="0"/>
              <w:left w:val="single" w:color="000000" w:sz="4" w:space="0"/>
              <w:bottom w:val="single" w:color="000000" w:sz="4" w:space="0"/>
              <w:right w:val="single" w:color="000000" w:sz="4" w:space="0"/>
            </w:tcBorders>
            <w:noWrap/>
            <w:vAlign w:val="center"/>
          </w:tcPr>
          <w:p w14:paraId="2F94790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38.45 </w:t>
            </w:r>
          </w:p>
        </w:tc>
        <w:tc>
          <w:tcPr>
            <w:tcW w:w="1957" w:type="dxa"/>
            <w:tcBorders>
              <w:top w:val="single" w:color="000000" w:sz="4" w:space="0"/>
              <w:left w:val="single" w:color="000000" w:sz="4" w:space="0"/>
              <w:bottom w:val="single" w:color="000000" w:sz="4" w:space="0"/>
              <w:right w:val="single" w:color="000000" w:sz="4" w:space="0"/>
            </w:tcBorders>
            <w:noWrap/>
            <w:vAlign w:val="center"/>
          </w:tcPr>
          <w:p w14:paraId="757162A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47.83 </w:t>
            </w:r>
          </w:p>
        </w:tc>
        <w:tc>
          <w:tcPr>
            <w:tcW w:w="1298" w:type="dxa"/>
            <w:tcBorders>
              <w:top w:val="single" w:color="000000" w:sz="4" w:space="0"/>
              <w:left w:val="single" w:color="000000" w:sz="4" w:space="0"/>
              <w:bottom w:val="single" w:color="000000" w:sz="4" w:space="0"/>
              <w:right w:val="single" w:color="000000" w:sz="4" w:space="0"/>
            </w:tcBorders>
            <w:noWrap/>
            <w:vAlign w:val="center"/>
          </w:tcPr>
          <w:p w14:paraId="3861D5A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2.82 </w:t>
            </w:r>
          </w:p>
        </w:tc>
        <w:tc>
          <w:tcPr>
            <w:tcW w:w="997" w:type="dxa"/>
            <w:tcBorders>
              <w:top w:val="single" w:color="000000" w:sz="4" w:space="0"/>
              <w:left w:val="single" w:color="000000" w:sz="4" w:space="0"/>
              <w:bottom w:val="single" w:color="000000" w:sz="4" w:space="0"/>
              <w:right w:val="single" w:color="000000" w:sz="4" w:space="0"/>
            </w:tcBorders>
            <w:noWrap/>
            <w:vAlign w:val="center"/>
          </w:tcPr>
          <w:p w14:paraId="2D470DF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89.10 </w:t>
            </w:r>
          </w:p>
        </w:tc>
        <w:tc>
          <w:tcPr>
            <w:tcW w:w="975" w:type="dxa"/>
            <w:tcBorders>
              <w:top w:val="single" w:color="000000" w:sz="4" w:space="0"/>
              <w:left w:val="single" w:color="000000" w:sz="4" w:space="0"/>
              <w:bottom w:val="single" w:color="000000" w:sz="4" w:space="0"/>
              <w:right w:val="single" w:color="000000" w:sz="4" w:space="0"/>
            </w:tcBorders>
            <w:noWrap/>
            <w:vAlign w:val="center"/>
          </w:tcPr>
          <w:p w14:paraId="4BAB6FF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102.08 </w:t>
            </w: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20A1AB4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 </w:t>
            </w:r>
          </w:p>
        </w:tc>
        <w:tc>
          <w:tcPr>
            <w:tcW w:w="977" w:type="dxa"/>
            <w:tcBorders>
              <w:top w:val="single" w:color="000000" w:sz="4" w:space="0"/>
              <w:left w:val="single" w:color="000000" w:sz="4" w:space="0"/>
              <w:bottom w:val="single" w:color="000000" w:sz="4" w:space="0"/>
              <w:right w:val="single" w:color="000000" w:sz="4" w:space="0"/>
            </w:tcBorders>
            <w:noWrap/>
            <w:vAlign w:val="center"/>
          </w:tcPr>
          <w:p w14:paraId="1760673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247.50 </w:t>
            </w:r>
          </w:p>
        </w:tc>
        <w:tc>
          <w:tcPr>
            <w:tcW w:w="977" w:type="dxa"/>
            <w:tcBorders>
              <w:top w:val="single" w:color="000000" w:sz="4" w:space="0"/>
              <w:left w:val="single" w:color="000000" w:sz="4" w:space="0"/>
              <w:bottom w:val="single" w:color="000000" w:sz="4" w:space="0"/>
              <w:right w:val="single" w:color="000000" w:sz="4" w:space="0"/>
            </w:tcBorders>
            <w:noWrap/>
            <w:vAlign w:val="center"/>
          </w:tcPr>
          <w:p w14:paraId="1929F5BC">
            <w:pPr>
              <w:jc w:val="center"/>
              <w:rPr>
                <w:rFonts w:hint="default" w:ascii="Times New Roman" w:hAnsi="Times New Roman" w:eastAsia="宋体" w:cs="Times New Roman"/>
                <w:i w:val="0"/>
                <w:iCs w:val="0"/>
                <w:color w:val="auto"/>
                <w:sz w:val="21"/>
                <w:szCs w:val="21"/>
                <w:highlight w:val="none"/>
                <w:u w:val="none"/>
              </w:rPr>
            </w:pPr>
          </w:p>
        </w:tc>
        <w:tc>
          <w:tcPr>
            <w:tcW w:w="994" w:type="dxa"/>
            <w:tcBorders>
              <w:top w:val="single" w:color="000000" w:sz="4" w:space="0"/>
              <w:left w:val="single" w:color="000000" w:sz="4" w:space="0"/>
              <w:bottom w:val="single" w:color="000000" w:sz="4" w:space="0"/>
              <w:right w:val="single" w:color="000000" w:sz="4" w:space="0"/>
            </w:tcBorders>
            <w:noWrap/>
            <w:vAlign w:val="center"/>
          </w:tcPr>
          <w:p w14:paraId="5830053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349.58 </w:t>
            </w:r>
          </w:p>
        </w:tc>
        <w:tc>
          <w:tcPr>
            <w:tcW w:w="932" w:type="dxa"/>
            <w:tcBorders>
              <w:top w:val="single" w:color="000000" w:sz="4" w:space="0"/>
              <w:left w:val="single" w:color="000000" w:sz="4" w:space="0"/>
              <w:bottom w:val="single" w:color="000000" w:sz="4" w:space="0"/>
              <w:right w:val="single" w:color="000000" w:sz="4" w:space="0"/>
            </w:tcBorders>
            <w:noWrap/>
            <w:vAlign w:val="center"/>
          </w:tcPr>
          <w:p w14:paraId="466D573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438.68 </w:t>
            </w:r>
          </w:p>
        </w:tc>
      </w:tr>
      <w:tr w14:paraId="3039BE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446" w:type="pct"/>
            <w:tcBorders>
              <w:top w:val="single" w:color="000000" w:sz="4" w:space="0"/>
              <w:left w:val="single" w:color="000000" w:sz="4" w:space="0"/>
              <w:bottom w:val="single" w:color="000000" w:sz="4" w:space="0"/>
              <w:right w:val="single" w:color="000000" w:sz="4" w:space="0"/>
            </w:tcBorders>
            <w:noWrap/>
            <w:vAlign w:val="center"/>
          </w:tcPr>
          <w:p w14:paraId="128C35BD">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4011</w:t>
            </w:r>
          </w:p>
        </w:tc>
        <w:tc>
          <w:tcPr>
            <w:tcW w:w="732" w:type="pct"/>
            <w:tcBorders>
              <w:top w:val="single" w:color="000000" w:sz="4" w:space="0"/>
              <w:left w:val="single" w:color="000000" w:sz="4" w:space="0"/>
              <w:bottom w:val="single" w:color="000000" w:sz="4" w:space="0"/>
              <w:right w:val="single" w:color="000000" w:sz="4" w:space="0"/>
            </w:tcBorders>
            <w:noWrap/>
            <w:vAlign w:val="center"/>
          </w:tcPr>
          <w:p w14:paraId="5A2CDAAE">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自卸汽车5t</w:t>
            </w:r>
          </w:p>
        </w:tc>
        <w:tc>
          <w:tcPr>
            <w:tcW w:w="302" w:type="pct"/>
            <w:tcBorders>
              <w:top w:val="single" w:color="000000" w:sz="4" w:space="0"/>
              <w:left w:val="single" w:color="000000" w:sz="4" w:space="0"/>
              <w:bottom w:val="single" w:color="000000" w:sz="4" w:space="0"/>
              <w:right w:val="single" w:color="000000" w:sz="4" w:space="0"/>
            </w:tcBorders>
            <w:noWrap/>
            <w:vAlign w:val="center"/>
          </w:tcPr>
          <w:p w14:paraId="4AD42584">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58.54</w:t>
            </w:r>
          </w:p>
        </w:tc>
        <w:tc>
          <w:tcPr>
            <w:tcW w:w="691" w:type="pct"/>
            <w:tcBorders>
              <w:top w:val="single" w:color="000000" w:sz="4" w:space="0"/>
              <w:left w:val="single" w:color="000000" w:sz="4" w:space="0"/>
              <w:bottom w:val="single" w:color="000000" w:sz="4" w:space="0"/>
              <w:right w:val="single" w:color="000000" w:sz="4" w:space="0"/>
            </w:tcBorders>
            <w:noWrap/>
            <w:vAlign w:val="center"/>
          </w:tcPr>
          <w:p w14:paraId="120DABE3">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30.37</w:t>
            </w:r>
          </w:p>
        </w:tc>
        <w:tc>
          <w:tcPr>
            <w:tcW w:w="458" w:type="pct"/>
            <w:tcBorders>
              <w:top w:val="single" w:color="000000" w:sz="4" w:space="0"/>
              <w:left w:val="single" w:color="000000" w:sz="4" w:space="0"/>
              <w:bottom w:val="single" w:color="000000" w:sz="4" w:space="0"/>
              <w:right w:val="single" w:color="000000" w:sz="4" w:space="0"/>
            </w:tcBorders>
            <w:noWrap/>
            <w:vAlign w:val="center"/>
          </w:tcPr>
          <w:p w14:paraId="258E90F4">
            <w:pPr>
              <w:jc w:val="center"/>
              <w:rPr>
                <w:rFonts w:hint="default" w:ascii="Times New Roman" w:hAnsi="Times New Roman" w:eastAsia="宋体" w:cs="Times New Roman"/>
                <w:i w:val="0"/>
                <w:iCs w:val="0"/>
                <w:color w:val="auto"/>
                <w:sz w:val="21"/>
                <w:szCs w:val="21"/>
                <w:highlight w:val="none"/>
                <w:u w:val="none"/>
              </w:rPr>
            </w:pPr>
          </w:p>
        </w:tc>
        <w:tc>
          <w:tcPr>
            <w:tcW w:w="349" w:type="pct"/>
            <w:tcBorders>
              <w:top w:val="single" w:color="000000" w:sz="4" w:space="0"/>
              <w:left w:val="single" w:color="000000" w:sz="4" w:space="0"/>
              <w:bottom w:val="single" w:color="000000" w:sz="4" w:space="0"/>
              <w:right w:val="single" w:color="000000" w:sz="4" w:space="0"/>
            </w:tcBorders>
            <w:noWrap/>
            <w:vAlign w:val="center"/>
          </w:tcPr>
          <w:p w14:paraId="065B562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88.91</w:t>
            </w:r>
          </w:p>
        </w:tc>
        <w:tc>
          <w:tcPr>
            <w:tcW w:w="344" w:type="pct"/>
            <w:tcBorders>
              <w:top w:val="single" w:color="000000" w:sz="4" w:space="0"/>
              <w:left w:val="single" w:color="000000" w:sz="4" w:space="0"/>
              <w:bottom w:val="single" w:color="000000" w:sz="4" w:space="0"/>
              <w:right w:val="single" w:color="000000" w:sz="4" w:space="0"/>
            </w:tcBorders>
            <w:noWrap/>
            <w:vAlign w:val="center"/>
          </w:tcPr>
          <w:p w14:paraId="69665BA8">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67.88</w:t>
            </w:r>
          </w:p>
        </w:tc>
        <w:tc>
          <w:tcPr>
            <w:tcW w:w="305" w:type="pct"/>
            <w:tcBorders>
              <w:top w:val="single" w:color="000000" w:sz="4" w:space="0"/>
              <w:left w:val="single" w:color="000000" w:sz="4" w:space="0"/>
              <w:bottom w:val="single" w:color="000000" w:sz="4" w:space="0"/>
              <w:right w:val="single" w:color="000000" w:sz="4" w:space="0"/>
            </w:tcBorders>
            <w:noWrap/>
            <w:vAlign w:val="center"/>
          </w:tcPr>
          <w:p w14:paraId="7AF23BC4">
            <w:pPr>
              <w:jc w:val="center"/>
              <w:rPr>
                <w:rFonts w:hint="default" w:ascii="Times New Roman" w:hAnsi="Times New Roman" w:eastAsia="宋体" w:cs="Times New Roman"/>
                <w:i w:val="0"/>
                <w:iCs w:val="0"/>
                <w:color w:val="auto"/>
                <w:sz w:val="21"/>
                <w:szCs w:val="21"/>
                <w:highlight w:val="none"/>
                <w:u w:val="none"/>
              </w:rPr>
            </w:pPr>
          </w:p>
        </w:tc>
        <w:tc>
          <w:tcPr>
            <w:tcW w:w="345" w:type="pct"/>
            <w:tcBorders>
              <w:top w:val="single" w:color="000000" w:sz="4" w:space="0"/>
              <w:left w:val="single" w:color="000000" w:sz="4" w:space="0"/>
              <w:bottom w:val="single" w:color="000000" w:sz="4" w:space="0"/>
              <w:right w:val="single" w:color="000000" w:sz="4" w:space="0"/>
            </w:tcBorders>
            <w:noWrap/>
            <w:vAlign w:val="center"/>
          </w:tcPr>
          <w:p w14:paraId="79389141">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175.50</w:t>
            </w:r>
          </w:p>
        </w:tc>
        <w:tc>
          <w:tcPr>
            <w:tcW w:w="345" w:type="pct"/>
            <w:tcBorders>
              <w:top w:val="single" w:color="000000" w:sz="4" w:space="0"/>
              <w:left w:val="single" w:color="000000" w:sz="4" w:space="0"/>
              <w:bottom w:val="single" w:color="000000" w:sz="4" w:space="0"/>
              <w:right w:val="single" w:color="000000" w:sz="4" w:space="0"/>
            </w:tcBorders>
            <w:noWrap/>
            <w:vAlign w:val="center"/>
          </w:tcPr>
          <w:p w14:paraId="1F7FF32A">
            <w:pPr>
              <w:jc w:val="center"/>
              <w:rPr>
                <w:rFonts w:hint="default" w:ascii="Times New Roman" w:hAnsi="Times New Roman" w:eastAsia="宋体" w:cs="Times New Roman"/>
                <w:i w:val="0"/>
                <w:iCs w:val="0"/>
                <w:color w:val="auto"/>
                <w:sz w:val="21"/>
                <w:szCs w:val="21"/>
                <w:highlight w:val="none"/>
                <w:u w:val="none"/>
              </w:rPr>
            </w:pPr>
          </w:p>
        </w:tc>
        <w:tc>
          <w:tcPr>
            <w:tcW w:w="349" w:type="pct"/>
            <w:tcBorders>
              <w:top w:val="single" w:color="000000" w:sz="4" w:space="0"/>
              <w:left w:val="single" w:color="000000" w:sz="4" w:space="0"/>
              <w:bottom w:val="single" w:color="000000" w:sz="4" w:space="0"/>
              <w:right w:val="single" w:color="000000" w:sz="4" w:space="0"/>
            </w:tcBorders>
            <w:noWrap/>
            <w:vAlign w:val="center"/>
          </w:tcPr>
          <w:p w14:paraId="52BFEE1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243.38</w:t>
            </w:r>
          </w:p>
        </w:tc>
        <w:tc>
          <w:tcPr>
            <w:tcW w:w="327" w:type="pct"/>
            <w:tcBorders>
              <w:top w:val="single" w:color="000000" w:sz="4" w:space="0"/>
              <w:left w:val="single" w:color="000000" w:sz="4" w:space="0"/>
              <w:bottom w:val="single" w:color="000000" w:sz="4" w:space="0"/>
              <w:right w:val="single" w:color="000000" w:sz="4" w:space="0"/>
            </w:tcBorders>
            <w:noWrap/>
            <w:vAlign w:val="center"/>
          </w:tcPr>
          <w:p w14:paraId="60A2AB8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332.29</w:t>
            </w:r>
          </w:p>
        </w:tc>
      </w:tr>
    </w:tbl>
    <w:p w14:paraId="089C7425">
      <w:pPr>
        <w:rPr>
          <w:rFonts w:hint="default" w:ascii="Times New Roman" w:hAnsi="Times New Roman" w:cs="Times New Roman"/>
          <w:color w:val="auto"/>
          <w:kern w:val="0"/>
          <w:sz w:val="21"/>
          <w:szCs w:val="21"/>
          <w:highlight w:val="none"/>
        </w:rPr>
      </w:pPr>
    </w:p>
    <w:p w14:paraId="3DE75D93">
      <w:pPr>
        <w:ind w:firstLine="843" w:firstLineChars="400"/>
        <w:rPr>
          <w:rFonts w:hint="default" w:ascii="Times New Roman" w:hAnsi="Times New Roman" w:cs="Times New Roman"/>
          <w:b/>
          <w:bCs/>
          <w:color w:val="auto"/>
          <w:sz w:val="21"/>
          <w:szCs w:val="21"/>
          <w:highlight w:val="none"/>
        </w:rPr>
      </w:pPr>
    </w:p>
    <w:p w14:paraId="6B706C1A">
      <w:pPr>
        <w:jc w:val="center"/>
        <w:rPr>
          <w:rFonts w:hint="default" w:ascii="Times New Roman" w:hAnsi="Times New Roman" w:eastAsia="黑体" w:cs="Times New Roman"/>
          <w:b w:val="0"/>
          <w:bCs/>
          <w:color w:val="auto"/>
          <w:kern w:val="2"/>
          <w:sz w:val="21"/>
          <w:szCs w:val="21"/>
          <w:highlight w:val="none"/>
          <w:lang w:val="en-US" w:eastAsia="zh-CN" w:bidi="ar-SA"/>
        </w:rPr>
      </w:pPr>
      <w:r>
        <w:rPr>
          <w:rFonts w:hint="default" w:ascii="Times New Roman" w:hAnsi="Times New Roman" w:eastAsia="黑体" w:cs="Times New Roman"/>
          <w:b w:val="0"/>
          <w:bCs/>
          <w:color w:val="auto"/>
          <w:kern w:val="2"/>
          <w:sz w:val="21"/>
          <w:szCs w:val="21"/>
          <w:highlight w:val="none"/>
          <w:lang w:val="en-US" w:eastAsia="zh-CN" w:bidi="ar-SA"/>
        </w:rPr>
        <w:t>表7-21    工程施工费单价汇总表</w:t>
      </w:r>
      <w:r>
        <w:rPr>
          <w:rFonts w:hint="eastAsia" w:ascii="Times New Roman" w:hAnsi="Times New Roman" w:eastAsia="黑体" w:cs="Times New Roman"/>
          <w:b w:val="0"/>
          <w:bCs/>
          <w:color w:val="auto"/>
          <w:kern w:val="2"/>
          <w:sz w:val="21"/>
          <w:szCs w:val="21"/>
          <w:highlight w:val="none"/>
          <w:lang w:val="en-US" w:eastAsia="zh-CN" w:bidi="ar-SA"/>
        </w:rPr>
        <w:t xml:space="preserve">   单价：元</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2"/>
        <w:gridCol w:w="1208"/>
        <w:gridCol w:w="1466"/>
        <w:gridCol w:w="789"/>
        <w:gridCol w:w="789"/>
        <w:gridCol w:w="999"/>
        <w:gridCol w:w="967"/>
        <w:gridCol w:w="894"/>
        <w:gridCol w:w="789"/>
        <w:gridCol w:w="1004"/>
        <w:gridCol w:w="843"/>
        <w:gridCol w:w="792"/>
        <w:gridCol w:w="1053"/>
        <w:gridCol w:w="896"/>
        <w:gridCol w:w="1053"/>
      </w:tblGrid>
      <w:tr w14:paraId="5CBC9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22" w:type="pct"/>
            <w:vMerge w:val="restart"/>
            <w:noWrap/>
            <w:vAlign w:val="center"/>
          </w:tcPr>
          <w:p w14:paraId="6551CFB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编号</w:t>
            </w:r>
          </w:p>
        </w:tc>
        <w:tc>
          <w:tcPr>
            <w:tcW w:w="426" w:type="pct"/>
            <w:vMerge w:val="restart"/>
            <w:noWrap/>
            <w:vAlign w:val="center"/>
          </w:tcPr>
          <w:p w14:paraId="19EA676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定额编号</w:t>
            </w:r>
          </w:p>
        </w:tc>
        <w:tc>
          <w:tcPr>
            <w:tcW w:w="517" w:type="pct"/>
            <w:vMerge w:val="restart"/>
            <w:noWrap/>
            <w:vAlign w:val="center"/>
          </w:tcPr>
          <w:p w14:paraId="42C1D9E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单项名称</w:t>
            </w:r>
          </w:p>
        </w:tc>
        <w:tc>
          <w:tcPr>
            <w:tcW w:w="278" w:type="pct"/>
            <w:vMerge w:val="restart"/>
            <w:noWrap/>
            <w:vAlign w:val="center"/>
          </w:tcPr>
          <w:p w14:paraId="24A289A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单位</w:t>
            </w:r>
          </w:p>
        </w:tc>
        <w:tc>
          <w:tcPr>
            <w:tcW w:w="1919" w:type="pct"/>
            <w:gridSpan w:val="6"/>
            <w:noWrap/>
            <w:vAlign w:val="center"/>
          </w:tcPr>
          <w:p w14:paraId="5205C9B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直接费</w:t>
            </w:r>
          </w:p>
        </w:tc>
        <w:tc>
          <w:tcPr>
            <w:tcW w:w="297" w:type="pct"/>
            <w:vMerge w:val="restart"/>
            <w:noWrap/>
            <w:vAlign w:val="center"/>
          </w:tcPr>
          <w:p w14:paraId="143D889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间接费</w:t>
            </w:r>
          </w:p>
        </w:tc>
        <w:tc>
          <w:tcPr>
            <w:tcW w:w="279" w:type="pct"/>
            <w:vMerge w:val="restart"/>
            <w:noWrap/>
            <w:vAlign w:val="center"/>
          </w:tcPr>
          <w:p w14:paraId="0899481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利润</w:t>
            </w:r>
          </w:p>
        </w:tc>
        <w:tc>
          <w:tcPr>
            <w:tcW w:w="371" w:type="pct"/>
            <w:vMerge w:val="restart"/>
            <w:noWrap/>
            <w:vAlign w:val="center"/>
          </w:tcPr>
          <w:p w14:paraId="2FC6C8D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材料价差</w:t>
            </w:r>
          </w:p>
        </w:tc>
        <w:tc>
          <w:tcPr>
            <w:tcW w:w="316" w:type="pct"/>
            <w:vMerge w:val="restart"/>
            <w:noWrap/>
            <w:vAlign w:val="center"/>
          </w:tcPr>
          <w:p w14:paraId="138F049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税金</w:t>
            </w:r>
          </w:p>
        </w:tc>
        <w:tc>
          <w:tcPr>
            <w:tcW w:w="371" w:type="pct"/>
            <w:vMerge w:val="restart"/>
            <w:noWrap/>
            <w:vAlign w:val="center"/>
          </w:tcPr>
          <w:p w14:paraId="13F9E7F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综合单价</w:t>
            </w:r>
          </w:p>
        </w:tc>
      </w:tr>
      <w:tr w14:paraId="399EC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22" w:type="pct"/>
            <w:vMerge w:val="continue"/>
            <w:noWrap/>
            <w:vAlign w:val="center"/>
          </w:tcPr>
          <w:p w14:paraId="29E373D0">
            <w:pPr>
              <w:keepNext w:val="0"/>
              <w:keepLines w:val="0"/>
              <w:pageBreakBefore w:val="0"/>
              <w:widowControl/>
              <w:kinsoku/>
              <w:wordWrap/>
              <w:overflowPunct/>
              <w:topLinePunct w:val="0"/>
              <w:autoSpaceDE/>
              <w:autoSpaceDN/>
              <w:bidi w:val="0"/>
              <w:adjustRightInd/>
              <w:snapToGrid/>
              <w:spacing w:line="0" w:lineRule="atLeast"/>
              <w:jc w:val="center"/>
              <w:rPr>
                <w:rFonts w:hint="default" w:ascii="Times New Roman" w:hAnsi="Times New Roman" w:eastAsia="宋体" w:cs="Times New Roman"/>
                <w:i w:val="0"/>
                <w:iCs w:val="0"/>
                <w:color w:val="auto"/>
                <w:sz w:val="21"/>
                <w:szCs w:val="21"/>
                <w:highlight w:val="none"/>
                <w:u w:val="none"/>
              </w:rPr>
            </w:pPr>
          </w:p>
        </w:tc>
        <w:tc>
          <w:tcPr>
            <w:tcW w:w="426" w:type="pct"/>
            <w:vMerge w:val="continue"/>
            <w:noWrap/>
            <w:vAlign w:val="center"/>
          </w:tcPr>
          <w:p w14:paraId="02E45C18">
            <w:pPr>
              <w:keepNext w:val="0"/>
              <w:keepLines w:val="0"/>
              <w:pageBreakBefore w:val="0"/>
              <w:widowControl/>
              <w:kinsoku/>
              <w:wordWrap/>
              <w:overflowPunct/>
              <w:topLinePunct w:val="0"/>
              <w:autoSpaceDE/>
              <w:autoSpaceDN/>
              <w:bidi w:val="0"/>
              <w:adjustRightInd/>
              <w:snapToGrid/>
              <w:spacing w:line="0" w:lineRule="atLeast"/>
              <w:jc w:val="center"/>
              <w:rPr>
                <w:rFonts w:hint="default" w:ascii="Times New Roman" w:hAnsi="Times New Roman" w:eastAsia="宋体" w:cs="Times New Roman"/>
                <w:i w:val="0"/>
                <w:iCs w:val="0"/>
                <w:color w:val="auto"/>
                <w:sz w:val="21"/>
                <w:szCs w:val="21"/>
                <w:highlight w:val="none"/>
                <w:u w:val="none"/>
              </w:rPr>
            </w:pPr>
          </w:p>
        </w:tc>
        <w:tc>
          <w:tcPr>
            <w:tcW w:w="517" w:type="pct"/>
            <w:vMerge w:val="continue"/>
            <w:noWrap/>
            <w:vAlign w:val="center"/>
          </w:tcPr>
          <w:p w14:paraId="09F34239">
            <w:pPr>
              <w:keepNext w:val="0"/>
              <w:keepLines w:val="0"/>
              <w:pageBreakBefore w:val="0"/>
              <w:widowControl/>
              <w:kinsoku/>
              <w:wordWrap/>
              <w:overflowPunct/>
              <w:topLinePunct w:val="0"/>
              <w:autoSpaceDE/>
              <w:autoSpaceDN/>
              <w:bidi w:val="0"/>
              <w:adjustRightInd/>
              <w:snapToGrid/>
              <w:spacing w:line="0" w:lineRule="atLeast"/>
              <w:jc w:val="center"/>
              <w:rPr>
                <w:rFonts w:hint="default" w:ascii="Times New Roman" w:hAnsi="Times New Roman" w:eastAsia="宋体" w:cs="Times New Roman"/>
                <w:i w:val="0"/>
                <w:iCs w:val="0"/>
                <w:color w:val="auto"/>
                <w:sz w:val="21"/>
                <w:szCs w:val="21"/>
                <w:highlight w:val="none"/>
                <w:u w:val="none"/>
              </w:rPr>
            </w:pPr>
          </w:p>
        </w:tc>
        <w:tc>
          <w:tcPr>
            <w:tcW w:w="278" w:type="pct"/>
            <w:vMerge w:val="continue"/>
            <w:noWrap/>
            <w:vAlign w:val="center"/>
          </w:tcPr>
          <w:p w14:paraId="539A3778">
            <w:pPr>
              <w:keepNext w:val="0"/>
              <w:keepLines w:val="0"/>
              <w:pageBreakBefore w:val="0"/>
              <w:widowControl/>
              <w:kinsoku/>
              <w:wordWrap/>
              <w:overflowPunct/>
              <w:topLinePunct w:val="0"/>
              <w:autoSpaceDE/>
              <w:autoSpaceDN/>
              <w:bidi w:val="0"/>
              <w:adjustRightInd/>
              <w:snapToGrid/>
              <w:spacing w:line="0" w:lineRule="atLeast"/>
              <w:jc w:val="center"/>
              <w:rPr>
                <w:rFonts w:hint="default" w:ascii="Times New Roman" w:hAnsi="Times New Roman" w:eastAsia="宋体" w:cs="Times New Roman"/>
                <w:i w:val="0"/>
                <w:iCs w:val="0"/>
                <w:color w:val="auto"/>
                <w:sz w:val="21"/>
                <w:szCs w:val="21"/>
                <w:highlight w:val="none"/>
                <w:u w:val="none"/>
              </w:rPr>
            </w:pPr>
          </w:p>
        </w:tc>
        <w:tc>
          <w:tcPr>
            <w:tcW w:w="278" w:type="pct"/>
            <w:noWrap w:val="0"/>
            <w:vAlign w:val="center"/>
          </w:tcPr>
          <w:p w14:paraId="57E6F4E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人工费</w:t>
            </w:r>
          </w:p>
        </w:tc>
        <w:tc>
          <w:tcPr>
            <w:tcW w:w="352" w:type="pct"/>
            <w:noWrap w:val="0"/>
            <w:vAlign w:val="center"/>
          </w:tcPr>
          <w:p w14:paraId="7B89BBC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材料费</w:t>
            </w:r>
          </w:p>
        </w:tc>
        <w:tc>
          <w:tcPr>
            <w:tcW w:w="341" w:type="pct"/>
            <w:noWrap w:val="0"/>
            <w:vAlign w:val="center"/>
          </w:tcPr>
          <w:p w14:paraId="3B48AC5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机械费</w:t>
            </w:r>
          </w:p>
        </w:tc>
        <w:tc>
          <w:tcPr>
            <w:tcW w:w="315" w:type="pct"/>
            <w:noWrap w:val="0"/>
            <w:vAlign w:val="center"/>
          </w:tcPr>
          <w:p w14:paraId="1DB8774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直接工程费</w:t>
            </w:r>
          </w:p>
        </w:tc>
        <w:tc>
          <w:tcPr>
            <w:tcW w:w="278" w:type="pct"/>
            <w:noWrap w:val="0"/>
            <w:vAlign w:val="center"/>
          </w:tcPr>
          <w:p w14:paraId="0E2EA51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措施费</w:t>
            </w:r>
          </w:p>
        </w:tc>
        <w:tc>
          <w:tcPr>
            <w:tcW w:w="354" w:type="pct"/>
            <w:noWrap w:val="0"/>
            <w:vAlign w:val="center"/>
          </w:tcPr>
          <w:p w14:paraId="356ECEF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合计</w:t>
            </w:r>
          </w:p>
        </w:tc>
        <w:tc>
          <w:tcPr>
            <w:tcW w:w="297" w:type="pct"/>
            <w:vMerge w:val="continue"/>
            <w:noWrap/>
            <w:vAlign w:val="center"/>
          </w:tcPr>
          <w:p w14:paraId="73BEF056">
            <w:pPr>
              <w:keepNext w:val="0"/>
              <w:keepLines w:val="0"/>
              <w:pageBreakBefore w:val="0"/>
              <w:widowControl/>
              <w:kinsoku/>
              <w:wordWrap/>
              <w:overflowPunct/>
              <w:topLinePunct w:val="0"/>
              <w:autoSpaceDE/>
              <w:autoSpaceDN/>
              <w:bidi w:val="0"/>
              <w:adjustRightInd/>
              <w:snapToGrid/>
              <w:spacing w:line="0" w:lineRule="atLeast"/>
              <w:jc w:val="center"/>
              <w:rPr>
                <w:rFonts w:hint="default" w:ascii="Times New Roman" w:hAnsi="Times New Roman" w:eastAsia="宋体" w:cs="Times New Roman"/>
                <w:i w:val="0"/>
                <w:iCs w:val="0"/>
                <w:color w:val="auto"/>
                <w:sz w:val="21"/>
                <w:szCs w:val="21"/>
                <w:highlight w:val="none"/>
                <w:u w:val="none"/>
              </w:rPr>
            </w:pPr>
          </w:p>
        </w:tc>
        <w:tc>
          <w:tcPr>
            <w:tcW w:w="279" w:type="pct"/>
            <w:vMerge w:val="continue"/>
            <w:noWrap/>
            <w:vAlign w:val="center"/>
          </w:tcPr>
          <w:p w14:paraId="6FAEBFAD">
            <w:pPr>
              <w:keepNext w:val="0"/>
              <w:keepLines w:val="0"/>
              <w:pageBreakBefore w:val="0"/>
              <w:widowControl/>
              <w:kinsoku/>
              <w:wordWrap/>
              <w:overflowPunct/>
              <w:topLinePunct w:val="0"/>
              <w:autoSpaceDE/>
              <w:autoSpaceDN/>
              <w:bidi w:val="0"/>
              <w:adjustRightInd/>
              <w:snapToGrid/>
              <w:spacing w:line="0" w:lineRule="atLeast"/>
              <w:jc w:val="center"/>
              <w:rPr>
                <w:rFonts w:hint="default" w:ascii="Times New Roman" w:hAnsi="Times New Roman" w:eastAsia="宋体" w:cs="Times New Roman"/>
                <w:i w:val="0"/>
                <w:iCs w:val="0"/>
                <w:color w:val="auto"/>
                <w:sz w:val="21"/>
                <w:szCs w:val="21"/>
                <w:highlight w:val="none"/>
                <w:u w:val="none"/>
              </w:rPr>
            </w:pPr>
          </w:p>
        </w:tc>
        <w:tc>
          <w:tcPr>
            <w:tcW w:w="371" w:type="pct"/>
            <w:vMerge w:val="continue"/>
            <w:noWrap/>
            <w:vAlign w:val="center"/>
          </w:tcPr>
          <w:p w14:paraId="31E11AC4">
            <w:pPr>
              <w:keepNext w:val="0"/>
              <w:keepLines w:val="0"/>
              <w:pageBreakBefore w:val="0"/>
              <w:widowControl/>
              <w:kinsoku/>
              <w:wordWrap/>
              <w:overflowPunct/>
              <w:topLinePunct w:val="0"/>
              <w:autoSpaceDE/>
              <w:autoSpaceDN/>
              <w:bidi w:val="0"/>
              <w:adjustRightInd/>
              <w:snapToGrid/>
              <w:spacing w:line="0" w:lineRule="atLeast"/>
              <w:jc w:val="center"/>
              <w:rPr>
                <w:rFonts w:hint="default" w:ascii="Times New Roman" w:hAnsi="Times New Roman" w:eastAsia="宋体" w:cs="Times New Roman"/>
                <w:i w:val="0"/>
                <w:iCs w:val="0"/>
                <w:color w:val="auto"/>
                <w:sz w:val="21"/>
                <w:szCs w:val="21"/>
                <w:highlight w:val="none"/>
                <w:u w:val="none"/>
              </w:rPr>
            </w:pPr>
          </w:p>
        </w:tc>
        <w:tc>
          <w:tcPr>
            <w:tcW w:w="316" w:type="pct"/>
            <w:vMerge w:val="continue"/>
            <w:noWrap/>
            <w:vAlign w:val="center"/>
          </w:tcPr>
          <w:p w14:paraId="2AEE16D6">
            <w:pPr>
              <w:keepNext w:val="0"/>
              <w:keepLines w:val="0"/>
              <w:pageBreakBefore w:val="0"/>
              <w:widowControl/>
              <w:kinsoku/>
              <w:wordWrap/>
              <w:overflowPunct/>
              <w:topLinePunct w:val="0"/>
              <w:autoSpaceDE/>
              <w:autoSpaceDN/>
              <w:bidi w:val="0"/>
              <w:adjustRightInd/>
              <w:snapToGrid/>
              <w:spacing w:line="0" w:lineRule="atLeast"/>
              <w:jc w:val="center"/>
              <w:rPr>
                <w:rFonts w:hint="default" w:ascii="Times New Roman" w:hAnsi="Times New Roman" w:eastAsia="宋体" w:cs="Times New Roman"/>
                <w:i w:val="0"/>
                <w:iCs w:val="0"/>
                <w:color w:val="auto"/>
                <w:sz w:val="21"/>
                <w:szCs w:val="21"/>
                <w:highlight w:val="none"/>
                <w:u w:val="none"/>
              </w:rPr>
            </w:pPr>
          </w:p>
        </w:tc>
        <w:tc>
          <w:tcPr>
            <w:tcW w:w="371" w:type="pct"/>
            <w:vMerge w:val="continue"/>
            <w:noWrap/>
            <w:vAlign w:val="center"/>
          </w:tcPr>
          <w:p w14:paraId="5BB99CBC">
            <w:pPr>
              <w:keepNext w:val="0"/>
              <w:keepLines w:val="0"/>
              <w:pageBreakBefore w:val="0"/>
              <w:widowControl/>
              <w:kinsoku/>
              <w:wordWrap/>
              <w:overflowPunct/>
              <w:topLinePunct w:val="0"/>
              <w:autoSpaceDE/>
              <w:autoSpaceDN/>
              <w:bidi w:val="0"/>
              <w:adjustRightInd/>
              <w:snapToGrid/>
              <w:spacing w:line="0" w:lineRule="atLeast"/>
              <w:jc w:val="center"/>
              <w:rPr>
                <w:rFonts w:hint="default" w:ascii="Times New Roman" w:hAnsi="Times New Roman" w:eastAsia="宋体" w:cs="Times New Roman"/>
                <w:i w:val="0"/>
                <w:iCs w:val="0"/>
                <w:color w:val="auto"/>
                <w:sz w:val="21"/>
                <w:szCs w:val="21"/>
                <w:highlight w:val="none"/>
                <w:u w:val="none"/>
              </w:rPr>
            </w:pPr>
          </w:p>
        </w:tc>
      </w:tr>
      <w:tr w14:paraId="73126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22" w:type="pct"/>
            <w:noWrap/>
            <w:vAlign w:val="center"/>
          </w:tcPr>
          <w:p w14:paraId="127C070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426" w:type="pct"/>
            <w:noWrap/>
            <w:vAlign w:val="center"/>
          </w:tcPr>
          <w:p w14:paraId="5505542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90001</w:t>
            </w:r>
          </w:p>
        </w:tc>
        <w:tc>
          <w:tcPr>
            <w:tcW w:w="517" w:type="pct"/>
            <w:noWrap/>
            <w:vAlign w:val="center"/>
          </w:tcPr>
          <w:p w14:paraId="205735B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栽植落叶松</w:t>
            </w:r>
          </w:p>
        </w:tc>
        <w:tc>
          <w:tcPr>
            <w:tcW w:w="278" w:type="pct"/>
            <w:noWrap/>
            <w:vAlign w:val="center"/>
          </w:tcPr>
          <w:p w14:paraId="4E19945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100</w:t>
            </w:r>
            <w:r>
              <w:rPr>
                <w:rFonts w:hint="eastAsia" w:ascii="宋体" w:hAnsi="宋体" w:eastAsia="宋体" w:cs="宋体"/>
                <w:i w:val="0"/>
                <w:iCs w:val="0"/>
                <w:color w:val="auto"/>
                <w:kern w:val="0"/>
                <w:sz w:val="18"/>
                <w:szCs w:val="18"/>
                <w:highlight w:val="none"/>
                <w:u w:val="none"/>
                <w:lang w:val="en-US" w:eastAsia="zh-CN" w:bidi="ar"/>
              </w:rPr>
              <w:t>株</w:t>
            </w:r>
          </w:p>
        </w:tc>
        <w:tc>
          <w:tcPr>
            <w:tcW w:w="789" w:type="dxa"/>
            <w:noWrap/>
            <w:vAlign w:val="center"/>
          </w:tcPr>
          <w:p w14:paraId="5D6A535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58.55 </w:t>
            </w:r>
          </w:p>
        </w:tc>
        <w:tc>
          <w:tcPr>
            <w:tcW w:w="999" w:type="dxa"/>
            <w:noWrap/>
            <w:vAlign w:val="center"/>
          </w:tcPr>
          <w:p w14:paraId="76D55FC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522.84 </w:t>
            </w:r>
          </w:p>
        </w:tc>
        <w:tc>
          <w:tcPr>
            <w:tcW w:w="967" w:type="dxa"/>
            <w:noWrap/>
            <w:vAlign w:val="center"/>
          </w:tcPr>
          <w:p w14:paraId="44E04A9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0.00 </w:t>
            </w:r>
          </w:p>
        </w:tc>
        <w:tc>
          <w:tcPr>
            <w:tcW w:w="894" w:type="dxa"/>
            <w:noWrap/>
            <w:vAlign w:val="center"/>
          </w:tcPr>
          <w:p w14:paraId="6EB904D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581.39 </w:t>
            </w:r>
          </w:p>
        </w:tc>
        <w:tc>
          <w:tcPr>
            <w:tcW w:w="789" w:type="dxa"/>
            <w:noWrap/>
            <w:vAlign w:val="center"/>
          </w:tcPr>
          <w:p w14:paraId="37E0202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22.09 </w:t>
            </w:r>
          </w:p>
        </w:tc>
        <w:tc>
          <w:tcPr>
            <w:tcW w:w="1004" w:type="dxa"/>
            <w:noWrap/>
            <w:vAlign w:val="center"/>
          </w:tcPr>
          <w:p w14:paraId="4E9864F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603.49 </w:t>
            </w:r>
          </w:p>
        </w:tc>
        <w:tc>
          <w:tcPr>
            <w:tcW w:w="843" w:type="dxa"/>
            <w:noWrap/>
            <w:vAlign w:val="center"/>
          </w:tcPr>
          <w:p w14:paraId="78300E3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36.21 </w:t>
            </w:r>
          </w:p>
        </w:tc>
        <w:tc>
          <w:tcPr>
            <w:tcW w:w="792" w:type="dxa"/>
            <w:noWrap/>
            <w:vAlign w:val="center"/>
          </w:tcPr>
          <w:p w14:paraId="0D32EA9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19.19 </w:t>
            </w:r>
          </w:p>
        </w:tc>
        <w:tc>
          <w:tcPr>
            <w:tcW w:w="1053" w:type="dxa"/>
            <w:noWrap/>
            <w:vAlign w:val="center"/>
          </w:tcPr>
          <w:p w14:paraId="2D71E4E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255.00 </w:t>
            </w:r>
          </w:p>
        </w:tc>
        <w:tc>
          <w:tcPr>
            <w:tcW w:w="896" w:type="dxa"/>
            <w:noWrap/>
            <w:vAlign w:val="center"/>
          </w:tcPr>
          <w:p w14:paraId="133B866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82.25 </w:t>
            </w:r>
          </w:p>
        </w:tc>
        <w:tc>
          <w:tcPr>
            <w:tcW w:w="1053" w:type="dxa"/>
            <w:noWrap/>
            <w:vAlign w:val="center"/>
          </w:tcPr>
          <w:p w14:paraId="5198C85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996.14 </w:t>
            </w:r>
          </w:p>
        </w:tc>
      </w:tr>
      <w:tr w14:paraId="43F60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22" w:type="pct"/>
            <w:noWrap/>
            <w:vAlign w:val="center"/>
          </w:tcPr>
          <w:p w14:paraId="378327B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426" w:type="pct"/>
            <w:noWrap/>
            <w:vAlign w:val="bottom"/>
          </w:tcPr>
          <w:p w14:paraId="1101A1FF">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90030</w:t>
            </w:r>
          </w:p>
        </w:tc>
        <w:tc>
          <w:tcPr>
            <w:tcW w:w="517" w:type="pct"/>
            <w:noWrap/>
            <w:vAlign w:val="bottom"/>
          </w:tcPr>
          <w:p w14:paraId="5A23AFC8">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播撒紫花苜蓿</w:t>
            </w:r>
          </w:p>
        </w:tc>
        <w:tc>
          <w:tcPr>
            <w:tcW w:w="278" w:type="pct"/>
            <w:noWrap/>
            <w:vAlign w:val="bottom"/>
          </w:tcPr>
          <w:p w14:paraId="613183F0">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hm</w:t>
            </w:r>
            <w:r>
              <w:rPr>
                <w:rFonts w:hint="default" w:ascii="Times New Roman" w:hAnsi="Times New Roman" w:eastAsia="宋体" w:cs="Times New Roman"/>
                <w:i w:val="0"/>
                <w:iCs w:val="0"/>
                <w:color w:val="auto"/>
                <w:kern w:val="0"/>
                <w:sz w:val="18"/>
                <w:szCs w:val="18"/>
                <w:highlight w:val="none"/>
                <w:u w:val="none"/>
                <w:vertAlign w:val="superscript"/>
                <w:lang w:val="en-US" w:eastAsia="zh-CN" w:bidi="ar"/>
              </w:rPr>
              <w:t>2</w:t>
            </w:r>
          </w:p>
        </w:tc>
        <w:tc>
          <w:tcPr>
            <w:tcW w:w="278" w:type="pct"/>
            <w:noWrap/>
            <w:vAlign w:val="center"/>
          </w:tcPr>
          <w:p w14:paraId="6678221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81.56 </w:t>
            </w:r>
          </w:p>
        </w:tc>
        <w:tc>
          <w:tcPr>
            <w:tcW w:w="352" w:type="pct"/>
            <w:noWrap/>
            <w:vAlign w:val="center"/>
          </w:tcPr>
          <w:p w14:paraId="281DB5B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1285.20 </w:t>
            </w:r>
          </w:p>
        </w:tc>
        <w:tc>
          <w:tcPr>
            <w:tcW w:w="341" w:type="pct"/>
            <w:noWrap/>
            <w:vAlign w:val="center"/>
          </w:tcPr>
          <w:p w14:paraId="2C88F91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315" w:type="pct"/>
            <w:noWrap/>
            <w:vAlign w:val="center"/>
          </w:tcPr>
          <w:p w14:paraId="550C5D5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1366.76 </w:t>
            </w:r>
          </w:p>
        </w:tc>
        <w:tc>
          <w:tcPr>
            <w:tcW w:w="278" w:type="pct"/>
            <w:noWrap/>
            <w:vAlign w:val="center"/>
          </w:tcPr>
          <w:p w14:paraId="5FC2887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51.94 </w:t>
            </w:r>
          </w:p>
        </w:tc>
        <w:tc>
          <w:tcPr>
            <w:tcW w:w="354" w:type="pct"/>
            <w:noWrap/>
            <w:vAlign w:val="center"/>
          </w:tcPr>
          <w:p w14:paraId="0B99A68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1418.70 </w:t>
            </w:r>
          </w:p>
        </w:tc>
        <w:tc>
          <w:tcPr>
            <w:tcW w:w="297" w:type="pct"/>
            <w:noWrap/>
            <w:vAlign w:val="center"/>
          </w:tcPr>
          <w:p w14:paraId="7AF818C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85.12 </w:t>
            </w:r>
          </w:p>
        </w:tc>
        <w:tc>
          <w:tcPr>
            <w:tcW w:w="279" w:type="pct"/>
            <w:noWrap/>
            <w:vAlign w:val="center"/>
          </w:tcPr>
          <w:p w14:paraId="432FA52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45.11 </w:t>
            </w:r>
          </w:p>
        </w:tc>
        <w:tc>
          <w:tcPr>
            <w:tcW w:w="371" w:type="pct"/>
            <w:noWrap/>
            <w:vAlign w:val="center"/>
          </w:tcPr>
          <w:p w14:paraId="6572C51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316" w:type="pct"/>
            <w:noWrap/>
            <w:vAlign w:val="center"/>
          </w:tcPr>
          <w:p w14:paraId="21F2D76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139.40 </w:t>
            </w:r>
          </w:p>
        </w:tc>
        <w:tc>
          <w:tcPr>
            <w:tcW w:w="371" w:type="pct"/>
            <w:noWrap/>
            <w:vAlign w:val="center"/>
          </w:tcPr>
          <w:p w14:paraId="769F3B5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1688.34 </w:t>
            </w:r>
          </w:p>
        </w:tc>
      </w:tr>
      <w:tr w14:paraId="0C315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22" w:type="pct"/>
            <w:noWrap/>
            <w:vAlign w:val="center"/>
          </w:tcPr>
          <w:p w14:paraId="7038930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426" w:type="pct"/>
            <w:noWrap/>
            <w:vAlign w:val="bottom"/>
          </w:tcPr>
          <w:p w14:paraId="6DC9453B">
            <w:pPr>
              <w:keepNext w:val="0"/>
              <w:keepLines w:val="0"/>
              <w:widowControl/>
              <w:suppressLineNumbers w:val="0"/>
              <w:jc w:val="center"/>
              <w:textAlignment w:val="bottom"/>
              <w:rPr>
                <w:rFonts w:hint="default" w:ascii="Times New Roman" w:hAnsi="Times New Roman" w:eastAsia="宋体" w:cs="Times New Roman"/>
                <w:i w:val="0"/>
                <w:iCs w:val="0"/>
                <w:color w:val="auto"/>
                <w:kern w:val="2"/>
                <w:sz w:val="18"/>
                <w:szCs w:val="18"/>
                <w:highlight w:val="none"/>
                <w:u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10218</w:t>
            </w:r>
          </w:p>
        </w:tc>
        <w:tc>
          <w:tcPr>
            <w:tcW w:w="517" w:type="pct"/>
            <w:noWrap/>
            <w:vAlign w:val="bottom"/>
          </w:tcPr>
          <w:p w14:paraId="0CBE0742">
            <w:pPr>
              <w:keepNext w:val="0"/>
              <w:keepLines w:val="0"/>
              <w:widowControl/>
              <w:suppressLineNumbers w:val="0"/>
              <w:jc w:val="center"/>
              <w:textAlignment w:val="bottom"/>
              <w:rPr>
                <w:rFonts w:hint="default" w:ascii="Times New Roman" w:hAnsi="Times New Roman" w:eastAsia="宋体" w:cs="Times New Roman"/>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表土运输</w:t>
            </w:r>
          </w:p>
        </w:tc>
        <w:tc>
          <w:tcPr>
            <w:tcW w:w="278" w:type="pct"/>
            <w:noWrap/>
            <w:vAlign w:val="center"/>
          </w:tcPr>
          <w:p w14:paraId="372C860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highlight w:val="none"/>
                <w:u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100m</w:t>
            </w:r>
            <w:r>
              <w:rPr>
                <w:rFonts w:hint="default" w:ascii="Times New Roman" w:hAnsi="Times New Roman" w:eastAsia="宋体" w:cs="Times New Roman"/>
                <w:i w:val="0"/>
                <w:iCs w:val="0"/>
                <w:color w:val="auto"/>
                <w:kern w:val="0"/>
                <w:sz w:val="18"/>
                <w:szCs w:val="18"/>
                <w:highlight w:val="none"/>
                <w:u w:val="none"/>
                <w:vertAlign w:val="superscript"/>
                <w:lang w:val="en-US" w:eastAsia="zh-CN" w:bidi="ar"/>
              </w:rPr>
              <w:t>3</w:t>
            </w:r>
          </w:p>
        </w:tc>
        <w:tc>
          <w:tcPr>
            <w:tcW w:w="278" w:type="pct"/>
            <w:noWrap/>
            <w:vAlign w:val="bottom"/>
          </w:tcPr>
          <w:p w14:paraId="71B29D9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42.06 </w:t>
            </w:r>
          </w:p>
        </w:tc>
        <w:tc>
          <w:tcPr>
            <w:tcW w:w="352" w:type="pct"/>
            <w:noWrap/>
            <w:vAlign w:val="bottom"/>
          </w:tcPr>
          <w:p w14:paraId="3C88743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0.00 </w:t>
            </w:r>
          </w:p>
        </w:tc>
        <w:tc>
          <w:tcPr>
            <w:tcW w:w="341" w:type="pct"/>
            <w:noWrap/>
            <w:vAlign w:val="bottom"/>
          </w:tcPr>
          <w:p w14:paraId="1501DF5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607.48 </w:t>
            </w:r>
          </w:p>
        </w:tc>
        <w:tc>
          <w:tcPr>
            <w:tcW w:w="315" w:type="pct"/>
            <w:noWrap/>
            <w:vAlign w:val="bottom"/>
          </w:tcPr>
          <w:p w14:paraId="47499FA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649.54 </w:t>
            </w:r>
          </w:p>
        </w:tc>
        <w:tc>
          <w:tcPr>
            <w:tcW w:w="278" w:type="pct"/>
            <w:noWrap/>
            <w:vAlign w:val="bottom"/>
          </w:tcPr>
          <w:p w14:paraId="14F3FA5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24.68 </w:t>
            </w:r>
          </w:p>
        </w:tc>
        <w:tc>
          <w:tcPr>
            <w:tcW w:w="354" w:type="pct"/>
            <w:noWrap/>
            <w:vAlign w:val="bottom"/>
          </w:tcPr>
          <w:p w14:paraId="152B089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674.22 </w:t>
            </w:r>
          </w:p>
        </w:tc>
        <w:tc>
          <w:tcPr>
            <w:tcW w:w="297" w:type="pct"/>
            <w:noWrap/>
            <w:vAlign w:val="bottom"/>
          </w:tcPr>
          <w:p w14:paraId="767B3F5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40.45 </w:t>
            </w:r>
          </w:p>
        </w:tc>
        <w:tc>
          <w:tcPr>
            <w:tcW w:w="279" w:type="pct"/>
            <w:noWrap/>
            <w:vAlign w:val="bottom"/>
          </w:tcPr>
          <w:p w14:paraId="18031BB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21.44 </w:t>
            </w:r>
          </w:p>
        </w:tc>
        <w:tc>
          <w:tcPr>
            <w:tcW w:w="371" w:type="pct"/>
            <w:noWrap/>
            <w:vAlign w:val="bottom"/>
          </w:tcPr>
          <w:p w14:paraId="61E5CC6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198.90 </w:t>
            </w:r>
          </w:p>
        </w:tc>
        <w:tc>
          <w:tcPr>
            <w:tcW w:w="316" w:type="pct"/>
            <w:noWrap/>
            <w:vAlign w:val="bottom"/>
          </w:tcPr>
          <w:p w14:paraId="3728748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84.15 </w:t>
            </w:r>
          </w:p>
        </w:tc>
        <w:tc>
          <w:tcPr>
            <w:tcW w:w="371" w:type="pct"/>
            <w:noWrap/>
            <w:vAlign w:val="center"/>
          </w:tcPr>
          <w:p w14:paraId="383F7EF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1019.17 </w:t>
            </w:r>
          </w:p>
        </w:tc>
      </w:tr>
      <w:tr w14:paraId="2062E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22" w:type="pct"/>
            <w:noWrap/>
            <w:vAlign w:val="center"/>
          </w:tcPr>
          <w:p w14:paraId="560FAF0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bidi="ar"/>
              </w:rPr>
              <w:t>4</w:t>
            </w:r>
          </w:p>
        </w:tc>
        <w:tc>
          <w:tcPr>
            <w:tcW w:w="426" w:type="pct"/>
            <w:noWrap/>
            <w:vAlign w:val="bottom"/>
          </w:tcPr>
          <w:p w14:paraId="291B79FA">
            <w:pPr>
              <w:keepNext w:val="0"/>
              <w:keepLines w:val="0"/>
              <w:widowControl/>
              <w:suppressLineNumbers w:val="0"/>
              <w:jc w:val="center"/>
              <w:textAlignment w:val="bottom"/>
              <w:rPr>
                <w:rFonts w:hint="default" w:ascii="Times New Roman" w:hAnsi="Times New Roman" w:eastAsia="宋体" w:cs="Times New Roman"/>
                <w:i w:val="0"/>
                <w:iCs w:val="0"/>
                <w:color w:val="auto"/>
                <w:kern w:val="2"/>
                <w:sz w:val="18"/>
                <w:szCs w:val="18"/>
                <w:highlight w:val="none"/>
                <w:u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10304</w:t>
            </w:r>
          </w:p>
        </w:tc>
        <w:tc>
          <w:tcPr>
            <w:tcW w:w="517" w:type="pct"/>
            <w:noWrap/>
            <w:vAlign w:val="bottom"/>
          </w:tcPr>
          <w:p w14:paraId="49C93142">
            <w:pPr>
              <w:keepNext w:val="0"/>
              <w:keepLines w:val="0"/>
              <w:widowControl/>
              <w:suppressLineNumbers w:val="0"/>
              <w:jc w:val="center"/>
              <w:textAlignment w:val="bottom"/>
              <w:rPr>
                <w:rFonts w:hint="default" w:ascii="Times New Roman" w:hAnsi="Times New Roman" w:eastAsia="宋体" w:cs="Times New Roman"/>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剥离/覆土工程</w:t>
            </w:r>
          </w:p>
        </w:tc>
        <w:tc>
          <w:tcPr>
            <w:tcW w:w="278" w:type="pct"/>
            <w:noWrap w:val="0"/>
            <w:vAlign w:val="center"/>
          </w:tcPr>
          <w:p w14:paraId="5935260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highlight w:val="none"/>
                <w:u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100m</w:t>
            </w:r>
            <w:r>
              <w:rPr>
                <w:rFonts w:hint="default" w:ascii="Times New Roman" w:hAnsi="Times New Roman" w:eastAsia="宋体" w:cs="Times New Roman"/>
                <w:i w:val="0"/>
                <w:iCs w:val="0"/>
                <w:color w:val="auto"/>
                <w:kern w:val="0"/>
                <w:sz w:val="18"/>
                <w:szCs w:val="18"/>
                <w:highlight w:val="none"/>
                <w:u w:val="none"/>
                <w:vertAlign w:val="superscript"/>
                <w:lang w:val="en-US" w:eastAsia="zh-CN" w:bidi="ar"/>
              </w:rPr>
              <w:t>3</w:t>
            </w:r>
          </w:p>
        </w:tc>
        <w:tc>
          <w:tcPr>
            <w:tcW w:w="278" w:type="pct"/>
            <w:noWrap/>
            <w:vAlign w:val="bottom"/>
          </w:tcPr>
          <w:p w14:paraId="39BCFF5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8.16 </w:t>
            </w:r>
          </w:p>
        </w:tc>
        <w:tc>
          <w:tcPr>
            <w:tcW w:w="352" w:type="pct"/>
            <w:noWrap/>
            <w:vAlign w:val="bottom"/>
          </w:tcPr>
          <w:p w14:paraId="6E43912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0.00 </w:t>
            </w:r>
          </w:p>
        </w:tc>
        <w:tc>
          <w:tcPr>
            <w:tcW w:w="341" w:type="pct"/>
            <w:noWrap/>
            <w:vAlign w:val="bottom"/>
          </w:tcPr>
          <w:p w14:paraId="2C1392A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152.32 </w:t>
            </w:r>
          </w:p>
        </w:tc>
        <w:tc>
          <w:tcPr>
            <w:tcW w:w="315" w:type="pct"/>
            <w:noWrap/>
            <w:vAlign w:val="bottom"/>
          </w:tcPr>
          <w:p w14:paraId="758EDA4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160.48 </w:t>
            </w:r>
          </w:p>
        </w:tc>
        <w:tc>
          <w:tcPr>
            <w:tcW w:w="278" w:type="pct"/>
            <w:noWrap/>
            <w:vAlign w:val="bottom"/>
          </w:tcPr>
          <w:p w14:paraId="3559608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6.10 </w:t>
            </w:r>
          </w:p>
        </w:tc>
        <w:tc>
          <w:tcPr>
            <w:tcW w:w="354" w:type="pct"/>
            <w:noWrap/>
            <w:vAlign w:val="bottom"/>
          </w:tcPr>
          <w:p w14:paraId="5F1D332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166.57 </w:t>
            </w:r>
          </w:p>
        </w:tc>
        <w:tc>
          <w:tcPr>
            <w:tcW w:w="297" w:type="pct"/>
            <w:noWrap/>
            <w:vAlign w:val="bottom"/>
          </w:tcPr>
          <w:p w14:paraId="0DD396F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9.99 </w:t>
            </w:r>
          </w:p>
        </w:tc>
        <w:tc>
          <w:tcPr>
            <w:tcW w:w="279" w:type="pct"/>
            <w:noWrap/>
            <w:vAlign w:val="bottom"/>
          </w:tcPr>
          <w:p w14:paraId="7C012DA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5.30 </w:t>
            </w:r>
          </w:p>
        </w:tc>
        <w:tc>
          <w:tcPr>
            <w:tcW w:w="371" w:type="pct"/>
            <w:noWrap/>
            <w:vAlign w:val="bottom"/>
          </w:tcPr>
          <w:p w14:paraId="2F7039D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45.44 </w:t>
            </w:r>
          </w:p>
        </w:tc>
        <w:tc>
          <w:tcPr>
            <w:tcW w:w="316" w:type="pct"/>
            <w:noWrap/>
            <w:vAlign w:val="bottom"/>
          </w:tcPr>
          <w:p w14:paraId="52D1955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20.46 </w:t>
            </w:r>
          </w:p>
        </w:tc>
        <w:tc>
          <w:tcPr>
            <w:tcW w:w="371" w:type="pct"/>
            <w:noWrap/>
            <w:vAlign w:val="center"/>
          </w:tcPr>
          <w:p w14:paraId="2AF0DA8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247.76 </w:t>
            </w:r>
          </w:p>
        </w:tc>
      </w:tr>
      <w:tr w14:paraId="31B8C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22" w:type="pct"/>
            <w:noWrap/>
            <w:vAlign w:val="bottom"/>
          </w:tcPr>
          <w:p w14:paraId="499412B3">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kern w:val="0"/>
                <w:sz w:val="21"/>
                <w:szCs w:val="21"/>
                <w:highlight w:val="none"/>
                <w:u w:val="none"/>
                <w:lang w:val="en-US" w:eastAsia="zh-CN" w:bidi="ar"/>
              </w:rPr>
              <w:t>5</w:t>
            </w:r>
          </w:p>
        </w:tc>
        <w:tc>
          <w:tcPr>
            <w:tcW w:w="426" w:type="pct"/>
            <w:noWrap/>
            <w:vAlign w:val="bottom"/>
          </w:tcPr>
          <w:p w14:paraId="2CFCBAC5">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10043</w:t>
            </w:r>
          </w:p>
        </w:tc>
        <w:tc>
          <w:tcPr>
            <w:tcW w:w="517" w:type="pct"/>
            <w:noWrap/>
            <w:vAlign w:val="bottom"/>
          </w:tcPr>
          <w:p w14:paraId="693BF95C">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土地翻耕</w:t>
            </w:r>
          </w:p>
        </w:tc>
        <w:tc>
          <w:tcPr>
            <w:tcW w:w="278" w:type="pct"/>
            <w:noWrap/>
            <w:vAlign w:val="bottom"/>
          </w:tcPr>
          <w:p w14:paraId="7C901614">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hm</w:t>
            </w:r>
            <w:r>
              <w:rPr>
                <w:rFonts w:hint="default" w:ascii="Times New Roman" w:hAnsi="Times New Roman" w:eastAsia="宋体" w:cs="Times New Roman"/>
                <w:i w:val="0"/>
                <w:iCs w:val="0"/>
                <w:color w:val="auto"/>
                <w:kern w:val="0"/>
                <w:sz w:val="18"/>
                <w:szCs w:val="18"/>
                <w:highlight w:val="none"/>
                <w:u w:val="none"/>
                <w:vertAlign w:val="superscript"/>
                <w:lang w:val="en-US" w:eastAsia="zh-CN" w:bidi="ar"/>
              </w:rPr>
              <w:t>2</w:t>
            </w:r>
          </w:p>
        </w:tc>
        <w:tc>
          <w:tcPr>
            <w:tcW w:w="278" w:type="pct"/>
            <w:noWrap/>
            <w:vAlign w:val="bottom"/>
          </w:tcPr>
          <w:p w14:paraId="09D6BA0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475.77 </w:t>
            </w:r>
          </w:p>
        </w:tc>
        <w:tc>
          <w:tcPr>
            <w:tcW w:w="352" w:type="pct"/>
            <w:noWrap/>
            <w:vAlign w:val="bottom"/>
          </w:tcPr>
          <w:p w14:paraId="0302B71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0.00 </w:t>
            </w:r>
          </w:p>
        </w:tc>
        <w:tc>
          <w:tcPr>
            <w:tcW w:w="341" w:type="pct"/>
            <w:noWrap/>
            <w:vAlign w:val="bottom"/>
          </w:tcPr>
          <w:p w14:paraId="0C46C85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553.35 </w:t>
            </w:r>
          </w:p>
        </w:tc>
        <w:tc>
          <w:tcPr>
            <w:tcW w:w="315" w:type="pct"/>
            <w:noWrap/>
            <w:vAlign w:val="bottom"/>
          </w:tcPr>
          <w:p w14:paraId="24613FC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1029.12 </w:t>
            </w:r>
          </w:p>
        </w:tc>
        <w:tc>
          <w:tcPr>
            <w:tcW w:w="278" w:type="pct"/>
            <w:noWrap/>
            <w:vAlign w:val="bottom"/>
          </w:tcPr>
          <w:p w14:paraId="50BDDD1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39.11 </w:t>
            </w:r>
          </w:p>
        </w:tc>
        <w:tc>
          <w:tcPr>
            <w:tcW w:w="354" w:type="pct"/>
            <w:noWrap/>
            <w:vAlign w:val="bottom"/>
          </w:tcPr>
          <w:p w14:paraId="294D083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1068.23 </w:t>
            </w:r>
          </w:p>
        </w:tc>
        <w:tc>
          <w:tcPr>
            <w:tcW w:w="297" w:type="pct"/>
            <w:noWrap/>
            <w:vAlign w:val="bottom"/>
          </w:tcPr>
          <w:p w14:paraId="4843682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76.91 </w:t>
            </w:r>
          </w:p>
        </w:tc>
        <w:tc>
          <w:tcPr>
            <w:tcW w:w="279" w:type="pct"/>
            <w:noWrap/>
            <w:vAlign w:val="bottom"/>
          </w:tcPr>
          <w:p w14:paraId="3647A64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34.35 </w:t>
            </w:r>
          </w:p>
        </w:tc>
        <w:tc>
          <w:tcPr>
            <w:tcW w:w="371" w:type="pct"/>
            <w:noWrap/>
            <w:vAlign w:val="bottom"/>
          </w:tcPr>
          <w:p w14:paraId="7A239DE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201.96 </w:t>
            </w:r>
          </w:p>
        </w:tc>
        <w:tc>
          <w:tcPr>
            <w:tcW w:w="316" w:type="pct"/>
            <w:noWrap/>
            <w:vAlign w:val="bottom"/>
          </w:tcPr>
          <w:p w14:paraId="25D5AEF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124.33 </w:t>
            </w:r>
          </w:p>
        </w:tc>
        <w:tc>
          <w:tcPr>
            <w:tcW w:w="371" w:type="pct"/>
            <w:noWrap/>
            <w:vAlign w:val="bottom"/>
          </w:tcPr>
          <w:p w14:paraId="466EC47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1505.78 </w:t>
            </w:r>
          </w:p>
        </w:tc>
      </w:tr>
      <w:tr w14:paraId="6A249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22" w:type="pct"/>
            <w:noWrap/>
            <w:vAlign w:val="bottom"/>
          </w:tcPr>
          <w:p w14:paraId="403C788A">
            <w:pPr>
              <w:keepNext w:val="0"/>
              <w:keepLines w:val="0"/>
              <w:widowControl/>
              <w:suppressLineNumbers w:val="0"/>
              <w:jc w:val="center"/>
              <w:textAlignment w:val="bottom"/>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6</w:t>
            </w:r>
          </w:p>
        </w:tc>
        <w:tc>
          <w:tcPr>
            <w:tcW w:w="426" w:type="pct"/>
            <w:noWrap/>
            <w:vAlign w:val="bottom"/>
          </w:tcPr>
          <w:p w14:paraId="3AF98BC5">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90018</w:t>
            </w:r>
          </w:p>
        </w:tc>
        <w:tc>
          <w:tcPr>
            <w:tcW w:w="517" w:type="pct"/>
            <w:noWrap/>
            <w:vAlign w:val="bottom"/>
          </w:tcPr>
          <w:p w14:paraId="2FBC34F9">
            <w:pPr>
              <w:keepNext w:val="0"/>
              <w:keepLines w:val="0"/>
              <w:widowControl/>
              <w:suppressLineNumbers w:val="0"/>
              <w:jc w:val="center"/>
              <w:textAlignment w:val="bottom"/>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栽植爬山虎</w:t>
            </w:r>
          </w:p>
        </w:tc>
        <w:tc>
          <w:tcPr>
            <w:tcW w:w="278" w:type="pct"/>
            <w:noWrap/>
            <w:vAlign w:val="center"/>
          </w:tcPr>
          <w:p w14:paraId="5D80994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100</w:t>
            </w:r>
            <w:r>
              <w:rPr>
                <w:rFonts w:hint="eastAsia" w:ascii="宋体" w:hAnsi="宋体" w:eastAsia="宋体" w:cs="宋体"/>
                <w:i w:val="0"/>
                <w:iCs w:val="0"/>
                <w:color w:val="auto"/>
                <w:kern w:val="0"/>
                <w:sz w:val="18"/>
                <w:szCs w:val="18"/>
                <w:highlight w:val="none"/>
                <w:u w:val="none"/>
                <w:lang w:val="en-US" w:eastAsia="zh-CN" w:bidi="ar"/>
              </w:rPr>
              <w:t>株</w:t>
            </w:r>
          </w:p>
        </w:tc>
        <w:tc>
          <w:tcPr>
            <w:tcW w:w="278" w:type="pct"/>
            <w:noWrap/>
            <w:vAlign w:val="bottom"/>
          </w:tcPr>
          <w:p w14:paraId="625F46A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39.00 </w:t>
            </w:r>
          </w:p>
        </w:tc>
        <w:tc>
          <w:tcPr>
            <w:tcW w:w="352" w:type="pct"/>
            <w:noWrap/>
            <w:vAlign w:val="bottom"/>
          </w:tcPr>
          <w:p w14:paraId="28798E3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215.10 </w:t>
            </w:r>
          </w:p>
        </w:tc>
        <w:tc>
          <w:tcPr>
            <w:tcW w:w="341" w:type="pct"/>
            <w:noWrap/>
            <w:vAlign w:val="bottom"/>
          </w:tcPr>
          <w:p w14:paraId="7622BB3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0.00 </w:t>
            </w:r>
          </w:p>
        </w:tc>
        <w:tc>
          <w:tcPr>
            <w:tcW w:w="315" w:type="pct"/>
            <w:noWrap/>
            <w:vAlign w:val="bottom"/>
          </w:tcPr>
          <w:p w14:paraId="5588F01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254.09 </w:t>
            </w:r>
          </w:p>
        </w:tc>
        <w:tc>
          <w:tcPr>
            <w:tcW w:w="278" w:type="pct"/>
            <w:noWrap/>
            <w:vAlign w:val="bottom"/>
          </w:tcPr>
          <w:p w14:paraId="741B5CC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9.66 </w:t>
            </w:r>
          </w:p>
        </w:tc>
        <w:tc>
          <w:tcPr>
            <w:tcW w:w="354" w:type="pct"/>
            <w:noWrap/>
            <w:vAlign w:val="bottom"/>
          </w:tcPr>
          <w:p w14:paraId="39AE624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263.75 </w:t>
            </w:r>
          </w:p>
        </w:tc>
        <w:tc>
          <w:tcPr>
            <w:tcW w:w="297" w:type="pct"/>
            <w:noWrap/>
            <w:vAlign w:val="bottom"/>
          </w:tcPr>
          <w:p w14:paraId="42EB8F8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15.82 </w:t>
            </w:r>
          </w:p>
        </w:tc>
        <w:tc>
          <w:tcPr>
            <w:tcW w:w="279" w:type="pct"/>
            <w:noWrap/>
            <w:vAlign w:val="bottom"/>
          </w:tcPr>
          <w:p w14:paraId="59AD4FB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8.39 </w:t>
            </w:r>
          </w:p>
        </w:tc>
        <w:tc>
          <w:tcPr>
            <w:tcW w:w="371" w:type="pct"/>
            <w:noWrap/>
            <w:vAlign w:val="bottom"/>
          </w:tcPr>
          <w:p w14:paraId="461947A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0.00 </w:t>
            </w:r>
          </w:p>
        </w:tc>
        <w:tc>
          <w:tcPr>
            <w:tcW w:w="316" w:type="pct"/>
            <w:noWrap/>
            <w:vAlign w:val="bottom"/>
          </w:tcPr>
          <w:p w14:paraId="7C83F09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25.92 </w:t>
            </w:r>
          </w:p>
        </w:tc>
        <w:tc>
          <w:tcPr>
            <w:tcW w:w="371" w:type="pct"/>
            <w:noWrap/>
            <w:vAlign w:val="bottom"/>
          </w:tcPr>
          <w:p w14:paraId="2BC7654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313.88 </w:t>
            </w:r>
          </w:p>
        </w:tc>
      </w:tr>
    </w:tbl>
    <w:p w14:paraId="1C247FA9">
      <w:pPr>
        <w:rPr>
          <w:rFonts w:hint="default" w:ascii="Times New Roman" w:hAnsi="Times New Roman" w:cs="Times New Roman"/>
          <w:color w:val="auto"/>
          <w:sz w:val="21"/>
          <w:szCs w:val="21"/>
          <w:highlight w:val="none"/>
        </w:rPr>
      </w:pPr>
    </w:p>
    <w:p w14:paraId="1A6E6B43">
      <w:pPr>
        <w:jc w:val="center"/>
        <w:rPr>
          <w:rFonts w:hint="default" w:ascii="Times New Roman" w:hAnsi="Times New Roman" w:cs="Times New Roman"/>
          <w:color w:val="auto"/>
          <w:sz w:val="21"/>
          <w:szCs w:val="21"/>
          <w:highlight w:val="none"/>
        </w:rPr>
        <w:sectPr>
          <w:pgSz w:w="16838" w:h="11906" w:orient="landscape"/>
          <w:pgMar w:top="1797" w:right="1440" w:bottom="1797" w:left="1440" w:header="851" w:footer="992" w:gutter="0"/>
          <w:pgBorders w:offsetFrom="page">
            <w:top w:val="none" w:sz="0" w:space="0"/>
            <w:left w:val="none" w:sz="0" w:space="0"/>
            <w:bottom w:val="none" w:sz="0" w:space="0"/>
            <w:right w:val="none" w:sz="0" w:space="0"/>
          </w:pgBorders>
          <w:pgNumType w:fmt="decimal"/>
          <w:cols w:space="720" w:num="1"/>
          <w:docGrid w:type="lines" w:linePitch="312" w:charSpace="0"/>
        </w:sectPr>
      </w:pPr>
    </w:p>
    <w:p w14:paraId="1B7A8128">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黑体" w:cs="Times New Roman"/>
          <w:b w:val="0"/>
          <w:bCs/>
          <w:color w:val="auto"/>
          <w:kern w:val="2"/>
          <w:sz w:val="21"/>
          <w:szCs w:val="21"/>
          <w:highlight w:val="none"/>
          <w:lang w:val="en-US" w:eastAsia="zh-CN" w:bidi="ar-SA"/>
        </w:rPr>
        <w:t>表7-22     单项估算表</w:t>
      </w:r>
    </w:p>
    <w:tbl>
      <w:tblPr>
        <w:tblStyle w:val="3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85"/>
        <w:gridCol w:w="1920"/>
        <w:gridCol w:w="972"/>
        <w:gridCol w:w="1050"/>
        <w:gridCol w:w="1367"/>
        <w:gridCol w:w="1928"/>
      </w:tblGrid>
      <w:tr w14:paraId="62A968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000" w:type="pct"/>
            <w:gridSpan w:val="6"/>
            <w:tcBorders>
              <w:top w:val="single" w:color="000000" w:sz="4" w:space="0"/>
              <w:left w:val="single" w:color="000000" w:sz="4" w:space="0"/>
              <w:bottom w:val="single" w:color="000000" w:sz="4" w:space="0"/>
              <w:right w:val="single" w:color="000000" w:sz="4" w:space="0"/>
            </w:tcBorders>
            <w:noWrap/>
            <w:vAlign w:val="bottom"/>
          </w:tcPr>
          <w:p w14:paraId="65524143">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cs="Times New Roman"/>
                <w:i w:val="0"/>
                <w:iCs w:val="0"/>
                <w:color w:val="auto"/>
                <w:kern w:val="0"/>
                <w:sz w:val="21"/>
                <w:szCs w:val="21"/>
                <w:highlight w:val="none"/>
                <w:u w:val="none"/>
                <w:lang w:val="en-US" w:eastAsia="zh-CN" w:bidi="ar"/>
              </w:rPr>
              <w:t>1</w:t>
            </w:r>
            <w:r>
              <w:rPr>
                <w:rFonts w:hint="default" w:ascii="Times New Roman" w:hAnsi="Times New Roman" w:eastAsia="宋体" w:cs="Times New Roman"/>
                <w:i w:val="0"/>
                <w:iCs w:val="0"/>
                <w:color w:val="auto"/>
                <w:kern w:val="0"/>
                <w:sz w:val="21"/>
                <w:szCs w:val="21"/>
                <w:highlight w:val="none"/>
                <w:u w:val="none"/>
                <w:lang w:val="en-US" w:eastAsia="zh-CN" w:bidi="ar"/>
              </w:rPr>
              <w:t>、撒播紫花苜蓿</w:t>
            </w:r>
          </w:p>
        </w:tc>
      </w:tr>
      <w:tr w14:paraId="66BAE1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000" w:type="pct"/>
            <w:gridSpan w:val="6"/>
            <w:tcBorders>
              <w:top w:val="single" w:color="000000" w:sz="4" w:space="0"/>
              <w:left w:val="single" w:color="000000" w:sz="4" w:space="0"/>
              <w:bottom w:val="single" w:color="000000" w:sz="4" w:space="0"/>
              <w:right w:val="single" w:color="000000" w:sz="4" w:space="0"/>
            </w:tcBorders>
            <w:noWrap/>
            <w:vAlign w:val="bottom"/>
          </w:tcPr>
          <w:p w14:paraId="322F9AB8">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定额编号：90030                                                   定额单位：h</w:t>
            </w:r>
            <w:r>
              <w:rPr>
                <w:rFonts w:hint="default" w:ascii="Times New Roman" w:hAnsi="Times New Roman" w:cs="Times New Roman"/>
                <w:i w:val="0"/>
                <w:iCs w:val="0"/>
                <w:color w:val="auto"/>
                <w:kern w:val="0"/>
                <w:sz w:val="21"/>
                <w:szCs w:val="21"/>
                <w:highlight w:val="none"/>
                <w:u w:val="none"/>
                <w:lang w:val="en-US" w:eastAsia="zh-CN" w:bidi="ar"/>
              </w:rPr>
              <w:t>m</w:t>
            </w:r>
            <w:r>
              <w:rPr>
                <w:rFonts w:hint="default" w:ascii="Times New Roman" w:hAnsi="Times New Roman" w:cs="Times New Roman"/>
                <w:i w:val="0"/>
                <w:iCs w:val="0"/>
                <w:color w:val="auto"/>
                <w:kern w:val="0"/>
                <w:sz w:val="21"/>
                <w:szCs w:val="21"/>
                <w:highlight w:val="none"/>
                <w:u w:val="none"/>
                <w:vertAlign w:val="superscript"/>
                <w:lang w:val="en-US" w:eastAsia="zh-CN" w:bidi="ar"/>
              </w:rPr>
              <w:t>2</w:t>
            </w:r>
          </w:p>
        </w:tc>
      </w:tr>
      <w:tr w14:paraId="57FD22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54" w:type="pct"/>
            <w:tcBorders>
              <w:top w:val="single" w:color="000000" w:sz="4" w:space="0"/>
              <w:left w:val="single" w:color="000000" w:sz="4" w:space="0"/>
              <w:bottom w:val="single" w:color="000000" w:sz="4" w:space="0"/>
              <w:right w:val="single" w:color="000000" w:sz="4" w:space="0"/>
            </w:tcBorders>
            <w:noWrap/>
            <w:vAlign w:val="bottom"/>
          </w:tcPr>
          <w:p w14:paraId="70F8DB8A">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序号</w:t>
            </w:r>
          </w:p>
        </w:tc>
        <w:tc>
          <w:tcPr>
            <w:tcW w:w="1126" w:type="pct"/>
            <w:tcBorders>
              <w:top w:val="single" w:color="000000" w:sz="4" w:space="0"/>
              <w:left w:val="single" w:color="000000" w:sz="4" w:space="0"/>
              <w:bottom w:val="single" w:color="000000" w:sz="4" w:space="0"/>
              <w:right w:val="single" w:color="000000" w:sz="4" w:space="0"/>
            </w:tcBorders>
            <w:noWrap/>
            <w:vAlign w:val="bottom"/>
          </w:tcPr>
          <w:p w14:paraId="31C7F240">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项目名称</w:t>
            </w:r>
          </w:p>
        </w:tc>
        <w:tc>
          <w:tcPr>
            <w:tcW w:w="570" w:type="pct"/>
            <w:tcBorders>
              <w:top w:val="single" w:color="000000" w:sz="4" w:space="0"/>
              <w:left w:val="single" w:color="000000" w:sz="4" w:space="0"/>
              <w:bottom w:val="single" w:color="000000" w:sz="4" w:space="0"/>
              <w:right w:val="single" w:color="000000" w:sz="4" w:space="0"/>
            </w:tcBorders>
            <w:noWrap/>
            <w:vAlign w:val="bottom"/>
          </w:tcPr>
          <w:p w14:paraId="3772A8A0">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单位</w:t>
            </w:r>
          </w:p>
        </w:tc>
        <w:tc>
          <w:tcPr>
            <w:tcW w:w="616" w:type="pct"/>
            <w:tcBorders>
              <w:top w:val="single" w:color="000000" w:sz="4" w:space="0"/>
              <w:left w:val="single" w:color="000000" w:sz="4" w:space="0"/>
              <w:bottom w:val="single" w:color="000000" w:sz="4" w:space="0"/>
              <w:right w:val="single" w:color="000000" w:sz="4" w:space="0"/>
            </w:tcBorders>
            <w:noWrap/>
            <w:vAlign w:val="bottom"/>
          </w:tcPr>
          <w:p w14:paraId="33178BA3">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数量</w:t>
            </w:r>
          </w:p>
        </w:tc>
        <w:tc>
          <w:tcPr>
            <w:tcW w:w="802" w:type="pct"/>
            <w:tcBorders>
              <w:top w:val="single" w:color="000000" w:sz="4" w:space="0"/>
              <w:left w:val="single" w:color="000000" w:sz="4" w:space="0"/>
              <w:bottom w:val="single" w:color="000000" w:sz="4" w:space="0"/>
              <w:right w:val="single" w:color="000000" w:sz="4" w:space="0"/>
            </w:tcBorders>
            <w:noWrap/>
            <w:vAlign w:val="bottom"/>
          </w:tcPr>
          <w:p w14:paraId="244A8895">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单价</w:t>
            </w:r>
          </w:p>
        </w:tc>
        <w:tc>
          <w:tcPr>
            <w:tcW w:w="1130" w:type="pct"/>
            <w:tcBorders>
              <w:top w:val="single" w:color="000000" w:sz="4" w:space="0"/>
              <w:left w:val="single" w:color="000000" w:sz="4" w:space="0"/>
              <w:bottom w:val="single" w:color="000000" w:sz="4" w:space="0"/>
              <w:right w:val="single" w:color="000000" w:sz="4" w:space="0"/>
            </w:tcBorders>
            <w:noWrap/>
            <w:vAlign w:val="bottom"/>
          </w:tcPr>
          <w:p w14:paraId="47B9F149">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小计（元）</w:t>
            </w:r>
          </w:p>
        </w:tc>
      </w:tr>
      <w:tr w14:paraId="715C28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54" w:type="pct"/>
            <w:tcBorders>
              <w:top w:val="single" w:color="000000" w:sz="4" w:space="0"/>
              <w:left w:val="single" w:color="000000" w:sz="4" w:space="0"/>
              <w:bottom w:val="single" w:color="000000" w:sz="4" w:space="0"/>
              <w:right w:val="single" w:color="000000" w:sz="4" w:space="0"/>
            </w:tcBorders>
            <w:noWrap/>
            <w:vAlign w:val="bottom"/>
          </w:tcPr>
          <w:p w14:paraId="04C00885">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w:t>
            </w:r>
          </w:p>
        </w:tc>
        <w:tc>
          <w:tcPr>
            <w:tcW w:w="1126" w:type="pct"/>
            <w:tcBorders>
              <w:top w:val="single" w:color="000000" w:sz="4" w:space="0"/>
              <w:left w:val="single" w:color="000000" w:sz="4" w:space="0"/>
              <w:bottom w:val="single" w:color="000000" w:sz="4" w:space="0"/>
              <w:right w:val="single" w:color="000000" w:sz="4" w:space="0"/>
            </w:tcBorders>
            <w:noWrap/>
            <w:vAlign w:val="bottom"/>
          </w:tcPr>
          <w:p w14:paraId="4FB4F540">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直接费</w:t>
            </w:r>
          </w:p>
        </w:tc>
        <w:tc>
          <w:tcPr>
            <w:tcW w:w="570" w:type="pct"/>
            <w:tcBorders>
              <w:top w:val="single" w:color="000000" w:sz="4" w:space="0"/>
              <w:left w:val="single" w:color="000000" w:sz="4" w:space="0"/>
              <w:bottom w:val="single" w:color="000000" w:sz="4" w:space="0"/>
              <w:right w:val="single" w:color="000000" w:sz="4" w:space="0"/>
            </w:tcBorders>
            <w:noWrap/>
            <w:vAlign w:val="bottom"/>
          </w:tcPr>
          <w:p w14:paraId="651E1127">
            <w:pPr>
              <w:jc w:val="center"/>
              <w:rPr>
                <w:rFonts w:hint="default" w:ascii="Times New Roman" w:hAnsi="Times New Roman" w:eastAsia="宋体" w:cs="Times New Roman"/>
                <w:i w:val="0"/>
                <w:iCs w:val="0"/>
                <w:color w:val="auto"/>
                <w:sz w:val="21"/>
                <w:szCs w:val="21"/>
                <w:highlight w:val="none"/>
                <w:u w:val="none"/>
              </w:rPr>
            </w:pPr>
          </w:p>
        </w:tc>
        <w:tc>
          <w:tcPr>
            <w:tcW w:w="616" w:type="pct"/>
            <w:tcBorders>
              <w:top w:val="single" w:color="000000" w:sz="4" w:space="0"/>
              <w:left w:val="single" w:color="000000" w:sz="4" w:space="0"/>
              <w:bottom w:val="single" w:color="000000" w:sz="4" w:space="0"/>
              <w:right w:val="single" w:color="000000" w:sz="4" w:space="0"/>
            </w:tcBorders>
            <w:noWrap/>
            <w:vAlign w:val="bottom"/>
          </w:tcPr>
          <w:p w14:paraId="13D7A6DC">
            <w:pPr>
              <w:jc w:val="center"/>
              <w:rPr>
                <w:rFonts w:hint="default" w:ascii="Times New Roman" w:hAnsi="Times New Roman" w:eastAsia="宋体" w:cs="Times New Roman"/>
                <w:i w:val="0"/>
                <w:iCs w:val="0"/>
                <w:color w:val="auto"/>
                <w:sz w:val="21"/>
                <w:szCs w:val="21"/>
                <w:highlight w:val="none"/>
                <w:u w:val="none"/>
              </w:rPr>
            </w:pPr>
          </w:p>
        </w:tc>
        <w:tc>
          <w:tcPr>
            <w:tcW w:w="802" w:type="pct"/>
            <w:tcBorders>
              <w:top w:val="single" w:color="000000" w:sz="4" w:space="0"/>
              <w:left w:val="single" w:color="000000" w:sz="4" w:space="0"/>
              <w:bottom w:val="single" w:color="000000" w:sz="4" w:space="0"/>
              <w:right w:val="single" w:color="000000" w:sz="4" w:space="0"/>
            </w:tcBorders>
            <w:noWrap/>
            <w:vAlign w:val="bottom"/>
          </w:tcPr>
          <w:p w14:paraId="1FDCCF25">
            <w:pPr>
              <w:jc w:val="center"/>
              <w:rPr>
                <w:rFonts w:hint="default" w:ascii="Times New Roman" w:hAnsi="Times New Roman" w:eastAsia="宋体" w:cs="Times New Roman"/>
                <w:i w:val="0"/>
                <w:iCs w:val="0"/>
                <w:color w:val="auto"/>
                <w:sz w:val="21"/>
                <w:szCs w:val="21"/>
                <w:highlight w:val="none"/>
                <w:u w:val="none"/>
              </w:rPr>
            </w:pPr>
          </w:p>
        </w:tc>
        <w:tc>
          <w:tcPr>
            <w:tcW w:w="1130" w:type="pct"/>
            <w:tcBorders>
              <w:top w:val="single" w:color="000000" w:sz="4" w:space="0"/>
              <w:left w:val="single" w:color="000000" w:sz="4" w:space="0"/>
              <w:bottom w:val="single" w:color="000000" w:sz="4" w:space="0"/>
              <w:right w:val="single" w:color="000000" w:sz="4" w:space="0"/>
            </w:tcBorders>
            <w:noWrap/>
            <w:vAlign w:val="bottom"/>
          </w:tcPr>
          <w:p w14:paraId="4D50DA7E">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1418.70 </w:t>
            </w:r>
          </w:p>
        </w:tc>
      </w:tr>
      <w:tr w14:paraId="676684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54" w:type="pct"/>
            <w:tcBorders>
              <w:top w:val="single" w:color="000000" w:sz="4" w:space="0"/>
              <w:left w:val="single" w:color="000000" w:sz="4" w:space="0"/>
              <w:bottom w:val="single" w:color="000000" w:sz="4" w:space="0"/>
              <w:right w:val="single" w:color="000000" w:sz="4" w:space="0"/>
            </w:tcBorders>
            <w:noWrap/>
            <w:vAlign w:val="bottom"/>
          </w:tcPr>
          <w:p w14:paraId="23F5AE82">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w:t>
            </w:r>
          </w:p>
        </w:tc>
        <w:tc>
          <w:tcPr>
            <w:tcW w:w="1126" w:type="pct"/>
            <w:tcBorders>
              <w:top w:val="single" w:color="000000" w:sz="4" w:space="0"/>
              <w:left w:val="single" w:color="000000" w:sz="4" w:space="0"/>
              <w:bottom w:val="single" w:color="000000" w:sz="4" w:space="0"/>
              <w:right w:val="single" w:color="000000" w:sz="4" w:space="0"/>
            </w:tcBorders>
            <w:noWrap/>
            <w:vAlign w:val="bottom"/>
          </w:tcPr>
          <w:p w14:paraId="0EB57B75">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直接工程费</w:t>
            </w:r>
          </w:p>
        </w:tc>
        <w:tc>
          <w:tcPr>
            <w:tcW w:w="570" w:type="pct"/>
            <w:tcBorders>
              <w:top w:val="single" w:color="000000" w:sz="4" w:space="0"/>
              <w:left w:val="single" w:color="000000" w:sz="4" w:space="0"/>
              <w:bottom w:val="single" w:color="000000" w:sz="4" w:space="0"/>
              <w:right w:val="single" w:color="000000" w:sz="4" w:space="0"/>
            </w:tcBorders>
            <w:noWrap/>
            <w:vAlign w:val="bottom"/>
          </w:tcPr>
          <w:p w14:paraId="18A433E5">
            <w:pPr>
              <w:jc w:val="center"/>
              <w:rPr>
                <w:rFonts w:hint="default" w:ascii="Times New Roman" w:hAnsi="Times New Roman" w:eastAsia="宋体" w:cs="Times New Roman"/>
                <w:i w:val="0"/>
                <w:iCs w:val="0"/>
                <w:color w:val="auto"/>
                <w:sz w:val="21"/>
                <w:szCs w:val="21"/>
                <w:highlight w:val="none"/>
                <w:u w:val="none"/>
              </w:rPr>
            </w:pPr>
          </w:p>
        </w:tc>
        <w:tc>
          <w:tcPr>
            <w:tcW w:w="616" w:type="pct"/>
            <w:tcBorders>
              <w:top w:val="single" w:color="000000" w:sz="4" w:space="0"/>
              <w:left w:val="single" w:color="000000" w:sz="4" w:space="0"/>
              <w:bottom w:val="single" w:color="000000" w:sz="4" w:space="0"/>
              <w:right w:val="single" w:color="000000" w:sz="4" w:space="0"/>
            </w:tcBorders>
            <w:noWrap/>
            <w:vAlign w:val="bottom"/>
          </w:tcPr>
          <w:p w14:paraId="3AAB5FDC">
            <w:pPr>
              <w:jc w:val="center"/>
              <w:rPr>
                <w:rFonts w:hint="default" w:ascii="Times New Roman" w:hAnsi="Times New Roman" w:eastAsia="宋体" w:cs="Times New Roman"/>
                <w:i w:val="0"/>
                <w:iCs w:val="0"/>
                <w:color w:val="auto"/>
                <w:sz w:val="21"/>
                <w:szCs w:val="21"/>
                <w:highlight w:val="none"/>
                <w:u w:val="none"/>
              </w:rPr>
            </w:pPr>
          </w:p>
        </w:tc>
        <w:tc>
          <w:tcPr>
            <w:tcW w:w="802" w:type="pct"/>
            <w:tcBorders>
              <w:top w:val="single" w:color="000000" w:sz="4" w:space="0"/>
              <w:left w:val="single" w:color="000000" w:sz="4" w:space="0"/>
              <w:bottom w:val="single" w:color="000000" w:sz="4" w:space="0"/>
              <w:right w:val="single" w:color="000000" w:sz="4" w:space="0"/>
            </w:tcBorders>
            <w:noWrap/>
            <w:vAlign w:val="bottom"/>
          </w:tcPr>
          <w:p w14:paraId="137E143C">
            <w:pPr>
              <w:jc w:val="center"/>
              <w:rPr>
                <w:rFonts w:hint="default" w:ascii="Times New Roman" w:hAnsi="Times New Roman" w:eastAsia="宋体" w:cs="Times New Roman"/>
                <w:i w:val="0"/>
                <w:iCs w:val="0"/>
                <w:color w:val="auto"/>
                <w:sz w:val="21"/>
                <w:szCs w:val="21"/>
                <w:highlight w:val="none"/>
                <w:u w:val="none"/>
              </w:rPr>
            </w:pPr>
          </w:p>
        </w:tc>
        <w:tc>
          <w:tcPr>
            <w:tcW w:w="1130" w:type="pct"/>
            <w:tcBorders>
              <w:top w:val="single" w:color="000000" w:sz="4" w:space="0"/>
              <w:left w:val="single" w:color="000000" w:sz="4" w:space="0"/>
              <w:bottom w:val="single" w:color="000000" w:sz="4" w:space="0"/>
              <w:right w:val="single" w:color="000000" w:sz="4" w:space="0"/>
            </w:tcBorders>
            <w:noWrap/>
            <w:vAlign w:val="bottom"/>
          </w:tcPr>
          <w:p w14:paraId="7953A6DB">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1366.76 </w:t>
            </w:r>
          </w:p>
        </w:tc>
      </w:tr>
      <w:tr w14:paraId="4732DB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54" w:type="pct"/>
            <w:tcBorders>
              <w:top w:val="single" w:color="000000" w:sz="4" w:space="0"/>
              <w:left w:val="single" w:color="000000" w:sz="4" w:space="0"/>
              <w:bottom w:val="single" w:color="000000" w:sz="4" w:space="0"/>
              <w:right w:val="single" w:color="000000" w:sz="4" w:space="0"/>
            </w:tcBorders>
            <w:noWrap/>
            <w:vAlign w:val="bottom"/>
          </w:tcPr>
          <w:p w14:paraId="7B863BD6">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 </w:t>
            </w:r>
          </w:p>
        </w:tc>
        <w:tc>
          <w:tcPr>
            <w:tcW w:w="1126" w:type="pct"/>
            <w:tcBorders>
              <w:top w:val="single" w:color="000000" w:sz="4" w:space="0"/>
              <w:left w:val="single" w:color="000000" w:sz="4" w:space="0"/>
              <w:bottom w:val="single" w:color="000000" w:sz="4" w:space="0"/>
              <w:right w:val="single" w:color="000000" w:sz="4" w:space="0"/>
            </w:tcBorders>
            <w:noWrap/>
            <w:vAlign w:val="bottom"/>
          </w:tcPr>
          <w:p w14:paraId="0EF86EEF">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人工费</w:t>
            </w:r>
          </w:p>
        </w:tc>
        <w:tc>
          <w:tcPr>
            <w:tcW w:w="570" w:type="pct"/>
            <w:tcBorders>
              <w:top w:val="single" w:color="000000" w:sz="4" w:space="0"/>
              <w:left w:val="single" w:color="000000" w:sz="4" w:space="0"/>
              <w:bottom w:val="single" w:color="000000" w:sz="4" w:space="0"/>
              <w:right w:val="single" w:color="000000" w:sz="4" w:space="0"/>
            </w:tcBorders>
            <w:noWrap/>
            <w:vAlign w:val="bottom"/>
          </w:tcPr>
          <w:p w14:paraId="625FF01F">
            <w:pPr>
              <w:jc w:val="center"/>
              <w:rPr>
                <w:rFonts w:hint="default" w:ascii="Times New Roman" w:hAnsi="Times New Roman" w:eastAsia="宋体" w:cs="Times New Roman"/>
                <w:i w:val="0"/>
                <w:iCs w:val="0"/>
                <w:color w:val="auto"/>
                <w:sz w:val="21"/>
                <w:szCs w:val="21"/>
                <w:highlight w:val="none"/>
                <w:u w:val="none"/>
              </w:rPr>
            </w:pPr>
          </w:p>
        </w:tc>
        <w:tc>
          <w:tcPr>
            <w:tcW w:w="616" w:type="pct"/>
            <w:tcBorders>
              <w:top w:val="single" w:color="000000" w:sz="4" w:space="0"/>
              <w:left w:val="single" w:color="000000" w:sz="4" w:space="0"/>
              <w:bottom w:val="single" w:color="000000" w:sz="4" w:space="0"/>
              <w:right w:val="single" w:color="000000" w:sz="4" w:space="0"/>
            </w:tcBorders>
            <w:noWrap/>
            <w:vAlign w:val="bottom"/>
          </w:tcPr>
          <w:p w14:paraId="2237DC5F">
            <w:pPr>
              <w:jc w:val="center"/>
              <w:rPr>
                <w:rFonts w:hint="default" w:ascii="Times New Roman" w:hAnsi="Times New Roman" w:eastAsia="宋体" w:cs="Times New Roman"/>
                <w:i w:val="0"/>
                <w:iCs w:val="0"/>
                <w:color w:val="auto"/>
                <w:sz w:val="21"/>
                <w:szCs w:val="21"/>
                <w:highlight w:val="none"/>
                <w:u w:val="none"/>
              </w:rPr>
            </w:pPr>
          </w:p>
        </w:tc>
        <w:tc>
          <w:tcPr>
            <w:tcW w:w="802" w:type="pct"/>
            <w:tcBorders>
              <w:top w:val="single" w:color="000000" w:sz="4" w:space="0"/>
              <w:left w:val="single" w:color="000000" w:sz="4" w:space="0"/>
              <w:bottom w:val="single" w:color="000000" w:sz="4" w:space="0"/>
              <w:right w:val="single" w:color="000000" w:sz="4" w:space="0"/>
            </w:tcBorders>
            <w:noWrap/>
            <w:vAlign w:val="bottom"/>
          </w:tcPr>
          <w:p w14:paraId="093EDDE6">
            <w:pPr>
              <w:jc w:val="center"/>
              <w:rPr>
                <w:rFonts w:hint="default" w:ascii="Times New Roman" w:hAnsi="Times New Roman" w:eastAsia="宋体" w:cs="Times New Roman"/>
                <w:i w:val="0"/>
                <w:iCs w:val="0"/>
                <w:color w:val="auto"/>
                <w:sz w:val="21"/>
                <w:szCs w:val="21"/>
                <w:highlight w:val="none"/>
                <w:u w:val="none"/>
              </w:rPr>
            </w:pPr>
          </w:p>
        </w:tc>
        <w:tc>
          <w:tcPr>
            <w:tcW w:w="1130" w:type="pct"/>
            <w:tcBorders>
              <w:top w:val="single" w:color="000000" w:sz="4" w:space="0"/>
              <w:left w:val="single" w:color="000000" w:sz="4" w:space="0"/>
              <w:bottom w:val="single" w:color="000000" w:sz="4" w:space="0"/>
              <w:right w:val="single" w:color="000000" w:sz="4" w:space="0"/>
            </w:tcBorders>
            <w:noWrap/>
            <w:vAlign w:val="bottom"/>
          </w:tcPr>
          <w:p w14:paraId="57317887">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81.56 </w:t>
            </w:r>
          </w:p>
        </w:tc>
      </w:tr>
      <w:tr w14:paraId="222057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54" w:type="pct"/>
            <w:tcBorders>
              <w:top w:val="single" w:color="000000" w:sz="4" w:space="0"/>
              <w:left w:val="single" w:color="000000" w:sz="4" w:space="0"/>
              <w:bottom w:val="single" w:color="000000" w:sz="4" w:space="0"/>
              <w:right w:val="single" w:color="000000" w:sz="4" w:space="0"/>
            </w:tcBorders>
            <w:noWrap/>
            <w:vAlign w:val="bottom"/>
          </w:tcPr>
          <w:p w14:paraId="0DF778D4">
            <w:pPr>
              <w:jc w:val="center"/>
              <w:rPr>
                <w:rFonts w:hint="default" w:ascii="Times New Roman" w:hAnsi="Times New Roman" w:eastAsia="宋体" w:cs="Times New Roman"/>
                <w:i w:val="0"/>
                <w:iCs w:val="0"/>
                <w:color w:val="auto"/>
                <w:sz w:val="21"/>
                <w:szCs w:val="21"/>
                <w:highlight w:val="none"/>
                <w:u w:val="none"/>
              </w:rPr>
            </w:pPr>
          </w:p>
        </w:tc>
        <w:tc>
          <w:tcPr>
            <w:tcW w:w="1126" w:type="pct"/>
            <w:tcBorders>
              <w:top w:val="single" w:color="000000" w:sz="4" w:space="0"/>
              <w:left w:val="single" w:color="000000" w:sz="4" w:space="0"/>
              <w:bottom w:val="single" w:color="000000" w:sz="4" w:space="0"/>
              <w:right w:val="single" w:color="000000" w:sz="4" w:space="0"/>
            </w:tcBorders>
            <w:noWrap/>
            <w:vAlign w:val="bottom"/>
          </w:tcPr>
          <w:p w14:paraId="1BAF28CA">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甲类工</w:t>
            </w:r>
          </w:p>
        </w:tc>
        <w:tc>
          <w:tcPr>
            <w:tcW w:w="570" w:type="pct"/>
            <w:tcBorders>
              <w:top w:val="single" w:color="000000" w:sz="4" w:space="0"/>
              <w:left w:val="single" w:color="000000" w:sz="4" w:space="0"/>
              <w:bottom w:val="single" w:color="000000" w:sz="4" w:space="0"/>
              <w:right w:val="single" w:color="000000" w:sz="4" w:space="0"/>
            </w:tcBorders>
            <w:noWrap/>
            <w:vAlign w:val="bottom"/>
          </w:tcPr>
          <w:p w14:paraId="43B1790F">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工日</w:t>
            </w:r>
          </w:p>
        </w:tc>
        <w:tc>
          <w:tcPr>
            <w:tcW w:w="616" w:type="pct"/>
            <w:tcBorders>
              <w:top w:val="single" w:color="000000" w:sz="4" w:space="0"/>
              <w:left w:val="single" w:color="000000" w:sz="4" w:space="0"/>
              <w:bottom w:val="single" w:color="000000" w:sz="4" w:space="0"/>
              <w:right w:val="single" w:color="000000" w:sz="4" w:space="0"/>
            </w:tcBorders>
            <w:noWrap/>
            <w:vAlign w:val="bottom"/>
          </w:tcPr>
          <w:p w14:paraId="50C87496">
            <w:pPr>
              <w:jc w:val="center"/>
              <w:rPr>
                <w:rFonts w:hint="default" w:ascii="Times New Roman" w:hAnsi="Times New Roman" w:eastAsia="宋体" w:cs="Times New Roman"/>
                <w:i w:val="0"/>
                <w:iCs w:val="0"/>
                <w:color w:val="auto"/>
                <w:sz w:val="21"/>
                <w:szCs w:val="21"/>
                <w:highlight w:val="none"/>
                <w:u w:val="none"/>
              </w:rPr>
            </w:pPr>
          </w:p>
        </w:tc>
        <w:tc>
          <w:tcPr>
            <w:tcW w:w="802" w:type="pct"/>
            <w:tcBorders>
              <w:top w:val="single" w:color="000000" w:sz="4" w:space="0"/>
              <w:left w:val="single" w:color="000000" w:sz="4" w:space="0"/>
              <w:bottom w:val="single" w:color="000000" w:sz="4" w:space="0"/>
              <w:right w:val="single" w:color="000000" w:sz="4" w:space="0"/>
            </w:tcBorders>
            <w:noWrap/>
            <w:vAlign w:val="bottom"/>
          </w:tcPr>
          <w:p w14:paraId="63E2718E">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 </w:t>
            </w:r>
          </w:p>
        </w:tc>
        <w:tc>
          <w:tcPr>
            <w:tcW w:w="1130" w:type="pct"/>
            <w:tcBorders>
              <w:top w:val="single" w:color="000000" w:sz="4" w:space="0"/>
              <w:left w:val="single" w:color="000000" w:sz="4" w:space="0"/>
              <w:bottom w:val="single" w:color="000000" w:sz="4" w:space="0"/>
              <w:right w:val="single" w:color="000000" w:sz="4" w:space="0"/>
            </w:tcBorders>
            <w:noWrap/>
            <w:vAlign w:val="bottom"/>
          </w:tcPr>
          <w:p w14:paraId="50B7F327">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 </w:t>
            </w:r>
          </w:p>
        </w:tc>
      </w:tr>
      <w:tr w14:paraId="5D54D3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54" w:type="pct"/>
            <w:tcBorders>
              <w:top w:val="single" w:color="000000" w:sz="4" w:space="0"/>
              <w:left w:val="single" w:color="000000" w:sz="4" w:space="0"/>
              <w:bottom w:val="single" w:color="000000" w:sz="4" w:space="0"/>
              <w:right w:val="single" w:color="000000" w:sz="4" w:space="0"/>
            </w:tcBorders>
            <w:noWrap/>
            <w:vAlign w:val="bottom"/>
          </w:tcPr>
          <w:p w14:paraId="7A4A98B8">
            <w:pPr>
              <w:jc w:val="center"/>
              <w:rPr>
                <w:rFonts w:hint="default" w:ascii="Times New Roman" w:hAnsi="Times New Roman" w:eastAsia="宋体" w:cs="Times New Roman"/>
                <w:i w:val="0"/>
                <w:iCs w:val="0"/>
                <w:color w:val="auto"/>
                <w:sz w:val="21"/>
                <w:szCs w:val="21"/>
                <w:highlight w:val="none"/>
                <w:u w:val="none"/>
              </w:rPr>
            </w:pPr>
          </w:p>
        </w:tc>
        <w:tc>
          <w:tcPr>
            <w:tcW w:w="1126" w:type="pct"/>
            <w:tcBorders>
              <w:top w:val="single" w:color="000000" w:sz="4" w:space="0"/>
              <w:left w:val="single" w:color="000000" w:sz="4" w:space="0"/>
              <w:bottom w:val="single" w:color="000000" w:sz="4" w:space="0"/>
              <w:right w:val="single" w:color="000000" w:sz="4" w:space="0"/>
            </w:tcBorders>
            <w:noWrap/>
            <w:vAlign w:val="bottom"/>
          </w:tcPr>
          <w:p w14:paraId="73E9E337">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乙类工</w:t>
            </w:r>
          </w:p>
        </w:tc>
        <w:tc>
          <w:tcPr>
            <w:tcW w:w="570" w:type="pct"/>
            <w:tcBorders>
              <w:top w:val="single" w:color="000000" w:sz="4" w:space="0"/>
              <w:left w:val="single" w:color="000000" w:sz="4" w:space="0"/>
              <w:bottom w:val="single" w:color="000000" w:sz="4" w:space="0"/>
              <w:right w:val="single" w:color="000000" w:sz="4" w:space="0"/>
            </w:tcBorders>
            <w:noWrap/>
            <w:vAlign w:val="bottom"/>
          </w:tcPr>
          <w:p w14:paraId="0AC40AB9">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工日</w:t>
            </w:r>
          </w:p>
        </w:tc>
        <w:tc>
          <w:tcPr>
            <w:tcW w:w="616" w:type="pct"/>
            <w:tcBorders>
              <w:top w:val="single" w:color="000000" w:sz="4" w:space="0"/>
              <w:left w:val="single" w:color="000000" w:sz="4" w:space="0"/>
              <w:bottom w:val="single" w:color="000000" w:sz="4" w:space="0"/>
              <w:right w:val="single" w:color="000000" w:sz="4" w:space="0"/>
            </w:tcBorders>
            <w:noWrap/>
            <w:vAlign w:val="bottom"/>
          </w:tcPr>
          <w:p w14:paraId="583CBB4A">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2.10 </w:t>
            </w:r>
          </w:p>
        </w:tc>
        <w:tc>
          <w:tcPr>
            <w:tcW w:w="802" w:type="pct"/>
            <w:tcBorders>
              <w:top w:val="single" w:color="000000" w:sz="4" w:space="0"/>
              <w:left w:val="single" w:color="000000" w:sz="4" w:space="0"/>
              <w:bottom w:val="single" w:color="000000" w:sz="4" w:space="0"/>
              <w:right w:val="single" w:color="000000" w:sz="4" w:space="0"/>
            </w:tcBorders>
            <w:noWrap/>
            <w:vAlign w:val="bottom"/>
          </w:tcPr>
          <w:p w14:paraId="4258FC7D">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38.84 </w:t>
            </w:r>
          </w:p>
        </w:tc>
        <w:tc>
          <w:tcPr>
            <w:tcW w:w="1130" w:type="pct"/>
            <w:tcBorders>
              <w:top w:val="single" w:color="000000" w:sz="4" w:space="0"/>
              <w:left w:val="single" w:color="000000" w:sz="4" w:space="0"/>
              <w:bottom w:val="single" w:color="000000" w:sz="4" w:space="0"/>
              <w:right w:val="single" w:color="000000" w:sz="4" w:space="0"/>
            </w:tcBorders>
            <w:noWrap/>
            <w:vAlign w:val="bottom"/>
          </w:tcPr>
          <w:p w14:paraId="490EAEA6">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81.56 </w:t>
            </w:r>
          </w:p>
        </w:tc>
      </w:tr>
      <w:tr w14:paraId="5BEBF8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54" w:type="pct"/>
            <w:tcBorders>
              <w:top w:val="single" w:color="000000" w:sz="4" w:space="0"/>
              <w:left w:val="single" w:color="000000" w:sz="4" w:space="0"/>
              <w:bottom w:val="single" w:color="000000" w:sz="4" w:space="0"/>
              <w:right w:val="single" w:color="000000" w:sz="4" w:space="0"/>
            </w:tcBorders>
            <w:noWrap/>
            <w:vAlign w:val="bottom"/>
          </w:tcPr>
          <w:p w14:paraId="57035C5A">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 </w:t>
            </w:r>
          </w:p>
        </w:tc>
        <w:tc>
          <w:tcPr>
            <w:tcW w:w="1126" w:type="pct"/>
            <w:tcBorders>
              <w:top w:val="single" w:color="000000" w:sz="4" w:space="0"/>
              <w:left w:val="single" w:color="000000" w:sz="4" w:space="0"/>
              <w:bottom w:val="single" w:color="000000" w:sz="4" w:space="0"/>
              <w:right w:val="single" w:color="000000" w:sz="4" w:space="0"/>
            </w:tcBorders>
            <w:noWrap/>
            <w:vAlign w:val="bottom"/>
          </w:tcPr>
          <w:p w14:paraId="4E51F412">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材料费</w:t>
            </w:r>
          </w:p>
        </w:tc>
        <w:tc>
          <w:tcPr>
            <w:tcW w:w="570" w:type="pct"/>
            <w:tcBorders>
              <w:top w:val="single" w:color="000000" w:sz="4" w:space="0"/>
              <w:left w:val="single" w:color="000000" w:sz="4" w:space="0"/>
              <w:bottom w:val="single" w:color="000000" w:sz="4" w:space="0"/>
              <w:right w:val="single" w:color="000000" w:sz="4" w:space="0"/>
            </w:tcBorders>
            <w:noWrap/>
            <w:vAlign w:val="bottom"/>
          </w:tcPr>
          <w:p w14:paraId="21EB554B">
            <w:pPr>
              <w:jc w:val="center"/>
              <w:rPr>
                <w:rFonts w:hint="default" w:ascii="Times New Roman" w:hAnsi="Times New Roman" w:eastAsia="宋体" w:cs="Times New Roman"/>
                <w:i w:val="0"/>
                <w:iCs w:val="0"/>
                <w:color w:val="auto"/>
                <w:sz w:val="21"/>
                <w:szCs w:val="21"/>
                <w:highlight w:val="none"/>
                <w:u w:val="none"/>
              </w:rPr>
            </w:pPr>
          </w:p>
        </w:tc>
        <w:tc>
          <w:tcPr>
            <w:tcW w:w="616" w:type="pct"/>
            <w:tcBorders>
              <w:top w:val="single" w:color="000000" w:sz="4" w:space="0"/>
              <w:left w:val="single" w:color="000000" w:sz="4" w:space="0"/>
              <w:bottom w:val="single" w:color="000000" w:sz="4" w:space="0"/>
              <w:right w:val="single" w:color="000000" w:sz="4" w:space="0"/>
            </w:tcBorders>
            <w:noWrap/>
            <w:vAlign w:val="bottom"/>
          </w:tcPr>
          <w:p w14:paraId="36F010D2">
            <w:pPr>
              <w:jc w:val="center"/>
              <w:rPr>
                <w:rFonts w:hint="default" w:ascii="Times New Roman" w:hAnsi="Times New Roman" w:eastAsia="宋体" w:cs="Times New Roman"/>
                <w:i w:val="0"/>
                <w:iCs w:val="0"/>
                <w:color w:val="auto"/>
                <w:sz w:val="21"/>
                <w:szCs w:val="21"/>
                <w:highlight w:val="none"/>
                <w:u w:val="none"/>
              </w:rPr>
            </w:pPr>
          </w:p>
        </w:tc>
        <w:tc>
          <w:tcPr>
            <w:tcW w:w="802" w:type="pct"/>
            <w:tcBorders>
              <w:top w:val="single" w:color="000000" w:sz="4" w:space="0"/>
              <w:left w:val="single" w:color="000000" w:sz="4" w:space="0"/>
              <w:bottom w:val="single" w:color="000000" w:sz="4" w:space="0"/>
              <w:right w:val="single" w:color="000000" w:sz="4" w:space="0"/>
            </w:tcBorders>
            <w:noWrap/>
            <w:vAlign w:val="bottom"/>
          </w:tcPr>
          <w:p w14:paraId="18CA56BD">
            <w:pPr>
              <w:jc w:val="center"/>
              <w:rPr>
                <w:rFonts w:hint="default" w:ascii="Times New Roman" w:hAnsi="Times New Roman" w:eastAsia="宋体" w:cs="Times New Roman"/>
                <w:i w:val="0"/>
                <w:iCs w:val="0"/>
                <w:color w:val="auto"/>
                <w:sz w:val="21"/>
                <w:szCs w:val="21"/>
                <w:highlight w:val="none"/>
                <w:u w:val="none"/>
              </w:rPr>
            </w:pPr>
          </w:p>
        </w:tc>
        <w:tc>
          <w:tcPr>
            <w:tcW w:w="1130" w:type="pct"/>
            <w:tcBorders>
              <w:top w:val="single" w:color="000000" w:sz="4" w:space="0"/>
              <w:left w:val="single" w:color="000000" w:sz="4" w:space="0"/>
              <w:bottom w:val="single" w:color="000000" w:sz="4" w:space="0"/>
              <w:right w:val="single" w:color="000000" w:sz="4" w:space="0"/>
            </w:tcBorders>
            <w:noWrap/>
            <w:vAlign w:val="bottom"/>
          </w:tcPr>
          <w:p w14:paraId="38824CC2">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1285.20 </w:t>
            </w:r>
          </w:p>
        </w:tc>
      </w:tr>
      <w:tr w14:paraId="627678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54" w:type="pct"/>
            <w:tcBorders>
              <w:top w:val="single" w:color="000000" w:sz="4" w:space="0"/>
              <w:left w:val="single" w:color="000000" w:sz="4" w:space="0"/>
              <w:bottom w:val="single" w:color="000000" w:sz="4" w:space="0"/>
              <w:right w:val="single" w:color="000000" w:sz="4" w:space="0"/>
            </w:tcBorders>
            <w:noWrap/>
            <w:vAlign w:val="bottom"/>
          </w:tcPr>
          <w:p w14:paraId="76E9853E">
            <w:pPr>
              <w:jc w:val="center"/>
              <w:rPr>
                <w:rFonts w:hint="default" w:ascii="Times New Roman" w:hAnsi="Times New Roman" w:eastAsia="宋体" w:cs="Times New Roman"/>
                <w:i w:val="0"/>
                <w:iCs w:val="0"/>
                <w:color w:val="auto"/>
                <w:sz w:val="21"/>
                <w:szCs w:val="21"/>
                <w:highlight w:val="none"/>
                <w:u w:val="none"/>
              </w:rPr>
            </w:pPr>
          </w:p>
        </w:tc>
        <w:tc>
          <w:tcPr>
            <w:tcW w:w="1126" w:type="pct"/>
            <w:tcBorders>
              <w:top w:val="single" w:color="000000" w:sz="4" w:space="0"/>
              <w:left w:val="single" w:color="000000" w:sz="4" w:space="0"/>
              <w:bottom w:val="single" w:color="000000" w:sz="4" w:space="0"/>
              <w:right w:val="single" w:color="000000" w:sz="4" w:space="0"/>
            </w:tcBorders>
            <w:noWrap/>
            <w:vAlign w:val="bottom"/>
          </w:tcPr>
          <w:p w14:paraId="6FA57D1E">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紫花苜蓿</w:t>
            </w:r>
          </w:p>
        </w:tc>
        <w:tc>
          <w:tcPr>
            <w:tcW w:w="570" w:type="pct"/>
            <w:tcBorders>
              <w:top w:val="single" w:color="000000" w:sz="4" w:space="0"/>
              <w:left w:val="single" w:color="000000" w:sz="4" w:space="0"/>
              <w:bottom w:val="single" w:color="000000" w:sz="4" w:space="0"/>
              <w:right w:val="single" w:color="000000" w:sz="4" w:space="0"/>
            </w:tcBorders>
            <w:noWrap/>
            <w:vAlign w:val="bottom"/>
          </w:tcPr>
          <w:p w14:paraId="624F119A">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kg</w:t>
            </w:r>
          </w:p>
        </w:tc>
        <w:tc>
          <w:tcPr>
            <w:tcW w:w="616" w:type="pct"/>
            <w:tcBorders>
              <w:top w:val="single" w:color="000000" w:sz="4" w:space="0"/>
              <w:left w:val="single" w:color="000000" w:sz="4" w:space="0"/>
              <w:bottom w:val="single" w:color="000000" w:sz="4" w:space="0"/>
              <w:right w:val="single" w:color="000000" w:sz="4" w:space="0"/>
            </w:tcBorders>
            <w:noWrap/>
            <w:vAlign w:val="bottom"/>
          </w:tcPr>
          <w:p w14:paraId="38E415FE">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30.00 </w:t>
            </w:r>
          </w:p>
        </w:tc>
        <w:tc>
          <w:tcPr>
            <w:tcW w:w="802" w:type="pct"/>
            <w:tcBorders>
              <w:top w:val="single" w:color="000000" w:sz="4" w:space="0"/>
              <w:left w:val="single" w:color="000000" w:sz="4" w:space="0"/>
              <w:bottom w:val="single" w:color="000000" w:sz="4" w:space="0"/>
              <w:right w:val="single" w:color="000000" w:sz="4" w:space="0"/>
            </w:tcBorders>
            <w:noWrap/>
            <w:vAlign w:val="bottom"/>
          </w:tcPr>
          <w:p w14:paraId="6BB2EDFF">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42.00 </w:t>
            </w:r>
          </w:p>
        </w:tc>
        <w:tc>
          <w:tcPr>
            <w:tcW w:w="1130" w:type="pct"/>
            <w:tcBorders>
              <w:top w:val="single" w:color="000000" w:sz="4" w:space="0"/>
              <w:left w:val="single" w:color="000000" w:sz="4" w:space="0"/>
              <w:bottom w:val="single" w:color="000000" w:sz="4" w:space="0"/>
              <w:right w:val="single" w:color="000000" w:sz="4" w:space="0"/>
            </w:tcBorders>
            <w:noWrap/>
            <w:vAlign w:val="bottom"/>
          </w:tcPr>
          <w:p w14:paraId="4A6FD62C">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1260.00 </w:t>
            </w:r>
          </w:p>
        </w:tc>
      </w:tr>
      <w:tr w14:paraId="0B3B28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54" w:type="pct"/>
            <w:tcBorders>
              <w:top w:val="single" w:color="000000" w:sz="4" w:space="0"/>
              <w:left w:val="single" w:color="000000" w:sz="4" w:space="0"/>
              <w:bottom w:val="single" w:color="000000" w:sz="4" w:space="0"/>
              <w:right w:val="single" w:color="000000" w:sz="4" w:space="0"/>
            </w:tcBorders>
            <w:noWrap/>
            <w:vAlign w:val="bottom"/>
          </w:tcPr>
          <w:p w14:paraId="52314670">
            <w:pPr>
              <w:jc w:val="center"/>
              <w:rPr>
                <w:rFonts w:hint="default" w:ascii="Times New Roman" w:hAnsi="Times New Roman" w:eastAsia="宋体" w:cs="Times New Roman"/>
                <w:i w:val="0"/>
                <w:iCs w:val="0"/>
                <w:color w:val="auto"/>
                <w:sz w:val="21"/>
                <w:szCs w:val="21"/>
                <w:highlight w:val="none"/>
                <w:u w:val="none"/>
              </w:rPr>
            </w:pPr>
          </w:p>
        </w:tc>
        <w:tc>
          <w:tcPr>
            <w:tcW w:w="1126" w:type="pct"/>
            <w:tcBorders>
              <w:top w:val="single" w:color="000000" w:sz="4" w:space="0"/>
              <w:left w:val="single" w:color="000000" w:sz="4" w:space="0"/>
              <w:bottom w:val="single" w:color="000000" w:sz="4" w:space="0"/>
              <w:right w:val="single" w:color="000000" w:sz="4" w:space="0"/>
            </w:tcBorders>
            <w:noWrap/>
            <w:vAlign w:val="bottom"/>
          </w:tcPr>
          <w:p w14:paraId="3BD81F63">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其他费用</w:t>
            </w:r>
          </w:p>
        </w:tc>
        <w:tc>
          <w:tcPr>
            <w:tcW w:w="570" w:type="pct"/>
            <w:tcBorders>
              <w:top w:val="single" w:color="000000" w:sz="4" w:space="0"/>
              <w:left w:val="single" w:color="000000" w:sz="4" w:space="0"/>
              <w:bottom w:val="single" w:color="000000" w:sz="4" w:space="0"/>
              <w:right w:val="single" w:color="000000" w:sz="4" w:space="0"/>
            </w:tcBorders>
            <w:noWrap/>
            <w:vAlign w:val="bottom"/>
          </w:tcPr>
          <w:p w14:paraId="6604FF9A">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16" w:type="pct"/>
            <w:tcBorders>
              <w:top w:val="single" w:color="000000" w:sz="4" w:space="0"/>
              <w:left w:val="single" w:color="000000" w:sz="4" w:space="0"/>
              <w:bottom w:val="single" w:color="000000" w:sz="4" w:space="0"/>
              <w:right w:val="single" w:color="000000" w:sz="4" w:space="0"/>
            </w:tcBorders>
            <w:noWrap/>
            <w:vAlign w:val="bottom"/>
          </w:tcPr>
          <w:p w14:paraId="1A7D8868">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2.00 </w:t>
            </w:r>
          </w:p>
        </w:tc>
        <w:tc>
          <w:tcPr>
            <w:tcW w:w="802" w:type="pct"/>
            <w:tcBorders>
              <w:top w:val="single" w:color="000000" w:sz="4" w:space="0"/>
              <w:left w:val="single" w:color="000000" w:sz="4" w:space="0"/>
              <w:bottom w:val="single" w:color="000000" w:sz="4" w:space="0"/>
              <w:right w:val="single" w:color="000000" w:sz="4" w:space="0"/>
            </w:tcBorders>
            <w:noWrap/>
            <w:vAlign w:val="bottom"/>
          </w:tcPr>
          <w:p w14:paraId="7009E67F">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1260.00 </w:t>
            </w:r>
          </w:p>
        </w:tc>
        <w:tc>
          <w:tcPr>
            <w:tcW w:w="1130" w:type="pct"/>
            <w:tcBorders>
              <w:top w:val="single" w:color="000000" w:sz="4" w:space="0"/>
              <w:left w:val="single" w:color="000000" w:sz="4" w:space="0"/>
              <w:bottom w:val="single" w:color="000000" w:sz="4" w:space="0"/>
              <w:right w:val="single" w:color="000000" w:sz="4" w:space="0"/>
            </w:tcBorders>
            <w:noWrap/>
            <w:vAlign w:val="bottom"/>
          </w:tcPr>
          <w:p w14:paraId="6D585BDD">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25.20 </w:t>
            </w:r>
          </w:p>
        </w:tc>
      </w:tr>
      <w:tr w14:paraId="648E6B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54" w:type="pct"/>
            <w:tcBorders>
              <w:top w:val="single" w:color="000000" w:sz="4" w:space="0"/>
              <w:left w:val="single" w:color="000000" w:sz="4" w:space="0"/>
              <w:bottom w:val="single" w:color="000000" w:sz="4" w:space="0"/>
              <w:right w:val="single" w:color="000000" w:sz="4" w:space="0"/>
            </w:tcBorders>
            <w:noWrap/>
            <w:vAlign w:val="bottom"/>
          </w:tcPr>
          <w:p w14:paraId="61A388E4">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 </w:t>
            </w:r>
          </w:p>
        </w:tc>
        <w:tc>
          <w:tcPr>
            <w:tcW w:w="1126" w:type="pct"/>
            <w:tcBorders>
              <w:top w:val="single" w:color="000000" w:sz="4" w:space="0"/>
              <w:left w:val="single" w:color="000000" w:sz="4" w:space="0"/>
              <w:bottom w:val="single" w:color="000000" w:sz="4" w:space="0"/>
              <w:right w:val="single" w:color="000000" w:sz="4" w:space="0"/>
            </w:tcBorders>
            <w:noWrap/>
            <w:vAlign w:val="bottom"/>
          </w:tcPr>
          <w:p w14:paraId="044FEC38">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机械费</w:t>
            </w:r>
          </w:p>
        </w:tc>
        <w:tc>
          <w:tcPr>
            <w:tcW w:w="570" w:type="pct"/>
            <w:tcBorders>
              <w:top w:val="single" w:color="000000" w:sz="4" w:space="0"/>
              <w:left w:val="single" w:color="000000" w:sz="4" w:space="0"/>
              <w:bottom w:val="single" w:color="000000" w:sz="4" w:space="0"/>
              <w:right w:val="single" w:color="000000" w:sz="4" w:space="0"/>
            </w:tcBorders>
            <w:noWrap/>
            <w:vAlign w:val="bottom"/>
          </w:tcPr>
          <w:p w14:paraId="1C5CEAC9">
            <w:pPr>
              <w:jc w:val="center"/>
              <w:rPr>
                <w:rFonts w:hint="default" w:ascii="Times New Roman" w:hAnsi="Times New Roman" w:eastAsia="宋体" w:cs="Times New Roman"/>
                <w:i w:val="0"/>
                <w:iCs w:val="0"/>
                <w:color w:val="auto"/>
                <w:sz w:val="21"/>
                <w:szCs w:val="21"/>
                <w:highlight w:val="none"/>
                <w:u w:val="none"/>
              </w:rPr>
            </w:pPr>
          </w:p>
        </w:tc>
        <w:tc>
          <w:tcPr>
            <w:tcW w:w="616" w:type="pct"/>
            <w:tcBorders>
              <w:top w:val="single" w:color="000000" w:sz="4" w:space="0"/>
              <w:left w:val="single" w:color="000000" w:sz="4" w:space="0"/>
              <w:bottom w:val="single" w:color="000000" w:sz="4" w:space="0"/>
              <w:right w:val="single" w:color="000000" w:sz="4" w:space="0"/>
            </w:tcBorders>
            <w:noWrap/>
            <w:vAlign w:val="bottom"/>
          </w:tcPr>
          <w:p w14:paraId="7412278A">
            <w:pPr>
              <w:jc w:val="center"/>
              <w:rPr>
                <w:rFonts w:hint="default" w:ascii="Times New Roman" w:hAnsi="Times New Roman" w:eastAsia="宋体" w:cs="Times New Roman"/>
                <w:i w:val="0"/>
                <w:iCs w:val="0"/>
                <w:color w:val="auto"/>
                <w:sz w:val="21"/>
                <w:szCs w:val="21"/>
                <w:highlight w:val="none"/>
                <w:u w:val="none"/>
              </w:rPr>
            </w:pPr>
          </w:p>
        </w:tc>
        <w:tc>
          <w:tcPr>
            <w:tcW w:w="802" w:type="pct"/>
            <w:tcBorders>
              <w:top w:val="single" w:color="000000" w:sz="4" w:space="0"/>
              <w:left w:val="single" w:color="000000" w:sz="4" w:space="0"/>
              <w:bottom w:val="single" w:color="000000" w:sz="4" w:space="0"/>
              <w:right w:val="single" w:color="000000" w:sz="4" w:space="0"/>
            </w:tcBorders>
            <w:noWrap/>
            <w:vAlign w:val="bottom"/>
          </w:tcPr>
          <w:p w14:paraId="6E12B208">
            <w:pPr>
              <w:jc w:val="center"/>
              <w:rPr>
                <w:rFonts w:hint="default" w:ascii="Times New Roman" w:hAnsi="Times New Roman" w:eastAsia="宋体" w:cs="Times New Roman"/>
                <w:i w:val="0"/>
                <w:iCs w:val="0"/>
                <w:color w:val="auto"/>
                <w:sz w:val="21"/>
                <w:szCs w:val="21"/>
                <w:highlight w:val="none"/>
                <w:u w:val="none"/>
              </w:rPr>
            </w:pPr>
          </w:p>
        </w:tc>
        <w:tc>
          <w:tcPr>
            <w:tcW w:w="1130" w:type="pct"/>
            <w:tcBorders>
              <w:top w:val="single" w:color="000000" w:sz="4" w:space="0"/>
              <w:left w:val="single" w:color="000000" w:sz="4" w:space="0"/>
              <w:bottom w:val="single" w:color="000000" w:sz="4" w:space="0"/>
              <w:right w:val="single" w:color="000000" w:sz="4" w:space="0"/>
            </w:tcBorders>
            <w:noWrap/>
            <w:vAlign w:val="bottom"/>
          </w:tcPr>
          <w:p w14:paraId="3A94F915">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 </w:t>
            </w:r>
          </w:p>
        </w:tc>
      </w:tr>
      <w:tr w14:paraId="4EBBAD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54" w:type="pct"/>
            <w:tcBorders>
              <w:top w:val="single" w:color="000000" w:sz="4" w:space="0"/>
              <w:left w:val="single" w:color="000000" w:sz="4" w:space="0"/>
              <w:bottom w:val="single" w:color="000000" w:sz="4" w:space="0"/>
              <w:right w:val="single" w:color="000000" w:sz="4" w:space="0"/>
            </w:tcBorders>
            <w:noWrap/>
            <w:vAlign w:val="bottom"/>
          </w:tcPr>
          <w:p w14:paraId="346343A7">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（二）</w:t>
            </w:r>
          </w:p>
        </w:tc>
        <w:tc>
          <w:tcPr>
            <w:tcW w:w="1126" w:type="pct"/>
            <w:tcBorders>
              <w:top w:val="single" w:color="000000" w:sz="4" w:space="0"/>
              <w:left w:val="single" w:color="000000" w:sz="4" w:space="0"/>
              <w:bottom w:val="single" w:color="000000" w:sz="4" w:space="0"/>
              <w:right w:val="single" w:color="000000" w:sz="4" w:space="0"/>
            </w:tcBorders>
            <w:noWrap/>
            <w:vAlign w:val="bottom"/>
          </w:tcPr>
          <w:p w14:paraId="0C553079">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措施费</w:t>
            </w:r>
          </w:p>
        </w:tc>
        <w:tc>
          <w:tcPr>
            <w:tcW w:w="570" w:type="pct"/>
            <w:tcBorders>
              <w:top w:val="single" w:color="000000" w:sz="4" w:space="0"/>
              <w:left w:val="single" w:color="000000" w:sz="4" w:space="0"/>
              <w:bottom w:val="single" w:color="000000" w:sz="4" w:space="0"/>
              <w:right w:val="single" w:color="000000" w:sz="4" w:space="0"/>
            </w:tcBorders>
            <w:noWrap/>
            <w:vAlign w:val="bottom"/>
          </w:tcPr>
          <w:p w14:paraId="473AC949">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16" w:type="pct"/>
            <w:tcBorders>
              <w:top w:val="single" w:color="000000" w:sz="4" w:space="0"/>
              <w:left w:val="single" w:color="000000" w:sz="4" w:space="0"/>
              <w:bottom w:val="single" w:color="000000" w:sz="4" w:space="0"/>
              <w:right w:val="single" w:color="000000" w:sz="4" w:space="0"/>
            </w:tcBorders>
            <w:noWrap/>
            <w:vAlign w:val="bottom"/>
          </w:tcPr>
          <w:p w14:paraId="786E0FE2">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3.80 </w:t>
            </w:r>
          </w:p>
        </w:tc>
        <w:tc>
          <w:tcPr>
            <w:tcW w:w="802" w:type="pct"/>
            <w:tcBorders>
              <w:top w:val="single" w:color="000000" w:sz="4" w:space="0"/>
              <w:left w:val="single" w:color="000000" w:sz="4" w:space="0"/>
              <w:bottom w:val="single" w:color="000000" w:sz="4" w:space="0"/>
              <w:right w:val="single" w:color="000000" w:sz="4" w:space="0"/>
            </w:tcBorders>
            <w:noWrap/>
            <w:vAlign w:val="bottom"/>
          </w:tcPr>
          <w:p w14:paraId="6E1D75CE">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1366.76 </w:t>
            </w:r>
          </w:p>
        </w:tc>
        <w:tc>
          <w:tcPr>
            <w:tcW w:w="1130" w:type="pct"/>
            <w:tcBorders>
              <w:top w:val="single" w:color="000000" w:sz="4" w:space="0"/>
              <w:left w:val="single" w:color="000000" w:sz="4" w:space="0"/>
              <w:bottom w:val="single" w:color="000000" w:sz="4" w:space="0"/>
              <w:right w:val="single" w:color="000000" w:sz="4" w:space="0"/>
            </w:tcBorders>
            <w:noWrap/>
            <w:vAlign w:val="bottom"/>
          </w:tcPr>
          <w:p w14:paraId="2905D058">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51.94 </w:t>
            </w:r>
          </w:p>
        </w:tc>
      </w:tr>
      <w:tr w14:paraId="396409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54" w:type="pct"/>
            <w:tcBorders>
              <w:top w:val="single" w:color="000000" w:sz="4" w:space="0"/>
              <w:left w:val="single" w:color="000000" w:sz="4" w:space="0"/>
              <w:bottom w:val="single" w:color="000000" w:sz="4" w:space="0"/>
              <w:right w:val="single" w:color="000000" w:sz="4" w:space="0"/>
            </w:tcBorders>
            <w:noWrap/>
            <w:vAlign w:val="bottom"/>
          </w:tcPr>
          <w:p w14:paraId="401670E3">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二</w:t>
            </w:r>
          </w:p>
        </w:tc>
        <w:tc>
          <w:tcPr>
            <w:tcW w:w="1126" w:type="pct"/>
            <w:tcBorders>
              <w:top w:val="single" w:color="000000" w:sz="4" w:space="0"/>
              <w:left w:val="single" w:color="000000" w:sz="4" w:space="0"/>
              <w:bottom w:val="single" w:color="000000" w:sz="4" w:space="0"/>
              <w:right w:val="single" w:color="000000" w:sz="4" w:space="0"/>
            </w:tcBorders>
            <w:noWrap/>
            <w:vAlign w:val="bottom"/>
          </w:tcPr>
          <w:p w14:paraId="3BF6B284">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间接费</w:t>
            </w:r>
          </w:p>
        </w:tc>
        <w:tc>
          <w:tcPr>
            <w:tcW w:w="570" w:type="pct"/>
            <w:tcBorders>
              <w:top w:val="single" w:color="000000" w:sz="4" w:space="0"/>
              <w:left w:val="single" w:color="000000" w:sz="4" w:space="0"/>
              <w:bottom w:val="single" w:color="000000" w:sz="4" w:space="0"/>
              <w:right w:val="single" w:color="000000" w:sz="4" w:space="0"/>
            </w:tcBorders>
            <w:noWrap/>
            <w:vAlign w:val="bottom"/>
          </w:tcPr>
          <w:p w14:paraId="050409B3">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16" w:type="pct"/>
            <w:tcBorders>
              <w:top w:val="single" w:color="000000" w:sz="4" w:space="0"/>
              <w:left w:val="single" w:color="000000" w:sz="4" w:space="0"/>
              <w:bottom w:val="single" w:color="000000" w:sz="4" w:space="0"/>
              <w:right w:val="single" w:color="000000" w:sz="4" w:space="0"/>
            </w:tcBorders>
            <w:noWrap/>
            <w:vAlign w:val="bottom"/>
          </w:tcPr>
          <w:p w14:paraId="7AD0A087">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6.00 </w:t>
            </w:r>
          </w:p>
        </w:tc>
        <w:tc>
          <w:tcPr>
            <w:tcW w:w="802" w:type="pct"/>
            <w:tcBorders>
              <w:top w:val="single" w:color="000000" w:sz="4" w:space="0"/>
              <w:left w:val="single" w:color="000000" w:sz="4" w:space="0"/>
              <w:bottom w:val="single" w:color="000000" w:sz="4" w:space="0"/>
              <w:right w:val="single" w:color="000000" w:sz="4" w:space="0"/>
            </w:tcBorders>
            <w:noWrap/>
            <w:vAlign w:val="bottom"/>
          </w:tcPr>
          <w:p w14:paraId="289B0CFB">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1418.70 </w:t>
            </w:r>
          </w:p>
        </w:tc>
        <w:tc>
          <w:tcPr>
            <w:tcW w:w="1130" w:type="pct"/>
            <w:tcBorders>
              <w:top w:val="single" w:color="000000" w:sz="4" w:space="0"/>
              <w:left w:val="single" w:color="000000" w:sz="4" w:space="0"/>
              <w:bottom w:val="single" w:color="000000" w:sz="4" w:space="0"/>
              <w:right w:val="single" w:color="000000" w:sz="4" w:space="0"/>
            </w:tcBorders>
            <w:noWrap/>
            <w:vAlign w:val="bottom"/>
          </w:tcPr>
          <w:p w14:paraId="6DD4AC91">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85.12 </w:t>
            </w:r>
          </w:p>
        </w:tc>
      </w:tr>
      <w:tr w14:paraId="660B1E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54" w:type="pct"/>
            <w:tcBorders>
              <w:top w:val="single" w:color="000000" w:sz="4" w:space="0"/>
              <w:left w:val="single" w:color="000000" w:sz="4" w:space="0"/>
              <w:bottom w:val="single" w:color="000000" w:sz="4" w:space="0"/>
              <w:right w:val="single" w:color="000000" w:sz="4" w:space="0"/>
            </w:tcBorders>
            <w:noWrap/>
            <w:vAlign w:val="bottom"/>
          </w:tcPr>
          <w:p w14:paraId="65D18303">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三</w:t>
            </w:r>
          </w:p>
        </w:tc>
        <w:tc>
          <w:tcPr>
            <w:tcW w:w="1126" w:type="pct"/>
            <w:tcBorders>
              <w:top w:val="single" w:color="000000" w:sz="4" w:space="0"/>
              <w:left w:val="single" w:color="000000" w:sz="4" w:space="0"/>
              <w:bottom w:val="single" w:color="000000" w:sz="4" w:space="0"/>
              <w:right w:val="single" w:color="000000" w:sz="4" w:space="0"/>
            </w:tcBorders>
            <w:noWrap/>
            <w:vAlign w:val="bottom"/>
          </w:tcPr>
          <w:p w14:paraId="2C5B7877">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利润</w:t>
            </w:r>
          </w:p>
        </w:tc>
        <w:tc>
          <w:tcPr>
            <w:tcW w:w="570" w:type="pct"/>
            <w:tcBorders>
              <w:top w:val="single" w:color="000000" w:sz="4" w:space="0"/>
              <w:left w:val="single" w:color="000000" w:sz="4" w:space="0"/>
              <w:bottom w:val="single" w:color="000000" w:sz="4" w:space="0"/>
              <w:right w:val="single" w:color="000000" w:sz="4" w:space="0"/>
            </w:tcBorders>
            <w:noWrap/>
            <w:vAlign w:val="bottom"/>
          </w:tcPr>
          <w:p w14:paraId="1C088661">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16" w:type="pct"/>
            <w:tcBorders>
              <w:top w:val="single" w:color="000000" w:sz="4" w:space="0"/>
              <w:left w:val="single" w:color="000000" w:sz="4" w:space="0"/>
              <w:bottom w:val="single" w:color="000000" w:sz="4" w:space="0"/>
              <w:right w:val="single" w:color="000000" w:sz="4" w:space="0"/>
            </w:tcBorders>
            <w:noWrap/>
            <w:vAlign w:val="bottom"/>
          </w:tcPr>
          <w:p w14:paraId="546EBB53">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3.00 </w:t>
            </w:r>
          </w:p>
        </w:tc>
        <w:tc>
          <w:tcPr>
            <w:tcW w:w="802" w:type="pct"/>
            <w:tcBorders>
              <w:top w:val="single" w:color="000000" w:sz="4" w:space="0"/>
              <w:left w:val="single" w:color="000000" w:sz="4" w:space="0"/>
              <w:bottom w:val="single" w:color="000000" w:sz="4" w:space="0"/>
              <w:right w:val="single" w:color="000000" w:sz="4" w:space="0"/>
            </w:tcBorders>
            <w:noWrap/>
            <w:vAlign w:val="bottom"/>
          </w:tcPr>
          <w:p w14:paraId="03CE3091">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1503.82 </w:t>
            </w:r>
          </w:p>
        </w:tc>
        <w:tc>
          <w:tcPr>
            <w:tcW w:w="1130" w:type="pct"/>
            <w:tcBorders>
              <w:top w:val="single" w:color="000000" w:sz="4" w:space="0"/>
              <w:left w:val="single" w:color="000000" w:sz="4" w:space="0"/>
              <w:bottom w:val="single" w:color="000000" w:sz="4" w:space="0"/>
              <w:right w:val="single" w:color="000000" w:sz="4" w:space="0"/>
            </w:tcBorders>
            <w:noWrap/>
            <w:vAlign w:val="bottom"/>
          </w:tcPr>
          <w:p w14:paraId="7099A3F2">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45.11 </w:t>
            </w:r>
          </w:p>
        </w:tc>
      </w:tr>
      <w:tr w14:paraId="123341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54" w:type="pct"/>
            <w:tcBorders>
              <w:top w:val="single" w:color="000000" w:sz="4" w:space="0"/>
              <w:left w:val="single" w:color="000000" w:sz="4" w:space="0"/>
              <w:bottom w:val="single" w:color="000000" w:sz="4" w:space="0"/>
              <w:right w:val="single" w:color="000000" w:sz="4" w:space="0"/>
            </w:tcBorders>
            <w:noWrap/>
            <w:vAlign w:val="bottom"/>
          </w:tcPr>
          <w:p w14:paraId="5E6DC8E9">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四</w:t>
            </w:r>
          </w:p>
        </w:tc>
        <w:tc>
          <w:tcPr>
            <w:tcW w:w="1126" w:type="pct"/>
            <w:tcBorders>
              <w:top w:val="single" w:color="000000" w:sz="4" w:space="0"/>
              <w:left w:val="single" w:color="000000" w:sz="4" w:space="0"/>
              <w:bottom w:val="single" w:color="000000" w:sz="4" w:space="0"/>
              <w:right w:val="single" w:color="000000" w:sz="4" w:space="0"/>
            </w:tcBorders>
            <w:noWrap/>
            <w:vAlign w:val="bottom"/>
          </w:tcPr>
          <w:p w14:paraId="43DEC556">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税金</w:t>
            </w:r>
          </w:p>
        </w:tc>
        <w:tc>
          <w:tcPr>
            <w:tcW w:w="570" w:type="pct"/>
            <w:tcBorders>
              <w:top w:val="single" w:color="000000" w:sz="4" w:space="0"/>
              <w:left w:val="single" w:color="000000" w:sz="4" w:space="0"/>
              <w:bottom w:val="single" w:color="000000" w:sz="4" w:space="0"/>
              <w:right w:val="single" w:color="000000" w:sz="4" w:space="0"/>
            </w:tcBorders>
            <w:noWrap/>
            <w:vAlign w:val="bottom"/>
          </w:tcPr>
          <w:p w14:paraId="70CC916A">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16" w:type="pct"/>
            <w:tcBorders>
              <w:top w:val="single" w:color="000000" w:sz="4" w:space="0"/>
              <w:left w:val="single" w:color="000000" w:sz="4" w:space="0"/>
              <w:bottom w:val="single" w:color="000000" w:sz="4" w:space="0"/>
              <w:right w:val="single" w:color="000000" w:sz="4" w:space="0"/>
            </w:tcBorders>
            <w:noWrap/>
            <w:vAlign w:val="bottom"/>
          </w:tcPr>
          <w:p w14:paraId="734081DC">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9.00 </w:t>
            </w:r>
          </w:p>
        </w:tc>
        <w:tc>
          <w:tcPr>
            <w:tcW w:w="802" w:type="pct"/>
            <w:tcBorders>
              <w:top w:val="single" w:color="000000" w:sz="4" w:space="0"/>
              <w:left w:val="single" w:color="000000" w:sz="4" w:space="0"/>
              <w:bottom w:val="single" w:color="000000" w:sz="4" w:space="0"/>
              <w:right w:val="single" w:color="000000" w:sz="4" w:space="0"/>
            </w:tcBorders>
            <w:noWrap/>
            <w:vAlign w:val="bottom"/>
          </w:tcPr>
          <w:p w14:paraId="17AD77E7">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1548.94 </w:t>
            </w:r>
          </w:p>
        </w:tc>
        <w:tc>
          <w:tcPr>
            <w:tcW w:w="1130" w:type="pct"/>
            <w:tcBorders>
              <w:top w:val="single" w:color="000000" w:sz="4" w:space="0"/>
              <w:left w:val="single" w:color="000000" w:sz="4" w:space="0"/>
              <w:bottom w:val="single" w:color="000000" w:sz="4" w:space="0"/>
              <w:right w:val="single" w:color="000000" w:sz="4" w:space="0"/>
            </w:tcBorders>
            <w:noWrap/>
            <w:vAlign w:val="bottom"/>
          </w:tcPr>
          <w:p w14:paraId="2C03E415">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139.40 </w:t>
            </w:r>
          </w:p>
        </w:tc>
      </w:tr>
      <w:tr w14:paraId="3B4C96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881" w:type="pct"/>
            <w:gridSpan w:val="2"/>
            <w:tcBorders>
              <w:top w:val="single" w:color="000000" w:sz="4" w:space="0"/>
              <w:left w:val="single" w:color="000000" w:sz="4" w:space="0"/>
              <w:bottom w:val="single" w:color="000000" w:sz="4" w:space="0"/>
              <w:right w:val="single" w:color="000000" w:sz="4" w:space="0"/>
            </w:tcBorders>
            <w:noWrap/>
            <w:vAlign w:val="bottom"/>
          </w:tcPr>
          <w:p w14:paraId="1C271658">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合计</w:t>
            </w:r>
          </w:p>
        </w:tc>
        <w:tc>
          <w:tcPr>
            <w:tcW w:w="570" w:type="pct"/>
            <w:tcBorders>
              <w:top w:val="single" w:color="000000" w:sz="4" w:space="0"/>
              <w:left w:val="single" w:color="000000" w:sz="4" w:space="0"/>
              <w:bottom w:val="single" w:color="000000" w:sz="4" w:space="0"/>
              <w:right w:val="single" w:color="000000" w:sz="4" w:space="0"/>
            </w:tcBorders>
            <w:noWrap/>
            <w:vAlign w:val="bottom"/>
          </w:tcPr>
          <w:p w14:paraId="58D5A5EA">
            <w:pPr>
              <w:jc w:val="center"/>
              <w:rPr>
                <w:rFonts w:hint="default" w:ascii="Times New Roman" w:hAnsi="Times New Roman" w:eastAsia="宋体" w:cs="Times New Roman"/>
                <w:i w:val="0"/>
                <w:iCs w:val="0"/>
                <w:color w:val="auto"/>
                <w:sz w:val="21"/>
                <w:szCs w:val="21"/>
                <w:highlight w:val="none"/>
                <w:u w:val="none"/>
              </w:rPr>
            </w:pPr>
          </w:p>
        </w:tc>
        <w:tc>
          <w:tcPr>
            <w:tcW w:w="616" w:type="pct"/>
            <w:tcBorders>
              <w:top w:val="single" w:color="000000" w:sz="4" w:space="0"/>
              <w:left w:val="single" w:color="000000" w:sz="4" w:space="0"/>
              <w:bottom w:val="single" w:color="000000" w:sz="4" w:space="0"/>
              <w:right w:val="single" w:color="000000" w:sz="4" w:space="0"/>
            </w:tcBorders>
            <w:noWrap/>
            <w:vAlign w:val="bottom"/>
          </w:tcPr>
          <w:p w14:paraId="4F7530AA">
            <w:pPr>
              <w:jc w:val="center"/>
              <w:rPr>
                <w:rFonts w:hint="default" w:ascii="Times New Roman" w:hAnsi="Times New Roman" w:eastAsia="宋体" w:cs="Times New Roman"/>
                <w:i w:val="0"/>
                <w:iCs w:val="0"/>
                <w:color w:val="auto"/>
                <w:sz w:val="21"/>
                <w:szCs w:val="21"/>
                <w:highlight w:val="none"/>
                <w:u w:val="none"/>
              </w:rPr>
            </w:pPr>
          </w:p>
        </w:tc>
        <w:tc>
          <w:tcPr>
            <w:tcW w:w="802" w:type="pct"/>
            <w:tcBorders>
              <w:top w:val="single" w:color="000000" w:sz="4" w:space="0"/>
              <w:left w:val="single" w:color="000000" w:sz="4" w:space="0"/>
              <w:bottom w:val="single" w:color="000000" w:sz="4" w:space="0"/>
              <w:right w:val="single" w:color="000000" w:sz="4" w:space="0"/>
            </w:tcBorders>
            <w:noWrap/>
            <w:vAlign w:val="bottom"/>
          </w:tcPr>
          <w:p w14:paraId="149C5970">
            <w:pPr>
              <w:jc w:val="center"/>
              <w:rPr>
                <w:rFonts w:hint="default" w:ascii="Times New Roman" w:hAnsi="Times New Roman" w:eastAsia="宋体" w:cs="Times New Roman"/>
                <w:i w:val="0"/>
                <w:iCs w:val="0"/>
                <w:color w:val="auto"/>
                <w:sz w:val="21"/>
                <w:szCs w:val="21"/>
                <w:highlight w:val="none"/>
                <w:u w:val="none"/>
              </w:rPr>
            </w:pPr>
          </w:p>
        </w:tc>
        <w:tc>
          <w:tcPr>
            <w:tcW w:w="1130" w:type="pct"/>
            <w:tcBorders>
              <w:top w:val="single" w:color="000000" w:sz="4" w:space="0"/>
              <w:left w:val="single" w:color="000000" w:sz="4" w:space="0"/>
              <w:bottom w:val="single" w:color="000000" w:sz="4" w:space="0"/>
              <w:right w:val="single" w:color="000000" w:sz="4" w:space="0"/>
            </w:tcBorders>
            <w:noWrap/>
            <w:vAlign w:val="bottom"/>
          </w:tcPr>
          <w:p w14:paraId="1786235E">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1688.34 </w:t>
            </w:r>
          </w:p>
        </w:tc>
      </w:tr>
    </w:tbl>
    <w:p w14:paraId="37C8CB2F">
      <w:pPr>
        <w:rPr>
          <w:rFonts w:hint="default" w:ascii="Times New Roman" w:hAnsi="Times New Roman" w:cs="Times New Roman"/>
          <w:color w:val="auto"/>
          <w:sz w:val="21"/>
          <w:szCs w:val="21"/>
          <w:highlight w:val="none"/>
        </w:rPr>
      </w:pPr>
    </w:p>
    <w:tbl>
      <w:tblPr>
        <w:tblStyle w:val="3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5"/>
        <w:gridCol w:w="1885"/>
        <w:gridCol w:w="954"/>
        <w:gridCol w:w="1186"/>
        <w:gridCol w:w="1341"/>
        <w:gridCol w:w="1891"/>
      </w:tblGrid>
      <w:tr w14:paraId="79CBEC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000" w:type="pct"/>
            <w:gridSpan w:val="6"/>
            <w:tcBorders>
              <w:top w:val="single" w:color="000000" w:sz="4" w:space="0"/>
              <w:left w:val="single" w:color="000000" w:sz="4" w:space="0"/>
              <w:bottom w:val="single" w:color="000000" w:sz="4" w:space="0"/>
              <w:right w:val="single" w:color="000000" w:sz="4" w:space="0"/>
            </w:tcBorders>
            <w:noWrap/>
            <w:vAlign w:val="bottom"/>
          </w:tcPr>
          <w:p w14:paraId="6EBD9384">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cs="Times New Roman"/>
                <w:i w:val="0"/>
                <w:iCs w:val="0"/>
                <w:color w:val="auto"/>
                <w:kern w:val="0"/>
                <w:sz w:val="21"/>
                <w:szCs w:val="21"/>
                <w:highlight w:val="none"/>
                <w:u w:val="none"/>
                <w:lang w:val="en-US" w:eastAsia="zh-CN" w:bidi="ar"/>
              </w:rPr>
              <w:t>2</w:t>
            </w:r>
            <w:r>
              <w:rPr>
                <w:rFonts w:hint="default" w:ascii="Times New Roman" w:hAnsi="Times New Roman" w:eastAsia="宋体" w:cs="Times New Roman"/>
                <w:i w:val="0"/>
                <w:iCs w:val="0"/>
                <w:color w:val="auto"/>
                <w:kern w:val="0"/>
                <w:sz w:val="21"/>
                <w:szCs w:val="21"/>
                <w:highlight w:val="none"/>
                <w:u w:val="none"/>
                <w:lang w:val="en-US" w:eastAsia="zh-CN" w:bidi="ar"/>
              </w:rPr>
              <w:t>、栽植落叶松</w:t>
            </w:r>
          </w:p>
        </w:tc>
      </w:tr>
      <w:tr w14:paraId="26DF6F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000" w:type="pct"/>
            <w:gridSpan w:val="6"/>
            <w:tcBorders>
              <w:top w:val="single" w:color="000000" w:sz="4" w:space="0"/>
              <w:left w:val="single" w:color="000000" w:sz="4" w:space="0"/>
              <w:bottom w:val="single" w:color="000000" w:sz="4" w:space="0"/>
              <w:right w:val="single" w:color="000000" w:sz="4" w:space="0"/>
            </w:tcBorders>
            <w:noWrap/>
            <w:vAlign w:val="bottom"/>
          </w:tcPr>
          <w:p w14:paraId="75E1FA0B">
            <w:pPr>
              <w:keepNext w:val="0"/>
              <w:keepLines w:val="0"/>
              <w:widowControl/>
              <w:suppressLineNumbers w:val="0"/>
              <w:jc w:val="left"/>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定额编号：9000</w:t>
            </w:r>
            <w:r>
              <w:rPr>
                <w:rFonts w:hint="eastAsia" w:cs="Times New Roman"/>
                <w:i w:val="0"/>
                <w:iCs w:val="0"/>
                <w:color w:val="auto"/>
                <w:kern w:val="0"/>
                <w:sz w:val="21"/>
                <w:szCs w:val="21"/>
                <w:highlight w:val="none"/>
                <w:u w:val="none"/>
                <w:lang w:val="en-US" w:eastAsia="zh-CN" w:bidi="ar"/>
              </w:rPr>
              <w:t>7</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定额单位：100株                                                                  </w:t>
            </w:r>
          </w:p>
        </w:tc>
      </w:tr>
      <w:tr w14:paraId="373005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000" w:type="pct"/>
            <w:gridSpan w:val="6"/>
            <w:tcBorders>
              <w:top w:val="single" w:color="000000" w:sz="4" w:space="0"/>
              <w:left w:val="single" w:color="000000" w:sz="4" w:space="0"/>
              <w:bottom w:val="single" w:color="000000" w:sz="4" w:space="0"/>
              <w:right w:val="single" w:color="000000" w:sz="4" w:space="0"/>
            </w:tcBorders>
            <w:noWrap/>
            <w:vAlign w:val="bottom"/>
          </w:tcPr>
          <w:p w14:paraId="098C97C8">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施工方法：挖坑、栽植、浇水、覆土整形。</w:t>
            </w:r>
          </w:p>
        </w:tc>
      </w:tr>
      <w:tr w14:paraId="3798EF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42" w:type="pct"/>
            <w:tcBorders>
              <w:top w:val="single" w:color="000000" w:sz="4" w:space="0"/>
              <w:left w:val="single" w:color="000000" w:sz="4" w:space="0"/>
              <w:bottom w:val="single" w:color="000000" w:sz="4" w:space="0"/>
              <w:right w:val="single" w:color="000000" w:sz="4" w:space="0"/>
            </w:tcBorders>
            <w:noWrap/>
            <w:vAlign w:val="bottom"/>
          </w:tcPr>
          <w:p w14:paraId="17413C77">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序号</w:t>
            </w:r>
          </w:p>
        </w:tc>
        <w:tc>
          <w:tcPr>
            <w:tcW w:w="1105" w:type="pct"/>
            <w:tcBorders>
              <w:top w:val="single" w:color="000000" w:sz="4" w:space="0"/>
              <w:left w:val="single" w:color="000000" w:sz="4" w:space="0"/>
              <w:bottom w:val="single" w:color="000000" w:sz="4" w:space="0"/>
              <w:right w:val="single" w:color="000000" w:sz="4" w:space="0"/>
            </w:tcBorders>
            <w:noWrap/>
            <w:vAlign w:val="bottom"/>
          </w:tcPr>
          <w:p w14:paraId="75A37EBF">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项目名称</w:t>
            </w:r>
          </w:p>
        </w:tc>
        <w:tc>
          <w:tcPr>
            <w:tcW w:w="560" w:type="pct"/>
            <w:tcBorders>
              <w:top w:val="single" w:color="000000" w:sz="4" w:space="0"/>
              <w:left w:val="single" w:color="000000" w:sz="4" w:space="0"/>
              <w:bottom w:val="single" w:color="000000" w:sz="4" w:space="0"/>
              <w:right w:val="single" w:color="000000" w:sz="4" w:space="0"/>
            </w:tcBorders>
            <w:noWrap/>
            <w:vAlign w:val="bottom"/>
          </w:tcPr>
          <w:p w14:paraId="3F93DB7B">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单位</w:t>
            </w:r>
          </w:p>
        </w:tc>
        <w:tc>
          <w:tcPr>
            <w:tcW w:w="696" w:type="pct"/>
            <w:tcBorders>
              <w:top w:val="single" w:color="000000" w:sz="4" w:space="0"/>
              <w:left w:val="single" w:color="000000" w:sz="4" w:space="0"/>
              <w:bottom w:val="single" w:color="000000" w:sz="4" w:space="0"/>
              <w:right w:val="single" w:color="000000" w:sz="4" w:space="0"/>
            </w:tcBorders>
            <w:noWrap/>
            <w:vAlign w:val="bottom"/>
          </w:tcPr>
          <w:p w14:paraId="6A00ACA5">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数量</w:t>
            </w:r>
          </w:p>
        </w:tc>
        <w:tc>
          <w:tcPr>
            <w:tcW w:w="787" w:type="pct"/>
            <w:tcBorders>
              <w:top w:val="single" w:color="000000" w:sz="4" w:space="0"/>
              <w:left w:val="single" w:color="000000" w:sz="4" w:space="0"/>
              <w:bottom w:val="single" w:color="000000" w:sz="4" w:space="0"/>
              <w:right w:val="single" w:color="000000" w:sz="4" w:space="0"/>
            </w:tcBorders>
            <w:noWrap/>
            <w:vAlign w:val="bottom"/>
          </w:tcPr>
          <w:p w14:paraId="3C5B12B0">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单价</w:t>
            </w:r>
          </w:p>
        </w:tc>
        <w:tc>
          <w:tcPr>
            <w:tcW w:w="1107" w:type="pct"/>
            <w:tcBorders>
              <w:top w:val="single" w:color="000000" w:sz="4" w:space="0"/>
              <w:left w:val="single" w:color="000000" w:sz="4" w:space="0"/>
              <w:bottom w:val="single" w:color="000000" w:sz="4" w:space="0"/>
              <w:right w:val="single" w:color="000000" w:sz="4" w:space="0"/>
            </w:tcBorders>
            <w:noWrap/>
            <w:vAlign w:val="bottom"/>
          </w:tcPr>
          <w:p w14:paraId="0B856604">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小计（元）</w:t>
            </w:r>
          </w:p>
        </w:tc>
      </w:tr>
      <w:tr w14:paraId="57D6D0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42" w:type="pct"/>
            <w:tcBorders>
              <w:top w:val="single" w:color="000000" w:sz="4" w:space="0"/>
              <w:left w:val="single" w:color="000000" w:sz="4" w:space="0"/>
              <w:bottom w:val="single" w:color="000000" w:sz="4" w:space="0"/>
              <w:right w:val="single" w:color="000000" w:sz="4" w:space="0"/>
            </w:tcBorders>
            <w:noWrap/>
            <w:vAlign w:val="bottom"/>
          </w:tcPr>
          <w:p w14:paraId="5B357773">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w:t>
            </w:r>
          </w:p>
        </w:tc>
        <w:tc>
          <w:tcPr>
            <w:tcW w:w="1105" w:type="pct"/>
            <w:tcBorders>
              <w:top w:val="single" w:color="000000" w:sz="4" w:space="0"/>
              <w:left w:val="single" w:color="000000" w:sz="4" w:space="0"/>
              <w:bottom w:val="single" w:color="000000" w:sz="4" w:space="0"/>
              <w:right w:val="single" w:color="000000" w:sz="4" w:space="0"/>
            </w:tcBorders>
            <w:noWrap/>
            <w:vAlign w:val="bottom"/>
          </w:tcPr>
          <w:p w14:paraId="62EAAB14">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直接费</w:t>
            </w:r>
          </w:p>
        </w:tc>
        <w:tc>
          <w:tcPr>
            <w:tcW w:w="560" w:type="pct"/>
            <w:tcBorders>
              <w:top w:val="single" w:color="000000" w:sz="4" w:space="0"/>
              <w:left w:val="single" w:color="000000" w:sz="4" w:space="0"/>
              <w:bottom w:val="single" w:color="000000" w:sz="4" w:space="0"/>
              <w:right w:val="single" w:color="000000" w:sz="4" w:space="0"/>
            </w:tcBorders>
            <w:noWrap/>
            <w:vAlign w:val="bottom"/>
          </w:tcPr>
          <w:p w14:paraId="087891FE">
            <w:pPr>
              <w:jc w:val="center"/>
              <w:rPr>
                <w:rFonts w:hint="default" w:ascii="Times New Roman" w:hAnsi="Times New Roman" w:eastAsia="宋体" w:cs="Times New Roman"/>
                <w:i w:val="0"/>
                <w:iCs w:val="0"/>
                <w:color w:val="auto"/>
                <w:sz w:val="21"/>
                <w:szCs w:val="21"/>
                <w:highlight w:val="none"/>
                <w:u w:val="none"/>
              </w:rPr>
            </w:pPr>
          </w:p>
        </w:tc>
        <w:tc>
          <w:tcPr>
            <w:tcW w:w="1186" w:type="dxa"/>
            <w:tcBorders>
              <w:top w:val="single" w:color="000000" w:sz="4" w:space="0"/>
              <w:left w:val="single" w:color="000000" w:sz="4" w:space="0"/>
              <w:bottom w:val="single" w:color="000000" w:sz="4" w:space="0"/>
              <w:right w:val="single" w:color="000000" w:sz="4" w:space="0"/>
            </w:tcBorders>
            <w:noWrap/>
            <w:vAlign w:val="center"/>
          </w:tcPr>
          <w:p w14:paraId="631385E3">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341" w:type="dxa"/>
            <w:tcBorders>
              <w:top w:val="single" w:color="000000" w:sz="4" w:space="0"/>
              <w:left w:val="single" w:color="000000" w:sz="4" w:space="0"/>
              <w:bottom w:val="single" w:color="000000" w:sz="4" w:space="0"/>
              <w:right w:val="single" w:color="000000" w:sz="4" w:space="0"/>
            </w:tcBorders>
            <w:noWrap/>
            <w:vAlign w:val="center"/>
          </w:tcPr>
          <w:p w14:paraId="1A40608A">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891" w:type="dxa"/>
            <w:tcBorders>
              <w:top w:val="single" w:color="000000" w:sz="4" w:space="0"/>
              <w:left w:val="single" w:color="000000" w:sz="4" w:space="0"/>
              <w:bottom w:val="single" w:color="000000" w:sz="4" w:space="0"/>
              <w:right w:val="single" w:color="000000" w:sz="4" w:space="0"/>
            </w:tcBorders>
            <w:noWrap/>
            <w:vAlign w:val="center"/>
          </w:tcPr>
          <w:p w14:paraId="4B2CEB5E">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603.49 </w:t>
            </w:r>
          </w:p>
        </w:tc>
      </w:tr>
      <w:tr w14:paraId="19A178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42" w:type="pct"/>
            <w:tcBorders>
              <w:top w:val="single" w:color="000000" w:sz="4" w:space="0"/>
              <w:left w:val="single" w:color="000000" w:sz="4" w:space="0"/>
              <w:bottom w:val="single" w:color="000000" w:sz="4" w:space="0"/>
              <w:right w:val="single" w:color="000000" w:sz="4" w:space="0"/>
            </w:tcBorders>
            <w:noWrap/>
            <w:vAlign w:val="bottom"/>
          </w:tcPr>
          <w:p w14:paraId="4667799F">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w:t>
            </w:r>
          </w:p>
        </w:tc>
        <w:tc>
          <w:tcPr>
            <w:tcW w:w="1105" w:type="pct"/>
            <w:tcBorders>
              <w:top w:val="single" w:color="000000" w:sz="4" w:space="0"/>
              <w:left w:val="single" w:color="000000" w:sz="4" w:space="0"/>
              <w:bottom w:val="single" w:color="000000" w:sz="4" w:space="0"/>
              <w:right w:val="single" w:color="000000" w:sz="4" w:space="0"/>
            </w:tcBorders>
            <w:noWrap/>
            <w:vAlign w:val="bottom"/>
          </w:tcPr>
          <w:p w14:paraId="19FDB9BC">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直接工程费</w:t>
            </w:r>
          </w:p>
        </w:tc>
        <w:tc>
          <w:tcPr>
            <w:tcW w:w="560" w:type="pct"/>
            <w:tcBorders>
              <w:top w:val="single" w:color="000000" w:sz="4" w:space="0"/>
              <w:left w:val="single" w:color="000000" w:sz="4" w:space="0"/>
              <w:bottom w:val="single" w:color="000000" w:sz="4" w:space="0"/>
              <w:right w:val="single" w:color="000000" w:sz="4" w:space="0"/>
            </w:tcBorders>
            <w:noWrap/>
            <w:vAlign w:val="bottom"/>
          </w:tcPr>
          <w:p w14:paraId="045E9C30">
            <w:pPr>
              <w:jc w:val="center"/>
              <w:rPr>
                <w:rFonts w:hint="default" w:ascii="Times New Roman" w:hAnsi="Times New Roman" w:eastAsia="宋体" w:cs="Times New Roman"/>
                <w:i w:val="0"/>
                <w:iCs w:val="0"/>
                <w:color w:val="auto"/>
                <w:sz w:val="21"/>
                <w:szCs w:val="21"/>
                <w:highlight w:val="none"/>
                <w:u w:val="none"/>
              </w:rPr>
            </w:pPr>
          </w:p>
        </w:tc>
        <w:tc>
          <w:tcPr>
            <w:tcW w:w="1186" w:type="dxa"/>
            <w:tcBorders>
              <w:top w:val="single" w:color="000000" w:sz="4" w:space="0"/>
              <w:left w:val="single" w:color="000000" w:sz="4" w:space="0"/>
              <w:bottom w:val="single" w:color="000000" w:sz="4" w:space="0"/>
              <w:right w:val="single" w:color="000000" w:sz="4" w:space="0"/>
            </w:tcBorders>
            <w:noWrap/>
            <w:vAlign w:val="center"/>
          </w:tcPr>
          <w:p w14:paraId="53A45418">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341" w:type="dxa"/>
            <w:tcBorders>
              <w:top w:val="single" w:color="000000" w:sz="4" w:space="0"/>
              <w:left w:val="single" w:color="000000" w:sz="4" w:space="0"/>
              <w:bottom w:val="single" w:color="000000" w:sz="4" w:space="0"/>
              <w:right w:val="single" w:color="000000" w:sz="4" w:space="0"/>
            </w:tcBorders>
            <w:noWrap/>
            <w:vAlign w:val="center"/>
          </w:tcPr>
          <w:p w14:paraId="126F1D21">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891" w:type="dxa"/>
            <w:tcBorders>
              <w:top w:val="single" w:color="000000" w:sz="4" w:space="0"/>
              <w:left w:val="single" w:color="000000" w:sz="4" w:space="0"/>
              <w:bottom w:val="single" w:color="000000" w:sz="4" w:space="0"/>
              <w:right w:val="single" w:color="000000" w:sz="4" w:space="0"/>
            </w:tcBorders>
            <w:noWrap/>
            <w:vAlign w:val="center"/>
          </w:tcPr>
          <w:p w14:paraId="1FAC8C19">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581.39 </w:t>
            </w:r>
          </w:p>
        </w:tc>
      </w:tr>
      <w:tr w14:paraId="52B00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42" w:type="pct"/>
            <w:tcBorders>
              <w:top w:val="single" w:color="000000" w:sz="4" w:space="0"/>
              <w:left w:val="single" w:color="000000" w:sz="4" w:space="0"/>
              <w:bottom w:val="single" w:color="000000" w:sz="4" w:space="0"/>
              <w:right w:val="single" w:color="000000" w:sz="4" w:space="0"/>
            </w:tcBorders>
            <w:noWrap/>
            <w:vAlign w:val="bottom"/>
          </w:tcPr>
          <w:p w14:paraId="12465D59">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 </w:t>
            </w:r>
          </w:p>
        </w:tc>
        <w:tc>
          <w:tcPr>
            <w:tcW w:w="1105" w:type="pct"/>
            <w:tcBorders>
              <w:top w:val="single" w:color="000000" w:sz="4" w:space="0"/>
              <w:left w:val="single" w:color="000000" w:sz="4" w:space="0"/>
              <w:bottom w:val="single" w:color="000000" w:sz="4" w:space="0"/>
              <w:right w:val="single" w:color="000000" w:sz="4" w:space="0"/>
            </w:tcBorders>
            <w:noWrap/>
            <w:vAlign w:val="bottom"/>
          </w:tcPr>
          <w:p w14:paraId="1BEEB77C">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人工费</w:t>
            </w:r>
          </w:p>
        </w:tc>
        <w:tc>
          <w:tcPr>
            <w:tcW w:w="560" w:type="pct"/>
            <w:tcBorders>
              <w:top w:val="single" w:color="000000" w:sz="4" w:space="0"/>
              <w:left w:val="single" w:color="000000" w:sz="4" w:space="0"/>
              <w:bottom w:val="single" w:color="000000" w:sz="4" w:space="0"/>
              <w:right w:val="single" w:color="000000" w:sz="4" w:space="0"/>
            </w:tcBorders>
            <w:noWrap/>
            <w:vAlign w:val="bottom"/>
          </w:tcPr>
          <w:p w14:paraId="3ED399A2">
            <w:pPr>
              <w:jc w:val="center"/>
              <w:rPr>
                <w:rFonts w:hint="default" w:ascii="Times New Roman" w:hAnsi="Times New Roman" w:eastAsia="宋体" w:cs="Times New Roman"/>
                <w:i w:val="0"/>
                <w:iCs w:val="0"/>
                <w:color w:val="auto"/>
                <w:sz w:val="21"/>
                <w:szCs w:val="21"/>
                <w:highlight w:val="none"/>
                <w:u w:val="none"/>
              </w:rPr>
            </w:pPr>
          </w:p>
        </w:tc>
        <w:tc>
          <w:tcPr>
            <w:tcW w:w="1186" w:type="dxa"/>
            <w:tcBorders>
              <w:top w:val="single" w:color="000000" w:sz="4" w:space="0"/>
              <w:left w:val="single" w:color="000000" w:sz="4" w:space="0"/>
              <w:bottom w:val="single" w:color="000000" w:sz="4" w:space="0"/>
              <w:right w:val="single" w:color="000000" w:sz="4" w:space="0"/>
            </w:tcBorders>
            <w:noWrap/>
            <w:vAlign w:val="center"/>
          </w:tcPr>
          <w:p w14:paraId="0D17403E">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341" w:type="dxa"/>
            <w:tcBorders>
              <w:top w:val="single" w:color="000000" w:sz="4" w:space="0"/>
              <w:left w:val="single" w:color="000000" w:sz="4" w:space="0"/>
              <w:bottom w:val="single" w:color="000000" w:sz="4" w:space="0"/>
              <w:right w:val="single" w:color="000000" w:sz="4" w:space="0"/>
            </w:tcBorders>
            <w:noWrap/>
            <w:vAlign w:val="center"/>
          </w:tcPr>
          <w:p w14:paraId="52EC46FC">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891" w:type="dxa"/>
            <w:tcBorders>
              <w:top w:val="single" w:color="000000" w:sz="4" w:space="0"/>
              <w:left w:val="single" w:color="000000" w:sz="4" w:space="0"/>
              <w:bottom w:val="single" w:color="000000" w:sz="4" w:space="0"/>
              <w:right w:val="single" w:color="000000" w:sz="4" w:space="0"/>
            </w:tcBorders>
            <w:noWrap/>
            <w:vAlign w:val="center"/>
          </w:tcPr>
          <w:p w14:paraId="28339B63">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58.55 </w:t>
            </w:r>
          </w:p>
        </w:tc>
      </w:tr>
      <w:tr w14:paraId="6668A9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42" w:type="pct"/>
            <w:tcBorders>
              <w:top w:val="single" w:color="000000" w:sz="4" w:space="0"/>
              <w:left w:val="single" w:color="000000" w:sz="4" w:space="0"/>
              <w:bottom w:val="single" w:color="000000" w:sz="4" w:space="0"/>
              <w:right w:val="single" w:color="000000" w:sz="4" w:space="0"/>
            </w:tcBorders>
            <w:noWrap/>
            <w:vAlign w:val="bottom"/>
          </w:tcPr>
          <w:p w14:paraId="03809C62">
            <w:pPr>
              <w:jc w:val="center"/>
              <w:rPr>
                <w:rFonts w:hint="default" w:ascii="Times New Roman" w:hAnsi="Times New Roman" w:eastAsia="宋体" w:cs="Times New Roman"/>
                <w:i w:val="0"/>
                <w:iCs w:val="0"/>
                <w:color w:val="auto"/>
                <w:sz w:val="21"/>
                <w:szCs w:val="21"/>
                <w:highlight w:val="none"/>
                <w:u w:val="none"/>
              </w:rPr>
            </w:pPr>
          </w:p>
        </w:tc>
        <w:tc>
          <w:tcPr>
            <w:tcW w:w="1105" w:type="pct"/>
            <w:tcBorders>
              <w:top w:val="single" w:color="000000" w:sz="4" w:space="0"/>
              <w:left w:val="single" w:color="000000" w:sz="4" w:space="0"/>
              <w:bottom w:val="single" w:color="000000" w:sz="4" w:space="0"/>
              <w:right w:val="single" w:color="000000" w:sz="4" w:space="0"/>
            </w:tcBorders>
            <w:noWrap/>
            <w:vAlign w:val="bottom"/>
          </w:tcPr>
          <w:p w14:paraId="2180BF5D">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甲类工</w:t>
            </w:r>
          </w:p>
        </w:tc>
        <w:tc>
          <w:tcPr>
            <w:tcW w:w="560" w:type="pct"/>
            <w:tcBorders>
              <w:top w:val="single" w:color="000000" w:sz="4" w:space="0"/>
              <w:left w:val="single" w:color="000000" w:sz="4" w:space="0"/>
              <w:bottom w:val="single" w:color="000000" w:sz="4" w:space="0"/>
              <w:right w:val="single" w:color="000000" w:sz="4" w:space="0"/>
            </w:tcBorders>
            <w:noWrap/>
            <w:vAlign w:val="bottom"/>
          </w:tcPr>
          <w:p w14:paraId="770C5567">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工日</w:t>
            </w:r>
          </w:p>
        </w:tc>
        <w:tc>
          <w:tcPr>
            <w:tcW w:w="1186" w:type="dxa"/>
            <w:tcBorders>
              <w:top w:val="single" w:color="000000" w:sz="4" w:space="0"/>
              <w:left w:val="single" w:color="000000" w:sz="4" w:space="0"/>
              <w:bottom w:val="single" w:color="000000" w:sz="4" w:space="0"/>
              <w:right w:val="single" w:color="000000" w:sz="4" w:space="0"/>
            </w:tcBorders>
            <w:noWrap/>
            <w:vAlign w:val="center"/>
          </w:tcPr>
          <w:p w14:paraId="5CCCBEDC">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 </w:t>
            </w:r>
          </w:p>
        </w:tc>
        <w:tc>
          <w:tcPr>
            <w:tcW w:w="1341" w:type="dxa"/>
            <w:tcBorders>
              <w:top w:val="single" w:color="000000" w:sz="4" w:space="0"/>
              <w:left w:val="single" w:color="000000" w:sz="4" w:space="0"/>
              <w:bottom w:val="single" w:color="000000" w:sz="4" w:space="0"/>
              <w:right w:val="single" w:color="000000" w:sz="4" w:space="0"/>
            </w:tcBorders>
            <w:noWrap/>
            <w:vAlign w:val="center"/>
          </w:tcPr>
          <w:p w14:paraId="7F6104C1">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51.04 </w:t>
            </w:r>
          </w:p>
        </w:tc>
        <w:tc>
          <w:tcPr>
            <w:tcW w:w="1891" w:type="dxa"/>
            <w:tcBorders>
              <w:top w:val="single" w:color="000000" w:sz="4" w:space="0"/>
              <w:left w:val="single" w:color="000000" w:sz="4" w:space="0"/>
              <w:bottom w:val="single" w:color="000000" w:sz="4" w:space="0"/>
              <w:right w:val="single" w:color="000000" w:sz="4" w:space="0"/>
            </w:tcBorders>
            <w:noWrap/>
            <w:vAlign w:val="center"/>
          </w:tcPr>
          <w:p w14:paraId="4F285848">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 </w:t>
            </w:r>
          </w:p>
        </w:tc>
      </w:tr>
      <w:tr w14:paraId="6021E6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42" w:type="pct"/>
            <w:tcBorders>
              <w:top w:val="single" w:color="000000" w:sz="4" w:space="0"/>
              <w:left w:val="single" w:color="000000" w:sz="4" w:space="0"/>
              <w:bottom w:val="single" w:color="000000" w:sz="4" w:space="0"/>
              <w:right w:val="single" w:color="000000" w:sz="4" w:space="0"/>
            </w:tcBorders>
            <w:noWrap/>
            <w:vAlign w:val="bottom"/>
          </w:tcPr>
          <w:p w14:paraId="3D584349">
            <w:pPr>
              <w:jc w:val="center"/>
              <w:rPr>
                <w:rFonts w:hint="default" w:ascii="Times New Roman" w:hAnsi="Times New Roman" w:eastAsia="宋体" w:cs="Times New Roman"/>
                <w:i w:val="0"/>
                <w:iCs w:val="0"/>
                <w:color w:val="auto"/>
                <w:sz w:val="21"/>
                <w:szCs w:val="21"/>
                <w:highlight w:val="none"/>
                <w:u w:val="none"/>
              </w:rPr>
            </w:pPr>
          </w:p>
        </w:tc>
        <w:tc>
          <w:tcPr>
            <w:tcW w:w="1105" w:type="pct"/>
            <w:tcBorders>
              <w:top w:val="single" w:color="000000" w:sz="4" w:space="0"/>
              <w:left w:val="single" w:color="000000" w:sz="4" w:space="0"/>
              <w:bottom w:val="single" w:color="000000" w:sz="4" w:space="0"/>
              <w:right w:val="single" w:color="000000" w:sz="4" w:space="0"/>
            </w:tcBorders>
            <w:noWrap/>
            <w:vAlign w:val="bottom"/>
          </w:tcPr>
          <w:p w14:paraId="3FF41798">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乙类工</w:t>
            </w:r>
          </w:p>
        </w:tc>
        <w:tc>
          <w:tcPr>
            <w:tcW w:w="560" w:type="pct"/>
            <w:tcBorders>
              <w:top w:val="single" w:color="000000" w:sz="4" w:space="0"/>
              <w:left w:val="single" w:color="000000" w:sz="4" w:space="0"/>
              <w:bottom w:val="single" w:color="000000" w:sz="4" w:space="0"/>
              <w:right w:val="single" w:color="000000" w:sz="4" w:space="0"/>
            </w:tcBorders>
            <w:noWrap/>
            <w:vAlign w:val="bottom"/>
          </w:tcPr>
          <w:p w14:paraId="1186EEBA">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工日</w:t>
            </w:r>
          </w:p>
        </w:tc>
        <w:tc>
          <w:tcPr>
            <w:tcW w:w="1186" w:type="dxa"/>
            <w:tcBorders>
              <w:top w:val="single" w:color="000000" w:sz="4" w:space="0"/>
              <w:left w:val="single" w:color="000000" w:sz="4" w:space="0"/>
              <w:bottom w:val="single" w:color="000000" w:sz="4" w:space="0"/>
              <w:right w:val="single" w:color="000000" w:sz="4" w:space="0"/>
            </w:tcBorders>
            <w:noWrap/>
            <w:vAlign w:val="center"/>
          </w:tcPr>
          <w:p w14:paraId="6FCB34E2">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1.50 </w:t>
            </w:r>
          </w:p>
        </w:tc>
        <w:tc>
          <w:tcPr>
            <w:tcW w:w="1341" w:type="dxa"/>
            <w:tcBorders>
              <w:top w:val="single" w:color="000000" w:sz="4" w:space="0"/>
              <w:left w:val="single" w:color="000000" w:sz="4" w:space="0"/>
              <w:bottom w:val="single" w:color="000000" w:sz="4" w:space="0"/>
              <w:right w:val="single" w:color="000000" w:sz="4" w:space="0"/>
            </w:tcBorders>
            <w:noWrap/>
            <w:vAlign w:val="center"/>
          </w:tcPr>
          <w:p w14:paraId="471DC083">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38.84 </w:t>
            </w:r>
          </w:p>
        </w:tc>
        <w:tc>
          <w:tcPr>
            <w:tcW w:w="1891" w:type="dxa"/>
            <w:tcBorders>
              <w:top w:val="single" w:color="000000" w:sz="4" w:space="0"/>
              <w:left w:val="single" w:color="000000" w:sz="4" w:space="0"/>
              <w:bottom w:val="single" w:color="000000" w:sz="4" w:space="0"/>
              <w:right w:val="single" w:color="000000" w:sz="4" w:space="0"/>
            </w:tcBorders>
            <w:noWrap/>
            <w:vAlign w:val="center"/>
          </w:tcPr>
          <w:p w14:paraId="70B304E6">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58.26 </w:t>
            </w:r>
          </w:p>
        </w:tc>
      </w:tr>
      <w:tr w14:paraId="66067E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42" w:type="pct"/>
            <w:tcBorders>
              <w:top w:val="single" w:color="000000" w:sz="4" w:space="0"/>
              <w:left w:val="single" w:color="000000" w:sz="4" w:space="0"/>
              <w:bottom w:val="single" w:color="000000" w:sz="4" w:space="0"/>
              <w:right w:val="single" w:color="000000" w:sz="4" w:space="0"/>
            </w:tcBorders>
            <w:noWrap/>
            <w:vAlign w:val="bottom"/>
          </w:tcPr>
          <w:p w14:paraId="29533E3F">
            <w:pPr>
              <w:jc w:val="center"/>
              <w:rPr>
                <w:rFonts w:hint="default" w:ascii="Times New Roman" w:hAnsi="Times New Roman" w:eastAsia="宋体" w:cs="Times New Roman"/>
                <w:i w:val="0"/>
                <w:iCs w:val="0"/>
                <w:color w:val="auto"/>
                <w:sz w:val="21"/>
                <w:szCs w:val="21"/>
                <w:highlight w:val="none"/>
                <w:u w:val="none"/>
              </w:rPr>
            </w:pPr>
          </w:p>
        </w:tc>
        <w:tc>
          <w:tcPr>
            <w:tcW w:w="1105" w:type="pct"/>
            <w:tcBorders>
              <w:top w:val="single" w:color="000000" w:sz="4" w:space="0"/>
              <w:left w:val="single" w:color="000000" w:sz="4" w:space="0"/>
              <w:bottom w:val="single" w:color="000000" w:sz="4" w:space="0"/>
              <w:right w:val="single" w:color="000000" w:sz="4" w:space="0"/>
            </w:tcBorders>
            <w:noWrap/>
            <w:vAlign w:val="bottom"/>
          </w:tcPr>
          <w:p w14:paraId="2705DE6D">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其他费用</w:t>
            </w:r>
          </w:p>
        </w:tc>
        <w:tc>
          <w:tcPr>
            <w:tcW w:w="560" w:type="pct"/>
            <w:tcBorders>
              <w:top w:val="single" w:color="000000" w:sz="4" w:space="0"/>
              <w:left w:val="single" w:color="000000" w:sz="4" w:space="0"/>
              <w:bottom w:val="single" w:color="000000" w:sz="4" w:space="0"/>
              <w:right w:val="single" w:color="000000" w:sz="4" w:space="0"/>
            </w:tcBorders>
            <w:noWrap/>
            <w:vAlign w:val="bottom"/>
          </w:tcPr>
          <w:p w14:paraId="1CC3A0C2">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186" w:type="dxa"/>
            <w:tcBorders>
              <w:top w:val="single" w:color="000000" w:sz="4" w:space="0"/>
              <w:left w:val="single" w:color="000000" w:sz="4" w:space="0"/>
              <w:bottom w:val="single" w:color="000000" w:sz="4" w:space="0"/>
              <w:right w:val="single" w:color="000000" w:sz="4" w:space="0"/>
            </w:tcBorders>
            <w:noWrap/>
            <w:vAlign w:val="center"/>
          </w:tcPr>
          <w:p w14:paraId="1DEC4971">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0.50 </w:t>
            </w:r>
          </w:p>
        </w:tc>
        <w:tc>
          <w:tcPr>
            <w:tcW w:w="1341" w:type="dxa"/>
            <w:tcBorders>
              <w:top w:val="single" w:color="000000" w:sz="4" w:space="0"/>
              <w:left w:val="single" w:color="000000" w:sz="4" w:space="0"/>
              <w:bottom w:val="single" w:color="000000" w:sz="4" w:space="0"/>
              <w:right w:val="single" w:color="000000" w:sz="4" w:space="0"/>
            </w:tcBorders>
            <w:noWrap/>
            <w:vAlign w:val="center"/>
          </w:tcPr>
          <w:p w14:paraId="06D23392">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58.26 </w:t>
            </w:r>
          </w:p>
        </w:tc>
        <w:tc>
          <w:tcPr>
            <w:tcW w:w="1891" w:type="dxa"/>
            <w:tcBorders>
              <w:top w:val="single" w:color="000000" w:sz="4" w:space="0"/>
              <w:left w:val="single" w:color="000000" w:sz="4" w:space="0"/>
              <w:bottom w:val="single" w:color="000000" w:sz="4" w:space="0"/>
              <w:right w:val="single" w:color="000000" w:sz="4" w:space="0"/>
            </w:tcBorders>
            <w:noWrap/>
            <w:vAlign w:val="center"/>
          </w:tcPr>
          <w:p w14:paraId="28B20826">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0.29 </w:t>
            </w:r>
          </w:p>
        </w:tc>
      </w:tr>
      <w:tr w14:paraId="36E74C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42" w:type="pct"/>
            <w:tcBorders>
              <w:top w:val="single" w:color="000000" w:sz="4" w:space="0"/>
              <w:left w:val="single" w:color="000000" w:sz="4" w:space="0"/>
              <w:bottom w:val="single" w:color="000000" w:sz="4" w:space="0"/>
              <w:right w:val="single" w:color="000000" w:sz="4" w:space="0"/>
            </w:tcBorders>
            <w:noWrap/>
            <w:vAlign w:val="bottom"/>
          </w:tcPr>
          <w:p w14:paraId="24E1B763">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 </w:t>
            </w:r>
          </w:p>
        </w:tc>
        <w:tc>
          <w:tcPr>
            <w:tcW w:w="1105" w:type="pct"/>
            <w:tcBorders>
              <w:top w:val="single" w:color="000000" w:sz="4" w:space="0"/>
              <w:left w:val="single" w:color="000000" w:sz="4" w:space="0"/>
              <w:bottom w:val="single" w:color="000000" w:sz="4" w:space="0"/>
              <w:right w:val="single" w:color="000000" w:sz="4" w:space="0"/>
            </w:tcBorders>
            <w:noWrap/>
            <w:vAlign w:val="bottom"/>
          </w:tcPr>
          <w:p w14:paraId="3F3A7B75">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材料费</w:t>
            </w:r>
          </w:p>
        </w:tc>
        <w:tc>
          <w:tcPr>
            <w:tcW w:w="560" w:type="pct"/>
            <w:tcBorders>
              <w:top w:val="single" w:color="000000" w:sz="4" w:space="0"/>
              <w:left w:val="single" w:color="000000" w:sz="4" w:space="0"/>
              <w:bottom w:val="single" w:color="000000" w:sz="4" w:space="0"/>
              <w:right w:val="single" w:color="000000" w:sz="4" w:space="0"/>
            </w:tcBorders>
            <w:noWrap/>
            <w:vAlign w:val="bottom"/>
          </w:tcPr>
          <w:p w14:paraId="159E6470">
            <w:pPr>
              <w:jc w:val="center"/>
              <w:rPr>
                <w:rFonts w:hint="default" w:ascii="Times New Roman" w:hAnsi="Times New Roman" w:eastAsia="宋体" w:cs="Times New Roman"/>
                <w:i w:val="0"/>
                <w:iCs w:val="0"/>
                <w:color w:val="auto"/>
                <w:sz w:val="21"/>
                <w:szCs w:val="21"/>
                <w:highlight w:val="none"/>
                <w:u w:val="none"/>
              </w:rPr>
            </w:pPr>
          </w:p>
        </w:tc>
        <w:tc>
          <w:tcPr>
            <w:tcW w:w="1186" w:type="dxa"/>
            <w:tcBorders>
              <w:top w:val="single" w:color="000000" w:sz="4" w:space="0"/>
              <w:left w:val="single" w:color="000000" w:sz="4" w:space="0"/>
              <w:bottom w:val="single" w:color="000000" w:sz="4" w:space="0"/>
              <w:right w:val="single" w:color="000000" w:sz="4" w:space="0"/>
            </w:tcBorders>
            <w:noWrap/>
            <w:vAlign w:val="center"/>
          </w:tcPr>
          <w:p w14:paraId="6AF6B5DB">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341" w:type="dxa"/>
            <w:tcBorders>
              <w:top w:val="single" w:color="000000" w:sz="4" w:space="0"/>
              <w:left w:val="single" w:color="000000" w:sz="4" w:space="0"/>
              <w:bottom w:val="single" w:color="000000" w:sz="4" w:space="0"/>
              <w:right w:val="single" w:color="000000" w:sz="4" w:space="0"/>
            </w:tcBorders>
            <w:noWrap/>
            <w:vAlign w:val="center"/>
          </w:tcPr>
          <w:p w14:paraId="11952D02">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891" w:type="dxa"/>
            <w:tcBorders>
              <w:top w:val="single" w:color="000000" w:sz="4" w:space="0"/>
              <w:left w:val="single" w:color="000000" w:sz="4" w:space="0"/>
              <w:bottom w:val="single" w:color="000000" w:sz="4" w:space="0"/>
              <w:right w:val="single" w:color="000000" w:sz="4" w:space="0"/>
            </w:tcBorders>
            <w:noWrap/>
            <w:vAlign w:val="center"/>
          </w:tcPr>
          <w:p w14:paraId="0B567B91">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522.84 </w:t>
            </w:r>
          </w:p>
        </w:tc>
      </w:tr>
      <w:tr w14:paraId="5A2C9C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42" w:type="pct"/>
            <w:tcBorders>
              <w:top w:val="single" w:color="000000" w:sz="4" w:space="0"/>
              <w:left w:val="single" w:color="000000" w:sz="4" w:space="0"/>
              <w:bottom w:val="single" w:color="000000" w:sz="4" w:space="0"/>
              <w:right w:val="single" w:color="000000" w:sz="4" w:space="0"/>
            </w:tcBorders>
            <w:noWrap/>
            <w:vAlign w:val="bottom"/>
          </w:tcPr>
          <w:p w14:paraId="35611DDD">
            <w:pPr>
              <w:jc w:val="center"/>
              <w:rPr>
                <w:rFonts w:hint="default" w:ascii="Times New Roman" w:hAnsi="Times New Roman" w:eastAsia="宋体" w:cs="Times New Roman"/>
                <w:i w:val="0"/>
                <w:iCs w:val="0"/>
                <w:color w:val="auto"/>
                <w:sz w:val="21"/>
                <w:szCs w:val="21"/>
                <w:highlight w:val="none"/>
                <w:u w:val="none"/>
              </w:rPr>
            </w:pPr>
          </w:p>
        </w:tc>
        <w:tc>
          <w:tcPr>
            <w:tcW w:w="1105" w:type="pct"/>
            <w:tcBorders>
              <w:top w:val="single" w:color="000000" w:sz="4" w:space="0"/>
              <w:left w:val="single" w:color="000000" w:sz="4" w:space="0"/>
              <w:bottom w:val="single" w:color="000000" w:sz="4" w:space="0"/>
              <w:right w:val="single" w:color="000000" w:sz="4" w:space="0"/>
            </w:tcBorders>
            <w:noWrap/>
            <w:vAlign w:val="bottom"/>
          </w:tcPr>
          <w:p w14:paraId="60167AC6">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树苗</w:t>
            </w:r>
          </w:p>
        </w:tc>
        <w:tc>
          <w:tcPr>
            <w:tcW w:w="560" w:type="pct"/>
            <w:tcBorders>
              <w:top w:val="single" w:color="000000" w:sz="4" w:space="0"/>
              <w:left w:val="single" w:color="000000" w:sz="4" w:space="0"/>
              <w:bottom w:val="single" w:color="000000" w:sz="4" w:space="0"/>
              <w:right w:val="single" w:color="000000" w:sz="4" w:space="0"/>
            </w:tcBorders>
            <w:noWrap/>
            <w:vAlign w:val="bottom"/>
          </w:tcPr>
          <w:p w14:paraId="36ADA08B">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株</w:t>
            </w:r>
          </w:p>
        </w:tc>
        <w:tc>
          <w:tcPr>
            <w:tcW w:w="1186" w:type="dxa"/>
            <w:tcBorders>
              <w:top w:val="single" w:color="000000" w:sz="4" w:space="0"/>
              <w:left w:val="single" w:color="000000" w:sz="4" w:space="0"/>
              <w:bottom w:val="single" w:color="000000" w:sz="4" w:space="0"/>
              <w:right w:val="single" w:color="000000" w:sz="4" w:space="0"/>
            </w:tcBorders>
            <w:noWrap/>
            <w:vAlign w:val="center"/>
          </w:tcPr>
          <w:p w14:paraId="677D4C9D">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102.00 </w:t>
            </w:r>
          </w:p>
        </w:tc>
        <w:tc>
          <w:tcPr>
            <w:tcW w:w="1341" w:type="dxa"/>
            <w:tcBorders>
              <w:top w:val="single" w:color="000000" w:sz="4" w:space="0"/>
              <w:left w:val="single" w:color="000000" w:sz="4" w:space="0"/>
              <w:bottom w:val="single" w:color="000000" w:sz="4" w:space="0"/>
              <w:right w:val="single" w:color="000000" w:sz="4" w:space="0"/>
            </w:tcBorders>
            <w:noWrap/>
            <w:vAlign w:val="center"/>
          </w:tcPr>
          <w:p w14:paraId="4E41A65D">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5.00 </w:t>
            </w:r>
          </w:p>
        </w:tc>
        <w:tc>
          <w:tcPr>
            <w:tcW w:w="1891" w:type="dxa"/>
            <w:tcBorders>
              <w:top w:val="single" w:color="000000" w:sz="4" w:space="0"/>
              <w:left w:val="single" w:color="000000" w:sz="4" w:space="0"/>
              <w:bottom w:val="single" w:color="000000" w:sz="4" w:space="0"/>
              <w:right w:val="single" w:color="000000" w:sz="4" w:space="0"/>
            </w:tcBorders>
            <w:noWrap/>
            <w:vAlign w:val="center"/>
          </w:tcPr>
          <w:p w14:paraId="170F6FA7">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510.00 </w:t>
            </w:r>
          </w:p>
        </w:tc>
      </w:tr>
      <w:tr w14:paraId="5DF103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9" w:hRule="atLeast"/>
        </w:trPr>
        <w:tc>
          <w:tcPr>
            <w:tcW w:w="742" w:type="pct"/>
            <w:tcBorders>
              <w:top w:val="single" w:color="000000" w:sz="4" w:space="0"/>
              <w:left w:val="single" w:color="000000" w:sz="4" w:space="0"/>
              <w:bottom w:val="single" w:color="000000" w:sz="4" w:space="0"/>
              <w:right w:val="single" w:color="000000" w:sz="4" w:space="0"/>
            </w:tcBorders>
            <w:noWrap/>
            <w:vAlign w:val="bottom"/>
          </w:tcPr>
          <w:p w14:paraId="274D73B6">
            <w:pPr>
              <w:jc w:val="center"/>
              <w:rPr>
                <w:rFonts w:hint="default" w:ascii="Times New Roman" w:hAnsi="Times New Roman" w:eastAsia="宋体" w:cs="Times New Roman"/>
                <w:i w:val="0"/>
                <w:iCs w:val="0"/>
                <w:color w:val="auto"/>
                <w:sz w:val="21"/>
                <w:szCs w:val="21"/>
                <w:highlight w:val="none"/>
                <w:u w:val="none"/>
              </w:rPr>
            </w:pPr>
          </w:p>
        </w:tc>
        <w:tc>
          <w:tcPr>
            <w:tcW w:w="1105" w:type="pct"/>
            <w:tcBorders>
              <w:top w:val="single" w:color="000000" w:sz="4" w:space="0"/>
              <w:left w:val="single" w:color="000000" w:sz="4" w:space="0"/>
              <w:bottom w:val="single" w:color="000000" w:sz="4" w:space="0"/>
              <w:right w:val="single" w:color="000000" w:sz="4" w:space="0"/>
            </w:tcBorders>
            <w:noWrap/>
            <w:vAlign w:val="bottom"/>
          </w:tcPr>
          <w:p w14:paraId="3EBD5E0F">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水</w:t>
            </w:r>
          </w:p>
        </w:tc>
        <w:tc>
          <w:tcPr>
            <w:tcW w:w="560" w:type="pct"/>
            <w:tcBorders>
              <w:top w:val="single" w:color="000000" w:sz="4" w:space="0"/>
              <w:left w:val="single" w:color="000000" w:sz="4" w:space="0"/>
              <w:bottom w:val="single" w:color="000000" w:sz="4" w:space="0"/>
              <w:right w:val="single" w:color="000000" w:sz="4" w:space="0"/>
            </w:tcBorders>
            <w:noWrap/>
            <w:vAlign w:val="bottom"/>
          </w:tcPr>
          <w:p w14:paraId="782961F6">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cs="Times New Roman"/>
                <w:i w:val="0"/>
                <w:iCs w:val="0"/>
                <w:color w:val="auto"/>
                <w:kern w:val="0"/>
                <w:sz w:val="21"/>
                <w:szCs w:val="21"/>
                <w:highlight w:val="none"/>
                <w:u w:val="none"/>
                <w:lang w:val="en-US" w:eastAsia="zh-CN" w:bidi="ar"/>
              </w:rPr>
              <w:t>m</w:t>
            </w:r>
            <w:r>
              <w:rPr>
                <w:rFonts w:hint="default" w:ascii="Times New Roman" w:hAnsi="Times New Roman" w:cs="Times New Roman"/>
                <w:i w:val="0"/>
                <w:iCs w:val="0"/>
                <w:color w:val="auto"/>
                <w:kern w:val="0"/>
                <w:sz w:val="21"/>
                <w:szCs w:val="21"/>
                <w:highlight w:val="none"/>
                <w:u w:val="none"/>
                <w:vertAlign w:val="superscript"/>
                <w:lang w:val="en-US" w:eastAsia="zh-CN" w:bidi="ar"/>
              </w:rPr>
              <w:t>3</w:t>
            </w:r>
          </w:p>
        </w:tc>
        <w:tc>
          <w:tcPr>
            <w:tcW w:w="1186" w:type="dxa"/>
            <w:tcBorders>
              <w:top w:val="single" w:color="000000" w:sz="4" w:space="0"/>
              <w:left w:val="single" w:color="000000" w:sz="4" w:space="0"/>
              <w:bottom w:val="single" w:color="000000" w:sz="4" w:space="0"/>
              <w:right w:val="single" w:color="000000" w:sz="4" w:space="0"/>
            </w:tcBorders>
            <w:noWrap/>
            <w:vAlign w:val="center"/>
          </w:tcPr>
          <w:p w14:paraId="03603B0A">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3.20 </w:t>
            </w:r>
          </w:p>
        </w:tc>
        <w:tc>
          <w:tcPr>
            <w:tcW w:w="1341" w:type="dxa"/>
            <w:tcBorders>
              <w:top w:val="single" w:color="000000" w:sz="4" w:space="0"/>
              <w:left w:val="single" w:color="000000" w:sz="4" w:space="0"/>
              <w:bottom w:val="single" w:color="000000" w:sz="4" w:space="0"/>
              <w:right w:val="single" w:color="000000" w:sz="4" w:space="0"/>
            </w:tcBorders>
            <w:noWrap/>
            <w:vAlign w:val="center"/>
          </w:tcPr>
          <w:p w14:paraId="685FFEEB">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3.20 </w:t>
            </w:r>
          </w:p>
        </w:tc>
        <w:tc>
          <w:tcPr>
            <w:tcW w:w="1891" w:type="dxa"/>
            <w:tcBorders>
              <w:top w:val="single" w:color="000000" w:sz="4" w:space="0"/>
              <w:left w:val="single" w:color="000000" w:sz="4" w:space="0"/>
              <w:bottom w:val="single" w:color="000000" w:sz="4" w:space="0"/>
              <w:right w:val="single" w:color="000000" w:sz="4" w:space="0"/>
            </w:tcBorders>
            <w:noWrap/>
            <w:vAlign w:val="center"/>
          </w:tcPr>
          <w:p w14:paraId="0EDCE5F6">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10.24 </w:t>
            </w:r>
          </w:p>
        </w:tc>
      </w:tr>
      <w:tr w14:paraId="34D3B8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42" w:type="pct"/>
            <w:tcBorders>
              <w:top w:val="single" w:color="000000" w:sz="4" w:space="0"/>
              <w:left w:val="single" w:color="000000" w:sz="4" w:space="0"/>
              <w:bottom w:val="single" w:color="000000" w:sz="4" w:space="0"/>
              <w:right w:val="single" w:color="000000" w:sz="4" w:space="0"/>
            </w:tcBorders>
            <w:noWrap/>
            <w:vAlign w:val="bottom"/>
          </w:tcPr>
          <w:p w14:paraId="50C0D14B">
            <w:pPr>
              <w:jc w:val="center"/>
              <w:rPr>
                <w:rFonts w:hint="default" w:ascii="Times New Roman" w:hAnsi="Times New Roman" w:eastAsia="宋体" w:cs="Times New Roman"/>
                <w:i w:val="0"/>
                <w:iCs w:val="0"/>
                <w:color w:val="auto"/>
                <w:sz w:val="21"/>
                <w:szCs w:val="21"/>
                <w:highlight w:val="none"/>
                <w:u w:val="none"/>
              </w:rPr>
            </w:pPr>
          </w:p>
        </w:tc>
        <w:tc>
          <w:tcPr>
            <w:tcW w:w="1105" w:type="pct"/>
            <w:tcBorders>
              <w:top w:val="single" w:color="000000" w:sz="4" w:space="0"/>
              <w:left w:val="single" w:color="000000" w:sz="4" w:space="0"/>
              <w:bottom w:val="single" w:color="000000" w:sz="4" w:space="0"/>
              <w:right w:val="single" w:color="000000" w:sz="4" w:space="0"/>
            </w:tcBorders>
            <w:noWrap/>
            <w:vAlign w:val="bottom"/>
          </w:tcPr>
          <w:p w14:paraId="1D875185">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其他费用</w:t>
            </w:r>
          </w:p>
        </w:tc>
        <w:tc>
          <w:tcPr>
            <w:tcW w:w="560" w:type="pct"/>
            <w:tcBorders>
              <w:top w:val="single" w:color="000000" w:sz="4" w:space="0"/>
              <w:left w:val="single" w:color="000000" w:sz="4" w:space="0"/>
              <w:bottom w:val="single" w:color="000000" w:sz="4" w:space="0"/>
              <w:right w:val="single" w:color="000000" w:sz="4" w:space="0"/>
            </w:tcBorders>
            <w:noWrap/>
            <w:vAlign w:val="bottom"/>
          </w:tcPr>
          <w:p w14:paraId="28F50484">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186" w:type="dxa"/>
            <w:tcBorders>
              <w:top w:val="single" w:color="000000" w:sz="4" w:space="0"/>
              <w:left w:val="single" w:color="000000" w:sz="4" w:space="0"/>
              <w:bottom w:val="single" w:color="000000" w:sz="4" w:space="0"/>
              <w:right w:val="single" w:color="000000" w:sz="4" w:space="0"/>
            </w:tcBorders>
            <w:noWrap/>
            <w:vAlign w:val="center"/>
          </w:tcPr>
          <w:p w14:paraId="4CDC2FAC">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0.50 </w:t>
            </w:r>
          </w:p>
        </w:tc>
        <w:tc>
          <w:tcPr>
            <w:tcW w:w="1341" w:type="dxa"/>
            <w:tcBorders>
              <w:top w:val="single" w:color="000000" w:sz="4" w:space="0"/>
              <w:left w:val="single" w:color="000000" w:sz="4" w:space="0"/>
              <w:bottom w:val="single" w:color="000000" w:sz="4" w:space="0"/>
              <w:right w:val="single" w:color="000000" w:sz="4" w:space="0"/>
            </w:tcBorders>
            <w:noWrap/>
            <w:vAlign w:val="center"/>
          </w:tcPr>
          <w:p w14:paraId="305633CA">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520.24 </w:t>
            </w:r>
          </w:p>
        </w:tc>
        <w:tc>
          <w:tcPr>
            <w:tcW w:w="1891" w:type="dxa"/>
            <w:tcBorders>
              <w:top w:val="single" w:color="000000" w:sz="4" w:space="0"/>
              <w:left w:val="single" w:color="000000" w:sz="4" w:space="0"/>
              <w:bottom w:val="single" w:color="000000" w:sz="4" w:space="0"/>
              <w:right w:val="single" w:color="000000" w:sz="4" w:space="0"/>
            </w:tcBorders>
            <w:noWrap/>
            <w:vAlign w:val="center"/>
          </w:tcPr>
          <w:p w14:paraId="33FA7A2D">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2.60 </w:t>
            </w:r>
          </w:p>
        </w:tc>
      </w:tr>
      <w:tr w14:paraId="19FE70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42" w:type="pct"/>
            <w:tcBorders>
              <w:top w:val="single" w:color="000000" w:sz="4" w:space="0"/>
              <w:left w:val="single" w:color="000000" w:sz="4" w:space="0"/>
              <w:bottom w:val="single" w:color="000000" w:sz="4" w:space="0"/>
              <w:right w:val="single" w:color="000000" w:sz="4" w:space="0"/>
            </w:tcBorders>
            <w:noWrap/>
            <w:vAlign w:val="bottom"/>
          </w:tcPr>
          <w:p w14:paraId="3EB1087E">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 </w:t>
            </w:r>
          </w:p>
        </w:tc>
        <w:tc>
          <w:tcPr>
            <w:tcW w:w="1105" w:type="pct"/>
            <w:tcBorders>
              <w:top w:val="single" w:color="000000" w:sz="4" w:space="0"/>
              <w:left w:val="single" w:color="000000" w:sz="4" w:space="0"/>
              <w:bottom w:val="single" w:color="000000" w:sz="4" w:space="0"/>
              <w:right w:val="single" w:color="000000" w:sz="4" w:space="0"/>
            </w:tcBorders>
            <w:noWrap/>
            <w:vAlign w:val="bottom"/>
          </w:tcPr>
          <w:p w14:paraId="6829BC7A">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机械费</w:t>
            </w:r>
          </w:p>
        </w:tc>
        <w:tc>
          <w:tcPr>
            <w:tcW w:w="560" w:type="pct"/>
            <w:tcBorders>
              <w:top w:val="single" w:color="000000" w:sz="4" w:space="0"/>
              <w:left w:val="single" w:color="000000" w:sz="4" w:space="0"/>
              <w:bottom w:val="single" w:color="000000" w:sz="4" w:space="0"/>
              <w:right w:val="single" w:color="000000" w:sz="4" w:space="0"/>
            </w:tcBorders>
            <w:noWrap/>
            <w:vAlign w:val="bottom"/>
          </w:tcPr>
          <w:p w14:paraId="5C6D64C1">
            <w:pPr>
              <w:jc w:val="center"/>
              <w:rPr>
                <w:rFonts w:hint="default" w:ascii="Times New Roman" w:hAnsi="Times New Roman" w:eastAsia="宋体" w:cs="Times New Roman"/>
                <w:i w:val="0"/>
                <w:iCs w:val="0"/>
                <w:color w:val="auto"/>
                <w:sz w:val="21"/>
                <w:szCs w:val="21"/>
                <w:highlight w:val="none"/>
                <w:u w:val="none"/>
              </w:rPr>
            </w:pPr>
          </w:p>
        </w:tc>
        <w:tc>
          <w:tcPr>
            <w:tcW w:w="1186" w:type="dxa"/>
            <w:tcBorders>
              <w:top w:val="single" w:color="000000" w:sz="4" w:space="0"/>
              <w:left w:val="single" w:color="000000" w:sz="4" w:space="0"/>
              <w:bottom w:val="single" w:color="000000" w:sz="4" w:space="0"/>
              <w:right w:val="single" w:color="000000" w:sz="4" w:space="0"/>
            </w:tcBorders>
            <w:noWrap/>
            <w:vAlign w:val="center"/>
          </w:tcPr>
          <w:p w14:paraId="61DEC998">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341" w:type="dxa"/>
            <w:tcBorders>
              <w:top w:val="single" w:color="000000" w:sz="4" w:space="0"/>
              <w:left w:val="single" w:color="000000" w:sz="4" w:space="0"/>
              <w:bottom w:val="single" w:color="000000" w:sz="4" w:space="0"/>
              <w:right w:val="single" w:color="000000" w:sz="4" w:space="0"/>
            </w:tcBorders>
            <w:noWrap/>
            <w:vAlign w:val="center"/>
          </w:tcPr>
          <w:p w14:paraId="08C48006">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891" w:type="dxa"/>
            <w:tcBorders>
              <w:top w:val="single" w:color="000000" w:sz="4" w:space="0"/>
              <w:left w:val="single" w:color="000000" w:sz="4" w:space="0"/>
              <w:bottom w:val="single" w:color="000000" w:sz="4" w:space="0"/>
              <w:right w:val="single" w:color="000000" w:sz="4" w:space="0"/>
            </w:tcBorders>
            <w:noWrap/>
            <w:vAlign w:val="center"/>
          </w:tcPr>
          <w:p w14:paraId="4CDCE947">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 </w:t>
            </w:r>
          </w:p>
        </w:tc>
      </w:tr>
      <w:tr w14:paraId="57B5F9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42" w:type="pct"/>
            <w:tcBorders>
              <w:top w:val="single" w:color="000000" w:sz="4" w:space="0"/>
              <w:left w:val="single" w:color="000000" w:sz="4" w:space="0"/>
              <w:bottom w:val="single" w:color="000000" w:sz="4" w:space="0"/>
              <w:right w:val="single" w:color="000000" w:sz="4" w:space="0"/>
            </w:tcBorders>
            <w:noWrap/>
            <w:vAlign w:val="bottom"/>
          </w:tcPr>
          <w:p w14:paraId="76C989F7">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（二）</w:t>
            </w:r>
          </w:p>
        </w:tc>
        <w:tc>
          <w:tcPr>
            <w:tcW w:w="1105" w:type="pct"/>
            <w:tcBorders>
              <w:top w:val="single" w:color="000000" w:sz="4" w:space="0"/>
              <w:left w:val="single" w:color="000000" w:sz="4" w:space="0"/>
              <w:bottom w:val="single" w:color="000000" w:sz="4" w:space="0"/>
              <w:right w:val="single" w:color="000000" w:sz="4" w:space="0"/>
            </w:tcBorders>
            <w:noWrap/>
            <w:vAlign w:val="bottom"/>
          </w:tcPr>
          <w:p w14:paraId="32FEED66">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措施费</w:t>
            </w:r>
          </w:p>
        </w:tc>
        <w:tc>
          <w:tcPr>
            <w:tcW w:w="560" w:type="pct"/>
            <w:tcBorders>
              <w:top w:val="single" w:color="000000" w:sz="4" w:space="0"/>
              <w:left w:val="single" w:color="000000" w:sz="4" w:space="0"/>
              <w:bottom w:val="single" w:color="000000" w:sz="4" w:space="0"/>
              <w:right w:val="single" w:color="000000" w:sz="4" w:space="0"/>
            </w:tcBorders>
            <w:noWrap/>
            <w:vAlign w:val="bottom"/>
          </w:tcPr>
          <w:p w14:paraId="4792E46A">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186" w:type="dxa"/>
            <w:tcBorders>
              <w:top w:val="single" w:color="000000" w:sz="4" w:space="0"/>
              <w:left w:val="single" w:color="000000" w:sz="4" w:space="0"/>
              <w:bottom w:val="single" w:color="000000" w:sz="4" w:space="0"/>
              <w:right w:val="single" w:color="000000" w:sz="4" w:space="0"/>
            </w:tcBorders>
            <w:noWrap/>
            <w:vAlign w:val="center"/>
          </w:tcPr>
          <w:p w14:paraId="7AD081DD">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3.80 </w:t>
            </w:r>
          </w:p>
        </w:tc>
        <w:tc>
          <w:tcPr>
            <w:tcW w:w="1341" w:type="dxa"/>
            <w:tcBorders>
              <w:top w:val="single" w:color="000000" w:sz="4" w:space="0"/>
              <w:left w:val="single" w:color="000000" w:sz="4" w:space="0"/>
              <w:bottom w:val="single" w:color="000000" w:sz="4" w:space="0"/>
              <w:right w:val="single" w:color="000000" w:sz="4" w:space="0"/>
            </w:tcBorders>
            <w:noWrap/>
            <w:vAlign w:val="center"/>
          </w:tcPr>
          <w:p w14:paraId="099F65AA">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581.39 </w:t>
            </w:r>
          </w:p>
        </w:tc>
        <w:tc>
          <w:tcPr>
            <w:tcW w:w="1891" w:type="dxa"/>
            <w:tcBorders>
              <w:top w:val="single" w:color="000000" w:sz="4" w:space="0"/>
              <w:left w:val="single" w:color="000000" w:sz="4" w:space="0"/>
              <w:bottom w:val="single" w:color="000000" w:sz="4" w:space="0"/>
              <w:right w:val="single" w:color="000000" w:sz="4" w:space="0"/>
            </w:tcBorders>
            <w:noWrap/>
            <w:vAlign w:val="center"/>
          </w:tcPr>
          <w:p w14:paraId="2607E1AC">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22.09 </w:t>
            </w:r>
          </w:p>
        </w:tc>
      </w:tr>
      <w:tr w14:paraId="75DA8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42" w:type="pct"/>
            <w:tcBorders>
              <w:top w:val="single" w:color="000000" w:sz="4" w:space="0"/>
              <w:left w:val="single" w:color="000000" w:sz="4" w:space="0"/>
              <w:bottom w:val="single" w:color="000000" w:sz="4" w:space="0"/>
              <w:right w:val="single" w:color="000000" w:sz="4" w:space="0"/>
            </w:tcBorders>
            <w:noWrap/>
            <w:vAlign w:val="bottom"/>
          </w:tcPr>
          <w:p w14:paraId="7AAD0ACD">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二</w:t>
            </w:r>
          </w:p>
        </w:tc>
        <w:tc>
          <w:tcPr>
            <w:tcW w:w="1105" w:type="pct"/>
            <w:tcBorders>
              <w:top w:val="single" w:color="000000" w:sz="4" w:space="0"/>
              <w:left w:val="single" w:color="000000" w:sz="4" w:space="0"/>
              <w:bottom w:val="single" w:color="000000" w:sz="4" w:space="0"/>
              <w:right w:val="single" w:color="000000" w:sz="4" w:space="0"/>
            </w:tcBorders>
            <w:noWrap/>
            <w:vAlign w:val="bottom"/>
          </w:tcPr>
          <w:p w14:paraId="13481BC9">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间接费</w:t>
            </w:r>
          </w:p>
        </w:tc>
        <w:tc>
          <w:tcPr>
            <w:tcW w:w="560" w:type="pct"/>
            <w:tcBorders>
              <w:top w:val="single" w:color="000000" w:sz="4" w:space="0"/>
              <w:left w:val="single" w:color="000000" w:sz="4" w:space="0"/>
              <w:bottom w:val="single" w:color="000000" w:sz="4" w:space="0"/>
              <w:right w:val="single" w:color="000000" w:sz="4" w:space="0"/>
            </w:tcBorders>
            <w:noWrap/>
            <w:vAlign w:val="bottom"/>
          </w:tcPr>
          <w:p w14:paraId="0D11C55C">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186" w:type="dxa"/>
            <w:tcBorders>
              <w:top w:val="single" w:color="000000" w:sz="4" w:space="0"/>
              <w:left w:val="single" w:color="000000" w:sz="4" w:space="0"/>
              <w:bottom w:val="single" w:color="000000" w:sz="4" w:space="0"/>
              <w:right w:val="single" w:color="000000" w:sz="4" w:space="0"/>
            </w:tcBorders>
            <w:noWrap/>
            <w:vAlign w:val="center"/>
          </w:tcPr>
          <w:p w14:paraId="43E7F5A9">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6.00 </w:t>
            </w:r>
          </w:p>
        </w:tc>
        <w:tc>
          <w:tcPr>
            <w:tcW w:w="1341" w:type="dxa"/>
            <w:tcBorders>
              <w:top w:val="single" w:color="000000" w:sz="4" w:space="0"/>
              <w:left w:val="single" w:color="000000" w:sz="4" w:space="0"/>
              <w:bottom w:val="single" w:color="000000" w:sz="4" w:space="0"/>
              <w:right w:val="single" w:color="000000" w:sz="4" w:space="0"/>
            </w:tcBorders>
            <w:noWrap/>
            <w:vAlign w:val="center"/>
          </w:tcPr>
          <w:p w14:paraId="0981CCAB">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603.49 </w:t>
            </w:r>
          </w:p>
        </w:tc>
        <w:tc>
          <w:tcPr>
            <w:tcW w:w="1891" w:type="dxa"/>
            <w:tcBorders>
              <w:top w:val="single" w:color="000000" w:sz="4" w:space="0"/>
              <w:left w:val="single" w:color="000000" w:sz="4" w:space="0"/>
              <w:bottom w:val="single" w:color="000000" w:sz="4" w:space="0"/>
              <w:right w:val="single" w:color="000000" w:sz="4" w:space="0"/>
            </w:tcBorders>
            <w:noWrap/>
            <w:vAlign w:val="center"/>
          </w:tcPr>
          <w:p w14:paraId="23BBBAA5">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36.21 </w:t>
            </w:r>
          </w:p>
        </w:tc>
      </w:tr>
      <w:tr w14:paraId="32BB3F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42" w:type="pct"/>
            <w:tcBorders>
              <w:top w:val="single" w:color="000000" w:sz="4" w:space="0"/>
              <w:left w:val="single" w:color="000000" w:sz="4" w:space="0"/>
              <w:bottom w:val="single" w:color="000000" w:sz="4" w:space="0"/>
              <w:right w:val="single" w:color="000000" w:sz="4" w:space="0"/>
            </w:tcBorders>
            <w:noWrap/>
            <w:vAlign w:val="bottom"/>
          </w:tcPr>
          <w:p w14:paraId="082EC31F">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三</w:t>
            </w:r>
          </w:p>
        </w:tc>
        <w:tc>
          <w:tcPr>
            <w:tcW w:w="1105" w:type="pct"/>
            <w:tcBorders>
              <w:top w:val="single" w:color="000000" w:sz="4" w:space="0"/>
              <w:left w:val="single" w:color="000000" w:sz="4" w:space="0"/>
              <w:bottom w:val="single" w:color="000000" w:sz="4" w:space="0"/>
              <w:right w:val="single" w:color="000000" w:sz="4" w:space="0"/>
            </w:tcBorders>
            <w:noWrap/>
            <w:vAlign w:val="bottom"/>
          </w:tcPr>
          <w:p w14:paraId="0C3248FA">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利润</w:t>
            </w:r>
          </w:p>
        </w:tc>
        <w:tc>
          <w:tcPr>
            <w:tcW w:w="560" w:type="pct"/>
            <w:tcBorders>
              <w:top w:val="single" w:color="000000" w:sz="4" w:space="0"/>
              <w:left w:val="single" w:color="000000" w:sz="4" w:space="0"/>
              <w:bottom w:val="single" w:color="000000" w:sz="4" w:space="0"/>
              <w:right w:val="single" w:color="000000" w:sz="4" w:space="0"/>
            </w:tcBorders>
            <w:noWrap/>
            <w:vAlign w:val="bottom"/>
          </w:tcPr>
          <w:p w14:paraId="2B42F706">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186" w:type="dxa"/>
            <w:tcBorders>
              <w:top w:val="single" w:color="000000" w:sz="4" w:space="0"/>
              <w:left w:val="single" w:color="000000" w:sz="4" w:space="0"/>
              <w:bottom w:val="single" w:color="000000" w:sz="4" w:space="0"/>
              <w:right w:val="single" w:color="000000" w:sz="4" w:space="0"/>
            </w:tcBorders>
            <w:noWrap/>
            <w:vAlign w:val="center"/>
          </w:tcPr>
          <w:p w14:paraId="017C5E02">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3.00 </w:t>
            </w:r>
          </w:p>
        </w:tc>
        <w:tc>
          <w:tcPr>
            <w:tcW w:w="1341" w:type="dxa"/>
            <w:tcBorders>
              <w:top w:val="single" w:color="000000" w:sz="4" w:space="0"/>
              <w:left w:val="single" w:color="000000" w:sz="4" w:space="0"/>
              <w:bottom w:val="single" w:color="000000" w:sz="4" w:space="0"/>
              <w:right w:val="single" w:color="000000" w:sz="4" w:space="0"/>
            </w:tcBorders>
            <w:noWrap/>
            <w:vAlign w:val="center"/>
          </w:tcPr>
          <w:p w14:paraId="390BACBD">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639.69 </w:t>
            </w:r>
          </w:p>
        </w:tc>
        <w:tc>
          <w:tcPr>
            <w:tcW w:w="1891" w:type="dxa"/>
            <w:tcBorders>
              <w:top w:val="single" w:color="000000" w:sz="4" w:space="0"/>
              <w:left w:val="single" w:color="000000" w:sz="4" w:space="0"/>
              <w:bottom w:val="single" w:color="000000" w:sz="4" w:space="0"/>
              <w:right w:val="single" w:color="000000" w:sz="4" w:space="0"/>
            </w:tcBorders>
            <w:noWrap/>
            <w:vAlign w:val="center"/>
          </w:tcPr>
          <w:p w14:paraId="475583E7">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19.19 </w:t>
            </w:r>
          </w:p>
        </w:tc>
      </w:tr>
      <w:tr w14:paraId="4709E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42" w:type="pct"/>
            <w:tcBorders>
              <w:top w:val="single" w:color="000000" w:sz="4" w:space="0"/>
              <w:left w:val="single" w:color="000000" w:sz="4" w:space="0"/>
              <w:bottom w:val="single" w:color="000000" w:sz="4" w:space="0"/>
              <w:right w:val="single" w:color="000000" w:sz="4" w:space="0"/>
            </w:tcBorders>
            <w:noWrap/>
            <w:vAlign w:val="bottom"/>
          </w:tcPr>
          <w:p w14:paraId="54C70CB7">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四</w:t>
            </w:r>
          </w:p>
        </w:tc>
        <w:tc>
          <w:tcPr>
            <w:tcW w:w="1105" w:type="pct"/>
            <w:tcBorders>
              <w:top w:val="single" w:color="000000" w:sz="4" w:space="0"/>
              <w:left w:val="single" w:color="000000" w:sz="4" w:space="0"/>
              <w:bottom w:val="single" w:color="000000" w:sz="4" w:space="0"/>
              <w:right w:val="single" w:color="000000" w:sz="4" w:space="0"/>
            </w:tcBorders>
            <w:noWrap/>
            <w:vAlign w:val="bottom"/>
          </w:tcPr>
          <w:p w14:paraId="5244F09A">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材料价差</w:t>
            </w:r>
          </w:p>
        </w:tc>
        <w:tc>
          <w:tcPr>
            <w:tcW w:w="560" w:type="pct"/>
            <w:tcBorders>
              <w:top w:val="single" w:color="000000" w:sz="4" w:space="0"/>
              <w:left w:val="single" w:color="000000" w:sz="4" w:space="0"/>
              <w:bottom w:val="single" w:color="000000" w:sz="4" w:space="0"/>
              <w:right w:val="single" w:color="000000" w:sz="4" w:space="0"/>
            </w:tcBorders>
            <w:noWrap/>
            <w:vAlign w:val="bottom"/>
          </w:tcPr>
          <w:p w14:paraId="65918533">
            <w:pPr>
              <w:jc w:val="center"/>
              <w:rPr>
                <w:rFonts w:hint="default" w:ascii="Times New Roman" w:hAnsi="Times New Roman" w:eastAsia="宋体" w:cs="Times New Roman"/>
                <w:i w:val="0"/>
                <w:iCs w:val="0"/>
                <w:color w:val="auto"/>
                <w:sz w:val="21"/>
                <w:szCs w:val="21"/>
                <w:highlight w:val="none"/>
                <w:u w:val="none"/>
              </w:rPr>
            </w:pPr>
          </w:p>
        </w:tc>
        <w:tc>
          <w:tcPr>
            <w:tcW w:w="1186" w:type="dxa"/>
            <w:tcBorders>
              <w:top w:val="single" w:color="000000" w:sz="4" w:space="0"/>
              <w:left w:val="single" w:color="000000" w:sz="4" w:space="0"/>
              <w:bottom w:val="single" w:color="000000" w:sz="4" w:space="0"/>
              <w:right w:val="single" w:color="000000" w:sz="4" w:space="0"/>
            </w:tcBorders>
            <w:noWrap/>
            <w:vAlign w:val="center"/>
          </w:tcPr>
          <w:p w14:paraId="1896015B">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341" w:type="dxa"/>
            <w:tcBorders>
              <w:top w:val="single" w:color="000000" w:sz="4" w:space="0"/>
              <w:left w:val="single" w:color="000000" w:sz="4" w:space="0"/>
              <w:bottom w:val="single" w:color="000000" w:sz="4" w:space="0"/>
              <w:right w:val="single" w:color="000000" w:sz="4" w:space="0"/>
            </w:tcBorders>
            <w:noWrap/>
            <w:vAlign w:val="center"/>
          </w:tcPr>
          <w:p w14:paraId="415F9B80">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891" w:type="dxa"/>
            <w:tcBorders>
              <w:top w:val="single" w:color="000000" w:sz="4" w:space="0"/>
              <w:left w:val="single" w:color="000000" w:sz="4" w:space="0"/>
              <w:bottom w:val="single" w:color="000000" w:sz="4" w:space="0"/>
              <w:right w:val="single" w:color="000000" w:sz="4" w:space="0"/>
            </w:tcBorders>
            <w:noWrap/>
            <w:vAlign w:val="center"/>
          </w:tcPr>
          <w:p w14:paraId="001100D6">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255.00 </w:t>
            </w:r>
          </w:p>
        </w:tc>
      </w:tr>
      <w:tr w14:paraId="4D0A16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42" w:type="pct"/>
            <w:tcBorders>
              <w:top w:val="single" w:color="000000" w:sz="4" w:space="0"/>
              <w:left w:val="single" w:color="000000" w:sz="4" w:space="0"/>
              <w:bottom w:val="single" w:color="000000" w:sz="4" w:space="0"/>
              <w:right w:val="single" w:color="000000" w:sz="4" w:space="0"/>
            </w:tcBorders>
            <w:noWrap/>
            <w:vAlign w:val="bottom"/>
          </w:tcPr>
          <w:p w14:paraId="6E3138FA">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 </w:t>
            </w:r>
          </w:p>
        </w:tc>
        <w:tc>
          <w:tcPr>
            <w:tcW w:w="1105" w:type="pct"/>
            <w:tcBorders>
              <w:top w:val="single" w:color="000000" w:sz="4" w:space="0"/>
              <w:left w:val="single" w:color="000000" w:sz="4" w:space="0"/>
              <w:bottom w:val="single" w:color="000000" w:sz="4" w:space="0"/>
              <w:right w:val="single" w:color="000000" w:sz="4" w:space="0"/>
            </w:tcBorders>
            <w:noWrap/>
            <w:vAlign w:val="bottom"/>
          </w:tcPr>
          <w:p w14:paraId="4B51C83C">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树苗</w:t>
            </w:r>
          </w:p>
        </w:tc>
        <w:tc>
          <w:tcPr>
            <w:tcW w:w="560" w:type="pct"/>
            <w:tcBorders>
              <w:top w:val="single" w:color="000000" w:sz="4" w:space="0"/>
              <w:left w:val="single" w:color="000000" w:sz="4" w:space="0"/>
              <w:bottom w:val="single" w:color="000000" w:sz="4" w:space="0"/>
              <w:right w:val="single" w:color="000000" w:sz="4" w:space="0"/>
            </w:tcBorders>
            <w:noWrap/>
            <w:vAlign w:val="bottom"/>
          </w:tcPr>
          <w:p w14:paraId="44B10955">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株</w:t>
            </w:r>
          </w:p>
        </w:tc>
        <w:tc>
          <w:tcPr>
            <w:tcW w:w="1186" w:type="dxa"/>
            <w:tcBorders>
              <w:top w:val="single" w:color="000000" w:sz="4" w:space="0"/>
              <w:left w:val="single" w:color="000000" w:sz="4" w:space="0"/>
              <w:bottom w:val="single" w:color="000000" w:sz="4" w:space="0"/>
              <w:right w:val="single" w:color="000000" w:sz="4" w:space="0"/>
            </w:tcBorders>
            <w:noWrap/>
            <w:vAlign w:val="center"/>
          </w:tcPr>
          <w:p w14:paraId="136C6D83">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102.00 </w:t>
            </w:r>
          </w:p>
        </w:tc>
        <w:tc>
          <w:tcPr>
            <w:tcW w:w="1341" w:type="dxa"/>
            <w:tcBorders>
              <w:top w:val="single" w:color="000000" w:sz="4" w:space="0"/>
              <w:left w:val="single" w:color="000000" w:sz="4" w:space="0"/>
              <w:bottom w:val="single" w:color="000000" w:sz="4" w:space="0"/>
              <w:right w:val="single" w:color="000000" w:sz="4" w:space="0"/>
            </w:tcBorders>
            <w:noWrap/>
            <w:vAlign w:val="center"/>
          </w:tcPr>
          <w:p w14:paraId="5EC30C67">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2.50 </w:t>
            </w:r>
          </w:p>
        </w:tc>
        <w:tc>
          <w:tcPr>
            <w:tcW w:w="1891" w:type="dxa"/>
            <w:tcBorders>
              <w:top w:val="single" w:color="000000" w:sz="4" w:space="0"/>
              <w:left w:val="single" w:color="000000" w:sz="4" w:space="0"/>
              <w:bottom w:val="single" w:color="000000" w:sz="4" w:space="0"/>
              <w:right w:val="single" w:color="000000" w:sz="4" w:space="0"/>
            </w:tcBorders>
            <w:noWrap/>
            <w:vAlign w:val="center"/>
          </w:tcPr>
          <w:p w14:paraId="46A0DE80">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255.00 </w:t>
            </w:r>
          </w:p>
        </w:tc>
      </w:tr>
      <w:tr w14:paraId="4A8605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42" w:type="pct"/>
            <w:tcBorders>
              <w:top w:val="single" w:color="000000" w:sz="4" w:space="0"/>
              <w:left w:val="single" w:color="000000" w:sz="4" w:space="0"/>
              <w:bottom w:val="single" w:color="000000" w:sz="4" w:space="0"/>
              <w:right w:val="single" w:color="000000" w:sz="4" w:space="0"/>
            </w:tcBorders>
            <w:noWrap/>
            <w:vAlign w:val="bottom"/>
          </w:tcPr>
          <w:p w14:paraId="187934D3">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五</w:t>
            </w:r>
          </w:p>
        </w:tc>
        <w:tc>
          <w:tcPr>
            <w:tcW w:w="1105" w:type="pct"/>
            <w:tcBorders>
              <w:top w:val="single" w:color="000000" w:sz="4" w:space="0"/>
              <w:left w:val="single" w:color="000000" w:sz="4" w:space="0"/>
              <w:bottom w:val="single" w:color="000000" w:sz="4" w:space="0"/>
              <w:right w:val="single" w:color="000000" w:sz="4" w:space="0"/>
            </w:tcBorders>
            <w:noWrap/>
            <w:vAlign w:val="bottom"/>
          </w:tcPr>
          <w:p w14:paraId="2C8EBDEA">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税金</w:t>
            </w:r>
          </w:p>
        </w:tc>
        <w:tc>
          <w:tcPr>
            <w:tcW w:w="560" w:type="pct"/>
            <w:tcBorders>
              <w:top w:val="single" w:color="000000" w:sz="4" w:space="0"/>
              <w:left w:val="single" w:color="000000" w:sz="4" w:space="0"/>
              <w:bottom w:val="single" w:color="000000" w:sz="4" w:space="0"/>
              <w:right w:val="single" w:color="000000" w:sz="4" w:space="0"/>
            </w:tcBorders>
            <w:noWrap/>
            <w:vAlign w:val="bottom"/>
          </w:tcPr>
          <w:p w14:paraId="79E8B8DF">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186" w:type="dxa"/>
            <w:tcBorders>
              <w:top w:val="single" w:color="000000" w:sz="4" w:space="0"/>
              <w:left w:val="single" w:color="000000" w:sz="4" w:space="0"/>
              <w:bottom w:val="single" w:color="000000" w:sz="4" w:space="0"/>
              <w:right w:val="single" w:color="000000" w:sz="4" w:space="0"/>
            </w:tcBorders>
            <w:noWrap/>
            <w:vAlign w:val="center"/>
          </w:tcPr>
          <w:p w14:paraId="73B6BE90">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9.00 </w:t>
            </w:r>
          </w:p>
        </w:tc>
        <w:tc>
          <w:tcPr>
            <w:tcW w:w="1341" w:type="dxa"/>
            <w:tcBorders>
              <w:top w:val="single" w:color="000000" w:sz="4" w:space="0"/>
              <w:left w:val="single" w:color="000000" w:sz="4" w:space="0"/>
              <w:bottom w:val="single" w:color="000000" w:sz="4" w:space="0"/>
              <w:right w:val="single" w:color="000000" w:sz="4" w:space="0"/>
            </w:tcBorders>
            <w:noWrap/>
            <w:vAlign w:val="center"/>
          </w:tcPr>
          <w:p w14:paraId="50836A34">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913.89 </w:t>
            </w:r>
          </w:p>
        </w:tc>
        <w:tc>
          <w:tcPr>
            <w:tcW w:w="1891" w:type="dxa"/>
            <w:tcBorders>
              <w:top w:val="single" w:color="000000" w:sz="4" w:space="0"/>
              <w:left w:val="single" w:color="000000" w:sz="4" w:space="0"/>
              <w:bottom w:val="single" w:color="000000" w:sz="4" w:space="0"/>
              <w:right w:val="single" w:color="000000" w:sz="4" w:space="0"/>
            </w:tcBorders>
            <w:noWrap/>
            <w:vAlign w:val="center"/>
          </w:tcPr>
          <w:p w14:paraId="60C186AF">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82.25 </w:t>
            </w:r>
          </w:p>
        </w:tc>
      </w:tr>
      <w:tr w14:paraId="270B68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848" w:type="pct"/>
            <w:gridSpan w:val="2"/>
            <w:tcBorders>
              <w:top w:val="single" w:color="000000" w:sz="4" w:space="0"/>
              <w:left w:val="single" w:color="000000" w:sz="4" w:space="0"/>
              <w:bottom w:val="single" w:color="000000" w:sz="4" w:space="0"/>
              <w:right w:val="single" w:color="000000" w:sz="4" w:space="0"/>
            </w:tcBorders>
            <w:noWrap/>
            <w:vAlign w:val="bottom"/>
          </w:tcPr>
          <w:p w14:paraId="608AF15E">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合计</w:t>
            </w:r>
          </w:p>
        </w:tc>
        <w:tc>
          <w:tcPr>
            <w:tcW w:w="560" w:type="pct"/>
            <w:tcBorders>
              <w:top w:val="single" w:color="000000" w:sz="4" w:space="0"/>
              <w:left w:val="single" w:color="000000" w:sz="4" w:space="0"/>
              <w:bottom w:val="single" w:color="000000" w:sz="4" w:space="0"/>
              <w:right w:val="single" w:color="000000" w:sz="4" w:space="0"/>
            </w:tcBorders>
            <w:noWrap/>
            <w:vAlign w:val="bottom"/>
          </w:tcPr>
          <w:p w14:paraId="4CDA3DD4">
            <w:pPr>
              <w:jc w:val="center"/>
              <w:rPr>
                <w:rFonts w:hint="default" w:ascii="Times New Roman" w:hAnsi="Times New Roman" w:eastAsia="宋体" w:cs="Times New Roman"/>
                <w:i w:val="0"/>
                <w:iCs w:val="0"/>
                <w:color w:val="auto"/>
                <w:sz w:val="21"/>
                <w:szCs w:val="21"/>
                <w:highlight w:val="none"/>
                <w:u w:val="none"/>
              </w:rPr>
            </w:pPr>
          </w:p>
        </w:tc>
        <w:tc>
          <w:tcPr>
            <w:tcW w:w="1186" w:type="dxa"/>
            <w:tcBorders>
              <w:top w:val="single" w:color="000000" w:sz="4" w:space="0"/>
              <w:left w:val="single" w:color="000000" w:sz="4" w:space="0"/>
              <w:bottom w:val="single" w:color="000000" w:sz="4" w:space="0"/>
              <w:right w:val="single" w:color="000000" w:sz="4" w:space="0"/>
            </w:tcBorders>
            <w:noWrap/>
            <w:vAlign w:val="center"/>
          </w:tcPr>
          <w:p w14:paraId="005FFD29">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341" w:type="dxa"/>
            <w:tcBorders>
              <w:top w:val="single" w:color="000000" w:sz="4" w:space="0"/>
              <w:left w:val="single" w:color="000000" w:sz="4" w:space="0"/>
              <w:bottom w:val="single" w:color="000000" w:sz="4" w:space="0"/>
              <w:right w:val="single" w:color="000000" w:sz="4" w:space="0"/>
            </w:tcBorders>
            <w:noWrap/>
            <w:vAlign w:val="center"/>
          </w:tcPr>
          <w:p w14:paraId="44C0FC63">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891" w:type="dxa"/>
            <w:tcBorders>
              <w:top w:val="single" w:color="000000" w:sz="4" w:space="0"/>
              <w:left w:val="single" w:color="000000" w:sz="4" w:space="0"/>
              <w:bottom w:val="single" w:color="000000" w:sz="4" w:space="0"/>
              <w:right w:val="single" w:color="000000" w:sz="4" w:space="0"/>
            </w:tcBorders>
            <w:noWrap/>
            <w:vAlign w:val="center"/>
          </w:tcPr>
          <w:p w14:paraId="77734112">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996.14 </w:t>
            </w:r>
          </w:p>
        </w:tc>
      </w:tr>
    </w:tbl>
    <w:p w14:paraId="616A4241">
      <w:pPr>
        <w:rPr>
          <w:rFonts w:hint="default" w:ascii="Times New Roman" w:hAnsi="Times New Roman" w:eastAsia="宋体" w:cs="Times New Roman"/>
          <w:color w:val="auto"/>
          <w:sz w:val="21"/>
          <w:szCs w:val="21"/>
          <w:highlight w:val="none"/>
        </w:rPr>
      </w:pPr>
    </w:p>
    <w:p w14:paraId="08CE8301">
      <w:pPr>
        <w:ind w:firstLine="949" w:firstLineChars="450"/>
        <w:rPr>
          <w:rFonts w:hint="default" w:ascii="Times New Roman" w:hAnsi="Times New Roman" w:eastAsia="宋体" w:cs="Times New Roman"/>
          <w:b/>
          <w:bCs/>
          <w:color w:val="auto"/>
          <w:sz w:val="21"/>
          <w:szCs w:val="21"/>
          <w:highlight w:val="none"/>
        </w:rPr>
      </w:pPr>
    </w:p>
    <w:tbl>
      <w:tblPr>
        <w:tblStyle w:val="3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87"/>
        <w:gridCol w:w="1921"/>
        <w:gridCol w:w="972"/>
        <w:gridCol w:w="1208"/>
        <w:gridCol w:w="1208"/>
        <w:gridCol w:w="1926"/>
      </w:tblGrid>
      <w:tr w14:paraId="3AB7EF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exact"/>
        </w:trPr>
        <w:tc>
          <w:tcPr>
            <w:tcW w:w="5000" w:type="pct"/>
            <w:gridSpan w:val="6"/>
            <w:tcBorders>
              <w:top w:val="single" w:color="000000" w:sz="4" w:space="0"/>
              <w:left w:val="single" w:color="000000" w:sz="4" w:space="0"/>
              <w:bottom w:val="single" w:color="000000" w:sz="4" w:space="0"/>
              <w:right w:val="single" w:color="000000" w:sz="4" w:space="0"/>
            </w:tcBorders>
            <w:noWrap/>
            <w:vAlign w:val="bottom"/>
          </w:tcPr>
          <w:p w14:paraId="4CBD906C">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cs="Times New Roman"/>
                <w:i w:val="0"/>
                <w:iCs w:val="0"/>
                <w:color w:val="auto"/>
                <w:kern w:val="0"/>
                <w:sz w:val="21"/>
                <w:szCs w:val="21"/>
                <w:highlight w:val="none"/>
                <w:u w:val="none"/>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、栽植爬山虎</w:t>
            </w:r>
          </w:p>
        </w:tc>
      </w:tr>
      <w:tr w14:paraId="2E73D3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exact"/>
        </w:trPr>
        <w:tc>
          <w:tcPr>
            <w:tcW w:w="5000" w:type="pct"/>
            <w:gridSpan w:val="6"/>
            <w:tcBorders>
              <w:top w:val="single" w:color="000000" w:sz="4" w:space="0"/>
              <w:left w:val="single" w:color="000000" w:sz="4" w:space="0"/>
              <w:bottom w:val="single" w:color="000000" w:sz="4" w:space="0"/>
              <w:right w:val="single" w:color="000000" w:sz="4" w:space="0"/>
            </w:tcBorders>
            <w:noWrap/>
            <w:vAlign w:val="bottom"/>
          </w:tcPr>
          <w:p w14:paraId="19DBA932">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定额编号：90018                                              定额单位：100株</w:t>
            </w:r>
          </w:p>
        </w:tc>
      </w:tr>
      <w:tr w14:paraId="471386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exact"/>
        </w:trPr>
        <w:tc>
          <w:tcPr>
            <w:tcW w:w="5000" w:type="pct"/>
            <w:gridSpan w:val="6"/>
            <w:tcBorders>
              <w:top w:val="single" w:color="000000" w:sz="4" w:space="0"/>
              <w:left w:val="single" w:color="000000" w:sz="4" w:space="0"/>
              <w:bottom w:val="single" w:color="000000" w:sz="4" w:space="0"/>
              <w:right w:val="single" w:color="000000" w:sz="4" w:space="0"/>
            </w:tcBorders>
            <w:noWrap/>
            <w:vAlign w:val="bottom"/>
          </w:tcPr>
          <w:p w14:paraId="5A469B3C">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施工方法：挖坑、栽植、浇水、整形。</w:t>
            </w:r>
          </w:p>
        </w:tc>
      </w:tr>
      <w:tr w14:paraId="4794FA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exact"/>
        </w:trPr>
        <w:tc>
          <w:tcPr>
            <w:tcW w:w="755" w:type="pct"/>
            <w:tcBorders>
              <w:top w:val="single" w:color="000000" w:sz="4" w:space="0"/>
              <w:left w:val="single" w:color="000000" w:sz="4" w:space="0"/>
              <w:bottom w:val="single" w:color="000000" w:sz="4" w:space="0"/>
              <w:right w:val="single" w:color="000000" w:sz="4" w:space="0"/>
            </w:tcBorders>
            <w:noWrap/>
            <w:vAlign w:val="bottom"/>
          </w:tcPr>
          <w:p w14:paraId="1D3DEC74">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序号</w:t>
            </w:r>
          </w:p>
        </w:tc>
        <w:tc>
          <w:tcPr>
            <w:tcW w:w="1126" w:type="pct"/>
            <w:tcBorders>
              <w:top w:val="single" w:color="000000" w:sz="4" w:space="0"/>
              <w:left w:val="single" w:color="000000" w:sz="4" w:space="0"/>
              <w:bottom w:val="single" w:color="000000" w:sz="4" w:space="0"/>
              <w:right w:val="single" w:color="000000" w:sz="4" w:space="0"/>
            </w:tcBorders>
            <w:noWrap/>
            <w:vAlign w:val="bottom"/>
          </w:tcPr>
          <w:p w14:paraId="450B6A31">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项目名称</w:t>
            </w:r>
          </w:p>
        </w:tc>
        <w:tc>
          <w:tcPr>
            <w:tcW w:w="570" w:type="pct"/>
            <w:tcBorders>
              <w:top w:val="single" w:color="000000" w:sz="4" w:space="0"/>
              <w:left w:val="single" w:color="000000" w:sz="4" w:space="0"/>
              <w:bottom w:val="single" w:color="000000" w:sz="4" w:space="0"/>
              <w:right w:val="single" w:color="000000" w:sz="4" w:space="0"/>
            </w:tcBorders>
            <w:noWrap/>
            <w:vAlign w:val="bottom"/>
          </w:tcPr>
          <w:p w14:paraId="00A8D97B">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单位</w:t>
            </w:r>
          </w:p>
        </w:tc>
        <w:tc>
          <w:tcPr>
            <w:tcW w:w="709" w:type="pct"/>
            <w:tcBorders>
              <w:top w:val="single" w:color="000000" w:sz="4" w:space="0"/>
              <w:left w:val="single" w:color="000000" w:sz="4" w:space="0"/>
              <w:bottom w:val="single" w:color="000000" w:sz="4" w:space="0"/>
              <w:right w:val="single" w:color="000000" w:sz="4" w:space="0"/>
            </w:tcBorders>
            <w:noWrap/>
            <w:vAlign w:val="bottom"/>
          </w:tcPr>
          <w:p w14:paraId="2ADC36E8">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数量</w:t>
            </w:r>
          </w:p>
        </w:tc>
        <w:tc>
          <w:tcPr>
            <w:tcW w:w="709" w:type="pct"/>
            <w:tcBorders>
              <w:top w:val="single" w:color="000000" w:sz="4" w:space="0"/>
              <w:left w:val="single" w:color="000000" w:sz="4" w:space="0"/>
              <w:bottom w:val="single" w:color="000000" w:sz="4" w:space="0"/>
              <w:right w:val="single" w:color="000000" w:sz="4" w:space="0"/>
            </w:tcBorders>
            <w:noWrap/>
            <w:vAlign w:val="bottom"/>
          </w:tcPr>
          <w:p w14:paraId="238DD3A5">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单价</w:t>
            </w:r>
          </w:p>
        </w:tc>
        <w:tc>
          <w:tcPr>
            <w:tcW w:w="1128" w:type="pct"/>
            <w:tcBorders>
              <w:top w:val="single" w:color="000000" w:sz="4" w:space="0"/>
              <w:left w:val="single" w:color="000000" w:sz="4" w:space="0"/>
              <w:bottom w:val="single" w:color="000000" w:sz="4" w:space="0"/>
              <w:right w:val="single" w:color="000000" w:sz="4" w:space="0"/>
            </w:tcBorders>
            <w:noWrap/>
            <w:vAlign w:val="bottom"/>
          </w:tcPr>
          <w:p w14:paraId="6642EE7B">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小计（元）</w:t>
            </w:r>
          </w:p>
        </w:tc>
      </w:tr>
      <w:tr w14:paraId="5BDC89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exact"/>
        </w:trPr>
        <w:tc>
          <w:tcPr>
            <w:tcW w:w="755" w:type="pct"/>
            <w:tcBorders>
              <w:top w:val="single" w:color="000000" w:sz="4" w:space="0"/>
              <w:left w:val="single" w:color="000000" w:sz="4" w:space="0"/>
              <w:bottom w:val="single" w:color="000000" w:sz="4" w:space="0"/>
              <w:right w:val="single" w:color="000000" w:sz="4" w:space="0"/>
            </w:tcBorders>
            <w:noWrap/>
            <w:vAlign w:val="bottom"/>
          </w:tcPr>
          <w:p w14:paraId="501A7C63">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w:t>
            </w:r>
          </w:p>
        </w:tc>
        <w:tc>
          <w:tcPr>
            <w:tcW w:w="1126" w:type="pct"/>
            <w:tcBorders>
              <w:top w:val="single" w:color="000000" w:sz="4" w:space="0"/>
              <w:left w:val="single" w:color="000000" w:sz="4" w:space="0"/>
              <w:bottom w:val="single" w:color="000000" w:sz="4" w:space="0"/>
              <w:right w:val="single" w:color="000000" w:sz="4" w:space="0"/>
            </w:tcBorders>
            <w:noWrap/>
            <w:vAlign w:val="bottom"/>
          </w:tcPr>
          <w:p w14:paraId="34544B1C">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直接费</w:t>
            </w:r>
          </w:p>
        </w:tc>
        <w:tc>
          <w:tcPr>
            <w:tcW w:w="570" w:type="pct"/>
            <w:tcBorders>
              <w:top w:val="single" w:color="000000" w:sz="4" w:space="0"/>
              <w:left w:val="single" w:color="000000" w:sz="4" w:space="0"/>
              <w:bottom w:val="single" w:color="000000" w:sz="4" w:space="0"/>
              <w:right w:val="single" w:color="000000" w:sz="4" w:space="0"/>
            </w:tcBorders>
            <w:noWrap/>
            <w:vAlign w:val="bottom"/>
          </w:tcPr>
          <w:p w14:paraId="6BC8E046">
            <w:pPr>
              <w:jc w:val="center"/>
              <w:rPr>
                <w:rFonts w:hint="default" w:ascii="Times New Roman" w:hAnsi="Times New Roman" w:eastAsia="宋体" w:cs="Times New Roman"/>
                <w:i w:val="0"/>
                <w:iCs w:val="0"/>
                <w:color w:val="auto"/>
                <w:sz w:val="21"/>
                <w:szCs w:val="21"/>
                <w:highlight w:val="none"/>
                <w:u w:val="none"/>
              </w:rPr>
            </w:pPr>
          </w:p>
        </w:tc>
        <w:tc>
          <w:tcPr>
            <w:tcW w:w="709" w:type="pct"/>
            <w:tcBorders>
              <w:top w:val="single" w:color="000000" w:sz="4" w:space="0"/>
              <w:left w:val="single" w:color="000000" w:sz="4" w:space="0"/>
              <w:bottom w:val="single" w:color="000000" w:sz="4" w:space="0"/>
              <w:right w:val="single" w:color="000000" w:sz="4" w:space="0"/>
            </w:tcBorders>
            <w:noWrap/>
            <w:vAlign w:val="bottom"/>
          </w:tcPr>
          <w:p w14:paraId="3778E205">
            <w:pPr>
              <w:jc w:val="center"/>
              <w:rPr>
                <w:rFonts w:hint="default" w:ascii="Times New Roman" w:hAnsi="Times New Roman" w:eastAsia="宋体" w:cs="Times New Roman"/>
                <w:i w:val="0"/>
                <w:iCs w:val="0"/>
                <w:color w:val="auto"/>
                <w:sz w:val="21"/>
                <w:szCs w:val="21"/>
                <w:highlight w:val="none"/>
                <w:u w:val="none"/>
              </w:rPr>
            </w:pPr>
          </w:p>
        </w:tc>
        <w:tc>
          <w:tcPr>
            <w:tcW w:w="709" w:type="pct"/>
            <w:tcBorders>
              <w:top w:val="single" w:color="000000" w:sz="4" w:space="0"/>
              <w:left w:val="single" w:color="000000" w:sz="4" w:space="0"/>
              <w:bottom w:val="single" w:color="000000" w:sz="4" w:space="0"/>
              <w:right w:val="single" w:color="000000" w:sz="4" w:space="0"/>
            </w:tcBorders>
            <w:noWrap/>
            <w:vAlign w:val="bottom"/>
          </w:tcPr>
          <w:p w14:paraId="0DA3BAFE">
            <w:pPr>
              <w:jc w:val="center"/>
              <w:rPr>
                <w:rFonts w:hint="default" w:ascii="Times New Roman" w:hAnsi="Times New Roman" w:eastAsia="宋体" w:cs="Times New Roman"/>
                <w:i w:val="0"/>
                <w:iCs w:val="0"/>
                <w:color w:val="auto"/>
                <w:sz w:val="21"/>
                <w:szCs w:val="21"/>
                <w:highlight w:val="none"/>
                <w:u w:val="none"/>
              </w:rPr>
            </w:pPr>
          </w:p>
        </w:tc>
        <w:tc>
          <w:tcPr>
            <w:tcW w:w="1128" w:type="pct"/>
            <w:tcBorders>
              <w:top w:val="single" w:color="000000" w:sz="4" w:space="0"/>
              <w:left w:val="single" w:color="000000" w:sz="4" w:space="0"/>
              <w:bottom w:val="single" w:color="000000" w:sz="4" w:space="0"/>
              <w:right w:val="single" w:color="000000" w:sz="4" w:space="0"/>
            </w:tcBorders>
            <w:noWrap/>
            <w:vAlign w:val="bottom"/>
          </w:tcPr>
          <w:p w14:paraId="5AA93AC4">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263.75 </w:t>
            </w:r>
          </w:p>
        </w:tc>
      </w:tr>
      <w:tr w14:paraId="259223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exact"/>
        </w:trPr>
        <w:tc>
          <w:tcPr>
            <w:tcW w:w="755" w:type="pct"/>
            <w:tcBorders>
              <w:top w:val="single" w:color="000000" w:sz="4" w:space="0"/>
              <w:left w:val="single" w:color="000000" w:sz="4" w:space="0"/>
              <w:bottom w:val="single" w:color="000000" w:sz="4" w:space="0"/>
              <w:right w:val="single" w:color="000000" w:sz="4" w:space="0"/>
            </w:tcBorders>
            <w:noWrap/>
            <w:vAlign w:val="bottom"/>
          </w:tcPr>
          <w:p w14:paraId="5085C180">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w:t>
            </w:r>
          </w:p>
        </w:tc>
        <w:tc>
          <w:tcPr>
            <w:tcW w:w="1126" w:type="pct"/>
            <w:tcBorders>
              <w:top w:val="single" w:color="000000" w:sz="4" w:space="0"/>
              <w:left w:val="single" w:color="000000" w:sz="4" w:space="0"/>
              <w:bottom w:val="single" w:color="000000" w:sz="4" w:space="0"/>
              <w:right w:val="single" w:color="000000" w:sz="4" w:space="0"/>
            </w:tcBorders>
            <w:noWrap/>
            <w:vAlign w:val="bottom"/>
          </w:tcPr>
          <w:p w14:paraId="4E80B805">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直接工程费</w:t>
            </w:r>
          </w:p>
        </w:tc>
        <w:tc>
          <w:tcPr>
            <w:tcW w:w="570" w:type="pct"/>
            <w:tcBorders>
              <w:top w:val="single" w:color="000000" w:sz="4" w:space="0"/>
              <w:left w:val="single" w:color="000000" w:sz="4" w:space="0"/>
              <w:bottom w:val="single" w:color="000000" w:sz="4" w:space="0"/>
              <w:right w:val="single" w:color="000000" w:sz="4" w:space="0"/>
            </w:tcBorders>
            <w:noWrap/>
            <w:vAlign w:val="bottom"/>
          </w:tcPr>
          <w:p w14:paraId="0D37E3CB">
            <w:pPr>
              <w:jc w:val="center"/>
              <w:rPr>
                <w:rFonts w:hint="default" w:ascii="Times New Roman" w:hAnsi="Times New Roman" w:eastAsia="宋体" w:cs="Times New Roman"/>
                <w:i w:val="0"/>
                <w:iCs w:val="0"/>
                <w:color w:val="auto"/>
                <w:sz w:val="21"/>
                <w:szCs w:val="21"/>
                <w:highlight w:val="none"/>
                <w:u w:val="none"/>
              </w:rPr>
            </w:pPr>
          </w:p>
        </w:tc>
        <w:tc>
          <w:tcPr>
            <w:tcW w:w="709" w:type="pct"/>
            <w:tcBorders>
              <w:top w:val="single" w:color="000000" w:sz="4" w:space="0"/>
              <w:left w:val="single" w:color="000000" w:sz="4" w:space="0"/>
              <w:bottom w:val="single" w:color="000000" w:sz="4" w:space="0"/>
              <w:right w:val="single" w:color="000000" w:sz="4" w:space="0"/>
            </w:tcBorders>
            <w:noWrap/>
            <w:vAlign w:val="bottom"/>
          </w:tcPr>
          <w:p w14:paraId="292F136A">
            <w:pPr>
              <w:jc w:val="center"/>
              <w:rPr>
                <w:rFonts w:hint="default" w:ascii="Times New Roman" w:hAnsi="Times New Roman" w:eastAsia="宋体" w:cs="Times New Roman"/>
                <w:i w:val="0"/>
                <w:iCs w:val="0"/>
                <w:color w:val="auto"/>
                <w:sz w:val="21"/>
                <w:szCs w:val="21"/>
                <w:highlight w:val="none"/>
                <w:u w:val="none"/>
              </w:rPr>
            </w:pPr>
          </w:p>
        </w:tc>
        <w:tc>
          <w:tcPr>
            <w:tcW w:w="709" w:type="pct"/>
            <w:tcBorders>
              <w:top w:val="single" w:color="000000" w:sz="4" w:space="0"/>
              <w:left w:val="single" w:color="000000" w:sz="4" w:space="0"/>
              <w:bottom w:val="single" w:color="000000" w:sz="4" w:space="0"/>
              <w:right w:val="single" w:color="000000" w:sz="4" w:space="0"/>
            </w:tcBorders>
            <w:noWrap/>
            <w:vAlign w:val="bottom"/>
          </w:tcPr>
          <w:p w14:paraId="782EDC17">
            <w:pPr>
              <w:jc w:val="center"/>
              <w:rPr>
                <w:rFonts w:hint="default" w:ascii="Times New Roman" w:hAnsi="Times New Roman" w:eastAsia="宋体" w:cs="Times New Roman"/>
                <w:i w:val="0"/>
                <w:iCs w:val="0"/>
                <w:color w:val="auto"/>
                <w:sz w:val="21"/>
                <w:szCs w:val="21"/>
                <w:highlight w:val="none"/>
                <w:u w:val="none"/>
              </w:rPr>
            </w:pPr>
          </w:p>
        </w:tc>
        <w:tc>
          <w:tcPr>
            <w:tcW w:w="1128" w:type="pct"/>
            <w:tcBorders>
              <w:top w:val="single" w:color="000000" w:sz="4" w:space="0"/>
              <w:left w:val="single" w:color="000000" w:sz="4" w:space="0"/>
              <w:bottom w:val="single" w:color="000000" w:sz="4" w:space="0"/>
              <w:right w:val="single" w:color="000000" w:sz="4" w:space="0"/>
            </w:tcBorders>
            <w:noWrap/>
            <w:vAlign w:val="bottom"/>
          </w:tcPr>
          <w:p w14:paraId="09B1A359">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254.09 </w:t>
            </w:r>
          </w:p>
        </w:tc>
      </w:tr>
      <w:tr w14:paraId="6AC647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exact"/>
        </w:trPr>
        <w:tc>
          <w:tcPr>
            <w:tcW w:w="755" w:type="pct"/>
            <w:tcBorders>
              <w:top w:val="single" w:color="000000" w:sz="4" w:space="0"/>
              <w:left w:val="single" w:color="000000" w:sz="4" w:space="0"/>
              <w:bottom w:val="single" w:color="000000" w:sz="4" w:space="0"/>
              <w:right w:val="single" w:color="000000" w:sz="4" w:space="0"/>
            </w:tcBorders>
            <w:noWrap/>
            <w:vAlign w:val="bottom"/>
          </w:tcPr>
          <w:p w14:paraId="368327BF">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 </w:t>
            </w:r>
          </w:p>
        </w:tc>
        <w:tc>
          <w:tcPr>
            <w:tcW w:w="1126" w:type="pct"/>
            <w:tcBorders>
              <w:top w:val="single" w:color="000000" w:sz="4" w:space="0"/>
              <w:left w:val="single" w:color="000000" w:sz="4" w:space="0"/>
              <w:bottom w:val="single" w:color="000000" w:sz="4" w:space="0"/>
              <w:right w:val="single" w:color="000000" w:sz="4" w:space="0"/>
            </w:tcBorders>
            <w:noWrap/>
            <w:vAlign w:val="bottom"/>
          </w:tcPr>
          <w:p w14:paraId="23F1E480">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人工费</w:t>
            </w:r>
          </w:p>
        </w:tc>
        <w:tc>
          <w:tcPr>
            <w:tcW w:w="570" w:type="pct"/>
            <w:tcBorders>
              <w:top w:val="single" w:color="000000" w:sz="4" w:space="0"/>
              <w:left w:val="single" w:color="000000" w:sz="4" w:space="0"/>
              <w:bottom w:val="single" w:color="000000" w:sz="4" w:space="0"/>
              <w:right w:val="single" w:color="000000" w:sz="4" w:space="0"/>
            </w:tcBorders>
            <w:noWrap/>
            <w:vAlign w:val="bottom"/>
          </w:tcPr>
          <w:p w14:paraId="6DA83EC1">
            <w:pPr>
              <w:jc w:val="center"/>
              <w:rPr>
                <w:rFonts w:hint="default" w:ascii="Times New Roman" w:hAnsi="Times New Roman" w:eastAsia="宋体" w:cs="Times New Roman"/>
                <w:i w:val="0"/>
                <w:iCs w:val="0"/>
                <w:color w:val="auto"/>
                <w:sz w:val="21"/>
                <w:szCs w:val="21"/>
                <w:highlight w:val="none"/>
                <w:u w:val="none"/>
              </w:rPr>
            </w:pPr>
          </w:p>
        </w:tc>
        <w:tc>
          <w:tcPr>
            <w:tcW w:w="709" w:type="pct"/>
            <w:tcBorders>
              <w:top w:val="single" w:color="000000" w:sz="4" w:space="0"/>
              <w:left w:val="single" w:color="000000" w:sz="4" w:space="0"/>
              <w:bottom w:val="single" w:color="000000" w:sz="4" w:space="0"/>
              <w:right w:val="single" w:color="000000" w:sz="4" w:space="0"/>
            </w:tcBorders>
            <w:noWrap/>
            <w:vAlign w:val="bottom"/>
          </w:tcPr>
          <w:p w14:paraId="64C13EF7">
            <w:pPr>
              <w:jc w:val="center"/>
              <w:rPr>
                <w:rFonts w:hint="default" w:ascii="Times New Roman" w:hAnsi="Times New Roman" w:eastAsia="宋体" w:cs="Times New Roman"/>
                <w:i w:val="0"/>
                <w:iCs w:val="0"/>
                <w:color w:val="auto"/>
                <w:sz w:val="21"/>
                <w:szCs w:val="21"/>
                <w:highlight w:val="none"/>
                <w:u w:val="none"/>
              </w:rPr>
            </w:pPr>
          </w:p>
        </w:tc>
        <w:tc>
          <w:tcPr>
            <w:tcW w:w="709" w:type="pct"/>
            <w:tcBorders>
              <w:top w:val="single" w:color="000000" w:sz="4" w:space="0"/>
              <w:left w:val="single" w:color="000000" w:sz="4" w:space="0"/>
              <w:bottom w:val="single" w:color="000000" w:sz="4" w:space="0"/>
              <w:right w:val="single" w:color="000000" w:sz="4" w:space="0"/>
            </w:tcBorders>
            <w:noWrap/>
            <w:vAlign w:val="bottom"/>
          </w:tcPr>
          <w:p w14:paraId="57C166C5">
            <w:pPr>
              <w:jc w:val="center"/>
              <w:rPr>
                <w:rFonts w:hint="default" w:ascii="Times New Roman" w:hAnsi="Times New Roman" w:eastAsia="宋体" w:cs="Times New Roman"/>
                <w:i w:val="0"/>
                <w:iCs w:val="0"/>
                <w:color w:val="auto"/>
                <w:sz w:val="21"/>
                <w:szCs w:val="21"/>
                <w:highlight w:val="none"/>
                <w:u w:val="none"/>
              </w:rPr>
            </w:pPr>
          </w:p>
        </w:tc>
        <w:tc>
          <w:tcPr>
            <w:tcW w:w="1128" w:type="pct"/>
            <w:tcBorders>
              <w:top w:val="single" w:color="000000" w:sz="4" w:space="0"/>
              <w:left w:val="single" w:color="000000" w:sz="4" w:space="0"/>
              <w:bottom w:val="single" w:color="000000" w:sz="4" w:space="0"/>
              <w:right w:val="single" w:color="000000" w:sz="4" w:space="0"/>
            </w:tcBorders>
            <w:noWrap/>
            <w:vAlign w:val="bottom"/>
          </w:tcPr>
          <w:p w14:paraId="628CED08">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39.00 </w:t>
            </w:r>
          </w:p>
        </w:tc>
      </w:tr>
      <w:tr w14:paraId="6F1DF0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exact"/>
        </w:trPr>
        <w:tc>
          <w:tcPr>
            <w:tcW w:w="755" w:type="pct"/>
            <w:tcBorders>
              <w:top w:val="single" w:color="000000" w:sz="4" w:space="0"/>
              <w:left w:val="single" w:color="000000" w:sz="4" w:space="0"/>
              <w:bottom w:val="single" w:color="000000" w:sz="4" w:space="0"/>
              <w:right w:val="single" w:color="000000" w:sz="4" w:space="0"/>
            </w:tcBorders>
            <w:noWrap/>
            <w:vAlign w:val="bottom"/>
          </w:tcPr>
          <w:p w14:paraId="63AF6A58">
            <w:pPr>
              <w:jc w:val="center"/>
              <w:rPr>
                <w:rFonts w:hint="default" w:ascii="Times New Roman" w:hAnsi="Times New Roman" w:eastAsia="宋体" w:cs="Times New Roman"/>
                <w:i w:val="0"/>
                <w:iCs w:val="0"/>
                <w:color w:val="auto"/>
                <w:sz w:val="21"/>
                <w:szCs w:val="21"/>
                <w:highlight w:val="none"/>
                <w:u w:val="none"/>
              </w:rPr>
            </w:pPr>
          </w:p>
        </w:tc>
        <w:tc>
          <w:tcPr>
            <w:tcW w:w="1126" w:type="pct"/>
            <w:tcBorders>
              <w:top w:val="single" w:color="000000" w:sz="4" w:space="0"/>
              <w:left w:val="single" w:color="000000" w:sz="4" w:space="0"/>
              <w:bottom w:val="single" w:color="000000" w:sz="4" w:space="0"/>
              <w:right w:val="single" w:color="000000" w:sz="4" w:space="0"/>
            </w:tcBorders>
            <w:noWrap/>
            <w:vAlign w:val="bottom"/>
          </w:tcPr>
          <w:p w14:paraId="03C88112">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甲类工</w:t>
            </w:r>
          </w:p>
        </w:tc>
        <w:tc>
          <w:tcPr>
            <w:tcW w:w="570" w:type="pct"/>
            <w:tcBorders>
              <w:top w:val="single" w:color="000000" w:sz="4" w:space="0"/>
              <w:left w:val="single" w:color="000000" w:sz="4" w:space="0"/>
              <w:bottom w:val="single" w:color="000000" w:sz="4" w:space="0"/>
              <w:right w:val="single" w:color="000000" w:sz="4" w:space="0"/>
            </w:tcBorders>
            <w:noWrap/>
            <w:vAlign w:val="bottom"/>
          </w:tcPr>
          <w:p w14:paraId="2CB3F1FA">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工日</w:t>
            </w:r>
          </w:p>
        </w:tc>
        <w:tc>
          <w:tcPr>
            <w:tcW w:w="709" w:type="pct"/>
            <w:tcBorders>
              <w:top w:val="single" w:color="000000" w:sz="4" w:space="0"/>
              <w:left w:val="single" w:color="000000" w:sz="4" w:space="0"/>
              <w:bottom w:val="single" w:color="000000" w:sz="4" w:space="0"/>
              <w:right w:val="single" w:color="000000" w:sz="4" w:space="0"/>
            </w:tcBorders>
            <w:noWrap/>
            <w:vAlign w:val="bottom"/>
          </w:tcPr>
          <w:p w14:paraId="7C9C58D4">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 </w:t>
            </w:r>
          </w:p>
        </w:tc>
        <w:tc>
          <w:tcPr>
            <w:tcW w:w="709" w:type="pct"/>
            <w:tcBorders>
              <w:top w:val="single" w:color="000000" w:sz="4" w:space="0"/>
              <w:left w:val="single" w:color="000000" w:sz="4" w:space="0"/>
              <w:bottom w:val="single" w:color="000000" w:sz="4" w:space="0"/>
              <w:right w:val="single" w:color="000000" w:sz="4" w:space="0"/>
            </w:tcBorders>
            <w:noWrap/>
            <w:vAlign w:val="bottom"/>
          </w:tcPr>
          <w:p w14:paraId="1304720D">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51.04 </w:t>
            </w:r>
          </w:p>
        </w:tc>
        <w:tc>
          <w:tcPr>
            <w:tcW w:w="1128" w:type="pct"/>
            <w:tcBorders>
              <w:top w:val="single" w:color="000000" w:sz="4" w:space="0"/>
              <w:left w:val="single" w:color="000000" w:sz="4" w:space="0"/>
              <w:bottom w:val="single" w:color="000000" w:sz="4" w:space="0"/>
              <w:right w:val="single" w:color="000000" w:sz="4" w:space="0"/>
            </w:tcBorders>
            <w:noWrap/>
            <w:vAlign w:val="bottom"/>
          </w:tcPr>
          <w:p w14:paraId="6A2C99A7">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 </w:t>
            </w:r>
          </w:p>
        </w:tc>
      </w:tr>
      <w:tr w14:paraId="1490E7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exact"/>
        </w:trPr>
        <w:tc>
          <w:tcPr>
            <w:tcW w:w="755" w:type="pct"/>
            <w:tcBorders>
              <w:top w:val="single" w:color="000000" w:sz="4" w:space="0"/>
              <w:left w:val="single" w:color="000000" w:sz="4" w:space="0"/>
              <w:bottom w:val="single" w:color="000000" w:sz="4" w:space="0"/>
              <w:right w:val="single" w:color="000000" w:sz="4" w:space="0"/>
            </w:tcBorders>
            <w:noWrap/>
            <w:vAlign w:val="bottom"/>
          </w:tcPr>
          <w:p w14:paraId="6810D721">
            <w:pPr>
              <w:jc w:val="center"/>
              <w:rPr>
                <w:rFonts w:hint="default" w:ascii="Times New Roman" w:hAnsi="Times New Roman" w:eastAsia="宋体" w:cs="Times New Roman"/>
                <w:i w:val="0"/>
                <w:iCs w:val="0"/>
                <w:color w:val="auto"/>
                <w:sz w:val="21"/>
                <w:szCs w:val="21"/>
                <w:highlight w:val="none"/>
                <w:u w:val="none"/>
              </w:rPr>
            </w:pPr>
          </w:p>
        </w:tc>
        <w:tc>
          <w:tcPr>
            <w:tcW w:w="1126" w:type="pct"/>
            <w:tcBorders>
              <w:top w:val="single" w:color="000000" w:sz="4" w:space="0"/>
              <w:left w:val="single" w:color="000000" w:sz="4" w:space="0"/>
              <w:bottom w:val="single" w:color="000000" w:sz="4" w:space="0"/>
              <w:right w:val="single" w:color="000000" w:sz="4" w:space="0"/>
            </w:tcBorders>
            <w:noWrap/>
            <w:vAlign w:val="bottom"/>
          </w:tcPr>
          <w:p w14:paraId="436E11CB">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乙类工</w:t>
            </w:r>
          </w:p>
        </w:tc>
        <w:tc>
          <w:tcPr>
            <w:tcW w:w="570" w:type="pct"/>
            <w:tcBorders>
              <w:top w:val="single" w:color="000000" w:sz="4" w:space="0"/>
              <w:left w:val="single" w:color="000000" w:sz="4" w:space="0"/>
              <w:bottom w:val="single" w:color="000000" w:sz="4" w:space="0"/>
              <w:right w:val="single" w:color="000000" w:sz="4" w:space="0"/>
            </w:tcBorders>
            <w:noWrap/>
            <w:vAlign w:val="bottom"/>
          </w:tcPr>
          <w:p w14:paraId="12805F34">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工日</w:t>
            </w:r>
          </w:p>
        </w:tc>
        <w:tc>
          <w:tcPr>
            <w:tcW w:w="709" w:type="pct"/>
            <w:tcBorders>
              <w:top w:val="single" w:color="000000" w:sz="4" w:space="0"/>
              <w:left w:val="single" w:color="000000" w:sz="4" w:space="0"/>
              <w:bottom w:val="single" w:color="000000" w:sz="4" w:space="0"/>
              <w:right w:val="single" w:color="000000" w:sz="4" w:space="0"/>
            </w:tcBorders>
            <w:noWrap/>
            <w:vAlign w:val="bottom"/>
          </w:tcPr>
          <w:p w14:paraId="41F9E7F3">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1.00 </w:t>
            </w:r>
          </w:p>
        </w:tc>
        <w:tc>
          <w:tcPr>
            <w:tcW w:w="709" w:type="pct"/>
            <w:tcBorders>
              <w:top w:val="single" w:color="000000" w:sz="4" w:space="0"/>
              <w:left w:val="single" w:color="000000" w:sz="4" w:space="0"/>
              <w:bottom w:val="single" w:color="000000" w:sz="4" w:space="0"/>
              <w:right w:val="single" w:color="000000" w:sz="4" w:space="0"/>
            </w:tcBorders>
            <w:noWrap/>
            <w:vAlign w:val="bottom"/>
          </w:tcPr>
          <w:p w14:paraId="28D0BF17">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38.84 </w:t>
            </w:r>
          </w:p>
        </w:tc>
        <w:tc>
          <w:tcPr>
            <w:tcW w:w="1128" w:type="pct"/>
            <w:tcBorders>
              <w:top w:val="single" w:color="000000" w:sz="4" w:space="0"/>
              <w:left w:val="single" w:color="000000" w:sz="4" w:space="0"/>
              <w:bottom w:val="single" w:color="000000" w:sz="4" w:space="0"/>
              <w:right w:val="single" w:color="000000" w:sz="4" w:space="0"/>
            </w:tcBorders>
            <w:noWrap/>
            <w:vAlign w:val="bottom"/>
          </w:tcPr>
          <w:p w14:paraId="7FA7CD98">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38.84 </w:t>
            </w:r>
          </w:p>
        </w:tc>
      </w:tr>
      <w:tr w14:paraId="7DD62E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exact"/>
        </w:trPr>
        <w:tc>
          <w:tcPr>
            <w:tcW w:w="755" w:type="pct"/>
            <w:tcBorders>
              <w:top w:val="single" w:color="000000" w:sz="4" w:space="0"/>
              <w:left w:val="single" w:color="000000" w:sz="4" w:space="0"/>
              <w:bottom w:val="single" w:color="000000" w:sz="4" w:space="0"/>
              <w:right w:val="single" w:color="000000" w:sz="4" w:space="0"/>
            </w:tcBorders>
            <w:noWrap/>
            <w:vAlign w:val="bottom"/>
          </w:tcPr>
          <w:p w14:paraId="437B226C">
            <w:pPr>
              <w:jc w:val="center"/>
              <w:rPr>
                <w:rFonts w:hint="default" w:ascii="Times New Roman" w:hAnsi="Times New Roman" w:eastAsia="宋体" w:cs="Times New Roman"/>
                <w:i w:val="0"/>
                <w:iCs w:val="0"/>
                <w:color w:val="auto"/>
                <w:sz w:val="21"/>
                <w:szCs w:val="21"/>
                <w:highlight w:val="none"/>
                <w:u w:val="none"/>
              </w:rPr>
            </w:pPr>
          </w:p>
        </w:tc>
        <w:tc>
          <w:tcPr>
            <w:tcW w:w="1126" w:type="pct"/>
            <w:tcBorders>
              <w:top w:val="single" w:color="000000" w:sz="4" w:space="0"/>
              <w:left w:val="single" w:color="000000" w:sz="4" w:space="0"/>
              <w:bottom w:val="single" w:color="000000" w:sz="4" w:space="0"/>
              <w:right w:val="single" w:color="000000" w:sz="4" w:space="0"/>
            </w:tcBorders>
            <w:noWrap/>
            <w:vAlign w:val="bottom"/>
          </w:tcPr>
          <w:p w14:paraId="55115D63">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其他费用</w:t>
            </w:r>
          </w:p>
        </w:tc>
        <w:tc>
          <w:tcPr>
            <w:tcW w:w="570" w:type="pct"/>
            <w:tcBorders>
              <w:top w:val="single" w:color="000000" w:sz="4" w:space="0"/>
              <w:left w:val="single" w:color="000000" w:sz="4" w:space="0"/>
              <w:bottom w:val="single" w:color="000000" w:sz="4" w:space="0"/>
              <w:right w:val="single" w:color="000000" w:sz="4" w:space="0"/>
            </w:tcBorders>
            <w:noWrap/>
            <w:vAlign w:val="bottom"/>
          </w:tcPr>
          <w:p w14:paraId="6B3B7878">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09" w:type="pct"/>
            <w:tcBorders>
              <w:top w:val="single" w:color="000000" w:sz="4" w:space="0"/>
              <w:left w:val="single" w:color="000000" w:sz="4" w:space="0"/>
              <w:bottom w:val="single" w:color="000000" w:sz="4" w:space="0"/>
              <w:right w:val="single" w:color="000000" w:sz="4" w:space="0"/>
            </w:tcBorders>
            <w:noWrap/>
            <w:vAlign w:val="bottom"/>
          </w:tcPr>
          <w:p w14:paraId="7E8721F4">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0.40 </w:t>
            </w:r>
          </w:p>
        </w:tc>
        <w:tc>
          <w:tcPr>
            <w:tcW w:w="709" w:type="pct"/>
            <w:tcBorders>
              <w:top w:val="single" w:color="000000" w:sz="4" w:space="0"/>
              <w:left w:val="single" w:color="000000" w:sz="4" w:space="0"/>
              <w:bottom w:val="single" w:color="000000" w:sz="4" w:space="0"/>
              <w:right w:val="single" w:color="000000" w:sz="4" w:space="0"/>
            </w:tcBorders>
            <w:noWrap/>
            <w:vAlign w:val="bottom"/>
          </w:tcPr>
          <w:p w14:paraId="2B533AE4">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38.84 </w:t>
            </w:r>
          </w:p>
        </w:tc>
        <w:tc>
          <w:tcPr>
            <w:tcW w:w="1128" w:type="pct"/>
            <w:tcBorders>
              <w:top w:val="single" w:color="000000" w:sz="4" w:space="0"/>
              <w:left w:val="single" w:color="000000" w:sz="4" w:space="0"/>
              <w:bottom w:val="single" w:color="000000" w:sz="4" w:space="0"/>
              <w:right w:val="single" w:color="000000" w:sz="4" w:space="0"/>
            </w:tcBorders>
            <w:noWrap/>
            <w:vAlign w:val="bottom"/>
          </w:tcPr>
          <w:p w14:paraId="552F16D4">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0.16 </w:t>
            </w:r>
          </w:p>
        </w:tc>
      </w:tr>
      <w:tr w14:paraId="7844C4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exact"/>
        </w:trPr>
        <w:tc>
          <w:tcPr>
            <w:tcW w:w="755" w:type="pct"/>
            <w:tcBorders>
              <w:top w:val="single" w:color="000000" w:sz="4" w:space="0"/>
              <w:left w:val="single" w:color="000000" w:sz="4" w:space="0"/>
              <w:bottom w:val="single" w:color="000000" w:sz="4" w:space="0"/>
              <w:right w:val="single" w:color="000000" w:sz="4" w:space="0"/>
            </w:tcBorders>
            <w:noWrap/>
            <w:vAlign w:val="bottom"/>
          </w:tcPr>
          <w:p w14:paraId="6EA53ABB">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 </w:t>
            </w:r>
          </w:p>
        </w:tc>
        <w:tc>
          <w:tcPr>
            <w:tcW w:w="1126" w:type="pct"/>
            <w:tcBorders>
              <w:top w:val="single" w:color="000000" w:sz="4" w:space="0"/>
              <w:left w:val="single" w:color="000000" w:sz="4" w:space="0"/>
              <w:bottom w:val="single" w:color="000000" w:sz="4" w:space="0"/>
              <w:right w:val="single" w:color="000000" w:sz="4" w:space="0"/>
            </w:tcBorders>
            <w:noWrap/>
            <w:vAlign w:val="bottom"/>
          </w:tcPr>
          <w:p w14:paraId="14359A2D">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材料费</w:t>
            </w:r>
          </w:p>
        </w:tc>
        <w:tc>
          <w:tcPr>
            <w:tcW w:w="570" w:type="pct"/>
            <w:tcBorders>
              <w:top w:val="single" w:color="000000" w:sz="4" w:space="0"/>
              <w:left w:val="single" w:color="000000" w:sz="4" w:space="0"/>
              <w:bottom w:val="single" w:color="000000" w:sz="4" w:space="0"/>
              <w:right w:val="single" w:color="000000" w:sz="4" w:space="0"/>
            </w:tcBorders>
            <w:noWrap/>
            <w:vAlign w:val="bottom"/>
          </w:tcPr>
          <w:p w14:paraId="6AE0624A">
            <w:pPr>
              <w:jc w:val="center"/>
              <w:rPr>
                <w:rFonts w:hint="default" w:ascii="Times New Roman" w:hAnsi="Times New Roman" w:eastAsia="宋体" w:cs="Times New Roman"/>
                <w:i w:val="0"/>
                <w:iCs w:val="0"/>
                <w:color w:val="auto"/>
                <w:sz w:val="21"/>
                <w:szCs w:val="21"/>
                <w:highlight w:val="none"/>
                <w:u w:val="none"/>
              </w:rPr>
            </w:pPr>
          </w:p>
        </w:tc>
        <w:tc>
          <w:tcPr>
            <w:tcW w:w="709" w:type="pct"/>
            <w:tcBorders>
              <w:top w:val="single" w:color="000000" w:sz="4" w:space="0"/>
              <w:left w:val="single" w:color="000000" w:sz="4" w:space="0"/>
              <w:bottom w:val="single" w:color="000000" w:sz="4" w:space="0"/>
              <w:right w:val="single" w:color="000000" w:sz="4" w:space="0"/>
            </w:tcBorders>
            <w:noWrap/>
            <w:vAlign w:val="bottom"/>
          </w:tcPr>
          <w:p w14:paraId="0E36B59F">
            <w:pPr>
              <w:jc w:val="center"/>
              <w:rPr>
                <w:rFonts w:hint="default" w:ascii="Times New Roman" w:hAnsi="Times New Roman" w:eastAsia="宋体" w:cs="Times New Roman"/>
                <w:i w:val="0"/>
                <w:iCs w:val="0"/>
                <w:color w:val="auto"/>
                <w:sz w:val="21"/>
                <w:szCs w:val="21"/>
                <w:highlight w:val="none"/>
                <w:u w:val="none"/>
              </w:rPr>
            </w:pPr>
          </w:p>
        </w:tc>
        <w:tc>
          <w:tcPr>
            <w:tcW w:w="709" w:type="pct"/>
            <w:tcBorders>
              <w:top w:val="single" w:color="000000" w:sz="4" w:space="0"/>
              <w:left w:val="single" w:color="000000" w:sz="4" w:space="0"/>
              <w:bottom w:val="single" w:color="000000" w:sz="4" w:space="0"/>
              <w:right w:val="single" w:color="000000" w:sz="4" w:space="0"/>
            </w:tcBorders>
            <w:noWrap/>
            <w:vAlign w:val="bottom"/>
          </w:tcPr>
          <w:p w14:paraId="701B13BC">
            <w:pPr>
              <w:jc w:val="center"/>
              <w:rPr>
                <w:rFonts w:hint="default" w:ascii="Times New Roman" w:hAnsi="Times New Roman" w:eastAsia="宋体" w:cs="Times New Roman"/>
                <w:i w:val="0"/>
                <w:iCs w:val="0"/>
                <w:color w:val="auto"/>
                <w:sz w:val="21"/>
                <w:szCs w:val="21"/>
                <w:highlight w:val="none"/>
                <w:u w:val="none"/>
              </w:rPr>
            </w:pPr>
          </w:p>
        </w:tc>
        <w:tc>
          <w:tcPr>
            <w:tcW w:w="1128" w:type="pct"/>
            <w:tcBorders>
              <w:top w:val="single" w:color="000000" w:sz="4" w:space="0"/>
              <w:left w:val="single" w:color="000000" w:sz="4" w:space="0"/>
              <w:bottom w:val="single" w:color="000000" w:sz="4" w:space="0"/>
              <w:right w:val="single" w:color="000000" w:sz="4" w:space="0"/>
            </w:tcBorders>
            <w:noWrap/>
            <w:vAlign w:val="bottom"/>
          </w:tcPr>
          <w:p w14:paraId="5B2CA147">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215.10 </w:t>
            </w:r>
          </w:p>
        </w:tc>
      </w:tr>
      <w:tr w14:paraId="6C627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exact"/>
        </w:trPr>
        <w:tc>
          <w:tcPr>
            <w:tcW w:w="755" w:type="pct"/>
            <w:tcBorders>
              <w:top w:val="single" w:color="000000" w:sz="4" w:space="0"/>
              <w:left w:val="single" w:color="000000" w:sz="4" w:space="0"/>
              <w:bottom w:val="single" w:color="000000" w:sz="4" w:space="0"/>
              <w:right w:val="single" w:color="000000" w:sz="4" w:space="0"/>
            </w:tcBorders>
            <w:noWrap/>
            <w:vAlign w:val="bottom"/>
          </w:tcPr>
          <w:p w14:paraId="1D338EFE">
            <w:pPr>
              <w:jc w:val="center"/>
              <w:rPr>
                <w:rFonts w:hint="default" w:ascii="Times New Roman" w:hAnsi="Times New Roman" w:eastAsia="宋体" w:cs="Times New Roman"/>
                <w:i w:val="0"/>
                <w:iCs w:val="0"/>
                <w:color w:val="auto"/>
                <w:sz w:val="21"/>
                <w:szCs w:val="21"/>
                <w:highlight w:val="none"/>
                <w:u w:val="none"/>
              </w:rPr>
            </w:pPr>
          </w:p>
        </w:tc>
        <w:tc>
          <w:tcPr>
            <w:tcW w:w="1126" w:type="pct"/>
            <w:tcBorders>
              <w:top w:val="single" w:color="000000" w:sz="4" w:space="0"/>
              <w:left w:val="single" w:color="000000" w:sz="4" w:space="0"/>
              <w:bottom w:val="single" w:color="000000" w:sz="4" w:space="0"/>
              <w:right w:val="single" w:color="000000" w:sz="4" w:space="0"/>
            </w:tcBorders>
            <w:noWrap/>
            <w:vAlign w:val="bottom"/>
          </w:tcPr>
          <w:p w14:paraId="6B97846F">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树苗</w:t>
            </w:r>
          </w:p>
        </w:tc>
        <w:tc>
          <w:tcPr>
            <w:tcW w:w="570" w:type="pct"/>
            <w:tcBorders>
              <w:top w:val="single" w:color="000000" w:sz="4" w:space="0"/>
              <w:left w:val="single" w:color="000000" w:sz="4" w:space="0"/>
              <w:bottom w:val="single" w:color="000000" w:sz="4" w:space="0"/>
              <w:right w:val="single" w:color="000000" w:sz="4" w:space="0"/>
            </w:tcBorders>
            <w:noWrap/>
            <w:vAlign w:val="bottom"/>
          </w:tcPr>
          <w:p w14:paraId="0DE37C08">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株</w:t>
            </w:r>
          </w:p>
        </w:tc>
        <w:tc>
          <w:tcPr>
            <w:tcW w:w="709" w:type="pct"/>
            <w:tcBorders>
              <w:top w:val="single" w:color="000000" w:sz="4" w:space="0"/>
              <w:left w:val="single" w:color="000000" w:sz="4" w:space="0"/>
              <w:bottom w:val="single" w:color="000000" w:sz="4" w:space="0"/>
              <w:right w:val="single" w:color="000000" w:sz="4" w:space="0"/>
            </w:tcBorders>
            <w:noWrap/>
            <w:vAlign w:val="bottom"/>
          </w:tcPr>
          <w:p w14:paraId="0DB5F980">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102.00 </w:t>
            </w:r>
          </w:p>
        </w:tc>
        <w:tc>
          <w:tcPr>
            <w:tcW w:w="709" w:type="pct"/>
            <w:tcBorders>
              <w:top w:val="single" w:color="000000" w:sz="4" w:space="0"/>
              <w:left w:val="single" w:color="000000" w:sz="4" w:space="0"/>
              <w:bottom w:val="single" w:color="000000" w:sz="4" w:space="0"/>
              <w:right w:val="single" w:color="000000" w:sz="4" w:space="0"/>
            </w:tcBorders>
            <w:noWrap/>
            <w:vAlign w:val="bottom"/>
          </w:tcPr>
          <w:p w14:paraId="6853D7C2">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2.00 </w:t>
            </w:r>
          </w:p>
        </w:tc>
        <w:tc>
          <w:tcPr>
            <w:tcW w:w="1128" w:type="pct"/>
            <w:tcBorders>
              <w:top w:val="single" w:color="000000" w:sz="4" w:space="0"/>
              <w:left w:val="single" w:color="000000" w:sz="4" w:space="0"/>
              <w:bottom w:val="single" w:color="000000" w:sz="4" w:space="0"/>
              <w:right w:val="single" w:color="000000" w:sz="4" w:space="0"/>
            </w:tcBorders>
            <w:noWrap/>
            <w:vAlign w:val="bottom"/>
          </w:tcPr>
          <w:p w14:paraId="2F4C5433">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204.00 </w:t>
            </w:r>
          </w:p>
        </w:tc>
      </w:tr>
      <w:tr w14:paraId="31295B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exact"/>
        </w:trPr>
        <w:tc>
          <w:tcPr>
            <w:tcW w:w="755" w:type="pct"/>
            <w:tcBorders>
              <w:top w:val="single" w:color="000000" w:sz="4" w:space="0"/>
              <w:left w:val="single" w:color="000000" w:sz="4" w:space="0"/>
              <w:bottom w:val="single" w:color="000000" w:sz="4" w:space="0"/>
              <w:right w:val="single" w:color="000000" w:sz="4" w:space="0"/>
            </w:tcBorders>
            <w:noWrap/>
            <w:vAlign w:val="bottom"/>
          </w:tcPr>
          <w:p w14:paraId="7C116FD3">
            <w:pPr>
              <w:jc w:val="center"/>
              <w:rPr>
                <w:rFonts w:hint="default" w:ascii="Times New Roman" w:hAnsi="Times New Roman" w:eastAsia="宋体" w:cs="Times New Roman"/>
                <w:i w:val="0"/>
                <w:iCs w:val="0"/>
                <w:color w:val="auto"/>
                <w:sz w:val="21"/>
                <w:szCs w:val="21"/>
                <w:highlight w:val="none"/>
                <w:u w:val="none"/>
              </w:rPr>
            </w:pPr>
          </w:p>
        </w:tc>
        <w:tc>
          <w:tcPr>
            <w:tcW w:w="1126" w:type="pct"/>
            <w:tcBorders>
              <w:top w:val="single" w:color="000000" w:sz="4" w:space="0"/>
              <w:left w:val="single" w:color="000000" w:sz="4" w:space="0"/>
              <w:bottom w:val="single" w:color="000000" w:sz="4" w:space="0"/>
              <w:right w:val="single" w:color="000000" w:sz="4" w:space="0"/>
            </w:tcBorders>
            <w:noWrap/>
            <w:vAlign w:val="bottom"/>
          </w:tcPr>
          <w:p w14:paraId="5B7F1950">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水</w:t>
            </w:r>
          </w:p>
        </w:tc>
        <w:tc>
          <w:tcPr>
            <w:tcW w:w="570" w:type="pct"/>
            <w:tcBorders>
              <w:top w:val="single" w:color="000000" w:sz="4" w:space="0"/>
              <w:left w:val="single" w:color="000000" w:sz="4" w:space="0"/>
              <w:bottom w:val="single" w:color="000000" w:sz="4" w:space="0"/>
              <w:right w:val="single" w:color="000000" w:sz="4" w:space="0"/>
            </w:tcBorders>
            <w:noWrap/>
            <w:vAlign w:val="bottom"/>
          </w:tcPr>
          <w:p w14:paraId="3673E48E">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cs="Times New Roman"/>
                <w:i w:val="0"/>
                <w:iCs w:val="0"/>
                <w:color w:val="auto"/>
                <w:kern w:val="0"/>
                <w:sz w:val="21"/>
                <w:szCs w:val="21"/>
                <w:highlight w:val="none"/>
                <w:u w:val="none"/>
                <w:lang w:val="en-US" w:eastAsia="zh-CN" w:bidi="ar"/>
              </w:rPr>
              <w:t>m</w:t>
            </w:r>
            <w:r>
              <w:rPr>
                <w:rFonts w:hint="default" w:ascii="Times New Roman" w:hAnsi="Times New Roman" w:cs="Times New Roman"/>
                <w:i w:val="0"/>
                <w:iCs w:val="0"/>
                <w:color w:val="auto"/>
                <w:kern w:val="0"/>
                <w:sz w:val="21"/>
                <w:szCs w:val="21"/>
                <w:highlight w:val="none"/>
                <w:u w:val="none"/>
                <w:vertAlign w:val="superscript"/>
                <w:lang w:val="en-US" w:eastAsia="zh-CN" w:bidi="ar"/>
              </w:rPr>
              <w:t>3</w:t>
            </w:r>
          </w:p>
        </w:tc>
        <w:tc>
          <w:tcPr>
            <w:tcW w:w="709" w:type="pct"/>
            <w:tcBorders>
              <w:top w:val="single" w:color="000000" w:sz="4" w:space="0"/>
              <w:left w:val="single" w:color="000000" w:sz="4" w:space="0"/>
              <w:bottom w:val="single" w:color="000000" w:sz="4" w:space="0"/>
              <w:right w:val="single" w:color="000000" w:sz="4" w:space="0"/>
            </w:tcBorders>
            <w:noWrap/>
            <w:vAlign w:val="bottom"/>
          </w:tcPr>
          <w:p w14:paraId="02913220">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3.20 </w:t>
            </w:r>
          </w:p>
        </w:tc>
        <w:tc>
          <w:tcPr>
            <w:tcW w:w="709" w:type="pct"/>
            <w:tcBorders>
              <w:top w:val="single" w:color="000000" w:sz="4" w:space="0"/>
              <w:left w:val="single" w:color="000000" w:sz="4" w:space="0"/>
              <w:bottom w:val="single" w:color="000000" w:sz="4" w:space="0"/>
              <w:right w:val="single" w:color="000000" w:sz="4" w:space="0"/>
            </w:tcBorders>
            <w:noWrap/>
            <w:vAlign w:val="bottom"/>
          </w:tcPr>
          <w:p w14:paraId="5FB8E30D">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3.20 </w:t>
            </w:r>
          </w:p>
        </w:tc>
        <w:tc>
          <w:tcPr>
            <w:tcW w:w="1128" w:type="pct"/>
            <w:tcBorders>
              <w:top w:val="single" w:color="000000" w:sz="4" w:space="0"/>
              <w:left w:val="single" w:color="000000" w:sz="4" w:space="0"/>
              <w:bottom w:val="single" w:color="000000" w:sz="4" w:space="0"/>
              <w:right w:val="single" w:color="000000" w:sz="4" w:space="0"/>
            </w:tcBorders>
            <w:noWrap/>
            <w:vAlign w:val="bottom"/>
          </w:tcPr>
          <w:p w14:paraId="20F0DBB7">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10.24 </w:t>
            </w:r>
          </w:p>
        </w:tc>
      </w:tr>
      <w:tr w14:paraId="32A44E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exact"/>
        </w:trPr>
        <w:tc>
          <w:tcPr>
            <w:tcW w:w="755" w:type="pct"/>
            <w:tcBorders>
              <w:top w:val="single" w:color="000000" w:sz="4" w:space="0"/>
              <w:left w:val="single" w:color="000000" w:sz="4" w:space="0"/>
              <w:bottom w:val="single" w:color="000000" w:sz="4" w:space="0"/>
              <w:right w:val="single" w:color="000000" w:sz="4" w:space="0"/>
            </w:tcBorders>
            <w:noWrap/>
            <w:vAlign w:val="bottom"/>
          </w:tcPr>
          <w:p w14:paraId="1F2F9EDA">
            <w:pPr>
              <w:jc w:val="center"/>
              <w:rPr>
                <w:rFonts w:hint="default" w:ascii="Times New Roman" w:hAnsi="Times New Roman" w:eastAsia="宋体" w:cs="Times New Roman"/>
                <w:i w:val="0"/>
                <w:iCs w:val="0"/>
                <w:color w:val="auto"/>
                <w:sz w:val="21"/>
                <w:szCs w:val="21"/>
                <w:highlight w:val="none"/>
                <w:u w:val="none"/>
              </w:rPr>
            </w:pPr>
          </w:p>
        </w:tc>
        <w:tc>
          <w:tcPr>
            <w:tcW w:w="1126" w:type="pct"/>
            <w:tcBorders>
              <w:top w:val="single" w:color="000000" w:sz="4" w:space="0"/>
              <w:left w:val="single" w:color="000000" w:sz="4" w:space="0"/>
              <w:bottom w:val="single" w:color="000000" w:sz="4" w:space="0"/>
              <w:right w:val="single" w:color="000000" w:sz="4" w:space="0"/>
            </w:tcBorders>
            <w:noWrap/>
            <w:vAlign w:val="bottom"/>
          </w:tcPr>
          <w:p w14:paraId="681E2610">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其他费用</w:t>
            </w:r>
          </w:p>
        </w:tc>
        <w:tc>
          <w:tcPr>
            <w:tcW w:w="570" w:type="pct"/>
            <w:tcBorders>
              <w:top w:val="single" w:color="000000" w:sz="4" w:space="0"/>
              <w:left w:val="single" w:color="000000" w:sz="4" w:space="0"/>
              <w:bottom w:val="single" w:color="000000" w:sz="4" w:space="0"/>
              <w:right w:val="single" w:color="000000" w:sz="4" w:space="0"/>
            </w:tcBorders>
            <w:noWrap/>
            <w:vAlign w:val="bottom"/>
          </w:tcPr>
          <w:p w14:paraId="7495A772">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09" w:type="pct"/>
            <w:tcBorders>
              <w:top w:val="single" w:color="000000" w:sz="4" w:space="0"/>
              <w:left w:val="single" w:color="000000" w:sz="4" w:space="0"/>
              <w:bottom w:val="single" w:color="000000" w:sz="4" w:space="0"/>
              <w:right w:val="single" w:color="000000" w:sz="4" w:space="0"/>
            </w:tcBorders>
            <w:noWrap/>
            <w:vAlign w:val="bottom"/>
          </w:tcPr>
          <w:p w14:paraId="386081EA">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0.40 </w:t>
            </w:r>
          </w:p>
        </w:tc>
        <w:tc>
          <w:tcPr>
            <w:tcW w:w="709" w:type="pct"/>
            <w:tcBorders>
              <w:top w:val="single" w:color="000000" w:sz="4" w:space="0"/>
              <w:left w:val="single" w:color="000000" w:sz="4" w:space="0"/>
              <w:bottom w:val="single" w:color="000000" w:sz="4" w:space="0"/>
              <w:right w:val="single" w:color="000000" w:sz="4" w:space="0"/>
            </w:tcBorders>
            <w:noWrap/>
            <w:vAlign w:val="bottom"/>
          </w:tcPr>
          <w:p w14:paraId="14256ECD">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214.24 </w:t>
            </w:r>
          </w:p>
        </w:tc>
        <w:tc>
          <w:tcPr>
            <w:tcW w:w="1128" w:type="pct"/>
            <w:tcBorders>
              <w:top w:val="single" w:color="000000" w:sz="4" w:space="0"/>
              <w:left w:val="single" w:color="000000" w:sz="4" w:space="0"/>
              <w:bottom w:val="single" w:color="000000" w:sz="4" w:space="0"/>
              <w:right w:val="single" w:color="000000" w:sz="4" w:space="0"/>
            </w:tcBorders>
            <w:noWrap/>
            <w:vAlign w:val="bottom"/>
          </w:tcPr>
          <w:p w14:paraId="7CDC7745">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0.86 </w:t>
            </w:r>
          </w:p>
        </w:tc>
      </w:tr>
      <w:tr w14:paraId="7597D6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exact"/>
        </w:trPr>
        <w:tc>
          <w:tcPr>
            <w:tcW w:w="755" w:type="pct"/>
            <w:tcBorders>
              <w:top w:val="single" w:color="000000" w:sz="4" w:space="0"/>
              <w:left w:val="single" w:color="000000" w:sz="4" w:space="0"/>
              <w:bottom w:val="single" w:color="000000" w:sz="4" w:space="0"/>
              <w:right w:val="single" w:color="000000" w:sz="4" w:space="0"/>
            </w:tcBorders>
            <w:noWrap/>
            <w:vAlign w:val="bottom"/>
          </w:tcPr>
          <w:p w14:paraId="35001A20">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 </w:t>
            </w:r>
          </w:p>
        </w:tc>
        <w:tc>
          <w:tcPr>
            <w:tcW w:w="1126" w:type="pct"/>
            <w:tcBorders>
              <w:top w:val="single" w:color="000000" w:sz="4" w:space="0"/>
              <w:left w:val="single" w:color="000000" w:sz="4" w:space="0"/>
              <w:bottom w:val="single" w:color="000000" w:sz="4" w:space="0"/>
              <w:right w:val="single" w:color="000000" w:sz="4" w:space="0"/>
            </w:tcBorders>
            <w:noWrap/>
            <w:vAlign w:val="bottom"/>
          </w:tcPr>
          <w:p w14:paraId="6A72092B">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机械费</w:t>
            </w:r>
          </w:p>
        </w:tc>
        <w:tc>
          <w:tcPr>
            <w:tcW w:w="570" w:type="pct"/>
            <w:tcBorders>
              <w:top w:val="single" w:color="000000" w:sz="4" w:space="0"/>
              <w:left w:val="single" w:color="000000" w:sz="4" w:space="0"/>
              <w:bottom w:val="single" w:color="000000" w:sz="4" w:space="0"/>
              <w:right w:val="single" w:color="000000" w:sz="4" w:space="0"/>
            </w:tcBorders>
            <w:noWrap/>
            <w:vAlign w:val="bottom"/>
          </w:tcPr>
          <w:p w14:paraId="2AE7E384">
            <w:pPr>
              <w:jc w:val="center"/>
              <w:rPr>
                <w:rFonts w:hint="default" w:ascii="Times New Roman" w:hAnsi="Times New Roman" w:eastAsia="宋体" w:cs="Times New Roman"/>
                <w:i w:val="0"/>
                <w:iCs w:val="0"/>
                <w:color w:val="auto"/>
                <w:sz w:val="21"/>
                <w:szCs w:val="21"/>
                <w:highlight w:val="none"/>
                <w:u w:val="none"/>
              </w:rPr>
            </w:pPr>
          </w:p>
        </w:tc>
        <w:tc>
          <w:tcPr>
            <w:tcW w:w="709" w:type="pct"/>
            <w:tcBorders>
              <w:top w:val="single" w:color="000000" w:sz="4" w:space="0"/>
              <w:left w:val="single" w:color="000000" w:sz="4" w:space="0"/>
              <w:bottom w:val="single" w:color="000000" w:sz="4" w:space="0"/>
              <w:right w:val="single" w:color="000000" w:sz="4" w:space="0"/>
            </w:tcBorders>
            <w:noWrap/>
            <w:vAlign w:val="bottom"/>
          </w:tcPr>
          <w:p w14:paraId="71FA2713">
            <w:pPr>
              <w:jc w:val="center"/>
              <w:rPr>
                <w:rFonts w:hint="default" w:ascii="Times New Roman" w:hAnsi="Times New Roman" w:eastAsia="宋体" w:cs="Times New Roman"/>
                <w:i w:val="0"/>
                <w:iCs w:val="0"/>
                <w:color w:val="auto"/>
                <w:sz w:val="21"/>
                <w:szCs w:val="21"/>
                <w:highlight w:val="none"/>
                <w:u w:val="none"/>
              </w:rPr>
            </w:pPr>
          </w:p>
        </w:tc>
        <w:tc>
          <w:tcPr>
            <w:tcW w:w="709" w:type="pct"/>
            <w:tcBorders>
              <w:top w:val="single" w:color="000000" w:sz="4" w:space="0"/>
              <w:left w:val="single" w:color="000000" w:sz="4" w:space="0"/>
              <w:bottom w:val="single" w:color="000000" w:sz="4" w:space="0"/>
              <w:right w:val="single" w:color="000000" w:sz="4" w:space="0"/>
            </w:tcBorders>
            <w:noWrap/>
            <w:vAlign w:val="bottom"/>
          </w:tcPr>
          <w:p w14:paraId="67F90DA8">
            <w:pPr>
              <w:jc w:val="center"/>
              <w:rPr>
                <w:rFonts w:hint="default" w:ascii="Times New Roman" w:hAnsi="Times New Roman" w:eastAsia="宋体" w:cs="Times New Roman"/>
                <w:i w:val="0"/>
                <w:iCs w:val="0"/>
                <w:color w:val="auto"/>
                <w:sz w:val="21"/>
                <w:szCs w:val="21"/>
                <w:highlight w:val="none"/>
                <w:u w:val="none"/>
              </w:rPr>
            </w:pPr>
          </w:p>
        </w:tc>
        <w:tc>
          <w:tcPr>
            <w:tcW w:w="1128" w:type="pct"/>
            <w:tcBorders>
              <w:top w:val="single" w:color="000000" w:sz="4" w:space="0"/>
              <w:left w:val="single" w:color="000000" w:sz="4" w:space="0"/>
              <w:bottom w:val="single" w:color="000000" w:sz="4" w:space="0"/>
              <w:right w:val="single" w:color="000000" w:sz="4" w:space="0"/>
            </w:tcBorders>
            <w:noWrap/>
            <w:vAlign w:val="bottom"/>
          </w:tcPr>
          <w:p w14:paraId="7487FC2C">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 </w:t>
            </w:r>
          </w:p>
        </w:tc>
      </w:tr>
      <w:tr w14:paraId="626082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exact"/>
        </w:trPr>
        <w:tc>
          <w:tcPr>
            <w:tcW w:w="755" w:type="pct"/>
            <w:tcBorders>
              <w:top w:val="single" w:color="000000" w:sz="4" w:space="0"/>
              <w:left w:val="single" w:color="000000" w:sz="4" w:space="0"/>
              <w:bottom w:val="single" w:color="000000" w:sz="4" w:space="0"/>
              <w:right w:val="single" w:color="000000" w:sz="4" w:space="0"/>
            </w:tcBorders>
            <w:noWrap/>
            <w:vAlign w:val="bottom"/>
          </w:tcPr>
          <w:p w14:paraId="59C0B936">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（二）</w:t>
            </w:r>
          </w:p>
        </w:tc>
        <w:tc>
          <w:tcPr>
            <w:tcW w:w="1126" w:type="pct"/>
            <w:tcBorders>
              <w:top w:val="single" w:color="000000" w:sz="4" w:space="0"/>
              <w:left w:val="single" w:color="000000" w:sz="4" w:space="0"/>
              <w:bottom w:val="single" w:color="000000" w:sz="4" w:space="0"/>
              <w:right w:val="single" w:color="000000" w:sz="4" w:space="0"/>
            </w:tcBorders>
            <w:noWrap/>
            <w:vAlign w:val="bottom"/>
          </w:tcPr>
          <w:p w14:paraId="24CAA05A">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措施费</w:t>
            </w:r>
          </w:p>
        </w:tc>
        <w:tc>
          <w:tcPr>
            <w:tcW w:w="570" w:type="pct"/>
            <w:tcBorders>
              <w:top w:val="single" w:color="000000" w:sz="4" w:space="0"/>
              <w:left w:val="single" w:color="000000" w:sz="4" w:space="0"/>
              <w:bottom w:val="single" w:color="000000" w:sz="4" w:space="0"/>
              <w:right w:val="single" w:color="000000" w:sz="4" w:space="0"/>
            </w:tcBorders>
            <w:noWrap/>
            <w:vAlign w:val="bottom"/>
          </w:tcPr>
          <w:p w14:paraId="2532E02B">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09" w:type="pct"/>
            <w:tcBorders>
              <w:top w:val="single" w:color="000000" w:sz="4" w:space="0"/>
              <w:left w:val="single" w:color="000000" w:sz="4" w:space="0"/>
              <w:bottom w:val="single" w:color="000000" w:sz="4" w:space="0"/>
              <w:right w:val="single" w:color="000000" w:sz="4" w:space="0"/>
            </w:tcBorders>
            <w:noWrap/>
            <w:vAlign w:val="bottom"/>
          </w:tcPr>
          <w:p w14:paraId="4F4FC40C">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3.80 </w:t>
            </w:r>
          </w:p>
        </w:tc>
        <w:tc>
          <w:tcPr>
            <w:tcW w:w="709" w:type="pct"/>
            <w:tcBorders>
              <w:top w:val="single" w:color="000000" w:sz="4" w:space="0"/>
              <w:left w:val="single" w:color="000000" w:sz="4" w:space="0"/>
              <w:bottom w:val="single" w:color="000000" w:sz="4" w:space="0"/>
              <w:right w:val="single" w:color="000000" w:sz="4" w:space="0"/>
            </w:tcBorders>
            <w:noWrap/>
            <w:vAlign w:val="bottom"/>
          </w:tcPr>
          <w:p w14:paraId="5E216E28">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254.09 </w:t>
            </w:r>
          </w:p>
        </w:tc>
        <w:tc>
          <w:tcPr>
            <w:tcW w:w="1128" w:type="pct"/>
            <w:tcBorders>
              <w:top w:val="single" w:color="000000" w:sz="4" w:space="0"/>
              <w:left w:val="single" w:color="000000" w:sz="4" w:space="0"/>
              <w:bottom w:val="single" w:color="000000" w:sz="4" w:space="0"/>
              <w:right w:val="single" w:color="000000" w:sz="4" w:space="0"/>
            </w:tcBorders>
            <w:noWrap/>
            <w:vAlign w:val="bottom"/>
          </w:tcPr>
          <w:p w14:paraId="633BBCFA">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9.66 </w:t>
            </w:r>
          </w:p>
        </w:tc>
      </w:tr>
      <w:tr w14:paraId="35DC7E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exact"/>
        </w:trPr>
        <w:tc>
          <w:tcPr>
            <w:tcW w:w="755" w:type="pct"/>
            <w:tcBorders>
              <w:top w:val="single" w:color="000000" w:sz="4" w:space="0"/>
              <w:left w:val="single" w:color="000000" w:sz="4" w:space="0"/>
              <w:bottom w:val="single" w:color="000000" w:sz="4" w:space="0"/>
              <w:right w:val="single" w:color="000000" w:sz="4" w:space="0"/>
            </w:tcBorders>
            <w:noWrap/>
            <w:vAlign w:val="bottom"/>
          </w:tcPr>
          <w:p w14:paraId="4174C236">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二</w:t>
            </w:r>
          </w:p>
        </w:tc>
        <w:tc>
          <w:tcPr>
            <w:tcW w:w="1126" w:type="pct"/>
            <w:tcBorders>
              <w:top w:val="single" w:color="000000" w:sz="4" w:space="0"/>
              <w:left w:val="single" w:color="000000" w:sz="4" w:space="0"/>
              <w:bottom w:val="single" w:color="000000" w:sz="4" w:space="0"/>
              <w:right w:val="single" w:color="000000" w:sz="4" w:space="0"/>
            </w:tcBorders>
            <w:noWrap/>
            <w:vAlign w:val="bottom"/>
          </w:tcPr>
          <w:p w14:paraId="66A1F8C2">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间接费</w:t>
            </w:r>
          </w:p>
        </w:tc>
        <w:tc>
          <w:tcPr>
            <w:tcW w:w="570" w:type="pct"/>
            <w:tcBorders>
              <w:top w:val="single" w:color="000000" w:sz="4" w:space="0"/>
              <w:left w:val="single" w:color="000000" w:sz="4" w:space="0"/>
              <w:bottom w:val="single" w:color="000000" w:sz="4" w:space="0"/>
              <w:right w:val="single" w:color="000000" w:sz="4" w:space="0"/>
            </w:tcBorders>
            <w:noWrap/>
            <w:vAlign w:val="bottom"/>
          </w:tcPr>
          <w:p w14:paraId="59D14B4D">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09" w:type="pct"/>
            <w:tcBorders>
              <w:top w:val="single" w:color="000000" w:sz="4" w:space="0"/>
              <w:left w:val="single" w:color="000000" w:sz="4" w:space="0"/>
              <w:bottom w:val="single" w:color="000000" w:sz="4" w:space="0"/>
              <w:right w:val="single" w:color="000000" w:sz="4" w:space="0"/>
            </w:tcBorders>
            <w:noWrap/>
            <w:vAlign w:val="bottom"/>
          </w:tcPr>
          <w:p w14:paraId="42D8FC81">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6.00 </w:t>
            </w:r>
          </w:p>
        </w:tc>
        <w:tc>
          <w:tcPr>
            <w:tcW w:w="709" w:type="pct"/>
            <w:tcBorders>
              <w:top w:val="single" w:color="000000" w:sz="4" w:space="0"/>
              <w:left w:val="single" w:color="000000" w:sz="4" w:space="0"/>
              <w:bottom w:val="single" w:color="000000" w:sz="4" w:space="0"/>
              <w:right w:val="single" w:color="000000" w:sz="4" w:space="0"/>
            </w:tcBorders>
            <w:noWrap/>
            <w:vAlign w:val="bottom"/>
          </w:tcPr>
          <w:p w14:paraId="02114D80">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263.75 </w:t>
            </w:r>
          </w:p>
        </w:tc>
        <w:tc>
          <w:tcPr>
            <w:tcW w:w="1128" w:type="pct"/>
            <w:tcBorders>
              <w:top w:val="single" w:color="000000" w:sz="4" w:space="0"/>
              <w:left w:val="single" w:color="000000" w:sz="4" w:space="0"/>
              <w:bottom w:val="single" w:color="000000" w:sz="4" w:space="0"/>
              <w:right w:val="single" w:color="000000" w:sz="4" w:space="0"/>
            </w:tcBorders>
            <w:noWrap/>
            <w:vAlign w:val="bottom"/>
          </w:tcPr>
          <w:p w14:paraId="4ADE4CF3">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15.82 </w:t>
            </w:r>
          </w:p>
        </w:tc>
      </w:tr>
      <w:tr w14:paraId="5EC89F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exact"/>
        </w:trPr>
        <w:tc>
          <w:tcPr>
            <w:tcW w:w="755" w:type="pct"/>
            <w:tcBorders>
              <w:top w:val="single" w:color="000000" w:sz="4" w:space="0"/>
              <w:left w:val="single" w:color="000000" w:sz="4" w:space="0"/>
              <w:bottom w:val="single" w:color="000000" w:sz="4" w:space="0"/>
              <w:right w:val="single" w:color="000000" w:sz="4" w:space="0"/>
            </w:tcBorders>
            <w:noWrap/>
            <w:vAlign w:val="bottom"/>
          </w:tcPr>
          <w:p w14:paraId="75DC6AB5">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三</w:t>
            </w:r>
          </w:p>
        </w:tc>
        <w:tc>
          <w:tcPr>
            <w:tcW w:w="1126" w:type="pct"/>
            <w:tcBorders>
              <w:top w:val="single" w:color="000000" w:sz="4" w:space="0"/>
              <w:left w:val="single" w:color="000000" w:sz="4" w:space="0"/>
              <w:bottom w:val="single" w:color="000000" w:sz="4" w:space="0"/>
              <w:right w:val="single" w:color="000000" w:sz="4" w:space="0"/>
            </w:tcBorders>
            <w:noWrap/>
            <w:vAlign w:val="bottom"/>
          </w:tcPr>
          <w:p w14:paraId="23FF914A">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利润</w:t>
            </w:r>
          </w:p>
        </w:tc>
        <w:tc>
          <w:tcPr>
            <w:tcW w:w="570" w:type="pct"/>
            <w:tcBorders>
              <w:top w:val="single" w:color="000000" w:sz="4" w:space="0"/>
              <w:left w:val="single" w:color="000000" w:sz="4" w:space="0"/>
              <w:bottom w:val="single" w:color="000000" w:sz="4" w:space="0"/>
              <w:right w:val="single" w:color="000000" w:sz="4" w:space="0"/>
            </w:tcBorders>
            <w:noWrap/>
            <w:vAlign w:val="bottom"/>
          </w:tcPr>
          <w:p w14:paraId="2F22A6F6">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09" w:type="pct"/>
            <w:tcBorders>
              <w:top w:val="single" w:color="000000" w:sz="4" w:space="0"/>
              <w:left w:val="single" w:color="000000" w:sz="4" w:space="0"/>
              <w:bottom w:val="single" w:color="000000" w:sz="4" w:space="0"/>
              <w:right w:val="single" w:color="000000" w:sz="4" w:space="0"/>
            </w:tcBorders>
            <w:noWrap/>
            <w:vAlign w:val="bottom"/>
          </w:tcPr>
          <w:p w14:paraId="2BEB4C7E">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3.00 </w:t>
            </w:r>
          </w:p>
        </w:tc>
        <w:tc>
          <w:tcPr>
            <w:tcW w:w="709" w:type="pct"/>
            <w:tcBorders>
              <w:top w:val="single" w:color="000000" w:sz="4" w:space="0"/>
              <w:left w:val="single" w:color="000000" w:sz="4" w:space="0"/>
              <w:bottom w:val="single" w:color="000000" w:sz="4" w:space="0"/>
              <w:right w:val="single" w:color="000000" w:sz="4" w:space="0"/>
            </w:tcBorders>
            <w:noWrap/>
            <w:vAlign w:val="bottom"/>
          </w:tcPr>
          <w:p w14:paraId="14CD62B7">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279.57 </w:t>
            </w:r>
          </w:p>
        </w:tc>
        <w:tc>
          <w:tcPr>
            <w:tcW w:w="1128" w:type="pct"/>
            <w:tcBorders>
              <w:top w:val="single" w:color="000000" w:sz="4" w:space="0"/>
              <w:left w:val="single" w:color="000000" w:sz="4" w:space="0"/>
              <w:bottom w:val="single" w:color="000000" w:sz="4" w:space="0"/>
              <w:right w:val="single" w:color="000000" w:sz="4" w:space="0"/>
            </w:tcBorders>
            <w:noWrap/>
            <w:vAlign w:val="bottom"/>
          </w:tcPr>
          <w:p w14:paraId="590A1D09">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8.39 </w:t>
            </w:r>
          </w:p>
        </w:tc>
      </w:tr>
      <w:tr w14:paraId="06A0F5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exact"/>
        </w:trPr>
        <w:tc>
          <w:tcPr>
            <w:tcW w:w="755" w:type="pct"/>
            <w:tcBorders>
              <w:top w:val="single" w:color="000000" w:sz="4" w:space="0"/>
              <w:left w:val="single" w:color="000000" w:sz="4" w:space="0"/>
              <w:bottom w:val="single" w:color="000000" w:sz="4" w:space="0"/>
              <w:right w:val="single" w:color="000000" w:sz="4" w:space="0"/>
            </w:tcBorders>
            <w:noWrap/>
            <w:vAlign w:val="bottom"/>
          </w:tcPr>
          <w:p w14:paraId="14655E85">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五</w:t>
            </w:r>
          </w:p>
        </w:tc>
        <w:tc>
          <w:tcPr>
            <w:tcW w:w="1126" w:type="pct"/>
            <w:tcBorders>
              <w:top w:val="single" w:color="000000" w:sz="4" w:space="0"/>
              <w:left w:val="single" w:color="000000" w:sz="4" w:space="0"/>
              <w:bottom w:val="single" w:color="000000" w:sz="4" w:space="0"/>
              <w:right w:val="single" w:color="000000" w:sz="4" w:space="0"/>
            </w:tcBorders>
            <w:noWrap/>
            <w:vAlign w:val="bottom"/>
          </w:tcPr>
          <w:p w14:paraId="0DE7B0C4">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税金</w:t>
            </w:r>
          </w:p>
        </w:tc>
        <w:tc>
          <w:tcPr>
            <w:tcW w:w="570" w:type="pct"/>
            <w:tcBorders>
              <w:top w:val="single" w:color="000000" w:sz="4" w:space="0"/>
              <w:left w:val="single" w:color="000000" w:sz="4" w:space="0"/>
              <w:bottom w:val="single" w:color="000000" w:sz="4" w:space="0"/>
              <w:right w:val="single" w:color="000000" w:sz="4" w:space="0"/>
            </w:tcBorders>
            <w:noWrap/>
            <w:vAlign w:val="bottom"/>
          </w:tcPr>
          <w:p w14:paraId="1B0E7D94">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09" w:type="pct"/>
            <w:tcBorders>
              <w:top w:val="single" w:color="000000" w:sz="4" w:space="0"/>
              <w:left w:val="single" w:color="000000" w:sz="4" w:space="0"/>
              <w:bottom w:val="single" w:color="000000" w:sz="4" w:space="0"/>
              <w:right w:val="single" w:color="000000" w:sz="4" w:space="0"/>
            </w:tcBorders>
            <w:noWrap/>
            <w:vAlign w:val="bottom"/>
          </w:tcPr>
          <w:p w14:paraId="44298302">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9.00 </w:t>
            </w:r>
          </w:p>
        </w:tc>
        <w:tc>
          <w:tcPr>
            <w:tcW w:w="709" w:type="pct"/>
            <w:tcBorders>
              <w:top w:val="single" w:color="000000" w:sz="4" w:space="0"/>
              <w:left w:val="single" w:color="000000" w:sz="4" w:space="0"/>
              <w:bottom w:val="single" w:color="000000" w:sz="4" w:space="0"/>
              <w:right w:val="single" w:color="000000" w:sz="4" w:space="0"/>
            </w:tcBorders>
            <w:noWrap/>
            <w:vAlign w:val="bottom"/>
          </w:tcPr>
          <w:p w14:paraId="469C2BF2">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287.96 </w:t>
            </w:r>
          </w:p>
        </w:tc>
        <w:tc>
          <w:tcPr>
            <w:tcW w:w="1128" w:type="pct"/>
            <w:tcBorders>
              <w:top w:val="single" w:color="000000" w:sz="4" w:space="0"/>
              <w:left w:val="single" w:color="000000" w:sz="4" w:space="0"/>
              <w:bottom w:val="single" w:color="000000" w:sz="4" w:space="0"/>
              <w:right w:val="single" w:color="000000" w:sz="4" w:space="0"/>
            </w:tcBorders>
            <w:noWrap/>
            <w:vAlign w:val="bottom"/>
          </w:tcPr>
          <w:p w14:paraId="67FFB668">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25.92 </w:t>
            </w:r>
          </w:p>
        </w:tc>
      </w:tr>
      <w:tr w14:paraId="5F68E1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exact"/>
        </w:trPr>
        <w:tc>
          <w:tcPr>
            <w:tcW w:w="1882" w:type="pct"/>
            <w:gridSpan w:val="2"/>
            <w:tcBorders>
              <w:top w:val="single" w:color="000000" w:sz="4" w:space="0"/>
              <w:left w:val="single" w:color="000000" w:sz="4" w:space="0"/>
              <w:bottom w:val="single" w:color="000000" w:sz="4" w:space="0"/>
              <w:right w:val="single" w:color="000000" w:sz="4" w:space="0"/>
            </w:tcBorders>
            <w:noWrap/>
            <w:vAlign w:val="bottom"/>
          </w:tcPr>
          <w:p w14:paraId="76AB3727">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合计</w:t>
            </w:r>
          </w:p>
        </w:tc>
        <w:tc>
          <w:tcPr>
            <w:tcW w:w="570" w:type="pct"/>
            <w:tcBorders>
              <w:top w:val="single" w:color="000000" w:sz="4" w:space="0"/>
              <w:left w:val="single" w:color="000000" w:sz="4" w:space="0"/>
              <w:bottom w:val="single" w:color="000000" w:sz="4" w:space="0"/>
              <w:right w:val="single" w:color="000000" w:sz="4" w:space="0"/>
            </w:tcBorders>
            <w:noWrap/>
            <w:vAlign w:val="bottom"/>
          </w:tcPr>
          <w:p w14:paraId="4C2CB122">
            <w:pPr>
              <w:jc w:val="center"/>
              <w:rPr>
                <w:rFonts w:hint="default" w:ascii="Times New Roman" w:hAnsi="Times New Roman" w:eastAsia="宋体" w:cs="Times New Roman"/>
                <w:i w:val="0"/>
                <w:iCs w:val="0"/>
                <w:color w:val="auto"/>
                <w:sz w:val="21"/>
                <w:szCs w:val="21"/>
                <w:highlight w:val="none"/>
                <w:u w:val="none"/>
              </w:rPr>
            </w:pPr>
          </w:p>
        </w:tc>
        <w:tc>
          <w:tcPr>
            <w:tcW w:w="709" w:type="pct"/>
            <w:tcBorders>
              <w:top w:val="single" w:color="000000" w:sz="4" w:space="0"/>
              <w:left w:val="single" w:color="000000" w:sz="4" w:space="0"/>
              <w:bottom w:val="single" w:color="000000" w:sz="4" w:space="0"/>
              <w:right w:val="single" w:color="000000" w:sz="4" w:space="0"/>
            </w:tcBorders>
            <w:noWrap/>
            <w:vAlign w:val="bottom"/>
          </w:tcPr>
          <w:p w14:paraId="56DE82DB">
            <w:pPr>
              <w:jc w:val="center"/>
              <w:rPr>
                <w:rFonts w:hint="default" w:ascii="Times New Roman" w:hAnsi="Times New Roman" w:eastAsia="宋体" w:cs="Times New Roman"/>
                <w:i w:val="0"/>
                <w:iCs w:val="0"/>
                <w:color w:val="auto"/>
                <w:sz w:val="21"/>
                <w:szCs w:val="21"/>
                <w:highlight w:val="none"/>
                <w:u w:val="none"/>
              </w:rPr>
            </w:pPr>
          </w:p>
        </w:tc>
        <w:tc>
          <w:tcPr>
            <w:tcW w:w="709" w:type="pct"/>
            <w:tcBorders>
              <w:top w:val="single" w:color="000000" w:sz="4" w:space="0"/>
              <w:left w:val="single" w:color="000000" w:sz="4" w:space="0"/>
              <w:bottom w:val="single" w:color="000000" w:sz="4" w:space="0"/>
              <w:right w:val="single" w:color="000000" w:sz="4" w:space="0"/>
            </w:tcBorders>
            <w:noWrap/>
            <w:vAlign w:val="bottom"/>
          </w:tcPr>
          <w:p w14:paraId="78268968">
            <w:pPr>
              <w:jc w:val="center"/>
              <w:rPr>
                <w:rFonts w:hint="default" w:ascii="Times New Roman" w:hAnsi="Times New Roman" w:eastAsia="宋体" w:cs="Times New Roman"/>
                <w:i w:val="0"/>
                <w:iCs w:val="0"/>
                <w:color w:val="auto"/>
                <w:sz w:val="21"/>
                <w:szCs w:val="21"/>
                <w:highlight w:val="none"/>
                <w:u w:val="none"/>
              </w:rPr>
            </w:pPr>
          </w:p>
        </w:tc>
        <w:tc>
          <w:tcPr>
            <w:tcW w:w="1128" w:type="pct"/>
            <w:tcBorders>
              <w:top w:val="single" w:color="000000" w:sz="4" w:space="0"/>
              <w:left w:val="single" w:color="000000" w:sz="4" w:space="0"/>
              <w:bottom w:val="single" w:color="000000" w:sz="4" w:space="0"/>
              <w:right w:val="single" w:color="000000" w:sz="4" w:space="0"/>
            </w:tcBorders>
            <w:noWrap/>
            <w:vAlign w:val="bottom"/>
          </w:tcPr>
          <w:p w14:paraId="215AE515">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313.88 </w:t>
            </w:r>
          </w:p>
        </w:tc>
      </w:tr>
    </w:tbl>
    <w:p w14:paraId="51A27E74">
      <w:pPr>
        <w:pStyle w:val="28"/>
        <w:ind w:left="0" w:leftChars="0" w:firstLine="0" w:firstLineChars="0"/>
        <w:rPr>
          <w:rFonts w:hint="default" w:ascii="Times New Roman" w:hAnsi="Times New Roman" w:eastAsia="宋体" w:cs="Times New Roman"/>
          <w:color w:val="auto"/>
          <w:sz w:val="21"/>
          <w:szCs w:val="21"/>
          <w:highlight w:val="none"/>
        </w:rPr>
      </w:pPr>
    </w:p>
    <w:p w14:paraId="07936D01">
      <w:pPr>
        <w:pStyle w:val="14"/>
        <w:rPr>
          <w:rFonts w:hint="default"/>
          <w:color w:val="auto"/>
          <w:highlight w:val="none"/>
        </w:rPr>
      </w:pPr>
    </w:p>
    <w:tbl>
      <w:tblPr>
        <w:tblStyle w:val="3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88"/>
        <w:gridCol w:w="2070"/>
        <w:gridCol w:w="972"/>
        <w:gridCol w:w="1051"/>
        <w:gridCol w:w="1210"/>
        <w:gridCol w:w="1931"/>
      </w:tblGrid>
      <w:tr w14:paraId="2876B4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exact"/>
        </w:trPr>
        <w:tc>
          <w:tcPr>
            <w:tcW w:w="5000" w:type="pct"/>
            <w:gridSpan w:val="6"/>
            <w:tcBorders>
              <w:top w:val="single" w:color="000000" w:sz="4" w:space="0"/>
              <w:left w:val="single" w:color="000000" w:sz="4" w:space="0"/>
              <w:bottom w:val="single" w:color="000000" w:sz="4" w:space="0"/>
              <w:right w:val="single" w:color="000000" w:sz="4" w:space="0"/>
            </w:tcBorders>
            <w:noWrap/>
            <w:vAlign w:val="bottom"/>
          </w:tcPr>
          <w:p w14:paraId="61E70FBA">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4</w:t>
            </w:r>
            <w:r>
              <w:rPr>
                <w:rFonts w:hint="default" w:ascii="Times New Roman" w:hAnsi="Times New Roman" w:eastAsia="宋体" w:cs="Times New Roman"/>
                <w:i w:val="0"/>
                <w:iCs w:val="0"/>
                <w:color w:val="auto"/>
                <w:kern w:val="0"/>
                <w:sz w:val="21"/>
                <w:szCs w:val="21"/>
                <w:highlight w:val="none"/>
                <w:u w:val="none"/>
                <w:lang w:val="en-US" w:eastAsia="zh-CN" w:bidi="ar"/>
              </w:rPr>
              <w:t>、表土回填</w:t>
            </w:r>
          </w:p>
        </w:tc>
      </w:tr>
      <w:tr w14:paraId="122B7E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exact"/>
        </w:trPr>
        <w:tc>
          <w:tcPr>
            <w:tcW w:w="5000" w:type="pct"/>
            <w:gridSpan w:val="6"/>
            <w:tcBorders>
              <w:top w:val="single" w:color="000000" w:sz="4" w:space="0"/>
              <w:left w:val="single" w:color="000000" w:sz="4" w:space="0"/>
              <w:bottom w:val="single" w:color="000000" w:sz="4" w:space="0"/>
              <w:right w:val="single" w:color="000000" w:sz="4" w:space="0"/>
            </w:tcBorders>
            <w:noWrap/>
            <w:vAlign w:val="bottom"/>
          </w:tcPr>
          <w:p w14:paraId="3BB624D1">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定额编号： 1030</w:t>
            </w:r>
            <w:r>
              <w:rPr>
                <w:rFonts w:hint="eastAsia" w:cs="Times New Roman"/>
                <w:i w:val="0"/>
                <w:iCs w:val="0"/>
                <w:color w:val="auto"/>
                <w:kern w:val="0"/>
                <w:sz w:val="21"/>
                <w:szCs w:val="21"/>
                <w:highlight w:val="none"/>
                <w:u w:val="none"/>
                <w:lang w:val="en-US" w:eastAsia="zh-CN" w:bidi="ar"/>
              </w:rPr>
              <w:t>4</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定额单位：100</w:t>
            </w:r>
            <w:r>
              <w:rPr>
                <w:rFonts w:hint="default" w:ascii="Times New Roman" w:hAnsi="Times New Roman" w:cs="Times New Roman"/>
                <w:i w:val="0"/>
                <w:iCs w:val="0"/>
                <w:color w:val="auto"/>
                <w:kern w:val="0"/>
                <w:sz w:val="21"/>
                <w:szCs w:val="21"/>
                <w:highlight w:val="none"/>
                <w:u w:val="none"/>
                <w:lang w:val="en-US" w:eastAsia="zh-CN" w:bidi="ar"/>
              </w:rPr>
              <w:t>m</w:t>
            </w:r>
            <w:r>
              <w:rPr>
                <w:rFonts w:hint="default" w:ascii="Times New Roman" w:hAnsi="Times New Roman" w:cs="Times New Roman"/>
                <w:i w:val="0"/>
                <w:iCs w:val="0"/>
                <w:color w:val="auto"/>
                <w:kern w:val="0"/>
                <w:sz w:val="21"/>
                <w:szCs w:val="21"/>
                <w:highlight w:val="none"/>
                <w:u w:val="none"/>
                <w:vertAlign w:val="superscript"/>
                <w:lang w:val="en-US" w:eastAsia="zh-CN" w:bidi="ar"/>
              </w:rPr>
              <w:t>3</w:t>
            </w:r>
          </w:p>
        </w:tc>
      </w:tr>
      <w:tr w14:paraId="7F9122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exact"/>
        </w:trPr>
        <w:tc>
          <w:tcPr>
            <w:tcW w:w="5000" w:type="pct"/>
            <w:gridSpan w:val="6"/>
            <w:tcBorders>
              <w:top w:val="single" w:color="000000" w:sz="4" w:space="0"/>
              <w:left w:val="single" w:color="000000" w:sz="4" w:space="0"/>
              <w:bottom w:val="single" w:color="000000" w:sz="4" w:space="0"/>
              <w:right w:val="single" w:color="000000" w:sz="4" w:space="0"/>
            </w:tcBorders>
            <w:noWrap/>
            <w:vAlign w:val="bottom"/>
          </w:tcPr>
          <w:p w14:paraId="0D50D3D4">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施工方法：推松、运送、卸除、拖平、空回，</w:t>
            </w:r>
            <w:r>
              <w:rPr>
                <w:rFonts w:hint="default" w:ascii="Times New Roman" w:hAnsi="Times New Roman" w:cs="Times New Roman"/>
                <w:i w:val="0"/>
                <w:iCs w:val="0"/>
                <w:color w:val="auto"/>
                <w:kern w:val="0"/>
                <w:sz w:val="21"/>
                <w:szCs w:val="21"/>
                <w:highlight w:val="none"/>
                <w:u w:val="none"/>
                <w:lang w:val="en-US" w:eastAsia="zh-CN" w:bidi="ar"/>
              </w:rPr>
              <w:t>20-30</w:t>
            </w:r>
            <w:r>
              <w:rPr>
                <w:rFonts w:hint="default" w:ascii="Times New Roman" w:hAnsi="Times New Roman" w:eastAsia="宋体" w:cs="Times New Roman"/>
                <w:i w:val="0"/>
                <w:iCs w:val="0"/>
                <w:color w:val="auto"/>
                <w:kern w:val="0"/>
                <w:sz w:val="21"/>
                <w:szCs w:val="21"/>
                <w:highlight w:val="none"/>
                <w:u w:val="none"/>
                <w:lang w:val="en-US" w:eastAsia="zh-CN" w:bidi="ar"/>
              </w:rPr>
              <w:t>m</w:t>
            </w:r>
          </w:p>
        </w:tc>
      </w:tr>
      <w:tr w14:paraId="2CA3B0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exact"/>
        </w:trPr>
        <w:tc>
          <w:tcPr>
            <w:tcW w:w="756" w:type="pct"/>
            <w:tcBorders>
              <w:top w:val="single" w:color="000000" w:sz="4" w:space="0"/>
              <w:left w:val="single" w:color="000000" w:sz="4" w:space="0"/>
              <w:bottom w:val="single" w:color="000000" w:sz="4" w:space="0"/>
              <w:right w:val="single" w:color="000000" w:sz="4" w:space="0"/>
            </w:tcBorders>
            <w:noWrap/>
            <w:vAlign w:val="bottom"/>
          </w:tcPr>
          <w:p w14:paraId="3FD089B7">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序号</w:t>
            </w:r>
          </w:p>
        </w:tc>
        <w:tc>
          <w:tcPr>
            <w:tcW w:w="1215" w:type="pct"/>
            <w:tcBorders>
              <w:top w:val="single" w:color="000000" w:sz="4" w:space="0"/>
              <w:left w:val="single" w:color="000000" w:sz="4" w:space="0"/>
              <w:bottom w:val="single" w:color="000000" w:sz="4" w:space="0"/>
              <w:right w:val="single" w:color="000000" w:sz="4" w:space="0"/>
            </w:tcBorders>
            <w:noWrap/>
            <w:vAlign w:val="bottom"/>
          </w:tcPr>
          <w:p w14:paraId="2D4884E1">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项目名称</w:t>
            </w:r>
          </w:p>
        </w:tc>
        <w:tc>
          <w:tcPr>
            <w:tcW w:w="571" w:type="pct"/>
            <w:tcBorders>
              <w:top w:val="single" w:color="000000" w:sz="4" w:space="0"/>
              <w:left w:val="single" w:color="000000" w:sz="4" w:space="0"/>
              <w:bottom w:val="single" w:color="000000" w:sz="4" w:space="0"/>
              <w:right w:val="single" w:color="000000" w:sz="4" w:space="0"/>
            </w:tcBorders>
            <w:noWrap/>
            <w:vAlign w:val="bottom"/>
          </w:tcPr>
          <w:p w14:paraId="06191B52">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单位</w:t>
            </w:r>
          </w:p>
        </w:tc>
        <w:tc>
          <w:tcPr>
            <w:tcW w:w="617" w:type="pct"/>
            <w:tcBorders>
              <w:top w:val="single" w:color="000000" w:sz="4" w:space="0"/>
              <w:left w:val="single" w:color="000000" w:sz="4" w:space="0"/>
              <w:bottom w:val="single" w:color="000000" w:sz="4" w:space="0"/>
              <w:right w:val="single" w:color="000000" w:sz="4" w:space="0"/>
            </w:tcBorders>
            <w:noWrap/>
            <w:vAlign w:val="bottom"/>
          </w:tcPr>
          <w:p w14:paraId="0F01A364">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数量</w:t>
            </w:r>
          </w:p>
        </w:tc>
        <w:tc>
          <w:tcPr>
            <w:tcW w:w="709" w:type="pct"/>
            <w:tcBorders>
              <w:top w:val="single" w:color="000000" w:sz="4" w:space="0"/>
              <w:left w:val="single" w:color="000000" w:sz="4" w:space="0"/>
              <w:bottom w:val="single" w:color="000000" w:sz="4" w:space="0"/>
              <w:right w:val="single" w:color="000000" w:sz="4" w:space="0"/>
            </w:tcBorders>
            <w:noWrap/>
            <w:vAlign w:val="bottom"/>
          </w:tcPr>
          <w:p w14:paraId="786BC4E9">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单价</w:t>
            </w:r>
          </w:p>
        </w:tc>
        <w:tc>
          <w:tcPr>
            <w:tcW w:w="1128" w:type="pct"/>
            <w:tcBorders>
              <w:top w:val="single" w:color="000000" w:sz="4" w:space="0"/>
              <w:left w:val="single" w:color="000000" w:sz="4" w:space="0"/>
              <w:bottom w:val="single" w:color="000000" w:sz="4" w:space="0"/>
              <w:right w:val="single" w:color="000000" w:sz="4" w:space="0"/>
            </w:tcBorders>
            <w:noWrap/>
            <w:vAlign w:val="bottom"/>
          </w:tcPr>
          <w:p w14:paraId="5F409F03">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小计（元）</w:t>
            </w:r>
          </w:p>
        </w:tc>
      </w:tr>
      <w:tr w14:paraId="7BB1F7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exact"/>
        </w:trPr>
        <w:tc>
          <w:tcPr>
            <w:tcW w:w="756" w:type="pct"/>
            <w:tcBorders>
              <w:top w:val="single" w:color="000000" w:sz="4" w:space="0"/>
              <w:left w:val="single" w:color="000000" w:sz="4" w:space="0"/>
              <w:bottom w:val="single" w:color="000000" w:sz="4" w:space="0"/>
              <w:right w:val="single" w:color="000000" w:sz="4" w:space="0"/>
            </w:tcBorders>
            <w:noWrap/>
            <w:vAlign w:val="bottom"/>
          </w:tcPr>
          <w:p w14:paraId="2DA723F9">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w:t>
            </w:r>
          </w:p>
        </w:tc>
        <w:tc>
          <w:tcPr>
            <w:tcW w:w="1215" w:type="pct"/>
            <w:tcBorders>
              <w:top w:val="single" w:color="000000" w:sz="4" w:space="0"/>
              <w:left w:val="single" w:color="000000" w:sz="4" w:space="0"/>
              <w:bottom w:val="single" w:color="000000" w:sz="4" w:space="0"/>
              <w:right w:val="single" w:color="000000" w:sz="4" w:space="0"/>
            </w:tcBorders>
            <w:noWrap/>
            <w:vAlign w:val="bottom"/>
          </w:tcPr>
          <w:p w14:paraId="15B9C4F6">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直接费</w:t>
            </w:r>
          </w:p>
        </w:tc>
        <w:tc>
          <w:tcPr>
            <w:tcW w:w="571" w:type="pct"/>
            <w:tcBorders>
              <w:top w:val="single" w:color="000000" w:sz="4" w:space="0"/>
              <w:left w:val="single" w:color="000000" w:sz="4" w:space="0"/>
              <w:bottom w:val="single" w:color="000000" w:sz="4" w:space="0"/>
              <w:right w:val="single" w:color="000000" w:sz="4" w:space="0"/>
            </w:tcBorders>
            <w:noWrap/>
            <w:vAlign w:val="bottom"/>
          </w:tcPr>
          <w:p w14:paraId="610380C6">
            <w:pPr>
              <w:jc w:val="center"/>
              <w:rPr>
                <w:rFonts w:hint="default" w:ascii="Times New Roman" w:hAnsi="Times New Roman" w:eastAsia="宋体" w:cs="Times New Roman"/>
                <w:i w:val="0"/>
                <w:iCs w:val="0"/>
                <w:color w:val="auto"/>
                <w:sz w:val="21"/>
                <w:szCs w:val="21"/>
                <w:highlight w:val="none"/>
                <w:u w:val="none"/>
              </w:rPr>
            </w:pPr>
          </w:p>
        </w:tc>
        <w:tc>
          <w:tcPr>
            <w:tcW w:w="1051" w:type="dxa"/>
            <w:tcBorders>
              <w:top w:val="single" w:color="000000" w:sz="4" w:space="0"/>
              <w:left w:val="single" w:color="000000" w:sz="4" w:space="0"/>
              <w:bottom w:val="single" w:color="000000" w:sz="4" w:space="0"/>
              <w:right w:val="single" w:color="000000" w:sz="4" w:space="0"/>
            </w:tcBorders>
            <w:noWrap/>
            <w:vAlign w:val="bottom"/>
          </w:tcPr>
          <w:p w14:paraId="03893960">
            <w:pPr>
              <w:jc w:val="center"/>
              <w:rPr>
                <w:rFonts w:hint="default" w:ascii="Times New Roman" w:hAnsi="Times New Roman" w:eastAsia="宋体" w:cs="Times New Roman"/>
                <w:i w:val="0"/>
                <w:iCs w:val="0"/>
                <w:color w:val="auto"/>
                <w:sz w:val="21"/>
                <w:szCs w:val="21"/>
                <w:highlight w:val="none"/>
                <w:u w:val="none"/>
              </w:rPr>
            </w:pPr>
          </w:p>
        </w:tc>
        <w:tc>
          <w:tcPr>
            <w:tcW w:w="1209" w:type="dxa"/>
            <w:tcBorders>
              <w:top w:val="single" w:color="000000" w:sz="4" w:space="0"/>
              <w:left w:val="single" w:color="000000" w:sz="4" w:space="0"/>
              <w:bottom w:val="single" w:color="000000" w:sz="4" w:space="0"/>
              <w:right w:val="single" w:color="000000" w:sz="4" w:space="0"/>
            </w:tcBorders>
            <w:noWrap/>
            <w:vAlign w:val="bottom"/>
          </w:tcPr>
          <w:p w14:paraId="7A103AE4">
            <w:pPr>
              <w:jc w:val="center"/>
              <w:rPr>
                <w:rFonts w:hint="default" w:ascii="Times New Roman" w:hAnsi="Times New Roman" w:eastAsia="宋体" w:cs="Times New Roman"/>
                <w:i w:val="0"/>
                <w:iCs w:val="0"/>
                <w:color w:val="auto"/>
                <w:sz w:val="21"/>
                <w:szCs w:val="21"/>
                <w:highlight w:val="none"/>
                <w:u w:val="none"/>
              </w:rPr>
            </w:pPr>
          </w:p>
        </w:tc>
        <w:tc>
          <w:tcPr>
            <w:tcW w:w="1930" w:type="dxa"/>
            <w:tcBorders>
              <w:top w:val="single" w:color="000000" w:sz="4" w:space="0"/>
              <w:left w:val="single" w:color="000000" w:sz="4" w:space="0"/>
              <w:bottom w:val="single" w:color="000000" w:sz="4" w:space="0"/>
              <w:right w:val="single" w:color="000000" w:sz="4" w:space="0"/>
            </w:tcBorders>
            <w:noWrap/>
            <w:vAlign w:val="bottom"/>
          </w:tcPr>
          <w:p w14:paraId="3E5047EB">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166.57 </w:t>
            </w:r>
          </w:p>
        </w:tc>
      </w:tr>
      <w:tr w14:paraId="71F702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exact"/>
        </w:trPr>
        <w:tc>
          <w:tcPr>
            <w:tcW w:w="756" w:type="pct"/>
            <w:tcBorders>
              <w:top w:val="single" w:color="000000" w:sz="4" w:space="0"/>
              <w:left w:val="single" w:color="000000" w:sz="4" w:space="0"/>
              <w:bottom w:val="single" w:color="000000" w:sz="4" w:space="0"/>
              <w:right w:val="single" w:color="000000" w:sz="4" w:space="0"/>
            </w:tcBorders>
            <w:noWrap/>
            <w:vAlign w:val="bottom"/>
          </w:tcPr>
          <w:p w14:paraId="056FB614">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w:t>
            </w:r>
          </w:p>
        </w:tc>
        <w:tc>
          <w:tcPr>
            <w:tcW w:w="1215" w:type="pct"/>
            <w:tcBorders>
              <w:top w:val="single" w:color="000000" w:sz="4" w:space="0"/>
              <w:left w:val="single" w:color="000000" w:sz="4" w:space="0"/>
              <w:bottom w:val="single" w:color="000000" w:sz="4" w:space="0"/>
              <w:right w:val="single" w:color="000000" w:sz="4" w:space="0"/>
            </w:tcBorders>
            <w:noWrap/>
            <w:vAlign w:val="bottom"/>
          </w:tcPr>
          <w:p w14:paraId="077FB4F0">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直接工程费</w:t>
            </w:r>
          </w:p>
        </w:tc>
        <w:tc>
          <w:tcPr>
            <w:tcW w:w="571" w:type="pct"/>
            <w:tcBorders>
              <w:top w:val="single" w:color="000000" w:sz="4" w:space="0"/>
              <w:left w:val="single" w:color="000000" w:sz="4" w:space="0"/>
              <w:bottom w:val="single" w:color="000000" w:sz="4" w:space="0"/>
              <w:right w:val="single" w:color="000000" w:sz="4" w:space="0"/>
            </w:tcBorders>
            <w:noWrap/>
            <w:vAlign w:val="bottom"/>
          </w:tcPr>
          <w:p w14:paraId="0DF2F6A6">
            <w:pPr>
              <w:jc w:val="center"/>
              <w:rPr>
                <w:rFonts w:hint="default" w:ascii="Times New Roman" w:hAnsi="Times New Roman" w:eastAsia="宋体" w:cs="Times New Roman"/>
                <w:i w:val="0"/>
                <w:iCs w:val="0"/>
                <w:color w:val="auto"/>
                <w:sz w:val="21"/>
                <w:szCs w:val="21"/>
                <w:highlight w:val="none"/>
                <w:u w:val="none"/>
              </w:rPr>
            </w:pPr>
          </w:p>
        </w:tc>
        <w:tc>
          <w:tcPr>
            <w:tcW w:w="1051" w:type="dxa"/>
            <w:tcBorders>
              <w:top w:val="single" w:color="000000" w:sz="4" w:space="0"/>
              <w:left w:val="single" w:color="000000" w:sz="4" w:space="0"/>
              <w:bottom w:val="single" w:color="000000" w:sz="4" w:space="0"/>
              <w:right w:val="single" w:color="000000" w:sz="4" w:space="0"/>
            </w:tcBorders>
            <w:noWrap/>
            <w:vAlign w:val="bottom"/>
          </w:tcPr>
          <w:p w14:paraId="4ABC8CDC">
            <w:pPr>
              <w:jc w:val="center"/>
              <w:rPr>
                <w:rFonts w:hint="default" w:ascii="Times New Roman" w:hAnsi="Times New Roman" w:eastAsia="宋体" w:cs="Times New Roman"/>
                <w:i w:val="0"/>
                <w:iCs w:val="0"/>
                <w:color w:val="auto"/>
                <w:sz w:val="21"/>
                <w:szCs w:val="21"/>
                <w:highlight w:val="none"/>
                <w:u w:val="none"/>
              </w:rPr>
            </w:pPr>
          </w:p>
        </w:tc>
        <w:tc>
          <w:tcPr>
            <w:tcW w:w="1209" w:type="dxa"/>
            <w:tcBorders>
              <w:top w:val="single" w:color="000000" w:sz="4" w:space="0"/>
              <w:left w:val="single" w:color="000000" w:sz="4" w:space="0"/>
              <w:bottom w:val="single" w:color="000000" w:sz="4" w:space="0"/>
              <w:right w:val="single" w:color="000000" w:sz="4" w:space="0"/>
            </w:tcBorders>
            <w:noWrap/>
            <w:vAlign w:val="bottom"/>
          </w:tcPr>
          <w:p w14:paraId="211A5F2F">
            <w:pPr>
              <w:jc w:val="center"/>
              <w:rPr>
                <w:rFonts w:hint="default" w:ascii="Times New Roman" w:hAnsi="Times New Roman" w:eastAsia="宋体" w:cs="Times New Roman"/>
                <w:i w:val="0"/>
                <w:iCs w:val="0"/>
                <w:color w:val="auto"/>
                <w:sz w:val="21"/>
                <w:szCs w:val="21"/>
                <w:highlight w:val="none"/>
                <w:u w:val="none"/>
              </w:rPr>
            </w:pPr>
          </w:p>
        </w:tc>
        <w:tc>
          <w:tcPr>
            <w:tcW w:w="1930" w:type="dxa"/>
            <w:tcBorders>
              <w:top w:val="single" w:color="000000" w:sz="4" w:space="0"/>
              <w:left w:val="single" w:color="000000" w:sz="4" w:space="0"/>
              <w:bottom w:val="single" w:color="000000" w:sz="4" w:space="0"/>
              <w:right w:val="single" w:color="000000" w:sz="4" w:space="0"/>
            </w:tcBorders>
            <w:noWrap/>
            <w:vAlign w:val="bottom"/>
          </w:tcPr>
          <w:p w14:paraId="5438FB54">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160.47 </w:t>
            </w:r>
          </w:p>
        </w:tc>
      </w:tr>
      <w:tr w14:paraId="3709FB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exact"/>
        </w:trPr>
        <w:tc>
          <w:tcPr>
            <w:tcW w:w="756" w:type="pct"/>
            <w:tcBorders>
              <w:top w:val="single" w:color="000000" w:sz="4" w:space="0"/>
              <w:left w:val="single" w:color="000000" w:sz="4" w:space="0"/>
              <w:bottom w:val="single" w:color="000000" w:sz="4" w:space="0"/>
              <w:right w:val="single" w:color="000000" w:sz="4" w:space="0"/>
            </w:tcBorders>
            <w:noWrap/>
            <w:vAlign w:val="bottom"/>
          </w:tcPr>
          <w:p w14:paraId="344EB18B">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 </w:t>
            </w:r>
          </w:p>
        </w:tc>
        <w:tc>
          <w:tcPr>
            <w:tcW w:w="1215" w:type="pct"/>
            <w:tcBorders>
              <w:top w:val="single" w:color="000000" w:sz="4" w:space="0"/>
              <w:left w:val="single" w:color="000000" w:sz="4" w:space="0"/>
              <w:bottom w:val="single" w:color="000000" w:sz="4" w:space="0"/>
              <w:right w:val="single" w:color="000000" w:sz="4" w:space="0"/>
            </w:tcBorders>
            <w:noWrap/>
            <w:vAlign w:val="bottom"/>
          </w:tcPr>
          <w:p w14:paraId="56CAC7B0">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人工费</w:t>
            </w:r>
          </w:p>
        </w:tc>
        <w:tc>
          <w:tcPr>
            <w:tcW w:w="571" w:type="pct"/>
            <w:tcBorders>
              <w:top w:val="single" w:color="000000" w:sz="4" w:space="0"/>
              <w:left w:val="single" w:color="000000" w:sz="4" w:space="0"/>
              <w:bottom w:val="single" w:color="000000" w:sz="4" w:space="0"/>
              <w:right w:val="single" w:color="000000" w:sz="4" w:space="0"/>
            </w:tcBorders>
            <w:noWrap/>
            <w:vAlign w:val="bottom"/>
          </w:tcPr>
          <w:p w14:paraId="70F252BF">
            <w:pPr>
              <w:jc w:val="center"/>
              <w:rPr>
                <w:rFonts w:hint="default" w:ascii="Times New Roman" w:hAnsi="Times New Roman" w:eastAsia="宋体" w:cs="Times New Roman"/>
                <w:i w:val="0"/>
                <w:iCs w:val="0"/>
                <w:color w:val="auto"/>
                <w:sz w:val="21"/>
                <w:szCs w:val="21"/>
                <w:highlight w:val="none"/>
                <w:u w:val="none"/>
              </w:rPr>
            </w:pPr>
          </w:p>
        </w:tc>
        <w:tc>
          <w:tcPr>
            <w:tcW w:w="1051" w:type="dxa"/>
            <w:tcBorders>
              <w:top w:val="single" w:color="000000" w:sz="4" w:space="0"/>
              <w:left w:val="single" w:color="000000" w:sz="4" w:space="0"/>
              <w:bottom w:val="single" w:color="000000" w:sz="4" w:space="0"/>
              <w:right w:val="single" w:color="000000" w:sz="4" w:space="0"/>
            </w:tcBorders>
            <w:noWrap/>
            <w:vAlign w:val="bottom"/>
          </w:tcPr>
          <w:p w14:paraId="2D7D6DC2">
            <w:pPr>
              <w:jc w:val="center"/>
              <w:rPr>
                <w:rFonts w:hint="default" w:ascii="Times New Roman" w:hAnsi="Times New Roman" w:eastAsia="宋体" w:cs="Times New Roman"/>
                <w:i w:val="0"/>
                <w:iCs w:val="0"/>
                <w:color w:val="auto"/>
                <w:sz w:val="21"/>
                <w:szCs w:val="21"/>
                <w:highlight w:val="none"/>
                <w:u w:val="none"/>
              </w:rPr>
            </w:pPr>
          </w:p>
        </w:tc>
        <w:tc>
          <w:tcPr>
            <w:tcW w:w="1209" w:type="dxa"/>
            <w:tcBorders>
              <w:top w:val="single" w:color="000000" w:sz="4" w:space="0"/>
              <w:left w:val="single" w:color="000000" w:sz="4" w:space="0"/>
              <w:bottom w:val="single" w:color="000000" w:sz="4" w:space="0"/>
              <w:right w:val="single" w:color="000000" w:sz="4" w:space="0"/>
            </w:tcBorders>
            <w:noWrap/>
            <w:vAlign w:val="bottom"/>
          </w:tcPr>
          <w:p w14:paraId="732FCBA3">
            <w:pPr>
              <w:jc w:val="center"/>
              <w:rPr>
                <w:rFonts w:hint="default" w:ascii="Times New Roman" w:hAnsi="Times New Roman" w:eastAsia="宋体" w:cs="Times New Roman"/>
                <w:i w:val="0"/>
                <w:iCs w:val="0"/>
                <w:color w:val="auto"/>
                <w:sz w:val="21"/>
                <w:szCs w:val="21"/>
                <w:highlight w:val="none"/>
                <w:u w:val="none"/>
              </w:rPr>
            </w:pPr>
          </w:p>
        </w:tc>
        <w:tc>
          <w:tcPr>
            <w:tcW w:w="1930" w:type="dxa"/>
            <w:tcBorders>
              <w:top w:val="single" w:color="000000" w:sz="4" w:space="0"/>
              <w:left w:val="single" w:color="000000" w:sz="4" w:space="0"/>
              <w:bottom w:val="single" w:color="000000" w:sz="4" w:space="0"/>
              <w:right w:val="single" w:color="000000" w:sz="4" w:space="0"/>
            </w:tcBorders>
            <w:noWrap/>
            <w:vAlign w:val="bottom"/>
          </w:tcPr>
          <w:p w14:paraId="6CB98840">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8.16 </w:t>
            </w:r>
          </w:p>
        </w:tc>
      </w:tr>
      <w:tr w14:paraId="4CF910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exact"/>
        </w:trPr>
        <w:tc>
          <w:tcPr>
            <w:tcW w:w="756" w:type="pct"/>
            <w:tcBorders>
              <w:top w:val="single" w:color="000000" w:sz="4" w:space="0"/>
              <w:left w:val="single" w:color="000000" w:sz="4" w:space="0"/>
              <w:bottom w:val="single" w:color="000000" w:sz="4" w:space="0"/>
              <w:right w:val="single" w:color="000000" w:sz="4" w:space="0"/>
            </w:tcBorders>
            <w:noWrap/>
            <w:vAlign w:val="bottom"/>
          </w:tcPr>
          <w:p w14:paraId="6BD62C2A">
            <w:pPr>
              <w:jc w:val="center"/>
              <w:rPr>
                <w:rFonts w:hint="default" w:ascii="Times New Roman" w:hAnsi="Times New Roman" w:eastAsia="宋体" w:cs="Times New Roman"/>
                <w:i w:val="0"/>
                <w:iCs w:val="0"/>
                <w:color w:val="auto"/>
                <w:sz w:val="21"/>
                <w:szCs w:val="21"/>
                <w:highlight w:val="none"/>
                <w:u w:val="none"/>
              </w:rPr>
            </w:pPr>
          </w:p>
        </w:tc>
        <w:tc>
          <w:tcPr>
            <w:tcW w:w="1215" w:type="pct"/>
            <w:tcBorders>
              <w:top w:val="single" w:color="000000" w:sz="4" w:space="0"/>
              <w:left w:val="single" w:color="000000" w:sz="4" w:space="0"/>
              <w:bottom w:val="single" w:color="000000" w:sz="4" w:space="0"/>
              <w:right w:val="single" w:color="000000" w:sz="4" w:space="0"/>
            </w:tcBorders>
            <w:noWrap/>
            <w:vAlign w:val="bottom"/>
          </w:tcPr>
          <w:p w14:paraId="2D8A6EF8">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甲类工</w:t>
            </w:r>
          </w:p>
        </w:tc>
        <w:tc>
          <w:tcPr>
            <w:tcW w:w="571" w:type="pct"/>
            <w:tcBorders>
              <w:top w:val="single" w:color="000000" w:sz="4" w:space="0"/>
              <w:left w:val="single" w:color="000000" w:sz="4" w:space="0"/>
              <w:bottom w:val="single" w:color="000000" w:sz="4" w:space="0"/>
              <w:right w:val="single" w:color="000000" w:sz="4" w:space="0"/>
            </w:tcBorders>
            <w:noWrap/>
            <w:vAlign w:val="bottom"/>
          </w:tcPr>
          <w:p w14:paraId="16D99765">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工日</w:t>
            </w:r>
          </w:p>
        </w:tc>
        <w:tc>
          <w:tcPr>
            <w:tcW w:w="1051" w:type="dxa"/>
            <w:tcBorders>
              <w:top w:val="single" w:color="000000" w:sz="4" w:space="0"/>
              <w:left w:val="single" w:color="000000" w:sz="4" w:space="0"/>
              <w:bottom w:val="single" w:color="000000" w:sz="4" w:space="0"/>
              <w:right w:val="single" w:color="000000" w:sz="4" w:space="0"/>
            </w:tcBorders>
            <w:noWrap/>
            <w:vAlign w:val="bottom"/>
          </w:tcPr>
          <w:p w14:paraId="78C181D7">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 </w:t>
            </w:r>
          </w:p>
        </w:tc>
        <w:tc>
          <w:tcPr>
            <w:tcW w:w="1209" w:type="dxa"/>
            <w:tcBorders>
              <w:top w:val="single" w:color="000000" w:sz="4" w:space="0"/>
              <w:left w:val="single" w:color="000000" w:sz="4" w:space="0"/>
              <w:bottom w:val="single" w:color="000000" w:sz="4" w:space="0"/>
              <w:right w:val="single" w:color="000000" w:sz="4" w:space="0"/>
            </w:tcBorders>
            <w:noWrap/>
            <w:vAlign w:val="bottom"/>
          </w:tcPr>
          <w:p w14:paraId="5066A469">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51.04 </w:t>
            </w:r>
          </w:p>
        </w:tc>
        <w:tc>
          <w:tcPr>
            <w:tcW w:w="1930" w:type="dxa"/>
            <w:tcBorders>
              <w:top w:val="single" w:color="000000" w:sz="4" w:space="0"/>
              <w:left w:val="single" w:color="000000" w:sz="4" w:space="0"/>
              <w:bottom w:val="single" w:color="000000" w:sz="4" w:space="0"/>
              <w:right w:val="single" w:color="000000" w:sz="4" w:space="0"/>
            </w:tcBorders>
            <w:noWrap/>
            <w:vAlign w:val="bottom"/>
          </w:tcPr>
          <w:p w14:paraId="0A3FC06F">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 </w:t>
            </w:r>
          </w:p>
        </w:tc>
      </w:tr>
      <w:tr w14:paraId="5A07B5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exact"/>
        </w:trPr>
        <w:tc>
          <w:tcPr>
            <w:tcW w:w="756" w:type="pct"/>
            <w:tcBorders>
              <w:top w:val="single" w:color="000000" w:sz="4" w:space="0"/>
              <w:left w:val="single" w:color="000000" w:sz="4" w:space="0"/>
              <w:bottom w:val="single" w:color="000000" w:sz="4" w:space="0"/>
              <w:right w:val="single" w:color="000000" w:sz="4" w:space="0"/>
            </w:tcBorders>
            <w:noWrap/>
            <w:vAlign w:val="bottom"/>
          </w:tcPr>
          <w:p w14:paraId="49F0B44E">
            <w:pPr>
              <w:jc w:val="center"/>
              <w:rPr>
                <w:rFonts w:hint="default" w:ascii="Times New Roman" w:hAnsi="Times New Roman" w:eastAsia="宋体" w:cs="Times New Roman"/>
                <w:i w:val="0"/>
                <w:iCs w:val="0"/>
                <w:color w:val="auto"/>
                <w:sz w:val="21"/>
                <w:szCs w:val="21"/>
                <w:highlight w:val="none"/>
                <w:u w:val="none"/>
              </w:rPr>
            </w:pPr>
          </w:p>
        </w:tc>
        <w:tc>
          <w:tcPr>
            <w:tcW w:w="1215" w:type="pct"/>
            <w:tcBorders>
              <w:top w:val="single" w:color="000000" w:sz="4" w:space="0"/>
              <w:left w:val="single" w:color="000000" w:sz="4" w:space="0"/>
              <w:bottom w:val="single" w:color="000000" w:sz="4" w:space="0"/>
              <w:right w:val="single" w:color="000000" w:sz="4" w:space="0"/>
            </w:tcBorders>
            <w:noWrap/>
            <w:vAlign w:val="bottom"/>
          </w:tcPr>
          <w:p w14:paraId="6D85AEEA">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乙类工</w:t>
            </w:r>
          </w:p>
        </w:tc>
        <w:tc>
          <w:tcPr>
            <w:tcW w:w="571" w:type="pct"/>
            <w:tcBorders>
              <w:top w:val="single" w:color="000000" w:sz="4" w:space="0"/>
              <w:left w:val="single" w:color="000000" w:sz="4" w:space="0"/>
              <w:bottom w:val="single" w:color="000000" w:sz="4" w:space="0"/>
              <w:right w:val="single" w:color="000000" w:sz="4" w:space="0"/>
            </w:tcBorders>
            <w:noWrap/>
            <w:vAlign w:val="bottom"/>
          </w:tcPr>
          <w:p w14:paraId="69CCFF32">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工日</w:t>
            </w:r>
          </w:p>
        </w:tc>
        <w:tc>
          <w:tcPr>
            <w:tcW w:w="1051" w:type="dxa"/>
            <w:tcBorders>
              <w:top w:val="single" w:color="000000" w:sz="4" w:space="0"/>
              <w:left w:val="single" w:color="000000" w:sz="4" w:space="0"/>
              <w:bottom w:val="single" w:color="000000" w:sz="4" w:space="0"/>
              <w:right w:val="single" w:color="000000" w:sz="4" w:space="0"/>
            </w:tcBorders>
            <w:noWrap/>
            <w:vAlign w:val="bottom"/>
          </w:tcPr>
          <w:p w14:paraId="28D7A0DB">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0.20 </w:t>
            </w:r>
          </w:p>
        </w:tc>
        <w:tc>
          <w:tcPr>
            <w:tcW w:w="1209" w:type="dxa"/>
            <w:tcBorders>
              <w:top w:val="single" w:color="000000" w:sz="4" w:space="0"/>
              <w:left w:val="single" w:color="000000" w:sz="4" w:space="0"/>
              <w:bottom w:val="single" w:color="000000" w:sz="4" w:space="0"/>
              <w:right w:val="single" w:color="000000" w:sz="4" w:space="0"/>
            </w:tcBorders>
            <w:noWrap/>
            <w:vAlign w:val="bottom"/>
          </w:tcPr>
          <w:p w14:paraId="79F4AB33">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38.84 </w:t>
            </w:r>
          </w:p>
        </w:tc>
        <w:tc>
          <w:tcPr>
            <w:tcW w:w="1930" w:type="dxa"/>
            <w:tcBorders>
              <w:top w:val="single" w:color="000000" w:sz="4" w:space="0"/>
              <w:left w:val="single" w:color="000000" w:sz="4" w:space="0"/>
              <w:bottom w:val="single" w:color="000000" w:sz="4" w:space="0"/>
              <w:right w:val="single" w:color="000000" w:sz="4" w:space="0"/>
            </w:tcBorders>
            <w:noWrap/>
            <w:vAlign w:val="bottom"/>
          </w:tcPr>
          <w:p w14:paraId="0BB182BF">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7.77 </w:t>
            </w:r>
          </w:p>
        </w:tc>
      </w:tr>
      <w:tr w14:paraId="037B60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exact"/>
        </w:trPr>
        <w:tc>
          <w:tcPr>
            <w:tcW w:w="756" w:type="pct"/>
            <w:tcBorders>
              <w:top w:val="single" w:color="000000" w:sz="4" w:space="0"/>
              <w:left w:val="single" w:color="000000" w:sz="4" w:space="0"/>
              <w:bottom w:val="single" w:color="000000" w:sz="4" w:space="0"/>
              <w:right w:val="single" w:color="000000" w:sz="4" w:space="0"/>
            </w:tcBorders>
            <w:noWrap/>
            <w:vAlign w:val="bottom"/>
          </w:tcPr>
          <w:p w14:paraId="3DBABEC2">
            <w:pPr>
              <w:jc w:val="center"/>
              <w:rPr>
                <w:rFonts w:hint="default" w:ascii="Times New Roman" w:hAnsi="Times New Roman" w:eastAsia="宋体" w:cs="Times New Roman"/>
                <w:i w:val="0"/>
                <w:iCs w:val="0"/>
                <w:color w:val="auto"/>
                <w:sz w:val="21"/>
                <w:szCs w:val="21"/>
                <w:highlight w:val="none"/>
                <w:u w:val="none"/>
              </w:rPr>
            </w:pPr>
          </w:p>
        </w:tc>
        <w:tc>
          <w:tcPr>
            <w:tcW w:w="1215" w:type="pct"/>
            <w:tcBorders>
              <w:top w:val="single" w:color="000000" w:sz="4" w:space="0"/>
              <w:left w:val="single" w:color="000000" w:sz="4" w:space="0"/>
              <w:bottom w:val="single" w:color="000000" w:sz="4" w:space="0"/>
              <w:right w:val="single" w:color="000000" w:sz="4" w:space="0"/>
            </w:tcBorders>
            <w:noWrap/>
            <w:vAlign w:val="bottom"/>
          </w:tcPr>
          <w:p w14:paraId="73E29D2E">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其他费用</w:t>
            </w:r>
          </w:p>
        </w:tc>
        <w:tc>
          <w:tcPr>
            <w:tcW w:w="571" w:type="pct"/>
            <w:tcBorders>
              <w:top w:val="single" w:color="000000" w:sz="4" w:space="0"/>
              <w:left w:val="single" w:color="000000" w:sz="4" w:space="0"/>
              <w:bottom w:val="single" w:color="000000" w:sz="4" w:space="0"/>
              <w:right w:val="single" w:color="000000" w:sz="4" w:space="0"/>
            </w:tcBorders>
            <w:noWrap/>
            <w:vAlign w:val="bottom"/>
          </w:tcPr>
          <w:p w14:paraId="731BC0F9">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051" w:type="dxa"/>
            <w:tcBorders>
              <w:top w:val="single" w:color="000000" w:sz="4" w:space="0"/>
              <w:left w:val="single" w:color="000000" w:sz="4" w:space="0"/>
              <w:bottom w:val="single" w:color="000000" w:sz="4" w:space="0"/>
              <w:right w:val="single" w:color="000000" w:sz="4" w:space="0"/>
            </w:tcBorders>
            <w:noWrap/>
            <w:vAlign w:val="bottom"/>
          </w:tcPr>
          <w:p w14:paraId="2A4FF82B">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5.00 </w:t>
            </w:r>
          </w:p>
        </w:tc>
        <w:tc>
          <w:tcPr>
            <w:tcW w:w="1209" w:type="dxa"/>
            <w:tcBorders>
              <w:top w:val="single" w:color="000000" w:sz="4" w:space="0"/>
              <w:left w:val="single" w:color="000000" w:sz="4" w:space="0"/>
              <w:bottom w:val="single" w:color="000000" w:sz="4" w:space="0"/>
              <w:right w:val="single" w:color="000000" w:sz="4" w:space="0"/>
            </w:tcBorders>
            <w:noWrap/>
            <w:vAlign w:val="bottom"/>
          </w:tcPr>
          <w:p w14:paraId="172FD76E">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7.77 </w:t>
            </w:r>
          </w:p>
        </w:tc>
        <w:tc>
          <w:tcPr>
            <w:tcW w:w="1930" w:type="dxa"/>
            <w:tcBorders>
              <w:top w:val="single" w:color="000000" w:sz="4" w:space="0"/>
              <w:left w:val="single" w:color="000000" w:sz="4" w:space="0"/>
              <w:bottom w:val="single" w:color="000000" w:sz="4" w:space="0"/>
              <w:right w:val="single" w:color="000000" w:sz="4" w:space="0"/>
            </w:tcBorders>
            <w:noWrap/>
            <w:vAlign w:val="bottom"/>
          </w:tcPr>
          <w:p w14:paraId="41D223CF">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0.39 </w:t>
            </w:r>
          </w:p>
        </w:tc>
      </w:tr>
      <w:tr w14:paraId="3AEE73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exact"/>
        </w:trPr>
        <w:tc>
          <w:tcPr>
            <w:tcW w:w="756" w:type="pct"/>
            <w:tcBorders>
              <w:top w:val="single" w:color="000000" w:sz="4" w:space="0"/>
              <w:left w:val="single" w:color="000000" w:sz="4" w:space="0"/>
              <w:bottom w:val="single" w:color="000000" w:sz="4" w:space="0"/>
              <w:right w:val="single" w:color="000000" w:sz="4" w:space="0"/>
            </w:tcBorders>
            <w:noWrap/>
            <w:vAlign w:val="bottom"/>
          </w:tcPr>
          <w:p w14:paraId="4D68F477">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 </w:t>
            </w:r>
          </w:p>
        </w:tc>
        <w:tc>
          <w:tcPr>
            <w:tcW w:w="1215" w:type="pct"/>
            <w:tcBorders>
              <w:top w:val="single" w:color="000000" w:sz="4" w:space="0"/>
              <w:left w:val="single" w:color="000000" w:sz="4" w:space="0"/>
              <w:bottom w:val="single" w:color="000000" w:sz="4" w:space="0"/>
              <w:right w:val="single" w:color="000000" w:sz="4" w:space="0"/>
            </w:tcBorders>
            <w:noWrap/>
            <w:vAlign w:val="bottom"/>
          </w:tcPr>
          <w:p w14:paraId="1287B168">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材料费</w:t>
            </w:r>
          </w:p>
        </w:tc>
        <w:tc>
          <w:tcPr>
            <w:tcW w:w="571" w:type="pct"/>
            <w:tcBorders>
              <w:top w:val="single" w:color="000000" w:sz="4" w:space="0"/>
              <w:left w:val="single" w:color="000000" w:sz="4" w:space="0"/>
              <w:bottom w:val="single" w:color="000000" w:sz="4" w:space="0"/>
              <w:right w:val="single" w:color="000000" w:sz="4" w:space="0"/>
            </w:tcBorders>
            <w:noWrap/>
            <w:vAlign w:val="bottom"/>
          </w:tcPr>
          <w:p w14:paraId="2192722F">
            <w:pPr>
              <w:jc w:val="center"/>
              <w:rPr>
                <w:rFonts w:hint="default" w:ascii="Times New Roman" w:hAnsi="Times New Roman" w:eastAsia="宋体" w:cs="Times New Roman"/>
                <w:i w:val="0"/>
                <w:iCs w:val="0"/>
                <w:color w:val="auto"/>
                <w:sz w:val="21"/>
                <w:szCs w:val="21"/>
                <w:highlight w:val="none"/>
                <w:u w:val="none"/>
              </w:rPr>
            </w:pPr>
          </w:p>
        </w:tc>
        <w:tc>
          <w:tcPr>
            <w:tcW w:w="1051" w:type="dxa"/>
            <w:tcBorders>
              <w:top w:val="single" w:color="000000" w:sz="4" w:space="0"/>
              <w:left w:val="single" w:color="000000" w:sz="4" w:space="0"/>
              <w:bottom w:val="single" w:color="000000" w:sz="4" w:space="0"/>
              <w:right w:val="single" w:color="000000" w:sz="4" w:space="0"/>
            </w:tcBorders>
            <w:noWrap/>
            <w:vAlign w:val="bottom"/>
          </w:tcPr>
          <w:p w14:paraId="188252B9">
            <w:pPr>
              <w:jc w:val="center"/>
              <w:rPr>
                <w:rFonts w:hint="default" w:ascii="Times New Roman" w:hAnsi="Times New Roman" w:eastAsia="宋体" w:cs="Times New Roman"/>
                <w:i w:val="0"/>
                <w:iCs w:val="0"/>
                <w:color w:val="auto"/>
                <w:sz w:val="21"/>
                <w:szCs w:val="21"/>
                <w:highlight w:val="none"/>
                <w:u w:val="none"/>
              </w:rPr>
            </w:pPr>
          </w:p>
        </w:tc>
        <w:tc>
          <w:tcPr>
            <w:tcW w:w="1209" w:type="dxa"/>
            <w:tcBorders>
              <w:top w:val="single" w:color="000000" w:sz="4" w:space="0"/>
              <w:left w:val="single" w:color="000000" w:sz="4" w:space="0"/>
              <w:bottom w:val="single" w:color="000000" w:sz="4" w:space="0"/>
              <w:right w:val="single" w:color="000000" w:sz="4" w:space="0"/>
            </w:tcBorders>
            <w:noWrap/>
            <w:vAlign w:val="bottom"/>
          </w:tcPr>
          <w:p w14:paraId="3EC66E07">
            <w:pPr>
              <w:jc w:val="center"/>
              <w:rPr>
                <w:rFonts w:hint="default" w:ascii="Times New Roman" w:hAnsi="Times New Roman" w:eastAsia="宋体" w:cs="Times New Roman"/>
                <w:i w:val="0"/>
                <w:iCs w:val="0"/>
                <w:color w:val="auto"/>
                <w:sz w:val="21"/>
                <w:szCs w:val="21"/>
                <w:highlight w:val="none"/>
                <w:u w:val="none"/>
              </w:rPr>
            </w:pPr>
          </w:p>
        </w:tc>
        <w:tc>
          <w:tcPr>
            <w:tcW w:w="1930" w:type="dxa"/>
            <w:tcBorders>
              <w:top w:val="single" w:color="000000" w:sz="4" w:space="0"/>
              <w:left w:val="single" w:color="000000" w:sz="4" w:space="0"/>
              <w:bottom w:val="single" w:color="000000" w:sz="4" w:space="0"/>
              <w:right w:val="single" w:color="000000" w:sz="4" w:space="0"/>
            </w:tcBorders>
            <w:noWrap/>
            <w:vAlign w:val="bottom"/>
          </w:tcPr>
          <w:p w14:paraId="72C40A8B">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 </w:t>
            </w:r>
          </w:p>
        </w:tc>
      </w:tr>
      <w:tr w14:paraId="3CEAEE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exact"/>
        </w:trPr>
        <w:tc>
          <w:tcPr>
            <w:tcW w:w="756" w:type="pct"/>
            <w:tcBorders>
              <w:top w:val="single" w:color="000000" w:sz="4" w:space="0"/>
              <w:left w:val="single" w:color="000000" w:sz="4" w:space="0"/>
              <w:bottom w:val="single" w:color="000000" w:sz="4" w:space="0"/>
              <w:right w:val="single" w:color="000000" w:sz="4" w:space="0"/>
            </w:tcBorders>
            <w:noWrap/>
            <w:vAlign w:val="bottom"/>
          </w:tcPr>
          <w:p w14:paraId="0A765506">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 </w:t>
            </w:r>
          </w:p>
        </w:tc>
        <w:tc>
          <w:tcPr>
            <w:tcW w:w="1215" w:type="pct"/>
            <w:tcBorders>
              <w:top w:val="single" w:color="000000" w:sz="4" w:space="0"/>
              <w:left w:val="single" w:color="000000" w:sz="4" w:space="0"/>
              <w:bottom w:val="single" w:color="000000" w:sz="4" w:space="0"/>
              <w:right w:val="single" w:color="000000" w:sz="4" w:space="0"/>
            </w:tcBorders>
            <w:noWrap/>
            <w:vAlign w:val="bottom"/>
          </w:tcPr>
          <w:p w14:paraId="5AB73E65">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机械费</w:t>
            </w:r>
          </w:p>
        </w:tc>
        <w:tc>
          <w:tcPr>
            <w:tcW w:w="571" w:type="pct"/>
            <w:tcBorders>
              <w:top w:val="single" w:color="000000" w:sz="4" w:space="0"/>
              <w:left w:val="single" w:color="000000" w:sz="4" w:space="0"/>
              <w:bottom w:val="single" w:color="000000" w:sz="4" w:space="0"/>
              <w:right w:val="single" w:color="000000" w:sz="4" w:space="0"/>
            </w:tcBorders>
            <w:noWrap/>
            <w:vAlign w:val="bottom"/>
          </w:tcPr>
          <w:p w14:paraId="68B07AEE">
            <w:pPr>
              <w:jc w:val="center"/>
              <w:rPr>
                <w:rFonts w:hint="default" w:ascii="Times New Roman" w:hAnsi="Times New Roman" w:eastAsia="宋体" w:cs="Times New Roman"/>
                <w:i w:val="0"/>
                <w:iCs w:val="0"/>
                <w:color w:val="auto"/>
                <w:sz w:val="21"/>
                <w:szCs w:val="21"/>
                <w:highlight w:val="none"/>
                <w:u w:val="none"/>
              </w:rPr>
            </w:pPr>
          </w:p>
        </w:tc>
        <w:tc>
          <w:tcPr>
            <w:tcW w:w="1051" w:type="dxa"/>
            <w:tcBorders>
              <w:top w:val="single" w:color="000000" w:sz="4" w:space="0"/>
              <w:left w:val="single" w:color="000000" w:sz="4" w:space="0"/>
              <w:bottom w:val="single" w:color="000000" w:sz="4" w:space="0"/>
              <w:right w:val="single" w:color="000000" w:sz="4" w:space="0"/>
            </w:tcBorders>
            <w:noWrap/>
            <w:vAlign w:val="bottom"/>
          </w:tcPr>
          <w:p w14:paraId="0C8822E0">
            <w:pPr>
              <w:jc w:val="center"/>
              <w:rPr>
                <w:rFonts w:hint="default" w:ascii="Times New Roman" w:hAnsi="Times New Roman" w:eastAsia="宋体" w:cs="Times New Roman"/>
                <w:i w:val="0"/>
                <w:iCs w:val="0"/>
                <w:color w:val="auto"/>
                <w:sz w:val="21"/>
                <w:szCs w:val="21"/>
                <w:highlight w:val="none"/>
                <w:u w:val="none"/>
              </w:rPr>
            </w:pPr>
          </w:p>
        </w:tc>
        <w:tc>
          <w:tcPr>
            <w:tcW w:w="1209" w:type="dxa"/>
            <w:tcBorders>
              <w:top w:val="single" w:color="000000" w:sz="4" w:space="0"/>
              <w:left w:val="single" w:color="000000" w:sz="4" w:space="0"/>
              <w:bottom w:val="single" w:color="000000" w:sz="4" w:space="0"/>
              <w:right w:val="single" w:color="000000" w:sz="4" w:space="0"/>
            </w:tcBorders>
            <w:noWrap/>
            <w:vAlign w:val="bottom"/>
          </w:tcPr>
          <w:p w14:paraId="15E2FD5A">
            <w:pPr>
              <w:jc w:val="center"/>
              <w:rPr>
                <w:rFonts w:hint="default" w:ascii="Times New Roman" w:hAnsi="Times New Roman" w:eastAsia="宋体" w:cs="Times New Roman"/>
                <w:i w:val="0"/>
                <w:iCs w:val="0"/>
                <w:color w:val="auto"/>
                <w:sz w:val="21"/>
                <w:szCs w:val="21"/>
                <w:highlight w:val="none"/>
                <w:u w:val="none"/>
              </w:rPr>
            </w:pPr>
          </w:p>
        </w:tc>
        <w:tc>
          <w:tcPr>
            <w:tcW w:w="1930" w:type="dxa"/>
            <w:tcBorders>
              <w:top w:val="single" w:color="000000" w:sz="4" w:space="0"/>
              <w:left w:val="single" w:color="000000" w:sz="4" w:space="0"/>
              <w:bottom w:val="single" w:color="000000" w:sz="4" w:space="0"/>
              <w:right w:val="single" w:color="000000" w:sz="4" w:space="0"/>
            </w:tcBorders>
            <w:noWrap/>
            <w:vAlign w:val="bottom"/>
          </w:tcPr>
          <w:p w14:paraId="27F6B24A">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152.31 </w:t>
            </w:r>
          </w:p>
        </w:tc>
      </w:tr>
      <w:tr w14:paraId="25C95A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exact"/>
        </w:trPr>
        <w:tc>
          <w:tcPr>
            <w:tcW w:w="756" w:type="pct"/>
            <w:tcBorders>
              <w:top w:val="single" w:color="000000" w:sz="4" w:space="0"/>
              <w:left w:val="single" w:color="000000" w:sz="4" w:space="0"/>
              <w:bottom w:val="single" w:color="000000" w:sz="4" w:space="0"/>
              <w:right w:val="single" w:color="000000" w:sz="4" w:space="0"/>
            </w:tcBorders>
            <w:noWrap/>
            <w:vAlign w:val="bottom"/>
          </w:tcPr>
          <w:p w14:paraId="34F9DB4F">
            <w:pPr>
              <w:jc w:val="center"/>
              <w:rPr>
                <w:rFonts w:hint="default" w:ascii="Times New Roman" w:hAnsi="Times New Roman" w:eastAsia="宋体" w:cs="Times New Roman"/>
                <w:i w:val="0"/>
                <w:iCs w:val="0"/>
                <w:color w:val="auto"/>
                <w:sz w:val="21"/>
                <w:szCs w:val="21"/>
                <w:highlight w:val="none"/>
                <w:u w:val="none"/>
              </w:rPr>
            </w:pPr>
          </w:p>
        </w:tc>
        <w:tc>
          <w:tcPr>
            <w:tcW w:w="1215" w:type="pct"/>
            <w:tcBorders>
              <w:top w:val="single" w:color="000000" w:sz="4" w:space="0"/>
              <w:left w:val="single" w:color="000000" w:sz="4" w:space="0"/>
              <w:bottom w:val="single" w:color="000000" w:sz="4" w:space="0"/>
              <w:right w:val="single" w:color="000000" w:sz="4" w:space="0"/>
            </w:tcBorders>
            <w:noWrap/>
            <w:vAlign w:val="bottom"/>
          </w:tcPr>
          <w:p w14:paraId="6C3F8079">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推土机74</w:t>
            </w:r>
            <w:r>
              <w:rPr>
                <w:rFonts w:hint="eastAsia" w:ascii="Times New Roman" w:hAnsi="Times New Roman" w:cs="Times New Roman"/>
                <w:i w:val="0"/>
                <w:iCs w:val="0"/>
                <w:color w:val="auto"/>
                <w:kern w:val="0"/>
                <w:sz w:val="21"/>
                <w:szCs w:val="21"/>
                <w:highlight w:val="none"/>
                <w:u w:val="none"/>
                <w:lang w:val="en-US" w:eastAsia="zh-CN" w:bidi="ar"/>
              </w:rPr>
              <w:t>kW</w:t>
            </w:r>
          </w:p>
        </w:tc>
        <w:tc>
          <w:tcPr>
            <w:tcW w:w="571" w:type="pct"/>
            <w:tcBorders>
              <w:top w:val="single" w:color="000000" w:sz="4" w:space="0"/>
              <w:left w:val="single" w:color="000000" w:sz="4" w:space="0"/>
              <w:bottom w:val="single" w:color="000000" w:sz="4" w:space="0"/>
              <w:right w:val="single" w:color="000000" w:sz="4" w:space="0"/>
            </w:tcBorders>
            <w:noWrap/>
            <w:vAlign w:val="bottom"/>
          </w:tcPr>
          <w:p w14:paraId="422608DC">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台班</w:t>
            </w:r>
          </w:p>
        </w:tc>
        <w:tc>
          <w:tcPr>
            <w:tcW w:w="1051" w:type="dxa"/>
            <w:tcBorders>
              <w:top w:val="single" w:color="000000" w:sz="4" w:space="0"/>
              <w:left w:val="single" w:color="000000" w:sz="4" w:space="0"/>
              <w:bottom w:val="single" w:color="000000" w:sz="4" w:space="0"/>
              <w:right w:val="single" w:color="000000" w:sz="4" w:space="0"/>
            </w:tcBorders>
            <w:noWrap/>
            <w:vAlign w:val="bottom"/>
          </w:tcPr>
          <w:p w14:paraId="6ACA5A30">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0.27 </w:t>
            </w:r>
          </w:p>
        </w:tc>
        <w:tc>
          <w:tcPr>
            <w:tcW w:w="1209" w:type="dxa"/>
            <w:tcBorders>
              <w:top w:val="single" w:color="000000" w:sz="4" w:space="0"/>
              <w:left w:val="single" w:color="000000" w:sz="4" w:space="0"/>
              <w:bottom w:val="single" w:color="000000" w:sz="4" w:space="0"/>
              <w:right w:val="single" w:color="000000" w:sz="4" w:space="0"/>
            </w:tcBorders>
            <w:noWrap/>
            <w:vAlign w:val="bottom"/>
          </w:tcPr>
          <w:p w14:paraId="3638BB19">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537.26 </w:t>
            </w:r>
          </w:p>
        </w:tc>
        <w:tc>
          <w:tcPr>
            <w:tcW w:w="1930" w:type="dxa"/>
            <w:tcBorders>
              <w:top w:val="single" w:color="000000" w:sz="4" w:space="0"/>
              <w:left w:val="single" w:color="000000" w:sz="4" w:space="0"/>
              <w:bottom w:val="single" w:color="000000" w:sz="4" w:space="0"/>
              <w:right w:val="single" w:color="000000" w:sz="4" w:space="0"/>
            </w:tcBorders>
            <w:noWrap/>
            <w:vAlign w:val="bottom"/>
          </w:tcPr>
          <w:p w14:paraId="2E9597B0">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145.06 </w:t>
            </w:r>
          </w:p>
        </w:tc>
      </w:tr>
      <w:tr w14:paraId="3AD696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exact"/>
        </w:trPr>
        <w:tc>
          <w:tcPr>
            <w:tcW w:w="756" w:type="pct"/>
            <w:tcBorders>
              <w:top w:val="single" w:color="000000" w:sz="4" w:space="0"/>
              <w:left w:val="single" w:color="000000" w:sz="4" w:space="0"/>
              <w:bottom w:val="single" w:color="000000" w:sz="4" w:space="0"/>
              <w:right w:val="single" w:color="000000" w:sz="4" w:space="0"/>
            </w:tcBorders>
            <w:noWrap/>
            <w:vAlign w:val="bottom"/>
          </w:tcPr>
          <w:p w14:paraId="451E8DA6">
            <w:pPr>
              <w:jc w:val="center"/>
              <w:rPr>
                <w:rFonts w:hint="default" w:ascii="Times New Roman" w:hAnsi="Times New Roman" w:eastAsia="宋体" w:cs="Times New Roman"/>
                <w:i w:val="0"/>
                <w:iCs w:val="0"/>
                <w:color w:val="auto"/>
                <w:sz w:val="21"/>
                <w:szCs w:val="21"/>
                <w:highlight w:val="none"/>
                <w:u w:val="none"/>
              </w:rPr>
            </w:pPr>
          </w:p>
        </w:tc>
        <w:tc>
          <w:tcPr>
            <w:tcW w:w="1215" w:type="pct"/>
            <w:tcBorders>
              <w:top w:val="single" w:color="000000" w:sz="4" w:space="0"/>
              <w:left w:val="single" w:color="000000" w:sz="4" w:space="0"/>
              <w:bottom w:val="single" w:color="000000" w:sz="4" w:space="0"/>
              <w:right w:val="single" w:color="000000" w:sz="4" w:space="0"/>
            </w:tcBorders>
            <w:noWrap/>
            <w:vAlign w:val="bottom"/>
          </w:tcPr>
          <w:p w14:paraId="7A540081">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其他费用</w:t>
            </w:r>
          </w:p>
        </w:tc>
        <w:tc>
          <w:tcPr>
            <w:tcW w:w="571" w:type="pct"/>
            <w:tcBorders>
              <w:top w:val="single" w:color="000000" w:sz="4" w:space="0"/>
              <w:left w:val="single" w:color="000000" w:sz="4" w:space="0"/>
              <w:bottom w:val="single" w:color="000000" w:sz="4" w:space="0"/>
              <w:right w:val="single" w:color="000000" w:sz="4" w:space="0"/>
            </w:tcBorders>
            <w:noWrap/>
            <w:vAlign w:val="bottom"/>
          </w:tcPr>
          <w:p w14:paraId="526D0166">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051" w:type="dxa"/>
            <w:tcBorders>
              <w:top w:val="single" w:color="000000" w:sz="4" w:space="0"/>
              <w:left w:val="single" w:color="000000" w:sz="4" w:space="0"/>
              <w:bottom w:val="single" w:color="000000" w:sz="4" w:space="0"/>
              <w:right w:val="single" w:color="000000" w:sz="4" w:space="0"/>
            </w:tcBorders>
            <w:noWrap/>
            <w:vAlign w:val="bottom"/>
          </w:tcPr>
          <w:p w14:paraId="3E3AB214">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5.00 </w:t>
            </w:r>
          </w:p>
        </w:tc>
        <w:tc>
          <w:tcPr>
            <w:tcW w:w="1209" w:type="dxa"/>
            <w:tcBorders>
              <w:top w:val="single" w:color="000000" w:sz="4" w:space="0"/>
              <w:left w:val="single" w:color="000000" w:sz="4" w:space="0"/>
              <w:bottom w:val="single" w:color="000000" w:sz="4" w:space="0"/>
              <w:right w:val="single" w:color="000000" w:sz="4" w:space="0"/>
            </w:tcBorders>
            <w:noWrap/>
            <w:vAlign w:val="bottom"/>
          </w:tcPr>
          <w:p w14:paraId="307B4B95">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145.06 </w:t>
            </w:r>
          </w:p>
        </w:tc>
        <w:tc>
          <w:tcPr>
            <w:tcW w:w="1930" w:type="dxa"/>
            <w:tcBorders>
              <w:top w:val="single" w:color="000000" w:sz="4" w:space="0"/>
              <w:left w:val="single" w:color="000000" w:sz="4" w:space="0"/>
              <w:bottom w:val="single" w:color="000000" w:sz="4" w:space="0"/>
              <w:right w:val="single" w:color="000000" w:sz="4" w:space="0"/>
            </w:tcBorders>
            <w:noWrap/>
            <w:vAlign w:val="bottom"/>
          </w:tcPr>
          <w:p w14:paraId="4C5BF616">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7.25 </w:t>
            </w:r>
          </w:p>
        </w:tc>
      </w:tr>
      <w:tr w14:paraId="4A9D25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exact"/>
        </w:trPr>
        <w:tc>
          <w:tcPr>
            <w:tcW w:w="756" w:type="pct"/>
            <w:tcBorders>
              <w:top w:val="single" w:color="000000" w:sz="4" w:space="0"/>
              <w:left w:val="single" w:color="000000" w:sz="4" w:space="0"/>
              <w:bottom w:val="single" w:color="000000" w:sz="4" w:space="0"/>
              <w:right w:val="single" w:color="000000" w:sz="4" w:space="0"/>
            </w:tcBorders>
            <w:noWrap/>
            <w:vAlign w:val="bottom"/>
          </w:tcPr>
          <w:p w14:paraId="7C5140F9">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（二）</w:t>
            </w:r>
          </w:p>
        </w:tc>
        <w:tc>
          <w:tcPr>
            <w:tcW w:w="1215" w:type="pct"/>
            <w:tcBorders>
              <w:top w:val="single" w:color="000000" w:sz="4" w:space="0"/>
              <w:left w:val="single" w:color="000000" w:sz="4" w:space="0"/>
              <w:bottom w:val="single" w:color="000000" w:sz="4" w:space="0"/>
              <w:right w:val="single" w:color="000000" w:sz="4" w:space="0"/>
            </w:tcBorders>
            <w:noWrap/>
            <w:vAlign w:val="bottom"/>
          </w:tcPr>
          <w:p w14:paraId="0F874E7C">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措施费</w:t>
            </w:r>
          </w:p>
        </w:tc>
        <w:tc>
          <w:tcPr>
            <w:tcW w:w="571" w:type="pct"/>
            <w:tcBorders>
              <w:top w:val="single" w:color="000000" w:sz="4" w:space="0"/>
              <w:left w:val="single" w:color="000000" w:sz="4" w:space="0"/>
              <w:bottom w:val="single" w:color="000000" w:sz="4" w:space="0"/>
              <w:right w:val="single" w:color="000000" w:sz="4" w:space="0"/>
            </w:tcBorders>
            <w:noWrap/>
            <w:vAlign w:val="bottom"/>
          </w:tcPr>
          <w:p w14:paraId="0E76F57C">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051" w:type="dxa"/>
            <w:tcBorders>
              <w:top w:val="single" w:color="000000" w:sz="4" w:space="0"/>
              <w:left w:val="single" w:color="000000" w:sz="4" w:space="0"/>
              <w:bottom w:val="single" w:color="000000" w:sz="4" w:space="0"/>
              <w:right w:val="single" w:color="000000" w:sz="4" w:space="0"/>
            </w:tcBorders>
            <w:noWrap/>
            <w:vAlign w:val="bottom"/>
          </w:tcPr>
          <w:p w14:paraId="19D38DA5">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3.80 </w:t>
            </w:r>
          </w:p>
        </w:tc>
        <w:tc>
          <w:tcPr>
            <w:tcW w:w="1209" w:type="dxa"/>
            <w:tcBorders>
              <w:top w:val="single" w:color="000000" w:sz="4" w:space="0"/>
              <w:left w:val="single" w:color="000000" w:sz="4" w:space="0"/>
              <w:bottom w:val="single" w:color="000000" w:sz="4" w:space="0"/>
              <w:right w:val="single" w:color="000000" w:sz="4" w:space="0"/>
            </w:tcBorders>
            <w:noWrap/>
            <w:vAlign w:val="bottom"/>
          </w:tcPr>
          <w:p w14:paraId="0A0DC329">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160.47 </w:t>
            </w:r>
          </w:p>
        </w:tc>
        <w:tc>
          <w:tcPr>
            <w:tcW w:w="1930" w:type="dxa"/>
            <w:tcBorders>
              <w:top w:val="single" w:color="000000" w:sz="4" w:space="0"/>
              <w:left w:val="single" w:color="000000" w:sz="4" w:space="0"/>
              <w:bottom w:val="single" w:color="000000" w:sz="4" w:space="0"/>
              <w:right w:val="single" w:color="000000" w:sz="4" w:space="0"/>
            </w:tcBorders>
            <w:noWrap/>
            <w:vAlign w:val="bottom"/>
          </w:tcPr>
          <w:p w14:paraId="2086C25E">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6.10 </w:t>
            </w:r>
          </w:p>
        </w:tc>
      </w:tr>
      <w:tr w14:paraId="2A3A17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exact"/>
        </w:trPr>
        <w:tc>
          <w:tcPr>
            <w:tcW w:w="756" w:type="pct"/>
            <w:tcBorders>
              <w:top w:val="single" w:color="000000" w:sz="4" w:space="0"/>
              <w:left w:val="single" w:color="000000" w:sz="4" w:space="0"/>
              <w:bottom w:val="single" w:color="000000" w:sz="4" w:space="0"/>
              <w:right w:val="single" w:color="000000" w:sz="4" w:space="0"/>
            </w:tcBorders>
            <w:noWrap/>
            <w:vAlign w:val="bottom"/>
          </w:tcPr>
          <w:p w14:paraId="62C76B18">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二</w:t>
            </w:r>
          </w:p>
        </w:tc>
        <w:tc>
          <w:tcPr>
            <w:tcW w:w="1215" w:type="pct"/>
            <w:tcBorders>
              <w:top w:val="single" w:color="000000" w:sz="4" w:space="0"/>
              <w:left w:val="single" w:color="000000" w:sz="4" w:space="0"/>
              <w:bottom w:val="single" w:color="000000" w:sz="4" w:space="0"/>
              <w:right w:val="single" w:color="000000" w:sz="4" w:space="0"/>
            </w:tcBorders>
            <w:noWrap/>
            <w:vAlign w:val="bottom"/>
          </w:tcPr>
          <w:p w14:paraId="24A72449">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间接费</w:t>
            </w:r>
          </w:p>
        </w:tc>
        <w:tc>
          <w:tcPr>
            <w:tcW w:w="571" w:type="pct"/>
            <w:tcBorders>
              <w:top w:val="single" w:color="000000" w:sz="4" w:space="0"/>
              <w:left w:val="single" w:color="000000" w:sz="4" w:space="0"/>
              <w:bottom w:val="single" w:color="000000" w:sz="4" w:space="0"/>
              <w:right w:val="single" w:color="000000" w:sz="4" w:space="0"/>
            </w:tcBorders>
            <w:noWrap/>
            <w:vAlign w:val="bottom"/>
          </w:tcPr>
          <w:p w14:paraId="41C59C98">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051" w:type="dxa"/>
            <w:tcBorders>
              <w:top w:val="single" w:color="000000" w:sz="4" w:space="0"/>
              <w:left w:val="single" w:color="000000" w:sz="4" w:space="0"/>
              <w:bottom w:val="single" w:color="000000" w:sz="4" w:space="0"/>
              <w:right w:val="single" w:color="000000" w:sz="4" w:space="0"/>
            </w:tcBorders>
            <w:noWrap/>
            <w:vAlign w:val="bottom"/>
          </w:tcPr>
          <w:p w14:paraId="3C84C59C">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6.00 </w:t>
            </w:r>
          </w:p>
        </w:tc>
        <w:tc>
          <w:tcPr>
            <w:tcW w:w="1209" w:type="dxa"/>
            <w:tcBorders>
              <w:top w:val="single" w:color="000000" w:sz="4" w:space="0"/>
              <w:left w:val="single" w:color="000000" w:sz="4" w:space="0"/>
              <w:bottom w:val="single" w:color="000000" w:sz="4" w:space="0"/>
              <w:right w:val="single" w:color="000000" w:sz="4" w:space="0"/>
            </w:tcBorders>
            <w:noWrap/>
            <w:vAlign w:val="bottom"/>
          </w:tcPr>
          <w:p w14:paraId="7B490B04">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166.57 </w:t>
            </w:r>
          </w:p>
        </w:tc>
        <w:tc>
          <w:tcPr>
            <w:tcW w:w="1930" w:type="dxa"/>
            <w:tcBorders>
              <w:top w:val="single" w:color="000000" w:sz="4" w:space="0"/>
              <w:left w:val="single" w:color="000000" w:sz="4" w:space="0"/>
              <w:bottom w:val="single" w:color="000000" w:sz="4" w:space="0"/>
              <w:right w:val="single" w:color="000000" w:sz="4" w:space="0"/>
            </w:tcBorders>
            <w:noWrap/>
            <w:vAlign w:val="bottom"/>
          </w:tcPr>
          <w:p w14:paraId="62233B31">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9.99 </w:t>
            </w:r>
          </w:p>
        </w:tc>
      </w:tr>
      <w:tr w14:paraId="1AF4D3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exact"/>
        </w:trPr>
        <w:tc>
          <w:tcPr>
            <w:tcW w:w="756" w:type="pct"/>
            <w:tcBorders>
              <w:top w:val="single" w:color="000000" w:sz="4" w:space="0"/>
              <w:left w:val="single" w:color="000000" w:sz="4" w:space="0"/>
              <w:bottom w:val="single" w:color="000000" w:sz="4" w:space="0"/>
              <w:right w:val="single" w:color="000000" w:sz="4" w:space="0"/>
            </w:tcBorders>
            <w:noWrap/>
            <w:vAlign w:val="bottom"/>
          </w:tcPr>
          <w:p w14:paraId="64A74727">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三</w:t>
            </w:r>
          </w:p>
        </w:tc>
        <w:tc>
          <w:tcPr>
            <w:tcW w:w="1215" w:type="pct"/>
            <w:tcBorders>
              <w:top w:val="single" w:color="000000" w:sz="4" w:space="0"/>
              <w:left w:val="single" w:color="000000" w:sz="4" w:space="0"/>
              <w:bottom w:val="single" w:color="000000" w:sz="4" w:space="0"/>
              <w:right w:val="single" w:color="000000" w:sz="4" w:space="0"/>
            </w:tcBorders>
            <w:noWrap/>
            <w:vAlign w:val="bottom"/>
          </w:tcPr>
          <w:p w14:paraId="562C8DE2">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利润</w:t>
            </w:r>
          </w:p>
        </w:tc>
        <w:tc>
          <w:tcPr>
            <w:tcW w:w="571" w:type="pct"/>
            <w:tcBorders>
              <w:top w:val="single" w:color="000000" w:sz="4" w:space="0"/>
              <w:left w:val="single" w:color="000000" w:sz="4" w:space="0"/>
              <w:bottom w:val="single" w:color="000000" w:sz="4" w:space="0"/>
              <w:right w:val="single" w:color="000000" w:sz="4" w:space="0"/>
            </w:tcBorders>
            <w:noWrap/>
            <w:vAlign w:val="bottom"/>
          </w:tcPr>
          <w:p w14:paraId="3F43A7F7">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051" w:type="dxa"/>
            <w:tcBorders>
              <w:top w:val="single" w:color="000000" w:sz="4" w:space="0"/>
              <w:left w:val="single" w:color="000000" w:sz="4" w:space="0"/>
              <w:bottom w:val="single" w:color="000000" w:sz="4" w:space="0"/>
              <w:right w:val="single" w:color="000000" w:sz="4" w:space="0"/>
            </w:tcBorders>
            <w:noWrap/>
            <w:vAlign w:val="bottom"/>
          </w:tcPr>
          <w:p w14:paraId="4E498AB4">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3.00 </w:t>
            </w:r>
          </w:p>
        </w:tc>
        <w:tc>
          <w:tcPr>
            <w:tcW w:w="1209" w:type="dxa"/>
            <w:tcBorders>
              <w:top w:val="single" w:color="000000" w:sz="4" w:space="0"/>
              <w:left w:val="single" w:color="000000" w:sz="4" w:space="0"/>
              <w:bottom w:val="single" w:color="000000" w:sz="4" w:space="0"/>
              <w:right w:val="single" w:color="000000" w:sz="4" w:space="0"/>
            </w:tcBorders>
            <w:noWrap/>
            <w:vAlign w:val="bottom"/>
          </w:tcPr>
          <w:p w14:paraId="0E8A7577">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176.56 </w:t>
            </w:r>
          </w:p>
        </w:tc>
        <w:tc>
          <w:tcPr>
            <w:tcW w:w="1930" w:type="dxa"/>
            <w:tcBorders>
              <w:top w:val="single" w:color="000000" w:sz="4" w:space="0"/>
              <w:left w:val="single" w:color="000000" w:sz="4" w:space="0"/>
              <w:bottom w:val="single" w:color="000000" w:sz="4" w:space="0"/>
              <w:right w:val="single" w:color="000000" w:sz="4" w:space="0"/>
            </w:tcBorders>
            <w:noWrap/>
            <w:vAlign w:val="bottom"/>
          </w:tcPr>
          <w:p w14:paraId="64C410F3">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5.30 </w:t>
            </w:r>
          </w:p>
        </w:tc>
      </w:tr>
      <w:tr w14:paraId="3F81DA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exact"/>
        </w:trPr>
        <w:tc>
          <w:tcPr>
            <w:tcW w:w="756" w:type="pct"/>
            <w:tcBorders>
              <w:top w:val="single" w:color="000000" w:sz="4" w:space="0"/>
              <w:left w:val="single" w:color="000000" w:sz="4" w:space="0"/>
              <w:bottom w:val="single" w:color="000000" w:sz="4" w:space="0"/>
              <w:right w:val="single" w:color="000000" w:sz="4" w:space="0"/>
            </w:tcBorders>
            <w:noWrap/>
            <w:vAlign w:val="bottom"/>
          </w:tcPr>
          <w:p w14:paraId="4713A49E">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四</w:t>
            </w:r>
          </w:p>
        </w:tc>
        <w:tc>
          <w:tcPr>
            <w:tcW w:w="1215" w:type="pct"/>
            <w:tcBorders>
              <w:top w:val="single" w:color="000000" w:sz="4" w:space="0"/>
              <w:left w:val="single" w:color="000000" w:sz="4" w:space="0"/>
              <w:bottom w:val="single" w:color="000000" w:sz="4" w:space="0"/>
              <w:right w:val="single" w:color="000000" w:sz="4" w:space="0"/>
            </w:tcBorders>
            <w:noWrap/>
            <w:vAlign w:val="bottom"/>
          </w:tcPr>
          <w:p w14:paraId="77B76782">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材料价差</w:t>
            </w:r>
          </w:p>
        </w:tc>
        <w:tc>
          <w:tcPr>
            <w:tcW w:w="571" w:type="pct"/>
            <w:tcBorders>
              <w:top w:val="single" w:color="000000" w:sz="4" w:space="0"/>
              <w:left w:val="single" w:color="000000" w:sz="4" w:space="0"/>
              <w:bottom w:val="single" w:color="000000" w:sz="4" w:space="0"/>
              <w:right w:val="single" w:color="000000" w:sz="4" w:space="0"/>
            </w:tcBorders>
            <w:noWrap/>
            <w:vAlign w:val="bottom"/>
          </w:tcPr>
          <w:p w14:paraId="0DA83530">
            <w:pPr>
              <w:jc w:val="center"/>
              <w:rPr>
                <w:rFonts w:hint="default" w:ascii="Times New Roman" w:hAnsi="Times New Roman" w:eastAsia="宋体" w:cs="Times New Roman"/>
                <w:i w:val="0"/>
                <w:iCs w:val="0"/>
                <w:color w:val="auto"/>
                <w:sz w:val="21"/>
                <w:szCs w:val="21"/>
                <w:highlight w:val="none"/>
                <w:u w:val="none"/>
              </w:rPr>
            </w:pPr>
          </w:p>
        </w:tc>
        <w:tc>
          <w:tcPr>
            <w:tcW w:w="1051" w:type="dxa"/>
            <w:tcBorders>
              <w:top w:val="single" w:color="000000" w:sz="4" w:space="0"/>
              <w:left w:val="single" w:color="000000" w:sz="4" w:space="0"/>
              <w:bottom w:val="single" w:color="000000" w:sz="4" w:space="0"/>
              <w:right w:val="single" w:color="000000" w:sz="4" w:space="0"/>
            </w:tcBorders>
            <w:noWrap/>
            <w:vAlign w:val="bottom"/>
          </w:tcPr>
          <w:p w14:paraId="4422C5DA">
            <w:pPr>
              <w:jc w:val="center"/>
              <w:rPr>
                <w:rFonts w:hint="default" w:ascii="Times New Roman" w:hAnsi="Times New Roman" w:eastAsia="宋体" w:cs="Times New Roman"/>
                <w:i w:val="0"/>
                <w:iCs w:val="0"/>
                <w:color w:val="auto"/>
                <w:sz w:val="21"/>
                <w:szCs w:val="21"/>
                <w:highlight w:val="none"/>
                <w:u w:val="none"/>
              </w:rPr>
            </w:pPr>
          </w:p>
        </w:tc>
        <w:tc>
          <w:tcPr>
            <w:tcW w:w="1209" w:type="dxa"/>
            <w:tcBorders>
              <w:top w:val="single" w:color="000000" w:sz="4" w:space="0"/>
              <w:left w:val="single" w:color="000000" w:sz="4" w:space="0"/>
              <w:bottom w:val="single" w:color="000000" w:sz="4" w:space="0"/>
              <w:right w:val="single" w:color="000000" w:sz="4" w:space="0"/>
            </w:tcBorders>
            <w:noWrap/>
            <w:vAlign w:val="bottom"/>
          </w:tcPr>
          <w:p w14:paraId="6E809EF7">
            <w:pPr>
              <w:jc w:val="center"/>
              <w:rPr>
                <w:rFonts w:hint="default" w:ascii="Times New Roman" w:hAnsi="Times New Roman" w:eastAsia="宋体" w:cs="Times New Roman"/>
                <w:i w:val="0"/>
                <w:iCs w:val="0"/>
                <w:color w:val="auto"/>
                <w:sz w:val="21"/>
                <w:szCs w:val="21"/>
                <w:highlight w:val="none"/>
                <w:u w:val="none"/>
              </w:rPr>
            </w:pPr>
          </w:p>
        </w:tc>
        <w:tc>
          <w:tcPr>
            <w:tcW w:w="1930" w:type="dxa"/>
            <w:tcBorders>
              <w:top w:val="single" w:color="000000" w:sz="4" w:space="0"/>
              <w:left w:val="single" w:color="000000" w:sz="4" w:space="0"/>
              <w:bottom w:val="single" w:color="000000" w:sz="4" w:space="0"/>
              <w:right w:val="single" w:color="000000" w:sz="4" w:space="0"/>
            </w:tcBorders>
            <w:noWrap/>
            <w:vAlign w:val="bottom"/>
          </w:tcPr>
          <w:p w14:paraId="04FF9F63">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45.44 </w:t>
            </w:r>
          </w:p>
        </w:tc>
      </w:tr>
      <w:tr w14:paraId="21A9B8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exact"/>
        </w:trPr>
        <w:tc>
          <w:tcPr>
            <w:tcW w:w="756" w:type="pct"/>
            <w:tcBorders>
              <w:top w:val="single" w:color="000000" w:sz="4" w:space="0"/>
              <w:left w:val="single" w:color="000000" w:sz="4" w:space="0"/>
              <w:bottom w:val="single" w:color="000000" w:sz="4" w:space="0"/>
              <w:right w:val="single" w:color="000000" w:sz="4" w:space="0"/>
            </w:tcBorders>
            <w:noWrap/>
            <w:vAlign w:val="bottom"/>
          </w:tcPr>
          <w:p w14:paraId="3F23B0A3">
            <w:pPr>
              <w:jc w:val="center"/>
              <w:rPr>
                <w:rFonts w:hint="default" w:ascii="Times New Roman" w:hAnsi="Times New Roman" w:eastAsia="宋体" w:cs="Times New Roman"/>
                <w:i w:val="0"/>
                <w:iCs w:val="0"/>
                <w:color w:val="auto"/>
                <w:sz w:val="21"/>
                <w:szCs w:val="21"/>
                <w:highlight w:val="none"/>
                <w:u w:val="none"/>
              </w:rPr>
            </w:pPr>
          </w:p>
        </w:tc>
        <w:tc>
          <w:tcPr>
            <w:tcW w:w="1215" w:type="pct"/>
            <w:tcBorders>
              <w:top w:val="single" w:color="000000" w:sz="4" w:space="0"/>
              <w:left w:val="single" w:color="000000" w:sz="4" w:space="0"/>
              <w:bottom w:val="single" w:color="000000" w:sz="4" w:space="0"/>
              <w:right w:val="single" w:color="000000" w:sz="4" w:space="0"/>
            </w:tcBorders>
            <w:noWrap/>
            <w:vAlign w:val="bottom"/>
          </w:tcPr>
          <w:p w14:paraId="6195816C">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柴油</w:t>
            </w:r>
          </w:p>
        </w:tc>
        <w:tc>
          <w:tcPr>
            <w:tcW w:w="571" w:type="pct"/>
            <w:tcBorders>
              <w:top w:val="single" w:color="000000" w:sz="4" w:space="0"/>
              <w:left w:val="single" w:color="000000" w:sz="4" w:space="0"/>
              <w:bottom w:val="single" w:color="000000" w:sz="4" w:space="0"/>
              <w:right w:val="single" w:color="000000" w:sz="4" w:space="0"/>
            </w:tcBorders>
            <w:noWrap/>
            <w:vAlign w:val="bottom"/>
          </w:tcPr>
          <w:p w14:paraId="4A59ED19">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kg</w:t>
            </w:r>
          </w:p>
        </w:tc>
        <w:tc>
          <w:tcPr>
            <w:tcW w:w="1051" w:type="dxa"/>
            <w:tcBorders>
              <w:top w:val="single" w:color="000000" w:sz="4" w:space="0"/>
              <w:left w:val="single" w:color="000000" w:sz="4" w:space="0"/>
              <w:bottom w:val="single" w:color="000000" w:sz="4" w:space="0"/>
              <w:right w:val="single" w:color="000000" w:sz="4" w:space="0"/>
            </w:tcBorders>
            <w:noWrap/>
            <w:vAlign w:val="bottom"/>
          </w:tcPr>
          <w:p w14:paraId="6182CFB2">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14.85 </w:t>
            </w:r>
          </w:p>
        </w:tc>
        <w:tc>
          <w:tcPr>
            <w:tcW w:w="1209" w:type="dxa"/>
            <w:tcBorders>
              <w:top w:val="single" w:color="000000" w:sz="4" w:space="0"/>
              <w:left w:val="single" w:color="000000" w:sz="4" w:space="0"/>
              <w:bottom w:val="single" w:color="000000" w:sz="4" w:space="0"/>
              <w:right w:val="single" w:color="000000" w:sz="4" w:space="0"/>
            </w:tcBorders>
            <w:noWrap/>
            <w:vAlign w:val="bottom"/>
          </w:tcPr>
          <w:p w14:paraId="2119853C">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3.06 </w:t>
            </w:r>
          </w:p>
        </w:tc>
        <w:tc>
          <w:tcPr>
            <w:tcW w:w="1930" w:type="dxa"/>
            <w:tcBorders>
              <w:top w:val="single" w:color="000000" w:sz="4" w:space="0"/>
              <w:left w:val="single" w:color="000000" w:sz="4" w:space="0"/>
              <w:bottom w:val="single" w:color="000000" w:sz="4" w:space="0"/>
              <w:right w:val="single" w:color="000000" w:sz="4" w:space="0"/>
            </w:tcBorders>
            <w:noWrap/>
            <w:vAlign w:val="bottom"/>
          </w:tcPr>
          <w:p w14:paraId="3CD1076C">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45.44 </w:t>
            </w:r>
          </w:p>
        </w:tc>
      </w:tr>
      <w:tr w14:paraId="16D8D1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exact"/>
        </w:trPr>
        <w:tc>
          <w:tcPr>
            <w:tcW w:w="756" w:type="pct"/>
            <w:tcBorders>
              <w:top w:val="single" w:color="000000" w:sz="4" w:space="0"/>
              <w:left w:val="single" w:color="000000" w:sz="4" w:space="0"/>
              <w:bottom w:val="single" w:color="000000" w:sz="4" w:space="0"/>
              <w:right w:val="single" w:color="000000" w:sz="4" w:space="0"/>
            </w:tcBorders>
            <w:noWrap/>
            <w:vAlign w:val="bottom"/>
          </w:tcPr>
          <w:p w14:paraId="0210045E">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五</w:t>
            </w:r>
          </w:p>
        </w:tc>
        <w:tc>
          <w:tcPr>
            <w:tcW w:w="1215" w:type="pct"/>
            <w:tcBorders>
              <w:top w:val="single" w:color="000000" w:sz="4" w:space="0"/>
              <w:left w:val="single" w:color="000000" w:sz="4" w:space="0"/>
              <w:bottom w:val="single" w:color="000000" w:sz="4" w:space="0"/>
              <w:right w:val="single" w:color="000000" w:sz="4" w:space="0"/>
            </w:tcBorders>
            <w:noWrap/>
            <w:vAlign w:val="bottom"/>
          </w:tcPr>
          <w:p w14:paraId="0207DC11">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税金</w:t>
            </w:r>
          </w:p>
        </w:tc>
        <w:tc>
          <w:tcPr>
            <w:tcW w:w="571" w:type="pct"/>
            <w:tcBorders>
              <w:top w:val="single" w:color="000000" w:sz="4" w:space="0"/>
              <w:left w:val="single" w:color="000000" w:sz="4" w:space="0"/>
              <w:bottom w:val="single" w:color="000000" w:sz="4" w:space="0"/>
              <w:right w:val="single" w:color="000000" w:sz="4" w:space="0"/>
            </w:tcBorders>
            <w:noWrap/>
            <w:vAlign w:val="bottom"/>
          </w:tcPr>
          <w:p w14:paraId="51DB5A7D">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051" w:type="dxa"/>
            <w:tcBorders>
              <w:top w:val="single" w:color="000000" w:sz="4" w:space="0"/>
              <w:left w:val="single" w:color="000000" w:sz="4" w:space="0"/>
              <w:bottom w:val="single" w:color="000000" w:sz="4" w:space="0"/>
              <w:right w:val="single" w:color="000000" w:sz="4" w:space="0"/>
            </w:tcBorders>
            <w:noWrap/>
            <w:vAlign w:val="bottom"/>
          </w:tcPr>
          <w:p w14:paraId="0BFBFE8A">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9.00 </w:t>
            </w:r>
          </w:p>
        </w:tc>
        <w:tc>
          <w:tcPr>
            <w:tcW w:w="1209" w:type="dxa"/>
            <w:tcBorders>
              <w:top w:val="single" w:color="000000" w:sz="4" w:space="0"/>
              <w:left w:val="single" w:color="000000" w:sz="4" w:space="0"/>
              <w:bottom w:val="single" w:color="000000" w:sz="4" w:space="0"/>
              <w:right w:val="single" w:color="000000" w:sz="4" w:space="0"/>
            </w:tcBorders>
            <w:noWrap/>
            <w:vAlign w:val="bottom"/>
          </w:tcPr>
          <w:p w14:paraId="263BBD23">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227.30 </w:t>
            </w:r>
          </w:p>
        </w:tc>
        <w:tc>
          <w:tcPr>
            <w:tcW w:w="1930" w:type="dxa"/>
            <w:tcBorders>
              <w:top w:val="single" w:color="000000" w:sz="4" w:space="0"/>
              <w:left w:val="single" w:color="000000" w:sz="4" w:space="0"/>
              <w:bottom w:val="single" w:color="000000" w:sz="4" w:space="0"/>
              <w:right w:val="single" w:color="000000" w:sz="4" w:space="0"/>
            </w:tcBorders>
            <w:noWrap/>
            <w:vAlign w:val="bottom"/>
          </w:tcPr>
          <w:p w14:paraId="4C4E3AF8">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20.46 </w:t>
            </w:r>
          </w:p>
        </w:tc>
      </w:tr>
      <w:tr w14:paraId="6AE82E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exact"/>
        </w:trPr>
        <w:tc>
          <w:tcPr>
            <w:tcW w:w="1971" w:type="pct"/>
            <w:gridSpan w:val="2"/>
            <w:tcBorders>
              <w:top w:val="single" w:color="000000" w:sz="4" w:space="0"/>
              <w:left w:val="single" w:color="000000" w:sz="4" w:space="0"/>
              <w:bottom w:val="single" w:color="000000" w:sz="4" w:space="0"/>
              <w:right w:val="single" w:color="000000" w:sz="4" w:space="0"/>
            </w:tcBorders>
            <w:noWrap/>
            <w:vAlign w:val="bottom"/>
          </w:tcPr>
          <w:p w14:paraId="148062F0">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合计</w:t>
            </w:r>
          </w:p>
        </w:tc>
        <w:tc>
          <w:tcPr>
            <w:tcW w:w="571" w:type="pct"/>
            <w:tcBorders>
              <w:top w:val="single" w:color="000000" w:sz="4" w:space="0"/>
              <w:left w:val="single" w:color="000000" w:sz="4" w:space="0"/>
              <w:bottom w:val="single" w:color="000000" w:sz="4" w:space="0"/>
              <w:right w:val="single" w:color="000000" w:sz="4" w:space="0"/>
            </w:tcBorders>
            <w:noWrap/>
            <w:vAlign w:val="bottom"/>
          </w:tcPr>
          <w:p w14:paraId="330B482E">
            <w:pPr>
              <w:jc w:val="center"/>
              <w:rPr>
                <w:rFonts w:hint="default" w:ascii="Times New Roman" w:hAnsi="Times New Roman" w:eastAsia="宋体" w:cs="Times New Roman"/>
                <w:i w:val="0"/>
                <w:iCs w:val="0"/>
                <w:color w:val="auto"/>
                <w:sz w:val="21"/>
                <w:szCs w:val="21"/>
                <w:highlight w:val="none"/>
                <w:u w:val="none"/>
              </w:rPr>
            </w:pPr>
          </w:p>
        </w:tc>
        <w:tc>
          <w:tcPr>
            <w:tcW w:w="1051" w:type="dxa"/>
            <w:tcBorders>
              <w:top w:val="single" w:color="000000" w:sz="4" w:space="0"/>
              <w:left w:val="single" w:color="000000" w:sz="4" w:space="0"/>
              <w:bottom w:val="single" w:color="000000" w:sz="4" w:space="0"/>
              <w:right w:val="single" w:color="000000" w:sz="4" w:space="0"/>
            </w:tcBorders>
            <w:noWrap/>
            <w:vAlign w:val="bottom"/>
          </w:tcPr>
          <w:p w14:paraId="18AA6BE3">
            <w:pPr>
              <w:jc w:val="center"/>
              <w:rPr>
                <w:rFonts w:hint="default" w:ascii="Times New Roman" w:hAnsi="Times New Roman" w:eastAsia="宋体" w:cs="Times New Roman"/>
                <w:i w:val="0"/>
                <w:iCs w:val="0"/>
                <w:color w:val="auto"/>
                <w:sz w:val="21"/>
                <w:szCs w:val="21"/>
                <w:highlight w:val="none"/>
                <w:u w:val="none"/>
              </w:rPr>
            </w:pPr>
          </w:p>
        </w:tc>
        <w:tc>
          <w:tcPr>
            <w:tcW w:w="1209" w:type="dxa"/>
            <w:tcBorders>
              <w:top w:val="single" w:color="000000" w:sz="4" w:space="0"/>
              <w:left w:val="single" w:color="000000" w:sz="4" w:space="0"/>
              <w:bottom w:val="single" w:color="000000" w:sz="4" w:space="0"/>
              <w:right w:val="single" w:color="000000" w:sz="4" w:space="0"/>
            </w:tcBorders>
            <w:noWrap/>
            <w:vAlign w:val="bottom"/>
          </w:tcPr>
          <w:p w14:paraId="54212B24">
            <w:pPr>
              <w:jc w:val="center"/>
              <w:rPr>
                <w:rFonts w:hint="default" w:ascii="Times New Roman" w:hAnsi="Times New Roman" w:eastAsia="宋体" w:cs="Times New Roman"/>
                <w:i w:val="0"/>
                <w:iCs w:val="0"/>
                <w:color w:val="auto"/>
                <w:sz w:val="21"/>
                <w:szCs w:val="21"/>
                <w:highlight w:val="none"/>
                <w:u w:val="none"/>
              </w:rPr>
            </w:pPr>
          </w:p>
        </w:tc>
        <w:tc>
          <w:tcPr>
            <w:tcW w:w="1930" w:type="dxa"/>
            <w:tcBorders>
              <w:top w:val="single" w:color="000000" w:sz="4" w:space="0"/>
              <w:left w:val="single" w:color="000000" w:sz="4" w:space="0"/>
              <w:bottom w:val="single" w:color="000000" w:sz="4" w:space="0"/>
              <w:right w:val="single" w:color="000000" w:sz="4" w:space="0"/>
            </w:tcBorders>
            <w:noWrap/>
            <w:vAlign w:val="bottom"/>
          </w:tcPr>
          <w:p w14:paraId="4BB486D6">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247.76 </w:t>
            </w:r>
          </w:p>
        </w:tc>
      </w:tr>
      <w:bookmarkEnd w:id="297"/>
    </w:tbl>
    <w:p w14:paraId="3FED2253">
      <w:pPr>
        <w:keepNext/>
        <w:keepLines/>
        <w:pageBreakBefore w:val="0"/>
        <w:widowControl w:val="0"/>
        <w:kinsoku/>
        <w:wordWrap/>
        <w:overflowPunct/>
        <w:topLinePunct w:val="0"/>
        <w:autoSpaceDE/>
        <w:autoSpaceDN/>
        <w:bidi w:val="0"/>
        <w:adjustRightInd/>
        <w:snapToGrid/>
        <w:spacing w:line="416" w:lineRule="auto"/>
        <w:textAlignment w:val="auto"/>
        <w:outlineLvl w:val="9"/>
        <w:rPr>
          <w:rFonts w:hint="default" w:ascii="Times New Roman" w:hAnsi="Times New Roman" w:eastAsia="黑体" w:cs="Times New Roman"/>
          <w:bCs/>
          <w:color w:val="auto"/>
          <w:sz w:val="30"/>
          <w:szCs w:val="30"/>
          <w:highlight w:val="none"/>
        </w:rPr>
      </w:pPr>
      <w:bookmarkStart w:id="298" w:name="_Toc1656"/>
      <w:bookmarkStart w:id="299" w:name="_Toc23855664"/>
      <w:bookmarkStart w:id="300" w:name="_Toc17301"/>
    </w:p>
    <w:p w14:paraId="54B33121">
      <w:pPr>
        <w:pStyle w:val="14"/>
        <w:rPr>
          <w:rFonts w:hint="default"/>
          <w:color w:val="auto"/>
          <w:highlight w:val="none"/>
        </w:rPr>
      </w:pPr>
    </w:p>
    <w:tbl>
      <w:tblPr>
        <w:tblStyle w:val="3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83"/>
        <w:gridCol w:w="1967"/>
        <w:gridCol w:w="1004"/>
        <w:gridCol w:w="1074"/>
        <w:gridCol w:w="1352"/>
        <w:gridCol w:w="1842"/>
      </w:tblGrid>
      <w:tr w14:paraId="67AA56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exac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B8E6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5</w:t>
            </w:r>
            <w:r>
              <w:rPr>
                <w:rFonts w:hint="eastAsia" w:ascii="宋体" w:hAnsi="宋体" w:eastAsia="宋体" w:cs="宋体"/>
                <w:i w:val="0"/>
                <w:iCs w:val="0"/>
                <w:color w:val="auto"/>
                <w:kern w:val="0"/>
                <w:sz w:val="21"/>
                <w:szCs w:val="21"/>
                <w:highlight w:val="none"/>
                <w:u w:val="none"/>
                <w:lang w:val="en-US" w:eastAsia="zh-CN" w:bidi="ar"/>
              </w:rPr>
              <w:t>、土地翻耕</w:t>
            </w:r>
          </w:p>
        </w:tc>
      </w:tr>
      <w:tr w14:paraId="16481D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exac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E1AD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定额编号：</w:t>
            </w:r>
            <w:r>
              <w:rPr>
                <w:rFonts w:hint="default" w:ascii="Times New Roman" w:hAnsi="Times New Roman" w:eastAsia="宋体" w:cs="Times New Roman"/>
                <w:i w:val="0"/>
                <w:iCs w:val="0"/>
                <w:color w:val="auto"/>
                <w:kern w:val="0"/>
                <w:sz w:val="21"/>
                <w:szCs w:val="21"/>
                <w:highlight w:val="none"/>
                <w:u w:val="none"/>
                <w:lang w:val="en-US" w:eastAsia="zh-CN" w:bidi="ar"/>
              </w:rPr>
              <w:t xml:space="preserve">10043                                                </w:t>
            </w:r>
            <w:r>
              <w:rPr>
                <w:rFonts w:hint="eastAsia" w:ascii="宋体" w:hAnsi="宋体" w:eastAsia="宋体" w:cs="宋体"/>
                <w:i w:val="0"/>
                <w:iCs w:val="0"/>
                <w:color w:val="auto"/>
                <w:kern w:val="0"/>
                <w:sz w:val="21"/>
                <w:szCs w:val="21"/>
                <w:highlight w:val="none"/>
                <w:u w:val="none"/>
                <w:lang w:val="en-US" w:eastAsia="zh-CN" w:bidi="ar"/>
              </w:rPr>
              <w:t>定额单位：</w:t>
            </w:r>
            <w:r>
              <w:rPr>
                <w:rFonts w:hint="default" w:ascii="Times New Roman" w:hAnsi="Times New Roman" w:eastAsia="宋体" w:cs="Times New Roman"/>
                <w:i w:val="0"/>
                <w:iCs w:val="0"/>
                <w:color w:val="auto"/>
                <w:kern w:val="0"/>
                <w:sz w:val="21"/>
                <w:szCs w:val="21"/>
                <w:highlight w:val="none"/>
                <w:u w:val="none"/>
                <w:lang w:val="en-US" w:eastAsia="zh-CN" w:bidi="ar"/>
              </w:rPr>
              <w:t>100m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p>
        </w:tc>
      </w:tr>
      <w:tr w14:paraId="1B5143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exac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D6EB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施工方法：推送、运送、卸除、拖平、空回，运距</w:t>
            </w:r>
            <w:r>
              <w:rPr>
                <w:rFonts w:hint="default" w:ascii="Times New Roman" w:hAnsi="Times New Roman" w:eastAsia="宋体" w:cs="Times New Roman"/>
                <w:i w:val="0"/>
                <w:iCs w:val="0"/>
                <w:color w:val="auto"/>
                <w:kern w:val="0"/>
                <w:sz w:val="21"/>
                <w:szCs w:val="21"/>
                <w:highlight w:val="none"/>
                <w:u w:val="none"/>
                <w:lang w:val="en-US" w:eastAsia="zh-CN" w:bidi="ar"/>
              </w:rPr>
              <w:t>20-30m</w:t>
            </w:r>
            <w:r>
              <w:rPr>
                <w:rFonts w:hint="eastAsia" w:ascii="宋体" w:hAnsi="宋体" w:eastAsia="宋体" w:cs="宋体"/>
                <w:i w:val="0"/>
                <w:iCs w:val="0"/>
                <w:color w:val="auto"/>
                <w:kern w:val="0"/>
                <w:sz w:val="21"/>
                <w:szCs w:val="21"/>
                <w:highlight w:val="none"/>
                <w:u w:val="none"/>
                <w:lang w:val="en-US" w:eastAsia="zh-CN" w:bidi="ar"/>
              </w:rPr>
              <w:t>。</w:t>
            </w:r>
          </w:p>
        </w:tc>
      </w:tr>
      <w:tr w14:paraId="31657D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exact"/>
        </w:trPr>
        <w:tc>
          <w:tcPr>
            <w:tcW w:w="7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6531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11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2B9D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项目名称</w:t>
            </w:r>
          </w:p>
        </w:tc>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CFBF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单位</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5024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数量</w:t>
            </w: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BD94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单价</w:t>
            </w:r>
          </w:p>
        </w:tc>
        <w:tc>
          <w:tcPr>
            <w:tcW w:w="10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DCCA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小计（元）</w:t>
            </w:r>
          </w:p>
        </w:tc>
      </w:tr>
      <w:tr w14:paraId="1D9047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exact"/>
        </w:trPr>
        <w:tc>
          <w:tcPr>
            <w:tcW w:w="7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B518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w:t>
            </w:r>
          </w:p>
        </w:tc>
        <w:tc>
          <w:tcPr>
            <w:tcW w:w="11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0B93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直接费</w:t>
            </w:r>
          </w:p>
        </w:tc>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D9AE1">
            <w:pPr>
              <w:jc w:val="center"/>
              <w:rPr>
                <w:rFonts w:hint="default" w:ascii="Times New Roman" w:hAnsi="Times New Roman" w:eastAsia="宋体" w:cs="Times New Roman"/>
                <w:i w:val="0"/>
                <w:iCs w:val="0"/>
                <w:color w:val="auto"/>
                <w:sz w:val="21"/>
                <w:szCs w:val="21"/>
                <w:highlight w:val="none"/>
                <w:u w:val="none"/>
              </w:rPr>
            </w:pP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18571">
            <w:pPr>
              <w:jc w:val="center"/>
              <w:rPr>
                <w:rFonts w:hint="default" w:ascii="Times New Roman" w:hAnsi="Times New Roman" w:eastAsia="宋体" w:cs="Times New Roman"/>
                <w:i w:val="0"/>
                <w:iCs w:val="0"/>
                <w:color w:val="auto"/>
                <w:sz w:val="21"/>
                <w:szCs w:val="21"/>
                <w:highlight w:val="none"/>
                <w:u w:val="none"/>
              </w:rPr>
            </w:pP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10D92">
            <w:pPr>
              <w:jc w:val="center"/>
              <w:rPr>
                <w:rFonts w:hint="default" w:ascii="Times New Roman" w:hAnsi="Times New Roman" w:eastAsia="宋体" w:cs="Times New Roman"/>
                <w:i w:val="0"/>
                <w:iCs w:val="0"/>
                <w:color w:val="auto"/>
                <w:sz w:val="21"/>
                <w:szCs w:val="21"/>
                <w:highlight w:val="none"/>
                <w:u w:val="none"/>
              </w:rPr>
            </w:pPr>
          </w:p>
        </w:tc>
        <w:tc>
          <w:tcPr>
            <w:tcW w:w="10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CDCC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1068.23 </w:t>
            </w:r>
          </w:p>
        </w:tc>
      </w:tr>
      <w:tr w14:paraId="5EBA7F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exact"/>
        </w:trPr>
        <w:tc>
          <w:tcPr>
            <w:tcW w:w="7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3CDB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w:t>
            </w:r>
          </w:p>
        </w:tc>
        <w:tc>
          <w:tcPr>
            <w:tcW w:w="11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4A5A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直接工程费</w:t>
            </w:r>
          </w:p>
        </w:tc>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59EB4">
            <w:pPr>
              <w:jc w:val="center"/>
              <w:rPr>
                <w:rFonts w:hint="default" w:ascii="Times New Roman" w:hAnsi="Times New Roman" w:eastAsia="宋体" w:cs="Times New Roman"/>
                <w:i w:val="0"/>
                <w:iCs w:val="0"/>
                <w:color w:val="auto"/>
                <w:sz w:val="21"/>
                <w:szCs w:val="21"/>
                <w:highlight w:val="none"/>
                <w:u w:val="none"/>
              </w:rPr>
            </w:pP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74B92">
            <w:pPr>
              <w:jc w:val="center"/>
              <w:rPr>
                <w:rFonts w:hint="default" w:ascii="Times New Roman" w:hAnsi="Times New Roman" w:eastAsia="宋体" w:cs="Times New Roman"/>
                <w:i w:val="0"/>
                <w:iCs w:val="0"/>
                <w:color w:val="auto"/>
                <w:sz w:val="21"/>
                <w:szCs w:val="21"/>
                <w:highlight w:val="none"/>
                <w:u w:val="none"/>
              </w:rPr>
            </w:pP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36598">
            <w:pPr>
              <w:jc w:val="center"/>
              <w:rPr>
                <w:rFonts w:hint="default" w:ascii="Times New Roman" w:hAnsi="Times New Roman" w:eastAsia="宋体" w:cs="Times New Roman"/>
                <w:i w:val="0"/>
                <w:iCs w:val="0"/>
                <w:color w:val="auto"/>
                <w:sz w:val="21"/>
                <w:szCs w:val="21"/>
                <w:highlight w:val="none"/>
                <w:u w:val="none"/>
              </w:rPr>
            </w:pPr>
          </w:p>
        </w:tc>
        <w:tc>
          <w:tcPr>
            <w:tcW w:w="10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6045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1029.12 </w:t>
            </w:r>
          </w:p>
        </w:tc>
      </w:tr>
      <w:tr w14:paraId="1E5043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exact"/>
        </w:trPr>
        <w:tc>
          <w:tcPr>
            <w:tcW w:w="7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823F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 </w:t>
            </w:r>
          </w:p>
        </w:tc>
        <w:tc>
          <w:tcPr>
            <w:tcW w:w="11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B63A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人工费</w:t>
            </w:r>
          </w:p>
        </w:tc>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3DAC8">
            <w:pPr>
              <w:jc w:val="center"/>
              <w:rPr>
                <w:rFonts w:hint="default" w:ascii="Times New Roman" w:hAnsi="Times New Roman" w:eastAsia="宋体" w:cs="Times New Roman"/>
                <w:i w:val="0"/>
                <w:iCs w:val="0"/>
                <w:color w:val="auto"/>
                <w:sz w:val="21"/>
                <w:szCs w:val="21"/>
                <w:highlight w:val="none"/>
                <w:u w:val="none"/>
              </w:rPr>
            </w:pP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DE712">
            <w:pPr>
              <w:jc w:val="center"/>
              <w:rPr>
                <w:rFonts w:hint="default" w:ascii="Times New Roman" w:hAnsi="Times New Roman" w:eastAsia="宋体" w:cs="Times New Roman"/>
                <w:i w:val="0"/>
                <w:iCs w:val="0"/>
                <w:color w:val="auto"/>
                <w:sz w:val="21"/>
                <w:szCs w:val="21"/>
                <w:highlight w:val="none"/>
                <w:u w:val="none"/>
              </w:rPr>
            </w:pP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376FD">
            <w:pPr>
              <w:jc w:val="center"/>
              <w:rPr>
                <w:rFonts w:hint="default" w:ascii="Times New Roman" w:hAnsi="Times New Roman" w:eastAsia="宋体" w:cs="Times New Roman"/>
                <w:i w:val="0"/>
                <w:iCs w:val="0"/>
                <w:color w:val="auto"/>
                <w:sz w:val="21"/>
                <w:szCs w:val="21"/>
                <w:highlight w:val="none"/>
                <w:u w:val="none"/>
              </w:rPr>
            </w:pPr>
          </w:p>
        </w:tc>
        <w:tc>
          <w:tcPr>
            <w:tcW w:w="10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1B98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475.77 </w:t>
            </w:r>
          </w:p>
        </w:tc>
      </w:tr>
      <w:tr w14:paraId="478E78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exact"/>
        </w:trPr>
        <w:tc>
          <w:tcPr>
            <w:tcW w:w="7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E7386">
            <w:pPr>
              <w:jc w:val="center"/>
              <w:rPr>
                <w:rFonts w:hint="default" w:ascii="Times New Roman" w:hAnsi="Times New Roman" w:eastAsia="宋体" w:cs="Times New Roman"/>
                <w:i w:val="0"/>
                <w:iCs w:val="0"/>
                <w:color w:val="auto"/>
                <w:sz w:val="21"/>
                <w:szCs w:val="21"/>
                <w:highlight w:val="none"/>
                <w:u w:val="none"/>
              </w:rPr>
            </w:pPr>
          </w:p>
        </w:tc>
        <w:tc>
          <w:tcPr>
            <w:tcW w:w="11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7F2B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甲类工</w:t>
            </w:r>
          </w:p>
        </w:tc>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54EF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工日</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2300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0.60 </w:t>
            </w: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3EFE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51.04 </w:t>
            </w:r>
          </w:p>
        </w:tc>
        <w:tc>
          <w:tcPr>
            <w:tcW w:w="10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1B36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30.62 </w:t>
            </w:r>
          </w:p>
        </w:tc>
      </w:tr>
      <w:tr w14:paraId="6BF035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exact"/>
        </w:trPr>
        <w:tc>
          <w:tcPr>
            <w:tcW w:w="7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B85C0">
            <w:pPr>
              <w:jc w:val="center"/>
              <w:rPr>
                <w:rFonts w:hint="default" w:ascii="Times New Roman" w:hAnsi="Times New Roman" w:eastAsia="宋体" w:cs="Times New Roman"/>
                <w:i w:val="0"/>
                <w:iCs w:val="0"/>
                <w:color w:val="auto"/>
                <w:sz w:val="21"/>
                <w:szCs w:val="21"/>
                <w:highlight w:val="none"/>
                <w:u w:val="none"/>
              </w:rPr>
            </w:pPr>
          </w:p>
        </w:tc>
        <w:tc>
          <w:tcPr>
            <w:tcW w:w="11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9928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乙类工</w:t>
            </w:r>
          </w:p>
        </w:tc>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12D2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工日</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8800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11.40 </w:t>
            </w: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3E3E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38.84 </w:t>
            </w:r>
          </w:p>
        </w:tc>
        <w:tc>
          <w:tcPr>
            <w:tcW w:w="10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86EC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442.78 </w:t>
            </w:r>
          </w:p>
        </w:tc>
      </w:tr>
      <w:tr w14:paraId="1C6469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exact"/>
        </w:trPr>
        <w:tc>
          <w:tcPr>
            <w:tcW w:w="7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B710E">
            <w:pPr>
              <w:jc w:val="center"/>
              <w:rPr>
                <w:rFonts w:hint="default" w:ascii="Times New Roman" w:hAnsi="Times New Roman" w:eastAsia="宋体" w:cs="Times New Roman"/>
                <w:i w:val="0"/>
                <w:iCs w:val="0"/>
                <w:color w:val="auto"/>
                <w:sz w:val="21"/>
                <w:szCs w:val="21"/>
                <w:highlight w:val="none"/>
                <w:u w:val="none"/>
              </w:rPr>
            </w:pPr>
          </w:p>
        </w:tc>
        <w:tc>
          <w:tcPr>
            <w:tcW w:w="11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BCB4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其他费用</w:t>
            </w:r>
          </w:p>
        </w:tc>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CEEB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A3E2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0.50 </w:t>
            </w: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DC4A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473.40 </w:t>
            </w:r>
          </w:p>
        </w:tc>
        <w:tc>
          <w:tcPr>
            <w:tcW w:w="10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FEF6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2.37 </w:t>
            </w:r>
          </w:p>
        </w:tc>
      </w:tr>
      <w:tr w14:paraId="6D0A09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exact"/>
        </w:trPr>
        <w:tc>
          <w:tcPr>
            <w:tcW w:w="7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A3F4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 </w:t>
            </w:r>
          </w:p>
        </w:tc>
        <w:tc>
          <w:tcPr>
            <w:tcW w:w="11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6782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材料费</w:t>
            </w:r>
          </w:p>
        </w:tc>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0D397">
            <w:pPr>
              <w:jc w:val="center"/>
              <w:rPr>
                <w:rFonts w:hint="default" w:ascii="Times New Roman" w:hAnsi="Times New Roman" w:eastAsia="宋体" w:cs="Times New Roman"/>
                <w:i w:val="0"/>
                <w:iCs w:val="0"/>
                <w:color w:val="auto"/>
                <w:sz w:val="21"/>
                <w:szCs w:val="21"/>
                <w:highlight w:val="none"/>
                <w:u w:val="none"/>
              </w:rPr>
            </w:pP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F9E73">
            <w:pPr>
              <w:jc w:val="center"/>
              <w:rPr>
                <w:rFonts w:hint="default" w:ascii="Times New Roman" w:hAnsi="Times New Roman" w:eastAsia="宋体" w:cs="Times New Roman"/>
                <w:i w:val="0"/>
                <w:iCs w:val="0"/>
                <w:color w:val="auto"/>
                <w:sz w:val="21"/>
                <w:szCs w:val="21"/>
                <w:highlight w:val="none"/>
                <w:u w:val="none"/>
              </w:rPr>
            </w:pP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A5DB5">
            <w:pPr>
              <w:jc w:val="center"/>
              <w:rPr>
                <w:rFonts w:hint="default" w:ascii="Times New Roman" w:hAnsi="Times New Roman" w:eastAsia="宋体" w:cs="Times New Roman"/>
                <w:i w:val="0"/>
                <w:iCs w:val="0"/>
                <w:color w:val="auto"/>
                <w:sz w:val="21"/>
                <w:szCs w:val="21"/>
                <w:highlight w:val="none"/>
                <w:u w:val="none"/>
              </w:rPr>
            </w:pPr>
          </w:p>
        </w:tc>
        <w:tc>
          <w:tcPr>
            <w:tcW w:w="10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1DCA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 </w:t>
            </w:r>
          </w:p>
        </w:tc>
      </w:tr>
      <w:tr w14:paraId="343A53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exact"/>
        </w:trPr>
        <w:tc>
          <w:tcPr>
            <w:tcW w:w="7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B55D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 </w:t>
            </w:r>
          </w:p>
        </w:tc>
        <w:tc>
          <w:tcPr>
            <w:tcW w:w="11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DFD2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机械费</w:t>
            </w:r>
          </w:p>
        </w:tc>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0DA2D">
            <w:pPr>
              <w:jc w:val="center"/>
              <w:rPr>
                <w:rFonts w:hint="default" w:ascii="Times New Roman" w:hAnsi="Times New Roman" w:eastAsia="宋体" w:cs="Times New Roman"/>
                <w:i w:val="0"/>
                <w:iCs w:val="0"/>
                <w:color w:val="auto"/>
                <w:sz w:val="21"/>
                <w:szCs w:val="21"/>
                <w:highlight w:val="none"/>
                <w:u w:val="none"/>
              </w:rPr>
            </w:pP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136D7">
            <w:pPr>
              <w:jc w:val="center"/>
              <w:rPr>
                <w:rFonts w:hint="default" w:ascii="Times New Roman" w:hAnsi="Times New Roman" w:eastAsia="宋体" w:cs="Times New Roman"/>
                <w:i w:val="0"/>
                <w:iCs w:val="0"/>
                <w:color w:val="auto"/>
                <w:sz w:val="21"/>
                <w:szCs w:val="21"/>
                <w:highlight w:val="none"/>
                <w:u w:val="none"/>
              </w:rPr>
            </w:pP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61BF6">
            <w:pPr>
              <w:jc w:val="center"/>
              <w:rPr>
                <w:rFonts w:hint="default" w:ascii="Times New Roman" w:hAnsi="Times New Roman" w:eastAsia="宋体" w:cs="Times New Roman"/>
                <w:i w:val="0"/>
                <w:iCs w:val="0"/>
                <w:color w:val="auto"/>
                <w:sz w:val="21"/>
                <w:szCs w:val="21"/>
                <w:highlight w:val="none"/>
                <w:u w:val="none"/>
              </w:rPr>
            </w:pPr>
          </w:p>
        </w:tc>
        <w:tc>
          <w:tcPr>
            <w:tcW w:w="10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29F7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553.35 </w:t>
            </w:r>
          </w:p>
        </w:tc>
      </w:tr>
      <w:tr w14:paraId="1FA296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exact"/>
        </w:trPr>
        <w:tc>
          <w:tcPr>
            <w:tcW w:w="7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0A1EC">
            <w:pPr>
              <w:jc w:val="center"/>
              <w:rPr>
                <w:rFonts w:hint="default" w:ascii="Times New Roman" w:hAnsi="Times New Roman" w:eastAsia="宋体" w:cs="Times New Roman"/>
                <w:i w:val="0"/>
                <w:iCs w:val="0"/>
                <w:color w:val="auto"/>
                <w:sz w:val="21"/>
                <w:szCs w:val="21"/>
                <w:highlight w:val="none"/>
                <w:u w:val="none"/>
              </w:rPr>
            </w:pPr>
          </w:p>
        </w:tc>
        <w:tc>
          <w:tcPr>
            <w:tcW w:w="11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2739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拖拉机</w:t>
            </w:r>
            <w:r>
              <w:rPr>
                <w:rFonts w:hint="default" w:ascii="Times New Roman" w:hAnsi="Times New Roman" w:eastAsia="宋体" w:cs="Times New Roman"/>
                <w:i w:val="0"/>
                <w:iCs w:val="0"/>
                <w:color w:val="auto"/>
                <w:kern w:val="0"/>
                <w:sz w:val="21"/>
                <w:szCs w:val="21"/>
                <w:highlight w:val="none"/>
                <w:u w:val="none"/>
                <w:lang w:val="en-US" w:eastAsia="zh-CN" w:bidi="ar"/>
              </w:rPr>
              <w:t>59kW</w:t>
            </w:r>
          </w:p>
        </w:tc>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D25B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台班</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AA4F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1.20 </w:t>
            </w: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DEF5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438.68 </w:t>
            </w:r>
          </w:p>
        </w:tc>
        <w:tc>
          <w:tcPr>
            <w:tcW w:w="10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DBBB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526.41 </w:t>
            </w:r>
          </w:p>
        </w:tc>
      </w:tr>
      <w:tr w14:paraId="45BD8B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exact"/>
        </w:trPr>
        <w:tc>
          <w:tcPr>
            <w:tcW w:w="7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9560D">
            <w:pPr>
              <w:jc w:val="center"/>
              <w:rPr>
                <w:rFonts w:hint="default" w:ascii="Times New Roman" w:hAnsi="Times New Roman" w:eastAsia="宋体" w:cs="Times New Roman"/>
                <w:i w:val="0"/>
                <w:iCs w:val="0"/>
                <w:color w:val="auto"/>
                <w:sz w:val="21"/>
                <w:szCs w:val="21"/>
                <w:highlight w:val="none"/>
                <w:u w:val="none"/>
              </w:rPr>
            </w:pPr>
          </w:p>
        </w:tc>
        <w:tc>
          <w:tcPr>
            <w:tcW w:w="11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F153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三铧犁</w:t>
            </w:r>
          </w:p>
        </w:tc>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4202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台班</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DC3A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1.20 </w:t>
            </w: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62A2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10.33 </w:t>
            </w:r>
          </w:p>
        </w:tc>
        <w:tc>
          <w:tcPr>
            <w:tcW w:w="10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CC90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12.40 </w:t>
            </w:r>
          </w:p>
        </w:tc>
      </w:tr>
      <w:tr w14:paraId="7877FA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exact"/>
        </w:trPr>
        <w:tc>
          <w:tcPr>
            <w:tcW w:w="7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CF43A">
            <w:pPr>
              <w:jc w:val="center"/>
              <w:rPr>
                <w:rFonts w:hint="default" w:ascii="Times New Roman" w:hAnsi="Times New Roman" w:eastAsia="宋体" w:cs="Times New Roman"/>
                <w:i w:val="0"/>
                <w:iCs w:val="0"/>
                <w:color w:val="auto"/>
                <w:sz w:val="21"/>
                <w:szCs w:val="21"/>
                <w:highlight w:val="none"/>
                <w:u w:val="none"/>
              </w:rPr>
            </w:pPr>
          </w:p>
        </w:tc>
        <w:tc>
          <w:tcPr>
            <w:tcW w:w="11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7992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其他费用</w:t>
            </w:r>
          </w:p>
        </w:tc>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C786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CE80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5.00 </w:t>
            </w: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9E6A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538.81 </w:t>
            </w:r>
          </w:p>
        </w:tc>
        <w:tc>
          <w:tcPr>
            <w:tcW w:w="10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7639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26.94 </w:t>
            </w:r>
          </w:p>
        </w:tc>
      </w:tr>
      <w:tr w14:paraId="4A41FC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exact"/>
        </w:trPr>
        <w:tc>
          <w:tcPr>
            <w:tcW w:w="7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E947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（二）</w:t>
            </w:r>
          </w:p>
        </w:tc>
        <w:tc>
          <w:tcPr>
            <w:tcW w:w="11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BA36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措施费</w:t>
            </w:r>
          </w:p>
        </w:tc>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6B51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6537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3.80 </w:t>
            </w: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0F0B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1029.12 </w:t>
            </w:r>
          </w:p>
        </w:tc>
        <w:tc>
          <w:tcPr>
            <w:tcW w:w="10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0161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39.11 </w:t>
            </w:r>
          </w:p>
        </w:tc>
      </w:tr>
      <w:tr w14:paraId="2ECBA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exact"/>
        </w:trPr>
        <w:tc>
          <w:tcPr>
            <w:tcW w:w="7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0BBA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二</w:t>
            </w:r>
          </w:p>
        </w:tc>
        <w:tc>
          <w:tcPr>
            <w:tcW w:w="11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897E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间接费</w:t>
            </w:r>
          </w:p>
        </w:tc>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B83C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A02D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7.20 </w:t>
            </w: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43FE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1068.23 </w:t>
            </w:r>
          </w:p>
        </w:tc>
        <w:tc>
          <w:tcPr>
            <w:tcW w:w="10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30CB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76.91 </w:t>
            </w:r>
          </w:p>
        </w:tc>
      </w:tr>
      <w:tr w14:paraId="2ACFA6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exact"/>
        </w:trPr>
        <w:tc>
          <w:tcPr>
            <w:tcW w:w="7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07C6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三</w:t>
            </w:r>
          </w:p>
        </w:tc>
        <w:tc>
          <w:tcPr>
            <w:tcW w:w="11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C298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利润</w:t>
            </w:r>
          </w:p>
        </w:tc>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419C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8D44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3.00 </w:t>
            </w: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A54A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1145.14 </w:t>
            </w:r>
          </w:p>
        </w:tc>
        <w:tc>
          <w:tcPr>
            <w:tcW w:w="10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B266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34.35 </w:t>
            </w:r>
          </w:p>
        </w:tc>
      </w:tr>
      <w:tr w14:paraId="55F4FA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exact"/>
        </w:trPr>
        <w:tc>
          <w:tcPr>
            <w:tcW w:w="7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83EB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四</w:t>
            </w:r>
          </w:p>
        </w:tc>
        <w:tc>
          <w:tcPr>
            <w:tcW w:w="11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7888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材料价差</w:t>
            </w:r>
          </w:p>
        </w:tc>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11F2B">
            <w:pPr>
              <w:jc w:val="center"/>
              <w:rPr>
                <w:rFonts w:hint="default" w:ascii="Times New Roman" w:hAnsi="Times New Roman" w:eastAsia="宋体" w:cs="Times New Roman"/>
                <w:i w:val="0"/>
                <w:iCs w:val="0"/>
                <w:color w:val="auto"/>
                <w:sz w:val="21"/>
                <w:szCs w:val="21"/>
                <w:highlight w:val="none"/>
                <w:u w:val="none"/>
              </w:rPr>
            </w:pP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CD9EF">
            <w:pPr>
              <w:jc w:val="center"/>
              <w:rPr>
                <w:rFonts w:hint="default" w:ascii="Times New Roman" w:hAnsi="Times New Roman" w:eastAsia="宋体" w:cs="Times New Roman"/>
                <w:i w:val="0"/>
                <w:iCs w:val="0"/>
                <w:color w:val="auto"/>
                <w:sz w:val="21"/>
                <w:szCs w:val="21"/>
                <w:highlight w:val="none"/>
                <w:u w:val="none"/>
              </w:rPr>
            </w:pP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71241">
            <w:pPr>
              <w:jc w:val="center"/>
              <w:rPr>
                <w:rFonts w:hint="default" w:ascii="Times New Roman" w:hAnsi="Times New Roman" w:eastAsia="宋体" w:cs="Times New Roman"/>
                <w:i w:val="0"/>
                <w:iCs w:val="0"/>
                <w:color w:val="auto"/>
                <w:sz w:val="21"/>
                <w:szCs w:val="21"/>
                <w:highlight w:val="none"/>
                <w:u w:val="none"/>
              </w:rPr>
            </w:pPr>
          </w:p>
        </w:tc>
        <w:tc>
          <w:tcPr>
            <w:tcW w:w="10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6EB3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201.96 </w:t>
            </w:r>
          </w:p>
        </w:tc>
      </w:tr>
      <w:tr w14:paraId="523EE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exact"/>
        </w:trPr>
        <w:tc>
          <w:tcPr>
            <w:tcW w:w="7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F5BD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w:t>
            </w:r>
          </w:p>
        </w:tc>
        <w:tc>
          <w:tcPr>
            <w:tcW w:w="11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8DD3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柴油</w:t>
            </w:r>
          </w:p>
        </w:tc>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E468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kg</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E479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66.00 </w:t>
            </w: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4313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3.06 </w:t>
            </w:r>
          </w:p>
        </w:tc>
        <w:tc>
          <w:tcPr>
            <w:tcW w:w="10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FA29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201.96 </w:t>
            </w:r>
          </w:p>
        </w:tc>
      </w:tr>
      <w:tr w14:paraId="5059E7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exact"/>
        </w:trPr>
        <w:tc>
          <w:tcPr>
            <w:tcW w:w="7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2A48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五</w:t>
            </w:r>
          </w:p>
        </w:tc>
        <w:tc>
          <w:tcPr>
            <w:tcW w:w="11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84B3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税金</w:t>
            </w:r>
          </w:p>
        </w:tc>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93ED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093F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9.00 </w:t>
            </w: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1959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1381.45 </w:t>
            </w:r>
          </w:p>
        </w:tc>
        <w:tc>
          <w:tcPr>
            <w:tcW w:w="10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3DF7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124.33 </w:t>
            </w:r>
          </w:p>
        </w:tc>
      </w:tr>
      <w:tr w14:paraId="31ACD6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exact"/>
        </w:trPr>
        <w:tc>
          <w:tcPr>
            <w:tcW w:w="190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CC6C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合计</w:t>
            </w:r>
          </w:p>
        </w:tc>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02D03">
            <w:pPr>
              <w:jc w:val="center"/>
              <w:rPr>
                <w:rFonts w:hint="default" w:ascii="Times New Roman" w:hAnsi="Times New Roman" w:eastAsia="宋体" w:cs="Times New Roman"/>
                <w:i w:val="0"/>
                <w:iCs w:val="0"/>
                <w:color w:val="auto"/>
                <w:sz w:val="21"/>
                <w:szCs w:val="21"/>
                <w:highlight w:val="none"/>
                <w:u w:val="none"/>
              </w:rPr>
            </w:pP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B181F">
            <w:pPr>
              <w:jc w:val="center"/>
              <w:rPr>
                <w:rFonts w:hint="default" w:ascii="Times New Roman" w:hAnsi="Times New Roman" w:eastAsia="宋体" w:cs="Times New Roman"/>
                <w:i w:val="0"/>
                <w:iCs w:val="0"/>
                <w:color w:val="auto"/>
                <w:sz w:val="21"/>
                <w:szCs w:val="21"/>
                <w:highlight w:val="none"/>
                <w:u w:val="none"/>
              </w:rPr>
            </w:pP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BDBE3">
            <w:pPr>
              <w:jc w:val="center"/>
              <w:rPr>
                <w:rFonts w:hint="default" w:ascii="Times New Roman" w:hAnsi="Times New Roman" w:eastAsia="宋体" w:cs="Times New Roman"/>
                <w:i w:val="0"/>
                <w:iCs w:val="0"/>
                <w:color w:val="auto"/>
                <w:sz w:val="21"/>
                <w:szCs w:val="21"/>
                <w:highlight w:val="none"/>
                <w:u w:val="none"/>
              </w:rPr>
            </w:pPr>
          </w:p>
        </w:tc>
        <w:tc>
          <w:tcPr>
            <w:tcW w:w="10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4DBF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1505.78 </w:t>
            </w:r>
          </w:p>
        </w:tc>
      </w:tr>
    </w:tbl>
    <w:p w14:paraId="6009F744">
      <w:pPr>
        <w:keepNext/>
        <w:keepLines/>
        <w:pageBreakBefore w:val="0"/>
        <w:widowControl w:val="0"/>
        <w:kinsoku/>
        <w:wordWrap/>
        <w:overflowPunct/>
        <w:topLinePunct w:val="0"/>
        <w:autoSpaceDE/>
        <w:autoSpaceDN/>
        <w:bidi w:val="0"/>
        <w:adjustRightInd/>
        <w:snapToGrid/>
        <w:spacing w:line="240" w:lineRule="auto"/>
        <w:textAlignment w:val="auto"/>
        <w:outlineLvl w:val="1"/>
        <w:rPr>
          <w:rFonts w:hint="default" w:ascii="Times New Roman" w:hAnsi="Times New Roman" w:eastAsia="黑体" w:cs="Times New Roman"/>
          <w:bCs/>
          <w:color w:val="auto"/>
          <w:sz w:val="30"/>
          <w:szCs w:val="30"/>
          <w:highlight w:val="none"/>
        </w:rPr>
      </w:pPr>
    </w:p>
    <w:tbl>
      <w:tblPr>
        <w:tblStyle w:val="3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23"/>
        <w:gridCol w:w="2395"/>
        <w:gridCol w:w="919"/>
        <w:gridCol w:w="995"/>
        <w:gridCol w:w="1149"/>
        <w:gridCol w:w="1841"/>
      </w:tblGrid>
      <w:tr w14:paraId="0869BD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ECA4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6</w:t>
            </w:r>
            <w:r>
              <w:rPr>
                <w:rFonts w:hint="default" w:ascii="Times New Roman" w:hAnsi="Times New Roman" w:eastAsia="宋体" w:cs="Times New Roman"/>
                <w:i w:val="0"/>
                <w:iCs w:val="0"/>
                <w:color w:val="auto"/>
                <w:kern w:val="0"/>
                <w:sz w:val="21"/>
                <w:szCs w:val="21"/>
                <w:u w:val="none"/>
                <w:lang w:val="en-US" w:eastAsia="zh-CN" w:bidi="ar"/>
              </w:rPr>
              <w:t>、运输表土</w:t>
            </w:r>
          </w:p>
        </w:tc>
      </w:tr>
      <w:tr w14:paraId="487411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AD8E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定额编号：10218                                    定额单位：100m</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r>
      <w:tr w14:paraId="1991C4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2E31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施工方法：挖装、运输、卸除、空回，运距0-0.5km。</w:t>
            </w:r>
          </w:p>
        </w:tc>
      </w:tr>
      <w:tr w14:paraId="58D2BF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7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F205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序号</w:t>
            </w:r>
          </w:p>
        </w:tc>
        <w:tc>
          <w:tcPr>
            <w:tcW w:w="1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B0B8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项目名称</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3217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单位</w:t>
            </w:r>
          </w:p>
        </w:tc>
        <w:tc>
          <w:tcPr>
            <w:tcW w:w="5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3B5D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数量</w:t>
            </w: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8A78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单价</w:t>
            </w:r>
          </w:p>
        </w:tc>
        <w:tc>
          <w:tcPr>
            <w:tcW w:w="10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9294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小计（元）</w:t>
            </w:r>
          </w:p>
        </w:tc>
      </w:tr>
      <w:tr w14:paraId="5C6AD0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7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60DE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一</w:t>
            </w:r>
          </w:p>
        </w:tc>
        <w:tc>
          <w:tcPr>
            <w:tcW w:w="1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0943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直接费</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9CFC8">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5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723AC">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74EEA">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0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ED83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674.22 </w:t>
            </w:r>
          </w:p>
        </w:tc>
      </w:tr>
      <w:tr w14:paraId="4A3FF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7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4628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（一）</w:t>
            </w:r>
          </w:p>
        </w:tc>
        <w:tc>
          <w:tcPr>
            <w:tcW w:w="1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75DB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直接工程费</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8C74B">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5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243CD">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E8123">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0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5570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649.54 </w:t>
            </w:r>
          </w:p>
        </w:tc>
      </w:tr>
      <w:tr w14:paraId="39CE5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7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09C8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 </w:t>
            </w:r>
          </w:p>
        </w:tc>
        <w:tc>
          <w:tcPr>
            <w:tcW w:w="1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16BE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人工费</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CA313">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5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A6918">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20FC5">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0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3EE0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42.06 </w:t>
            </w:r>
          </w:p>
        </w:tc>
      </w:tr>
      <w:tr w14:paraId="603349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7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CB597">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5931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甲类工</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1003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工日</w:t>
            </w:r>
          </w:p>
        </w:tc>
        <w:tc>
          <w:tcPr>
            <w:tcW w:w="5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C207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0.10 </w:t>
            </w: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1CDB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51.04 </w:t>
            </w:r>
          </w:p>
        </w:tc>
        <w:tc>
          <w:tcPr>
            <w:tcW w:w="10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A54E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5.10 </w:t>
            </w:r>
          </w:p>
        </w:tc>
      </w:tr>
      <w:tr w14:paraId="20AE01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7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1E2D5">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9331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乙类工</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2D05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工日</w:t>
            </w:r>
          </w:p>
        </w:tc>
        <w:tc>
          <w:tcPr>
            <w:tcW w:w="5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B588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0.90 </w:t>
            </w: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FC35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38.84 </w:t>
            </w:r>
          </w:p>
        </w:tc>
        <w:tc>
          <w:tcPr>
            <w:tcW w:w="10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0BF0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34.96 </w:t>
            </w:r>
          </w:p>
        </w:tc>
      </w:tr>
      <w:tr w14:paraId="03F39A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7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DAED5">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3B48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其他费用</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8325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5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5A8B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5.00 </w:t>
            </w: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227F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40.06 </w:t>
            </w:r>
          </w:p>
        </w:tc>
        <w:tc>
          <w:tcPr>
            <w:tcW w:w="10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2BAC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2.00 </w:t>
            </w:r>
          </w:p>
        </w:tc>
      </w:tr>
      <w:tr w14:paraId="607803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7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B2E6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 </w:t>
            </w:r>
          </w:p>
        </w:tc>
        <w:tc>
          <w:tcPr>
            <w:tcW w:w="1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8D5E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材料费</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D45E6">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5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D681A">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C9E45">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0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0D59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0.00 </w:t>
            </w:r>
          </w:p>
        </w:tc>
      </w:tr>
      <w:tr w14:paraId="0CEBE0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7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A1CA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 </w:t>
            </w:r>
          </w:p>
        </w:tc>
        <w:tc>
          <w:tcPr>
            <w:tcW w:w="1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31C8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机械费</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62591">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5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8A0B9">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906F4">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0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D879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607.48 </w:t>
            </w:r>
          </w:p>
        </w:tc>
      </w:tr>
      <w:tr w14:paraId="6BC4F3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7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1C53F">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52DD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挖掘机油动1m</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C72A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台班</w:t>
            </w:r>
          </w:p>
        </w:tc>
        <w:tc>
          <w:tcPr>
            <w:tcW w:w="5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9F56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0.22 </w:t>
            </w: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7CDF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730.65 </w:t>
            </w:r>
          </w:p>
        </w:tc>
        <w:tc>
          <w:tcPr>
            <w:tcW w:w="10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2FDE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160.74 </w:t>
            </w:r>
          </w:p>
        </w:tc>
      </w:tr>
      <w:tr w14:paraId="14E3F5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7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7AB14">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6200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推土机59</w:t>
            </w:r>
            <w:r>
              <w:rPr>
                <w:rFonts w:hint="eastAsia" w:ascii="Times New Roman" w:hAnsi="Times New Roman" w:eastAsia="宋体" w:cs="Times New Roman"/>
                <w:i w:val="0"/>
                <w:iCs w:val="0"/>
                <w:color w:val="auto"/>
                <w:kern w:val="0"/>
                <w:sz w:val="21"/>
                <w:szCs w:val="21"/>
                <w:u w:val="none"/>
                <w:lang w:val="en-US" w:eastAsia="zh-CN" w:bidi="ar"/>
              </w:rPr>
              <w:t>kW</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46F6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台班</w:t>
            </w:r>
          </w:p>
        </w:tc>
        <w:tc>
          <w:tcPr>
            <w:tcW w:w="5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F4A8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0.16 </w:t>
            </w: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86ED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368.35 </w:t>
            </w:r>
          </w:p>
        </w:tc>
        <w:tc>
          <w:tcPr>
            <w:tcW w:w="10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4CD8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58.94 </w:t>
            </w:r>
          </w:p>
        </w:tc>
      </w:tr>
      <w:tr w14:paraId="0461C0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7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32CA7">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8E3A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自卸汽车5t</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1567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台班</w:t>
            </w:r>
          </w:p>
        </w:tc>
        <w:tc>
          <w:tcPr>
            <w:tcW w:w="5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E5AC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1.08 </w:t>
            </w: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AD0C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332.29 </w:t>
            </w:r>
          </w:p>
        </w:tc>
        <w:tc>
          <w:tcPr>
            <w:tcW w:w="10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11D2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358.87 </w:t>
            </w:r>
          </w:p>
        </w:tc>
      </w:tr>
      <w:tr w14:paraId="777325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7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C2155">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8279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其他费用</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74D8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5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48EA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5.00 </w:t>
            </w: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547E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578.55 </w:t>
            </w:r>
          </w:p>
        </w:tc>
        <w:tc>
          <w:tcPr>
            <w:tcW w:w="10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27DD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28.93 </w:t>
            </w:r>
          </w:p>
        </w:tc>
      </w:tr>
      <w:tr w14:paraId="135B4E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7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A4F6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（二）</w:t>
            </w:r>
          </w:p>
        </w:tc>
        <w:tc>
          <w:tcPr>
            <w:tcW w:w="1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08BE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措施费</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C61C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5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79F8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3.80 </w:t>
            </w: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BBAB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649.54 </w:t>
            </w:r>
          </w:p>
        </w:tc>
        <w:tc>
          <w:tcPr>
            <w:tcW w:w="10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7890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24.68 </w:t>
            </w:r>
          </w:p>
        </w:tc>
      </w:tr>
      <w:tr w14:paraId="1A2E2F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7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10CE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二</w:t>
            </w:r>
          </w:p>
        </w:tc>
        <w:tc>
          <w:tcPr>
            <w:tcW w:w="1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8EBF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间接费</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ADEC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5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6DE0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6.00 </w:t>
            </w: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C46D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674.22 </w:t>
            </w:r>
          </w:p>
        </w:tc>
        <w:tc>
          <w:tcPr>
            <w:tcW w:w="10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F0FA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40.45 </w:t>
            </w:r>
          </w:p>
        </w:tc>
      </w:tr>
      <w:tr w14:paraId="407888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7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8F2C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三</w:t>
            </w:r>
          </w:p>
        </w:tc>
        <w:tc>
          <w:tcPr>
            <w:tcW w:w="1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D35D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利润</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C689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5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A567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3.00 </w:t>
            </w: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53B0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714.68 </w:t>
            </w:r>
          </w:p>
        </w:tc>
        <w:tc>
          <w:tcPr>
            <w:tcW w:w="10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E647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21.44 </w:t>
            </w:r>
          </w:p>
        </w:tc>
      </w:tr>
      <w:tr w14:paraId="5ECE39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7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DC72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四</w:t>
            </w:r>
          </w:p>
        </w:tc>
        <w:tc>
          <w:tcPr>
            <w:tcW w:w="1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7528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材料价差</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FE2C6">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5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D5F2F">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15FFB">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0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0B80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198.90 </w:t>
            </w:r>
          </w:p>
        </w:tc>
      </w:tr>
      <w:tr w14:paraId="40AD1F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7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F0814">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E731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汽油</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4108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kg</w:t>
            </w:r>
          </w:p>
        </w:tc>
        <w:tc>
          <w:tcPr>
            <w:tcW w:w="584" w:type="pct"/>
            <w:tcBorders>
              <w:top w:val="nil"/>
              <w:left w:val="nil"/>
              <w:bottom w:val="nil"/>
              <w:right w:val="nil"/>
            </w:tcBorders>
            <w:shd w:val="clear" w:color="auto" w:fill="auto"/>
            <w:noWrap/>
            <w:vAlign w:val="center"/>
          </w:tcPr>
          <w:p w14:paraId="7212CB6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0.00 </w:t>
            </w: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BD61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2.89 </w:t>
            </w:r>
          </w:p>
        </w:tc>
        <w:tc>
          <w:tcPr>
            <w:tcW w:w="10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8D4B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0.00 </w:t>
            </w:r>
          </w:p>
        </w:tc>
      </w:tr>
      <w:tr w14:paraId="0F5A21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7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74473">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7392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柴油</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B717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kg</w:t>
            </w:r>
          </w:p>
        </w:tc>
        <w:tc>
          <w:tcPr>
            <w:tcW w:w="5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AFCD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65.00 </w:t>
            </w: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C820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3.06 </w:t>
            </w:r>
          </w:p>
        </w:tc>
        <w:tc>
          <w:tcPr>
            <w:tcW w:w="10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97BD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198.90 </w:t>
            </w:r>
          </w:p>
        </w:tc>
      </w:tr>
      <w:tr w14:paraId="08769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7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4330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五</w:t>
            </w:r>
          </w:p>
        </w:tc>
        <w:tc>
          <w:tcPr>
            <w:tcW w:w="1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AEC6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税金</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D39A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5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4EA2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9.00 </w:t>
            </w: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3095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935.02 </w:t>
            </w:r>
          </w:p>
        </w:tc>
        <w:tc>
          <w:tcPr>
            <w:tcW w:w="10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6C89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84.15 </w:t>
            </w:r>
          </w:p>
        </w:tc>
      </w:tr>
      <w:tr w14:paraId="7F7E7C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12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7E35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合计</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73AAA">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5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DE557">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04644">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0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4377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1019.17 </w:t>
            </w:r>
          </w:p>
        </w:tc>
      </w:tr>
    </w:tbl>
    <w:p w14:paraId="68527EE4">
      <w:pPr>
        <w:keepNext/>
        <w:keepLines/>
        <w:widowControl w:val="0"/>
        <w:spacing w:before="260" w:after="260" w:line="415" w:lineRule="auto"/>
        <w:outlineLvl w:val="1"/>
        <w:rPr>
          <w:rFonts w:hint="default" w:ascii="Times New Roman" w:hAnsi="Times New Roman" w:eastAsia="黑体" w:cs="Times New Roman"/>
          <w:bCs/>
          <w:color w:val="auto"/>
          <w:sz w:val="30"/>
          <w:szCs w:val="30"/>
          <w:highlight w:val="none"/>
        </w:rPr>
      </w:pPr>
      <w:r>
        <w:rPr>
          <w:rFonts w:hint="default" w:ascii="Times New Roman" w:hAnsi="Times New Roman" w:eastAsia="黑体" w:cs="Times New Roman"/>
          <w:bCs/>
          <w:color w:val="auto"/>
          <w:sz w:val="30"/>
          <w:szCs w:val="30"/>
          <w:highlight w:val="none"/>
        </w:rPr>
        <w:t>四、总投资估算与近年费用安排</w:t>
      </w:r>
      <w:bookmarkEnd w:id="298"/>
      <w:bookmarkEnd w:id="299"/>
      <w:bookmarkEnd w:id="300"/>
    </w:p>
    <w:p w14:paraId="55920C97">
      <w:pPr>
        <w:pStyle w:val="5"/>
        <w:keepNext/>
        <w:keepLines/>
        <w:pageBreakBefore w:val="0"/>
        <w:widowControl/>
        <w:kinsoku/>
        <w:wordWrap/>
        <w:overflowPunct/>
        <w:topLinePunct w:val="0"/>
        <w:autoSpaceDE/>
        <w:autoSpaceDN/>
        <w:bidi w:val="0"/>
        <w:adjustRightInd/>
        <w:snapToGrid/>
        <w:spacing w:after="100" w:line="360" w:lineRule="auto"/>
        <w:textAlignment w:val="auto"/>
        <w:rPr>
          <w:rFonts w:hint="default" w:ascii="Times New Roman" w:hAnsi="Times New Roman" w:eastAsia="黑体" w:cs="Times New Roman"/>
          <w:color w:val="auto"/>
          <w:szCs w:val="28"/>
          <w:highlight w:val="none"/>
        </w:rPr>
      </w:pPr>
      <w:r>
        <w:rPr>
          <w:rFonts w:hint="default" w:ascii="Times New Roman" w:hAnsi="Times New Roman" w:eastAsia="黑体" w:cs="Times New Roman"/>
          <w:color w:val="auto"/>
          <w:szCs w:val="28"/>
          <w:highlight w:val="none"/>
          <w:lang w:eastAsia="zh-CN"/>
        </w:rPr>
        <w:t>（</w:t>
      </w:r>
      <w:r>
        <w:rPr>
          <w:rFonts w:hint="default" w:ascii="Times New Roman" w:hAnsi="Times New Roman" w:eastAsia="黑体" w:cs="Times New Roman"/>
          <w:color w:val="auto"/>
          <w:szCs w:val="28"/>
          <w:highlight w:val="none"/>
        </w:rPr>
        <w:t>一）总费用构成与汇总</w:t>
      </w:r>
    </w:p>
    <w:p w14:paraId="6026486E">
      <w:pPr>
        <w:spacing w:line="360" w:lineRule="auto"/>
        <w:ind w:firstLine="480" w:firstLineChars="200"/>
        <w:rPr>
          <w:rFonts w:hint="default" w:ascii="Times New Roman" w:hAnsi="Times New Roman" w:cs="Times New Roman"/>
          <w:color w:val="auto"/>
          <w:sz w:val="24"/>
          <w:highlight w:val="none"/>
        </w:rPr>
      </w:pPr>
      <w:bookmarkStart w:id="301" w:name="_Hlk18389627"/>
      <w:bookmarkStart w:id="302" w:name="_Hlk34415617"/>
      <w:r>
        <w:rPr>
          <w:rFonts w:hint="default" w:ascii="Times New Roman" w:hAnsi="Times New Roman" w:cs="Times New Roman"/>
          <w:color w:val="auto"/>
          <w:sz w:val="24"/>
          <w:highlight w:val="none"/>
        </w:rPr>
        <w:t>根据矿山地质环境保护与土地复垦工作部署、工程量及工程技术手段，参照相关标准，</w:t>
      </w:r>
      <w:bookmarkStart w:id="303" w:name="_Hlk4312959"/>
      <w:r>
        <w:rPr>
          <w:rFonts w:hint="eastAsia" w:cs="Times New Roman"/>
          <w:color w:val="auto"/>
          <w:sz w:val="24"/>
          <w:highlight w:val="none"/>
          <w:lang w:eastAsia="zh-CN"/>
        </w:rPr>
        <w:t>北大湖采石场</w:t>
      </w:r>
      <w:r>
        <w:rPr>
          <w:rFonts w:hint="default" w:ascii="Times New Roman" w:hAnsi="Times New Roman" w:cs="Times New Roman"/>
          <w:color w:val="auto"/>
          <w:sz w:val="24"/>
          <w:highlight w:val="none"/>
        </w:rPr>
        <w:t>矿山地质环境保护与土地复垦</w:t>
      </w:r>
      <w:r>
        <w:rPr>
          <w:rFonts w:hint="default" w:ascii="Times New Roman" w:hAnsi="Times New Roman" w:cs="Times New Roman"/>
          <w:color w:val="auto"/>
          <w:sz w:val="24"/>
          <w:highlight w:val="none"/>
          <w:lang w:val="en-US" w:eastAsia="zh-CN"/>
        </w:rPr>
        <w:t>静态</w:t>
      </w:r>
      <w:r>
        <w:rPr>
          <w:rFonts w:hint="default" w:ascii="Times New Roman" w:hAnsi="Times New Roman" w:cs="Times New Roman"/>
          <w:color w:val="auto"/>
          <w:sz w:val="24"/>
          <w:highlight w:val="none"/>
        </w:rPr>
        <w:t>总投资</w:t>
      </w:r>
      <w:r>
        <w:rPr>
          <w:rFonts w:hint="eastAsia" w:cs="Times New Roman"/>
          <w:color w:val="auto"/>
          <w:sz w:val="24"/>
          <w:highlight w:val="none"/>
          <w:lang w:val="en-US" w:eastAsia="zh-CN"/>
        </w:rPr>
        <w:t>78.21</w:t>
      </w:r>
      <w:r>
        <w:rPr>
          <w:rFonts w:hint="default" w:ascii="Times New Roman" w:hAnsi="Times New Roman" w:cs="Times New Roman"/>
          <w:color w:val="auto"/>
          <w:sz w:val="24"/>
          <w:highlight w:val="none"/>
        </w:rPr>
        <w:t>万元，</w:t>
      </w:r>
      <w:r>
        <w:rPr>
          <w:rFonts w:hint="default" w:ascii="Times New Roman" w:hAnsi="Times New Roman" w:cs="Times New Roman"/>
          <w:color w:val="auto"/>
          <w:sz w:val="24"/>
          <w:highlight w:val="none"/>
          <w:lang w:val="en-US" w:eastAsia="zh-CN"/>
        </w:rPr>
        <w:t>动态</w:t>
      </w:r>
      <w:r>
        <w:rPr>
          <w:rFonts w:hint="default" w:ascii="Times New Roman" w:hAnsi="Times New Roman" w:cs="Times New Roman"/>
          <w:color w:val="auto"/>
          <w:sz w:val="24"/>
          <w:highlight w:val="none"/>
        </w:rPr>
        <w:t>总投资</w:t>
      </w:r>
      <w:r>
        <w:rPr>
          <w:rFonts w:hint="eastAsia" w:cs="Times New Roman"/>
          <w:color w:val="auto"/>
          <w:sz w:val="24"/>
          <w:highlight w:val="none"/>
          <w:lang w:val="en-US" w:eastAsia="zh-CN"/>
        </w:rPr>
        <w:t>84.12</w:t>
      </w:r>
      <w:r>
        <w:rPr>
          <w:rFonts w:hint="default" w:ascii="Times New Roman" w:hAnsi="Times New Roman" w:cs="Times New Roman"/>
          <w:color w:val="auto"/>
          <w:sz w:val="24"/>
          <w:highlight w:val="none"/>
        </w:rPr>
        <w:t>万元</w:t>
      </w:r>
      <w:r>
        <w:rPr>
          <w:rFonts w:hint="default"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rPr>
        <w:t>其中矿山地质环境恢复治理总投资</w:t>
      </w:r>
      <w:r>
        <w:rPr>
          <w:rFonts w:hint="eastAsia" w:cs="Times New Roman"/>
          <w:color w:val="auto"/>
          <w:sz w:val="24"/>
          <w:highlight w:val="none"/>
          <w:lang w:val="en-US" w:eastAsia="zh-CN"/>
        </w:rPr>
        <w:t>41.72</w:t>
      </w:r>
      <w:r>
        <w:rPr>
          <w:rFonts w:hint="default" w:ascii="Times New Roman" w:hAnsi="Times New Roman" w:cs="Times New Roman"/>
          <w:color w:val="auto"/>
          <w:sz w:val="24"/>
          <w:highlight w:val="none"/>
        </w:rPr>
        <w:t>万元，土地复垦</w:t>
      </w:r>
      <w:r>
        <w:rPr>
          <w:rFonts w:hint="default" w:ascii="Times New Roman" w:hAnsi="Times New Roman" w:cs="Times New Roman"/>
          <w:color w:val="auto"/>
          <w:sz w:val="24"/>
          <w:highlight w:val="none"/>
          <w:lang w:val="en-US" w:eastAsia="zh-CN"/>
        </w:rPr>
        <w:t>静态</w:t>
      </w:r>
      <w:r>
        <w:rPr>
          <w:rFonts w:hint="default" w:ascii="Times New Roman" w:hAnsi="Times New Roman" w:cs="Times New Roman"/>
          <w:color w:val="auto"/>
          <w:sz w:val="24"/>
          <w:highlight w:val="none"/>
        </w:rPr>
        <w:t>总投资</w:t>
      </w:r>
      <w:r>
        <w:rPr>
          <w:rFonts w:hint="eastAsia" w:cs="Times New Roman"/>
          <w:color w:val="auto"/>
          <w:sz w:val="24"/>
          <w:highlight w:val="none"/>
          <w:lang w:val="en-US" w:eastAsia="zh-CN"/>
        </w:rPr>
        <w:t>34.20</w:t>
      </w:r>
      <w:r>
        <w:rPr>
          <w:rFonts w:hint="default" w:ascii="Times New Roman" w:hAnsi="Times New Roman" w:cs="Times New Roman"/>
          <w:color w:val="auto"/>
          <w:sz w:val="24"/>
          <w:highlight w:val="none"/>
        </w:rPr>
        <w:t>万元，土地复垦</w:t>
      </w:r>
      <w:r>
        <w:rPr>
          <w:rFonts w:hint="default" w:ascii="Times New Roman" w:hAnsi="Times New Roman" w:cs="Times New Roman"/>
          <w:color w:val="auto"/>
          <w:sz w:val="24"/>
          <w:highlight w:val="none"/>
          <w:lang w:val="en-US" w:eastAsia="zh-CN"/>
        </w:rPr>
        <w:t>动态</w:t>
      </w:r>
      <w:r>
        <w:rPr>
          <w:rFonts w:hint="default" w:ascii="Times New Roman" w:hAnsi="Times New Roman" w:cs="Times New Roman"/>
          <w:color w:val="auto"/>
          <w:sz w:val="24"/>
          <w:highlight w:val="none"/>
        </w:rPr>
        <w:t>总投资</w:t>
      </w:r>
      <w:r>
        <w:rPr>
          <w:rFonts w:hint="eastAsia" w:cs="Times New Roman"/>
          <w:color w:val="auto"/>
          <w:sz w:val="24"/>
          <w:highlight w:val="none"/>
          <w:lang w:val="en-US" w:eastAsia="zh-CN"/>
        </w:rPr>
        <w:t>40.11</w:t>
      </w:r>
      <w:r>
        <w:rPr>
          <w:rFonts w:hint="default" w:ascii="Times New Roman" w:hAnsi="Times New Roman" w:cs="Times New Roman"/>
          <w:color w:val="auto"/>
          <w:sz w:val="24"/>
          <w:highlight w:val="none"/>
        </w:rPr>
        <w:t>万元</w:t>
      </w:r>
      <w:bookmarkEnd w:id="301"/>
      <w:bookmarkEnd w:id="303"/>
      <w:r>
        <w:rPr>
          <w:rFonts w:hint="default" w:ascii="Times New Roman" w:hAnsi="Times New Roman" w:cs="Times New Roman"/>
          <w:color w:val="auto"/>
          <w:sz w:val="24"/>
          <w:highlight w:val="none"/>
        </w:rPr>
        <w:t>。</w:t>
      </w:r>
    </w:p>
    <w:bookmarkEnd w:id="302"/>
    <w:p w14:paraId="61D3533B">
      <w:pPr>
        <w:pStyle w:val="14"/>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黑体" w:cs="Times New Roman"/>
          <w:b w:val="0"/>
          <w:bCs/>
          <w:color w:val="auto"/>
          <w:sz w:val="21"/>
          <w:szCs w:val="21"/>
          <w:highlight w:val="none"/>
        </w:rPr>
        <w:t>表7-</w:t>
      </w:r>
      <w:r>
        <w:rPr>
          <w:rFonts w:hint="default" w:ascii="Times New Roman" w:hAnsi="Times New Roman" w:eastAsia="黑体" w:cs="Times New Roman"/>
          <w:b w:val="0"/>
          <w:bCs/>
          <w:color w:val="auto"/>
          <w:sz w:val="21"/>
          <w:szCs w:val="21"/>
          <w:highlight w:val="none"/>
          <w:lang w:val="en-US" w:eastAsia="zh-CN"/>
        </w:rPr>
        <w:t>2</w:t>
      </w:r>
      <w:r>
        <w:rPr>
          <w:rFonts w:hint="eastAsia" w:ascii="Times New Roman" w:hAnsi="Times New Roman" w:eastAsia="黑体" w:cs="Times New Roman"/>
          <w:b w:val="0"/>
          <w:bCs/>
          <w:color w:val="auto"/>
          <w:sz w:val="21"/>
          <w:szCs w:val="21"/>
          <w:highlight w:val="none"/>
          <w:lang w:val="en-US" w:eastAsia="zh-CN"/>
        </w:rPr>
        <w:t>3</w:t>
      </w:r>
      <w:r>
        <w:rPr>
          <w:rFonts w:hint="default" w:ascii="Times New Roman" w:hAnsi="Times New Roman" w:eastAsia="黑体" w:cs="Times New Roman"/>
          <w:b w:val="0"/>
          <w:bCs/>
          <w:color w:val="auto"/>
          <w:sz w:val="21"/>
          <w:szCs w:val="21"/>
          <w:highlight w:val="none"/>
        </w:rPr>
        <w:t xml:space="preserve">   恢复治理及土地复垦预算总表</w:t>
      </w:r>
    </w:p>
    <w:tbl>
      <w:tblPr>
        <w:tblStyle w:val="3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958"/>
        <w:gridCol w:w="3436"/>
        <w:gridCol w:w="3939"/>
      </w:tblGrid>
      <w:tr w14:paraId="6F89C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52" w:hRule="atLeast"/>
        </w:trPr>
        <w:tc>
          <w:tcPr>
            <w:tcW w:w="575" w:type="pct"/>
            <w:tcBorders>
              <w:tl2br w:val="nil"/>
              <w:tr2bl w:val="nil"/>
            </w:tcBorders>
            <w:noWrap w:val="0"/>
            <w:vAlign w:val="center"/>
          </w:tcPr>
          <w:p w14:paraId="0231617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1"/>
                <w:sz w:val="21"/>
                <w:szCs w:val="21"/>
                <w:highlight w:val="none"/>
              </w:rPr>
            </w:pPr>
            <w:r>
              <w:rPr>
                <w:rFonts w:hint="default" w:ascii="Times New Roman" w:hAnsi="Times New Roman" w:eastAsia="宋体" w:cs="Times New Roman"/>
                <w:b w:val="0"/>
                <w:bCs w:val="0"/>
                <w:color w:val="auto"/>
                <w:sz w:val="21"/>
                <w:szCs w:val="21"/>
                <w:highlight w:val="none"/>
              </w:rPr>
              <w:t>序号</w:t>
            </w:r>
          </w:p>
        </w:tc>
        <w:tc>
          <w:tcPr>
            <w:tcW w:w="2061" w:type="pct"/>
            <w:tcBorders>
              <w:tl2br w:val="nil"/>
              <w:tr2bl w:val="nil"/>
            </w:tcBorders>
            <w:noWrap w:val="0"/>
            <w:vAlign w:val="center"/>
          </w:tcPr>
          <w:p w14:paraId="53EC4D6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1"/>
                <w:sz w:val="21"/>
                <w:szCs w:val="21"/>
                <w:highlight w:val="none"/>
              </w:rPr>
            </w:pPr>
            <w:r>
              <w:rPr>
                <w:rFonts w:hint="default" w:ascii="Times New Roman" w:hAnsi="Times New Roman" w:eastAsia="宋体" w:cs="Times New Roman"/>
                <w:b w:val="0"/>
                <w:bCs w:val="0"/>
                <w:color w:val="auto"/>
                <w:sz w:val="21"/>
                <w:szCs w:val="21"/>
                <w:highlight w:val="none"/>
              </w:rPr>
              <w:t>工程或费用名称</w:t>
            </w:r>
          </w:p>
        </w:tc>
        <w:tc>
          <w:tcPr>
            <w:tcW w:w="2363" w:type="pct"/>
            <w:tcBorders>
              <w:tl2br w:val="nil"/>
              <w:tr2bl w:val="nil"/>
            </w:tcBorders>
            <w:noWrap w:val="0"/>
            <w:vAlign w:val="center"/>
          </w:tcPr>
          <w:p w14:paraId="499AF00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1"/>
                <w:sz w:val="21"/>
                <w:szCs w:val="21"/>
                <w:highlight w:val="none"/>
                <w:lang w:eastAsia="zh-CN"/>
              </w:rPr>
            </w:pPr>
            <w:r>
              <w:rPr>
                <w:rFonts w:hint="default" w:ascii="Times New Roman" w:hAnsi="Times New Roman" w:eastAsia="宋体" w:cs="Times New Roman"/>
                <w:b w:val="0"/>
                <w:bCs w:val="0"/>
                <w:color w:val="auto"/>
                <w:sz w:val="21"/>
                <w:szCs w:val="21"/>
                <w:highlight w:val="none"/>
              </w:rPr>
              <w:t>预算金额</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万元</w:t>
            </w:r>
            <w:r>
              <w:rPr>
                <w:rFonts w:hint="default" w:ascii="Times New Roman" w:hAnsi="Times New Roman" w:eastAsia="宋体" w:cs="Times New Roman"/>
                <w:b w:val="0"/>
                <w:bCs w:val="0"/>
                <w:color w:val="auto"/>
                <w:sz w:val="21"/>
                <w:szCs w:val="21"/>
                <w:highlight w:val="none"/>
                <w:lang w:eastAsia="zh-CN"/>
              </w:rPr>
              <w:t>）</w:t>
            </w:r>
          </w:p>
        </w:tc>
      </w:tr>
      <w:tr w14:paraId="03F46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5" w:hRule="atLeast"/>
        </w:trPr>
        <w:tc>
          <w:tcPr>
            <w:tcW w:w="575" w:type="pct"/>
            <w:tcBorders>
              <w:tl2br w:val="nil"/>
              <w:tr2bl w:val="nil"/>
            </w:tcBorders>
            <w:noWrap w:val="0"/>
            <w:vAlign w:val="center"/>
          </w:tcPr>
          <w:p w14:paraId="2FE7748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1"/>
                <w:sz w:val="21"/>
                <w:szCs w:val="21"/>
                <w:highlight w:val="none"/>
              </w:rPr>
            </w:pPr>
          </w:p>
        </w:tc>
        <w:tc>
          <w:tcPr>
            <w:tcW w:w="2061" w:type="pct"/>
            <w:tcBorders>
              <w:tl2br w:val="nil"/>
              <w:tr2bl w:val="nil"/>
            </w:tcBorders>
            <w:noWrap w:val="0"/>
            <w:vAlign w:val="center"/>
          </w:tcPr>
          <w:p w14:paraId="19E8F65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1"/>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1</w:t>
            </w:r>
            <w:r>
              <w:rPr>
                <w:rFonts w:hint="default" w:ascii="Times New Roman" w:hAnsi="Times New Roman" w:eastAsia="宋体" w:cs="Times New Roman"/>
                <w:b w:val="0"/>
                <w:bCs w:val="0"/>
                <w:color w:val="auto"/>
                <w:sz w:val="21"/>
                <w:szCs w:val="21"/>
                <w:highlight w:val="none"/>
                <w:lang w:eastAsia="zh-CN"/>
              </w:rPr>
              <w:t>）</w:t>
            </w:r>
          </w:p>
        </w:tc>
        <w:tc>
          <w:tcPr>
            <w:tcW w:w="2363" w:type="pct"/>
            <w:tcBorders>
              <w:tl2br w:val="nil"/>
              <w:tr2bl w:val="nil"/>
            </w:tcBorders>
            <w:noWrap w:val="0"/>
            <w:vAlign w:val="center"/>
          </w:tcPr>
          <w:p w14:paraId="6DA9C93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（2）</w:t>
            </w:r>
          </w:p>
        </w:tc>
      </w:tr>
      <w:tr w14:paraId="015E8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5" w:hRule="atLeast"/>
        </w:trPr>
        <w:tc>
          <w:tcPr>
            <w:tcW w:w="575" w:type="pct"/>
            <w:tcBorders>
              <w:tl2br w:val="nil"/>
              <w:tr2bl w:val="nil"/>
            </w:tcBorders>
            <w:noWrap w:val="0"/>
            <w:vAlign w:val="center"/>
          </w:tcPr>
          <w:p w14:paraId="5EBFF77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1"/>
                <w:sz w:val="21"/>
                <w:szCs w:val="21"/>
                <w:highlight w:val="none"/>
              </w:rPr>
            </w:pPr>
            <w:r>
              <w:rPr>
                <w:rFonts w:hint="default" w:ascii="Times New Roman" w:hAnsi="Times New Roman" w:eastAsia="宋体" w:cs="Times New Roman"/>
                <w:b w:val="0"/>
                <w:bCs w:val="0"/>
                <w:color w:val="auto"/>
                <w:sz w:val="21"/>
                <w:szCs w:val="21"/>
                <w:highlight w:val="none"/>
              </w:rPr>
              <w:t>一</w:t>
            </w:r>
          </w:p>
        </w:tc>
        <w:tc>
          <w:tcPr>
            <w:tcW w:w="2061" w:type="pct"/>
            <w:tcBorders>
              <w:tl2br w:val="nil"/>
              <w:tr2bl w:val="nil"/>
            </w:tcBorders>
            <w:noWrap w:val="0"/>
            <w:vAlign w:val="center"/>
          </w:tcPr>
          <w:p w14:paraId="2312124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1"/>
                <w:sz w:val="21"/>
                <w:szCs w:val="21"/>
                <w:highlight w:val="none"/>
              </w:rPr>
            </w:pPr>
            <w:r>
              <w:rPr>
                <w:rFonts w:hint="default" w:ascii="Times New Roman" w:hAnsi="Times New Roman" w:eastAsia="宋体" w:cs="Times New Roman"/>
                <w:b w:val="0"/>
                <w:bCs w:val="0"/>
                <w:color w:val="auto"/>
                <w:sz w:val="21"/>
                <w:szCs w:val="21"/>
                <w:highlight w:val="none"/>
              </w:rPr>
              <w:t>恢复治理预算费用</w:t>
            </w:r>
          </w:p>
        </w:tc>
        <w:tc>
          <w:tcPr>
            <w:tcW w:w="3942" w:type="dxa"/>
            <w:tcBorders>
              <w:tl2br w:val="nil"/>
              <w:tr2bl w:val="nil"/>
            </w:tcBorders>
            <w:noWrap w:val="0"/>
            <w:vAlign w:val="center"/>
          </w:tcPr>
          <w:p w14:paraId="51DF47C8">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44.01</w:t>
            </w:r>
          </w:p>
        </w:tc>
      </w:tr>
      <w:tr w14:paraId="1ED29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5" w:hRule="atLeast"/>
        </w:trPr>
        <w:tc>
          <w:tcPr>
            <w:tcW w:w="575" w:type="pct"/>
            <w:tcBorders>
              <w:tl2br w:val="nil"/>
              <w:tr2bl w:val="nil"/>
            </w:tcBorders>
            <w:noWrap w:val="0"/>
            <w:vAlign w:val="center"/>
          </w:tcPr>
          <w:p w14:paraId="369A4F2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1"/>
                <w:sz w:val="21"/>
                <w:szCs w:val="21"/>
                <w:highlight w:val="none"/>
              </w:rPr>
            </w:pPr>
            <w:r>
              <w:rPr>
                <w:rFonts w:hint="default" w:ascii="Times New Roman" w:hAnsi="Times New Roman" w:eastAsia="宋体" w:cs="Times New Roman"/>
                <w:b w:val="0"/>
                <w:bCs w:val="0"/>
                <w:color w:val="auto"/>
                <w:sz w:val="21"/>
                <w:szCs w:val="21"/>
                <w:highlight w:val="none"/>
              </w:rPr>
              <w:t>二</w:t>
            </w:r>
          </w:p>
        </w:tc>
        <w:tc>
          <w:tcPr>
            <w:tcW w:w="2061" w:type="pct"/>
            <w:tcBorders>
              <w:tl2br w:val="nil"/>
              <w:tr2bl w:val="nil"/>
            </w:tcBorders>
            <w:noWrap w:val="0"/>
            <w:vAlign w:val="center"/>
          </w:tcPr>
          <w:p w14:paraId="4CA061D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1"/>
                <w:sz w:val="21"/>
                <w:szCs w:val="21"/>
                <w:highlight w:val="none"/>
                <w:lang w:val="en-US" w:eastAsia="zh-CN"/>
              </w:rPr>
            </w:pPr>
            <w:r>
              <w:rPr>
                <w:rFonts w:hint="default" w:ascii="Times New Roman" w:hAnsi="Times New Roman" w:eastAsia="宋体" w:cs="Times New Roman"/>
                <w:b w:val="0"/>
                <w:bCs w:val="0"/>
                <w:color w:val="auto"/>
                <w:sz w:val="21"/>
                <w:szCs w:val="21"/>
                <w:highlight w:val="none"/>
              </w:rPr>
              <w:t>土地复垦</w:t>
            </w:r>
            <w:r>
              <w:rPr>
                <w:rFonts w:hint="default" w:ascii="Times New Roman" w:hAnsi="Times New Roman" w:eastAsia="宋体" w:cs="Times New Roman"/>
                <w:b w:val="0"/>
                <w:bCs w:val="0"/>
                <w:color w:val="auto"/>
                <w:sz w:val="21"/>
                <w:szCs w:val="21"/>
                <w:highlight w:val="none"/>
                <w:lang w:val="en-US" w:eastAsia="zh-CN"/>
              </w:rPr>
              <w:t>静态投资</w:t>
            </w:r>
          </w:p>
        </w:tc>
        <w:tc>
          <w:tcPr>
            <w:tcW w:w="3942" w:type="dxa"/>
            <w:tcBorders>
              <w:tl2br w:val="nil"/>
              <w:tr2bl w:val="nil"/>
            </w:tcBorders>
            <w:noWrap w:val="0"/>
            <w:vAlign w:val="center"/>
          </w:tcPr>
          <w:p w14:paraId="4399FF87">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34.20</w:t>
            </w:r>
          </w:p>
        </w:tc>
      </w:tr>
      <w:tr w14:paraId="14BB4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5" w:hRule="atLeast"/>
        </w:trPr>
        <w:tc>
          <w:tcPr>
            <w:tcW w:w="575" w:type="pct"/>
            <w:tcBorders>
              <w:tl2br w:val="nil"/>
              <w:tr2bl w:val="nil"/>
            </w:tcBorders>
            <w:noWrap w:val="0"/>
            <w:vAlign w:val="center"/>
          </w:tcPr>
          <w:p w14:paraId="1183F3D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三</w:t>
            </w:r>
          </w:p>
        </w:tc>
        <w:tc>
          <w:tcPr>
            <w:tcW w:w="2061" w:type="pct"/>
            <w:tcBorders>
              <w:tl2br w:val="nil"/>
              <w:tr2bl w:val="nil"/>
            </w:tcBorders>
            <w:noWrap w:val="0"/>
            <w:vAlign w:val="center"/>
          </w:tcPr>
          <w:p w14:paraId="6539C26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土地复垦</w:t>
            </w:r>
            <w:r>
              <w:rPr>
                <w:rFonts w:hint="default" w:ascii="Times New Roman" w:hAnsi="Times New Roman" w:eastAsia="宋体" w:cs="Times New Roman"/>
                <w:b w:val="0"/>
                <w:bCs w:val="0"/>
                <w:color w:val="auto"/>
                <w:sz w:val="21"/>
                <w:szCs w:val="21"/>
                <w:highlight w:val="none"/>
                <w:lang w:val="en-US" w:eastAsia="zh-CN"/>
              </w:rPr>
              <w:t>动态投资</w:t>
            </w:r>
          </w:p>
        </w:tc>
        <w:tc>
          <w:tcPr>
            <w:tcW w:w="3942" w:type="dxa"/>
            <w:tcBorders>
              <w:tl2br w:val="nil"/>
              <w:tr2bl w:val="nil"/>
            </w:tcBorders>
            <w:noWrap w:val="0"/>
            <w:vAlign w:val="center"/>
          </w:tcPr>
          <w:p w14:paraId="39F9AA40">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40.11</w:t>
            </w:r>
          </w:p>
        </w:tc>
      </w:tr>
      <w:tr w14:paraId="4F464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52" w:hRule="atLeast"/>
        </w:trPr>
        <w:tc>
          <w:tcPr>
            <w:tcW w:w="2636" w:type="pct"/>
            <w:gridSpan w:val="2"/>
            <w:tcBorders>
              <w:tl2br w:val="nil"/>
              <w:tr2bl w:val="nil"/>
            </w:tcBorders>
            <w:noWrap w:val="0"/>
            <w:vAlign w:val="center"/>
          </w:tcPr>
          <w:p w14:paraId="0DCDF3B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总计</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静态</w:t>
            </w:r>
            <w:r>
              <w:rPr>
                <w:rFonts w:hint="default" w:ascii="Times New Roman" w:hAnsi="Times New Roman" w:eastAsia="宋体" w:cs="Times New Roman"/>
                <w:b w:val="0"/>
                <w:bCs w:val="0"/>
                <w:color w:val="auto"/>
                <w:sz w:val="21"/>
                <w:szCs w:val="21"/>
                <w:highlight w:val="none"/>
                <w:lang w:eastAsia="zh-CN"/>
              </w:rPr>
              <w:t>）</w:t>
            </w:r>
          </w:p>
        </w:tc>
        <w:tc>
          <w:tcPr>
            <w:tcW w:w="3942" w:type="dxa"/>
            <w:tcBorders>
              <w:tl2br w:val="nil"/>
              <w:tr2bl w:val="nil"/>
            </w:tcBorders>
            <w:noWrap w:val="0"/>
            <w:vAlign w:val="bottom"/>
          </w:tcPr>
          <w:p w14:paraId="7CF40FFE">
            <w:pPr>
              <w:keepNext w:val="0"/>
              <w:keepLines w:val="0"/>
              <w:widowControl/>
              <w:suppressLineNumbers w:val="0"/>
              <w:jc w:val="center"/>
              <w:textAlignment w:val="bottom"/>
              <w:rPr>
                <w:rFonts w:hint="default" w:ascii="Times New Roman" w:hAnsi="Times New Roman" w:eastAsia="宋体" w:cs="Times New Roman"/>
                <w:b w:val="0"/>
                <w:bCs w:val="0"/>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78.21</w:t>
            </w:r>
          </w:p>
        </w:tc>
      </w:tr>
      <w:tr w14:paraId="6F15E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52" w:hRule="atLeast"/>
        </w:trPr>
        <w:tc>
          <w:tcPr>
            <w:tcW w:w="2636" w:type="pct"/>
            <w:gridSpan w:val="2"/>
            <w:tcBorders>
              <w:tl2br w:val="nil"/>
              <w:tr2bl w:val="nil"/>
            </w:tcBorders>
            <w:noWrap w:val="0"/>
            <w:vAlign w:val="center"/>
          </w:tcPr>
          <w:p w14:paraId="227AB9B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1"/>
                <w:sz w:val="21"/>
                <w:szCs w:val="21"/>
                <w:highlight w:val="none"/>
                <w:lang w:eastAsia="zh-CN"/>
              </w:rPr>
            </w:pPr>
            <w:r>
              <w:rPr>
                <w:rFonts w:hint="default" w:ascii="Times New Roman" w:hAnsi="Times New Roman" w:eastAsia="宋体" w:cs="Times New Roman"/>
                <w:b w:val="0"/>
                <w:bCs w:val="0"/>
                <w:color w:val="auto"/>
                <w:sz w:val="21"/>
                <w:szCs w:val="21"/>
                <w:highlight w:val="none"/>
              </w:rPr>
              <w:t>总计</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动态</w:t>
            </w:r>
            <w:r>
              <w:rPr>
                <w:rFonts w:hint="default" w:ascii="Times New Roman" w:hAnsi="Times New Roman" w:eastAsia="宋体" w:cs="Times New Roman"/>
                <w:b w:val="0"/>
                <w:bCs w:val="0"/>
                <w:color w:val="auto"/>
                <w:sz w:val="21"/>
                <w:szCs w:val="21"/>
                <w:highlight w:val="none"/>
                <w:lang w:eastAsia="zh-CN"/>
              </w:rPr>
              <w:t>）</w:t>
            </w:r>
          </w:p>
        </w:tc>
        <w:tc>
          <w:tcPr>
            <w:tcW w:w="3942" w:type="dxa"/>
            <w:tcBorders>
              <w:tl2br w:val="nil"/>
              <w:tr2bl w:val="nil"/>
            </w:tcBorders>
            <w:noWrap w:val="0"/>
            <w:vAlign w:val="bottom"/>
          </w:tcPr>
          <w:p w14:paraId="6027AF89">
            <w:pPr>
              <w:keepNext w:val="0"/>
              <w:keepLines w:val="0"/>
              <w:widowControl/>
              <w:suppressLineNumbers w:val="0"/>
              <w:jc w:val="center"/>
              <w:textAlignment w:val="bottom"/>
              <w:rPr>
                <w:rFonts w:hint="default" w:ascii="Times New Roman" w:hAnsi="Times New Roman" w:eastAsia="宋体" w:cs="Times New Roman"/>
                <w:b w:val="0"/>
                <w:bCs w:val="0"/>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84.12</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r>
    </w:tbl>
    <w:p w14:paraId="178D08E5">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根据《财政部国土部环保部关于取消矿山地质环境治理恢复保证金建立矿山地质环境治理恢复基金的指导意见》</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财建</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2017</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638号）的规定，治理保证金已纳入改革范围，现改为基金。根据《吉林省自然资源厅关于采矿生产项目土地复垦费预存纳入矿山地质环境治理恢复基金管理有关问题的通知》</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吉自然资函</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2020</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266号），土地复垦费预存纳入矿山地质环境治理恢复基金管理。</w:t>
      </w:r>
    </w:p>
    <w:p w14:paraId="1A89C971">
      <w:pPr>
        <w:spacing w:line="360" w:lineRule="auto"/>
        <w:ind w:firstLine="480" w:firstLineChars="200"/>
        <w:jc w:val="both"/>
        <w:rPr>
          <w:rFonts w:hint="default" w:ascii="Times New Roman" w:hAnsi="Times New Roman" w:cs="Times New Roman"/>
          <w:color w:val="auto"/>
          <w:sz w:val="24"/>
          <w:highlight w:val="none"/>
        </w:rPr>
      </w:pPr>
      <w:r>
        <w:rPr>
          <w:rFonts w:hint="eastAsia" w:cs="Times New Roman"/>
          <w:color w:val="auto"/>
          <w:sz w:val="24"/>
          <w:highlight w:val="none"/>
          <w:lang w:eastAsia="zh-CN"/>
        </w:rPr>
        <w:t>北大湖采石场</w:t>
      </w:r>
      <w:r>
        <w:rPr>
          <w:rFonts w:hint="default" w:ascii="Times New Roman" w:hAnsi="Times New Roman" w:cs="Times New Roman"/>
          <w:color w:val="auto"/>
          <w:sz w:val="24"/>
          <w:highlight w:val="none"/>
        </w:rPr>
        <w:t>矿山地质环境保护与土地复垦总费用</w:t>
      </w:r>
      <w:r>
        <w:rPr>
          <w:rFonts w:hint="eastAsia" w:cs="Times New Roman"/>
          <w:color w:val="auto"/>
          <w:sz w:val="24"/>
          <w:highlight w:val="none"/>
          <w:lang w:val="en-US" w:eastAsia="zh-CN"/>
        </w:rPr>
        <w:t>84.12</w:t>
      </w:r>
      <w:r>
        <w:rPr>
          <w:rFonts w:hint="default" w:ascii="Times New Roman" w:hAnsi="Times New Roman" w:cs="Times New Roman"/>
          <w:color w:val="auto"/>
          <w:sz w:val="24"/>
          <w:highlight w:val="none"/>
        </w:rPr>
        <w:t>万元将以基金的形式存入基金账户，费用全部由矿方承担，列入矿山生产成本和建设成本，费用安排遵循提前预存、分阶段足额预存原则。</w:t>
      </w:r>
      <w:r>
        <w:rPr>
          <w:rFonts w:hint="eastAsia" w:cs="Times New Roman"/>
          <w:color w:val="auto"/>
          <w:sz w:val="24"/>
          <w:highlight w:val="none"/>
          <w:lang w:val="en-US" w:eastAsia="zh-CN"/>
        </w:rPr>
        <w:t>84.12万元应在规定服务期限内缴存完毕，</w:t>
      </w:r>
      <w:r>
        <w:rPr>
          <w:rFonts w:hint="default" w:ascii="Times New Roman" w:hAnsi="Times New Roman" w:cs="Times New Roman"/>
          <w:color w:val="auto"/>
          <w:sz w:val="24"/>
          <w:highlight w:val="none"/>
        </w:rPr>
        <w:t>为矿山恢复治理与土地复垦预防工作做准备，逐年存入，具体存入方式如下，见表7-2</w:t>
      </w:r>
      <w:r>
        <w:rPr>
          <w:rFonts w:hint="eastAsia"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rPr>
        <w:t>。</w:t>
      </w:r>
    </w:p>
    <w:p w14:paraId="11BB3822">
      <w:pPr>
        <w:keepNext w:val="0"/>
        <w:keepLines w:val="0"/>
        <w:pageBreakBefore w:val="0"/>
        <w:widowControl/>
        <w:kinsoku/>
        <w:wordWrap/>
        <w:overflowPunct/>
        <w:topLinePunct w:val="0"/>
        <w:autoSpaceDE/>
        <w:autoSpaceDN/>
        <w:bidi w:val="0"/>
        <w:adjustRightInd/>
        <w:snapToGrid/>
        <w:spacing w:before="2497" w:beforeLines="800" w:line="360" w:lineRule="auto"/>
        <w:ind w:firstLine="420" w:firstLineChars="200"/>
        <w:textAlignment w:val="auto"/>
        <w:rPr>
          <w:rFonts w:hint="default" w:ascii="Times New Roman" w:hAnsi="Times New Roman" w:eastAsia="黑体" w:cs="Times New Roman"/>
          <w:b w:val="0"/>
          <w:bCs/>
          <w:color w:val="auto"/>
          <w:szCs w:val="21"/>
          <w:highlight w:val="none"/>
        </w:rPr>
      </w:pPr>
      <w:r>
        <w:rPr>
          <w:rFonts w:hint="default" w:ascii="Times New Roman" w:hAnsi="Times New Roman" w:eastAsia="黑体" w:cs="Times New Roman"/>
          <w:b w:val="0"/>
          <w:bCs/>
          <w:color w:val="auto"/>
          <w:szCs w:val="21"/>
          <w:highlight w:val="none"/>
        </w:rPr>
        <w:t>表7-2</w:t>
      </w:r>
      <w:r>
        <w:rPr>
          <w:rFonts w:hint="eastAsia" w:ascii="Times New Roman" w:hAnsi="Times New Roman" w:eastAsia="黑体" w:cs="Times New Roman"/>
          <w:b w:val="0"/>
          <w:bCs/>
          <w:color w:val="auto"/>
          <w:szCs w:val="21"/>
          <w:highlight w:val="none"/>
          <w:lang w:val="en-US" w:eastAsia="zh-CN"/>
        </w:rPr>
        <w:t>4</w:t>
      </w:r>
      <w:r>
        <w:rPr>
          <w:rFonts w:hint="default" w:ascii="Times New Roman" w:hAnsi="Times New Roman" w:eastAsia="黑体" w:cs="Times New Roman"/>
          <w:b w:val="0"/>
          <w:bCs/>
          <w:color w:val="auto"/>
          <w:szCs w:val="21"/>
          <w:highlight w:val="none"/>
        </w:rPr>
        <w:t xml:space="preserve">   矿山地质环境治理与土地复垦总费用基金存入明细表  金额单位：万元</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4"/>
        <w:gridCol w:w="2107"/>
        <w:gridCol w:w="2080"/>
        <w:gridCol w:w="2281"/>
      </w:tblGrid>
      <w:tr w14:paraId="52FFE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tblHeader/>
        </w:trPr>
        <w:tc>
          <w:tcPr>
            <w:tcW w:w="1205" w:type="pct"/>
            <w:noWrap/>
            <w:vAlign w:val="center"/>
          </w:tcPr>
          <w:p w14:paraId="3E6D98A4">
            <w:pPr>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序号</w:t>
            </w:r>
          </w:p>
        </w:tc>
        <w:tc>
          <w:tcPr>
            <w:tcW w:w="1236" w:type="pct"/>
            <w:noWrap/>
            <w:vAlign w:val="center"/>
          </w:tcPr>
          <w:p w14:paraId="285DBAE8">
            <w:pPr>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存入年度</w:t>
            </w:r>
          </w:p>
        </w:tc>
        <w:tc>
          <w:tcPr>
            <w:tcW w:w="1220" w:type="pct"/>
            <w:noWrap/>
            <w:vAlign w:val="center"/>
          </w:tcPr>
          <w:p w14:paraId="5DE84C36">
            <w:pPr>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存入金额</w:t>
            </w:r>
          </w:p>
        </w:tc>
        <w:tc>
          <w:tcPr>
            <w:tcW w:w="1338" w:type="pct"/>
            <w:noWrap/>
            <w:vAlign w:val="center"/>
          </w:tcPr>
          <w:p w14:paraId="53EF4DC6">
            <w:pPr>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占总费用百分比</w:t>
            </w:r>
            <w:r>
              <w:rPr>
                <w:rFonts w:hint="default" w:ascii="Times New Roman" w:hAnsi="Times New Roman" w:cs="Times New Roman"/>
                <w:bCs/>
                <w:color w:val="auto"/>
                <w:szCs w:val="21"/>
                <w:highlight w:val="none"/>
                <w:lang w:eastAsia="zh-CN"/>
              </w:rPr>
              <w:t>（</w:t>
            </w:r>
            <w:r>
              <w:rPr>
                <w:rFonts w:hint="default" w:ascii="Times New Roman" w:hAnsi="Times New Roman" w:cs="Times New Roman"/>
                <w:bCs/>
                <w:color w:val="auto"/>
                <w:szCs w:val="21"/>
                <w:highlight w:val="none"/>
              </w:rPr>
              <w:t>%）</w:t>
            </w:r>
          </w:p>
        </w:tc>
      </w:tr>
      <w:tr w14:paraId="69D6D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05" w:type="pct"/>
            <w:noWrap/>
            <w:vAlign w:val="bottom"/>
          </w:tcPr>
          <w:p w14:paraId="743F8E6E">
            <w:pPr>
              <w:keepNext w:val="0"/>
              <w:keepLines w:val="0"/>
              <w:widowControl/>
              <w:suppressLineNumbers w:val="0"/>
              <w:jc w:val="center"/>
              <w:textAlignment w:val="bottom"/>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236" w:type="pct"/>
            <w:noWrap/>
            <w:vAlign w:val="bottom"/>
          </w:tcPr>
          <w:p w14:paraId="67E94F5B">
            <w:pPr>
              <w:keepNext w:val="0"/>
              <w:keepLines w:val="0"/>
              <w:widowControl/>
              <w:suppressLineNumbers w:val="0"/>
              <w:jc w:val="center"/>
              <w:textAlignment w:val="bottom"/>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202</w:t>
            </w:r>
            <w:r>
              <w:rPr>
                <w:rFonts w:hint="eastAsia" w:cs="Times New Roman"/>
                <w:i w:val="0"/>
                <w:iCs w:val="0"/>
                <w:color w:val="auto"/>
                <w:kern w:val="0"/>
                <w:sz w:val="21"/>
                <w:szCs w:val="21"/>
                <w:highlight w:val="none"/>
                <w:u w:val="none"/>
                <w:lang w:val="en-US" w:eastAsia="zh-CN" w:bidi="ar"/>
              </w:rPr>
              <w:t>5</w:t>
            </w:r>
          </w:p>
        </w:tc>
        <w:tc>
          <w:tcPr>
            <w:tcW w:w="1220" w:type="pct"/>
            <w:noWrap/>
            <w:vAlign w:val="bottom"/>
          </w:tcPr>
          <w:p w14:paraId="11221BEE">
            <w:pPr>
              <w:keepNext w:val="0"/>
              <w:keepLines w:val="0"/>
              <w:widowControl/>
              <w:suppressLineNumbers w:val="0"/>
              <w:jc w:val="center"/>
              <w:textAlignment w:val="bottom"/>
              <w:rPr>
                <w:rFonts w:hint="default" w:ascii="Times New Roman" w:hAnsi="Times New Roman" w:cs="Times New Roman"/>
                <w:bCs/>
                <w:color w:val="auto"/>
                <w:sz w:val="21"/>
                <w:szCs w:val="21"/>
                <w:highlight w:val="none"/>
                <w:lang w:val="en-US"/>
              </w:rPr>
            </w:pPr>
            <w:r>
              <w:rPr>
                <w:rFonts w:hint="eastAsia" w:cs="Times New Roman"/>
                <w:i w:val="0"/>
                <w:iCs w:val="0"/>
                <w:color w:val="auto"/>
                <w:kern w:val="0"/>
                <w:sz w:val="21"/>
                <w:szCs w:val="21"/>
                <w:highlight w:val="none"/>
                <w:u w:val="none"/>
                <w:lang w:val="en-US" w:eastAsia="zh-CN" w:bidi="ar"/>
              </w:rPr>
              <w:t>16.84</w:t>
            </w:r>
          </w:p>
        </w:tc>
        <w:tc>
          <w:tcPr>
            <w:tcW w:w="1338" w:type="pct"/>
            <w:noWrap/>
            <w:vAlign w:val="bottom"/>
          </w:tcPr>
          <w:p w14:paraId="16C0714C">
            <w:pPr>
              <w:keepNext w:val="0"/>
              <w:keepLines w:val="0"/>
              <w:widowControl/>
              <w:suppressLineNumbers w:val="0"/>
              <w:jc w:val="center"/>
              <w:textAlignment w:val="bottom"/>
              <w:rPr>
                <w:rFonts w:hint="default" w:ascii="Times New Roman" w:hAnsi="Times New Roman" w:cs="Times New Roman"/>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20 </w:t>
            </w:r>
          </w:p>
        </w:tc>
      </w:tr>
      <w:tr w14:paraId="13548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05" w:type="pct"/>
            <w:noWrap/>
            <w:vAlign w:val="bottom"/>
          </w:tcPr>
          <w:p w14:paraId="587544D2">
            <w:pPr>
              <w:keepNext w:val="0"/>
              <w:keepLines w:val="0"/>
              <w:widowControl/>
              <w:suppressLineNumbers w:val="0"/>
              <w:jc w:val="center"/>
              <w:textAlignment w:val="bottom"/>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236" w:type="pct"/>
            <w:noWrap/>
            <w:vAlign w:val="bottom"/>
          </w:tcPr>
          <w:p w14:paraId="37A7C160">
            <w:pPr>
              <w:keepNext w:val="0"/>
              <w:keepLines w:val="0"/>
              <w:widowControl/>
              <w:suppressLineNumbers w:val="0"/>
              <w:jc w:val="center"/>
              <w:textAlignment w:val="bottom"/>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202</w:t>
            </w:r>
            <w:r>
              <w:rPr>
                <w:rFonts w:hint="eastAsia" w:cs="Times New Roman"/>
                <w:i w:val="0"/>
                <w:iCs w:val="0"/>
                <w:color w:val="auto"/>
                <w:kern w:val="0"/>
                <w:sz w:val="21"/>
                <w:szCs w:val="21"/>
                <w:highlight w:val="none"/>
                <w:u w:val="none"/>
                <w:lang w:val="en-US" w:eastAsia="zh-CN" w:bidi="ar"/>
              </w:rPr>
              <w:t>6</w:t>
            </w:r>
          </w:p>
        </w:tc>
        <w:tc>
          <w:tcPr>
            <w:tcW w:w="1220" w:type="pct"/>
            <w:noWrap/>
            <w:vAlign w:val="bottom"/>
          </w:tcPr>
          <w:p w14:paraId="0022F44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33.64</w:t>
            </w:r>
          </w:p>
        </w:tc>
        <w:tc>
          <w:tcPr>
            <w:tcW w:w="1338" w:type="pct"/>
            <w:noWrap/>
            <w:vAlign w:val="bottom"/>
          </w:tcPr>
          <w:p w14:paraId="7CAD6BFA">
            <w:pPr>
              <w:keepNext w:val="0"/>
              <w:keepLines w:val="0"/>
              <w:widowControl/>
              <w:suppressLineNumbers w:val="0"/>
              <w:jc w:val="center"/>
              <w:textAlignment w:val="bottom"/>
              <w:rPr>
                <w:rFonts w:hint="default" w:ascii="Times New Roman" w:hAnsi="Times New Roman" w:cs="Times New Roman"/>
                <w:bCs/>
                <w:color w:val="auto"/>
                <w:sz w:val="21"/>
                <w:szCs w:val="21"/>
                <w:highlight w:val="none"/>
                <w:lang w:val="en-US"/>
              </w:rPr>
            </w:pPr>
            <w:r>
              <w:rPr>
                <w:rFonts w:hint="eastAsia" w:cs="Times New Roman"/>
                <w:i w:val="0"/>
                <w:iCs w:val="0"/>
                <w:color w:val="auto"/>
                <w:kern w:val="0"/>
                <w:sz w:val="21"/>
                <w:szCs w:val="21"/>
                <w:highlight w:val="none"/>
                <w:u w:val="none"/>
                <w:lang w:val="en-US" w:eastAsia="zh-CN" w:bidi="ar"/>
              </w:rPr>
              <w:t>35</w:t>
            </w:r>
          </w:p>
        </w:tc>
      </w:tr>
      <w:tr w14:paraId="7D96B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05" w:type="pct"/>
            <w:noWrap/>
            <w:vAlign w:val="bottom"/>
          </w:tcPr>
          <w:p w14:paraId="5FADF569">
            <w:pPr>
              <w:keepNext w:val="0"/>
              <w:keepLines w:val="0"/>
              <w:widowControl/>
              <w:suppressLineNumbers w:val="0"/>
              <w:jc w:val="center"/>
              <w:textAlignment w:val="bottom"/>
              <w:rPr>
                <w:rFonts w:hint="default" w:ascii="Times New Roman" w:hAnsi="Times New Roman" w:cs="Times New Roman"/>
                <w:bCs/>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1236" w:type="pct"/>
            <w:noWrap/>
            <w:vAlign w:val="bottom"/>
          </w:tcPr>
          <w:p w14:paraId="3AC8C84E">
            <w:pPr>
              <w:keepNext w:val="0"/>
              <w:keepLines w:val="0"/>
              <w:widowControl/>
              <w:suppressLineNumbers w:val="0"/>
              <w:jc w:val="center"/>
              <w:textAlignment w:val="bottom"/>
              <w:rPr>
                <w:rFonts w:hint="default" w:ascii="Times New Roman" w:hAnsi="Times New Roman" w:cs="Times New Roman"/>
                <w:bCs/>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202</w:t>
            </w:r>
            <w:r>
              <w:rPr>
                <w:rFonts w:hint="eastAsia" w:cs="Times New Roman"/>
                <w:i w:val="0"/>
                <w:iCs w:val="0"/>
                <w:color w:val="auto"/>
                <w:kern w:val="0"/>
                <w:sz w:val="21"/>
                <w:szCs w:val="21"/>
                <w:highlight w:val="none"/>
                <w:u w:val="none"/>
                <w:lang w:val="en-US" w:eastAsia="zh-CN" w:bidi="ar"/>
              </w:rPr>
              <w:t>7</w:t>
            </w:r>
          </w:p>
        </w:tc>
        <w:tc>
          <w:tcPr>
            <w:tcW w:w="1220" w:type="pct"/>
            <w:noWrap/>
            <w:vAlign w:val="bottom"/>
          </w:tcPr>
          <w:p w14:paraId="3CB714B4">
            <w:pPr>
              <w:keepNext w:val="0"/>
              <w:keepLines w:val="0"/>
              <w:widowControl/>
              <w:suppressLineNumbers w:val="0"/>
              <w:jc w:val="center"/>
              <w:textAlignment w:val="bottom"/>
              <w:rPr>
                <w:rFonts w:hint="default" w:ascii="Times New Roman" w:hAnsi="Times New Roman" w:cs="Times New Roman"/>
                <w:bCs/>
                <w:color w:val="auto"/>
                <w:sz w:val="21"/>
                <w:szCs w:val="21"/>
                <w:highlight w:val="none"/>
                <w:lang w:val="en-US"/>
              </w:rPr>
            </w:pPr>
            <w:r>
              <w:rPr>
                <w:rFonts w:hint="eastAsia" w:cs="Times New Roman"/>
                <w:i w:val="0"/>
                <w:iCs w:val="0"/>
                <w:color w:val="auto"/>
                <w:kern w:val="0"/>
                <w:sz w:val="21"/>
                <w:szCs w:val="21"/>
                <w:highlight w:val="none"/>
                <w:u w:val="none"/>
                <w:lang w:val="en-US" w:eastAsia="zh-CN" w:bidi="ar"/>
              </w:rPr>
              <w:t>33.64</w:t>
            </w:r>
          </w:p>
        </w:tc>
        <w:tc>
          <w:tcPr>
            <w:tcW w:w="1338" w:type="pct"/>
            <w:noWrap/>
            <w:vAlign w:val="bottom"/>
          </w:tcPr>
          <w:p w14:paraId="38D9EA39">
            <w:pPr>
              <w:keepNext w:val="0"/>
              <w:keepLines w:val="0"/>
              <w:widowControl/>
              <w:suppressLineNumbers w:val="0"/>
              <w:jc w:val="center"/>
              <w:textAlignment w:val="bottom"/>
              <w:rPr>
                <w:rFonts w:hint="default" w:ascii="Times New Roman" w:hAnsi="Times New Roman" w:cs="Times New Roman"/>
                <w:bCs/>
                <w:color w:val="auto"/>
                <w:sz w:val="21"/>
                <w:szCs w:val="21"/>
                <w:highlight w:val="none"/>
                <w:lang w:val="en-US"/>
              </w:rPr>
            </w:pPr>
            <w:r>
              <w:rPr>
                <w:rFonts w:hint="eastAsia" w:cs="Times New Roman"/>
                <w:i w:val="0"/>
                <w:iCs w:val="0"/>
                <w:color w:val="auto"/>
                <w:kern w:val="0"/>
                <w:sz w:val="21"/>
                <w:szCs w:val="21"/>
                <w:highlight w:val="none"/>
                <w:u w:val="none"/>
                <w:lang w:val="en-US" w:eastAsia="zh-CN" w:bidi="ar"/>
              </w:rPr>
              <w:t>35</w:t>
            </w:r>
          </w:p>
        </w:tc>
      </w:tr>
      <w:tr w14:paraId="2E775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441" w:type="pct"/>
            <w:gridSpan w:val="2"/>
            <w:noWrap/>
            <w:vAlign w:val="bottom"/>
          </w:tcPr>
          <w:p w14:paraId="3352A5C7">
            <w:pPr>
              <w:keepNext w:val="0"/>
              <w:keepLines w:val="0"/>
              <w:widowControl/>
              <w:suppressLineNumbers w:val="0"/>
              <w:jc w:val="center"/>
              <w:textAlignment w:val="bottom"/>
              <w:rPr>
                <w:rFonts w:hint="default" w:ascii="Times New Roman" w:hAnsi="Times New Roman" w:cs="Times New Roman"/>
                <w:bCs/>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合计</w:t>
            </w:r>
          </w:p>
        </w:tc>
        <w:tc>
          <w:tcPr>
            <w:tcW w:w="1220" w:type="pct"/>
            <w:noWrap/>
            <w:vAlign w:val="bottom"/>
          </w:tcPr>
          <w:p w14:paraId="5011F11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84.12</w:t>
            </w:r>
          </w:p>
        </w:tc>
        <w:tc>
          <w:tcPr>
            <w:tcW w:w="1338" w:type="pct"/>
            <w:noWrap/>
            <w:vAlign w:val="bottom"/>
          </w:tcPr>
          <w:p w14:paraId="6808855A">
            <w:pPr>
              <w:keepNext w:val="0"/>
              <w:keepLines w:val="0"/>
              <w:widowControl/>
              <w:suppressLineNumbers w:val="0"/>
              <w:jc w:val="center"/>
              <w:textAlignment w:val="bottom"/>
              <w:rPr>
                <w:rFonts w:hint="default" w:ascii="Times New Roman" w:hAnsi="Times New Roman" w:cs="Times New Roman"/>
                <w:bCs/>
                <w:color w:val="auto"/>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100.00 </w:t>
            </w:r>
          </w:p>
        </w:tc>
      </w:tr>
    </w:tbl>
    <w:p w14:paraId="1FFA12D6">
      <w:pPr>
        <w:pStyle w:val="5"/>
        <w:rPr>
          <w:rFonts w:hint="default" w:ascii="Times New Roman" w:hAnsi="Times New Roman" w:eastAsia="黑体" w:cs="Times New Roman"/>
          <w:b w:val="0"/>
          <w:bCs w:val="0"/>
          <w:color w:val="auto"/>
          <w:szCs w:val="28"/>
          <w:highlight w:val="none"/>
        </w:rPr>
      </w:pPr>
      <w:bookmarkStart w:id="304" w:name="_Toc531760667"/>
      <w:bookmarkStart w:id="305" w:name="_Toc487105353"/>
      <w:r>
        <w:rPr>
          <w:rFonts w:hint="default" w:ascii="Times New Roman" w:hAnsi="Times New Roman" w:eastAsia="黑体" w:cs="Times New Roman"/>
          <w:b w:val="0"/>
          <w:bCs w:val="0"/>
          <w:color w:val="auto"/>
          <w:szCs w:val="28"/>
          <w:highlight w:val="none"/>
          <w:lang w:eastAsia="zh-CN"/>
        </w:rPr>
        <w:t>（</w:t>
      </w:r>
      <w:r>
        <w:rPr>
          <w:rFonts w:hint="default" w:ascii="Times New Roman" w:hAnsi="Times New Roman" w:eastAsia="黑体" w:cs="Times New Roman"/>
          <w:b w:val="0"/>
          <w:bCs w:val="0"/>
          <w:color w:val="auto"/>
          <w:szCs w:val="28"/>
          <w:highlight w:val="none"/>
        </w:rPr>
        <w:t>二）近5年经费安排</w:t>
      </w:r>
    </w:p>
    <w:p w14:paraId="270CCD26">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w:t>
      </w:r>
      <w:r>
        <w:rPr>
          <w:rFonts w:hint="eastAsia" w:cs="Times New Roman"/>
          <w:color w:val="auto"/>
          <w:sz w:val="24"/>
          <w:highlight w:val="none"/>
          <w:lang w:eastAsia="zh-CN"/>
        </w:rPr>
        <w:t>北大湖采石场</w:t>
      </w:r>
      <w:r>
        <w:rPr>
          <w:rFonts w:hint="default" w:ascii="Times New Roman" w:hAnsi="Times New Roman" w:cs="Times New Roman"/>
          <w:color w:val="auto"/>
          <w:sz w:val="24"/>
          <w:highlight w:val="none"/>
        </w:rPr>
        <w:t>近5年工程设计部署，可知近5年经费安排，约</w:t>
      </w:r>
      <w:r>
        <w:rPr>
          <w:rFonts w:hint="eastAsia" w:cs="Times New Roman"/>
          <w:color w:val="auto"/>
          <w:sz w:val="24"/>
          <w:highlight w:val="none"/>
          <w:lang w:val="en-US" w:eastAsia="zh-CN"/>
        </w:rPr>
        <w:t>64.60</w:t>
      </w:r>
      <w:r>
        <w:rPr>
          <w:rFonts w:hint="default" w:ascii="Times New Roman" w:hAnsi="Times New Roman" w:cs="Times New Roman"/>
          <w:color w:val="auto"/>
          <w:sz w:val="24"/>
          <w:highlight w:val="none"/>
        </w:rPr>
        <w:t>万元，见表7-</w:t>
      </w:r>
      <w:r>
        <w:rPr>
          <w:rFonts w:hint="eastAsia" w:ascii="Times New Roman" w:hAnsi="Times New Roman" w:cs="Times New Roman"/>
          <w:color w:val="auto"/>
          <w:sz w:val="24"/>
          <w:highlight w:val="none"/>
          <w:lang w:val="en-US" w:eastAsia="zh-CN"/>
        </w:rPr>
        <w:t>25</w:t>
      </w:r>
      <w:r>
        <w:rPr>
          <w:rFonts w:hint="default" w:ascii="Times New Roman" w:hAnsi="Times New Roman" w:cs="Times New Roman"/>
          <w:color w:val="auto"/>
          <w:sz w:val="24"/>
          <w:highlight w:val="none"/>
        </w:rPr>
        <w:t>。</w:t>
      </w:r>
    </w:p>
    <w:p w14:paraId="7017C1C6">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黑体" w:cs="Times New Roman"/>
          <w:b w:val="0"/>
          <w:bCs/>
          <w:color w:val="auto"/>
          <w:szCs w:val="21"/>
          <w:highlight w:val="none"/>
        </w:rPr>
      </w:pPr>
      <w:r>
        <w:rPr>
          <w:rFonts w:hint="default" w:ascii="Times New Roman" w:hAnsi="Times New Roman" w:eastAsia="黑体" w:cs="Times New Roman"/>
          <w:b w:val="0"/>
          <w:bCs/>
          <w:color w:val="auto"/>
          <w:szCs w:val="21"/>
          <w:highlight w:val="none"/>
        </w:rPr>
        <w:t>表7</w:t>
      </w:r>
      <w:r>
        <w:rPr>
          <w:rFonts w:hint="eastAsia" w:ascii="Times New Roman" w:hAnsi="Times New Roman" w:eastAsia="黑体" w:cs="Times New Roman"/>
          <w:b w:val="0"/>
          <w:bCs/>
          <w:color w:val="auto"/>
          <w:szCs w:val="21"/>
          <w:highlight w:val="none"/>
          <w:lang w:val="en-US" w:eastAsia="zh-CN"/>
        </w:rPr>
        <w:t>-25</w:t>
      </w:r>
      <w:r>
        <w:rPr>
          <w:rFonts w:hint="default" w:ascii="Times New Roman" w:hAnsi="Times New Roman" w:eastAsia="黑体" w:cs="Times New Roman"/>
          <w:b w:val="0"/>
          <w:bCs/>
          <w:color w:val="auto"/>
          <w:szCs w:val="21"/>
          <w:highlight w:val="none"/>
        </w:rPr>
        <w:t xml:space="preserve">   近5年矿山地质环境治理与土地复垦费用汇总表</w:t>
      </w:r>
      <w:bookmarkStart w:id="306" w:name="_Hlk63665188"/>
    </w:p>
    <w:bookmarkEnd w:id="306"/>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5"/>
        <w:gridCol w:w="1313"/>
        <w:gridCol w:w="4600"/>
        <w:gridCol w:w="1321"/>
      </w:tblGrid>
      <w:tr w14:paraId="7BDED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5" w:type="dxa"/>
            <w:shd w:val="clear" w:color="auto" w:fill="auto"/>
            <w:noWrap w:val="0"/>
            <w:vAlign w:val="center"/>
          </w:tcPr>
          <w:p w14:paraId="18C7E2CA">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 w:val="21"/>
                <w:szCs w:val="21"/>
                <w:highlight w:val="none"/>
              </w:rPr>
              <w:t>治理复垦时间</w:t>
            </w:r>
          </w:p>
        </w:tc>
        <w:tc>
          <w:tcPr>
            <w:tcW w:w="1313" w:type="dxa"/>
            <w:noWrap w:val="0"/>
            <w:vAlign w:val="center"/>
          </w:tcPr>
          <w:p w14:paraId="187F62CA">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 w:val="21"/>
                <w:szCs w:val="21"/>
                <w:highlight w:val="none"/>
              </w:rPr>
              <w:t>治理复垦单元</w:t>
            </w:r>
          </w:p>
        </w:tc>
        <w:tc>
          <w:tcPr>
            <w:tcW w:w="4600" w:type="dxa"/>
            <w:noWrap w:val="0"/>
            <w:vAlign w:val="center"/>
          </w:tcPr>
          <w:p w14:paraId="356C7891">
            <w:pPr>
              <w:jc w:val="center"/>
              <w:rPr>
                <w:rFonts w:hint="eastAsia"/>
                <w:color w:val="auto"/>
                <w:highlight w:val="none"/>
                <w:lang w:val="en-US" w:eastAsia="zh-CN"/>
              </w:rPr>
            </w:pPr>
            <w:r>
              <w:rPr>
                <w:rFonts w:hint="default" w:ascii="Times New Roman" w:hAnsi="Times New Roman" w:cs="Times New Roman"/>
                <w:color w:val="auto"/>
                <w:sz w:val="21"/>
                <w:szCs w:val="21"/>
                <w:highlight w:val="none"/>
              </w:rPr>
              <w:t>主要工程措施</w:t>
            </w:r>
          </w:p>
        </w:tc>
        <w:tc>
          <w:tcPr>
            <w:tcW w:w="1321" w:type="dxa"/>
            <w:noWrap w:val="0"/>
            <w:vAlign w:val="center"/>
          </w:tcPr>
          <w:p w14:paraId="27131636">
            <w:pPr>
              <w:jc w:val="center"/>
              <w:rPr>
                <w:rFonts w:hint="eastAsia"/>
                <w:color w:val="auto"/>
                <w:highlight w:val="none"/>
                <w:lang w:val="en-US" w:eastAsia="zh-CN"/>
              </w:rPr>
            </w:pPr>
            <w:r>
              <w:rPr>
                <w:rFonts w:hint="default" w:ascii="Times New Roman" w:hAnsi="Times New Roman" w:cs="Times New Roman"/>
                <w:color w:val="auto"/>
                <w:sz w:val="21"/>
                <w:szCs w:val="21"/>
                <w:highlight w:val="none"/>
                <w:lang w:val="en-US" w:eastAsia="zh-CN"/>
              </w:rPr>
              <w:t>费用</w:t>
            </w:r>
            <w:r>
              <w:rPr>
                <w:rFonts w:hint="eastAsia" w:ascii="Times New Roman" w:hAnsi="Times New Roman" w:cs="Times New Roman"/>
                <w:color w:val="auto"/>
                <w:sz w:val="21"/>
                <w:szCs w:val="21"/>
                <w:highlight w:val="none"/>
                <w:lang w:val="en-US" w:eastAsia="zh-CN"/>
              </w:rPr>
              <w:t>（万元）</w:t>
            </w:r>
          </w:p>
        </w:tc>
      </w:tr>
      <w:tr w14:paraId="21CF7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5" w:type="dxa"/>
            <w:shd w:val="clear" w:color="auto" w:fill="auto"/>
            <w:noWrap w:val="0"/>
            <w:vAlign w:val="center"/>
          </w:tcPr>
          <w:p w14:paraId="6E08A28F">
            <w:pP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Cs w:val="21"/>
                <w:highlight w:val="none"/>
              </w:rPr>
              <w:t>202</w:t>
            </w:r>
            <w:r>
              <w:rPr>
                <w:rFonts w:hint="default" w:ascii="Times New Roman" w:hAnsi="Times New Roman" w:cs="Times New Roman"/>
                <w:color w:val="auto"/>
                <w:kern w:val="0"/>
                <w:szCs w:val="21"/>
                <w:highlight w:val="none"/>
                <w:lang w:val="en-US" w:eastAsia="zh-CN"/>
              </w:rPr>
              <w:t>4</w:t>
            </w:r>
            <w:r>
              <w:rPr>
                <w:rFonts w:hint="default" w:ascii="Times New Roman" w:hAnsi="Times New Roman" w:cs="Times New Roman"/>
                <w:color w:val="auto"/>
                <w:kern w:val="0"/>
                <w:szCs w:val="21"/>
                <w:highlight w:val="none"/>
              </w:rPr>
              <w:t>.</w:t>
            </w:r>
            <w:r>
              <w:rPr>
                <w:rFonts w:hint="eastAsia" w:cs="Times New Roman"/>
                <w:color w:val="auto"/>
                <w:kern w:val="0"/>
                <w:szCs w:val="21"/>
                <w:highlight w:val="none"/>
                <w:lang w:val="en-US" w:eastAsia="zh-CN"/>
              </w:rPr>
              <w:t>5</w:t>
            </w:r>
            <w:r>
              <w:rPr>
                <w:rFonts w:hint="default" w:ascii="Times New Roman" w:hAnsi="Times New Roman" w:cs="Times New Roman"/>
                <w:color w:val="auto"/>
                <w:kern w:val="0"/>
                <w:szCs w:val="21"/>
                <w:highlight w:val="none"/>
              </w:rPr>
              <w:t>～20</w:t>
            </w:r>
            <w:r>
              <w:rPr>
                <w:rFonts w:hint="default" w:ascii="Times New Roman" w:hAnsi="Times New Roman" w:cs="Times New Roman"/>
                <w:color w:val="auto"/>
                <w:kern w:val="0"/>
                <w:szCs w:val="21"/>
                <w:highlight w:val="none"/>
                <w:lang w:val="en-US" w:eastAsia="zh-CN"/>
              </w:rPr>
              <w:t>2</w:t>
            </w:r>
            <w:r>
              <w:rPr>
                <w:rFonts w:hint="eastAsia" w:cs="Times New Roman"/>
                <w:color w:val="auto"/>
                <w:kern w:val="0"/>
                <w:szCs w:val="21"/>
                <w:highlight w:val="none"/>
                <w:lang w:val="en-US" w:eastAsia="zh-CN"/>
              </w:rPr>
              <w:t>5.4</w:t>
            </w:r>
          </w:p>
        </w:tc>
        <w:tc>
          <w:tcPr>
            <w:tcW w:w="1313" w:type="dxa"/>
            <w:noWrap w:val="0"/>
            <w:vAlign w:val="center"/>
          </w:tcPr>
          <w:p w14:paraId="432F98DE">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全矿区</w:t>
            </w:r>
          </w:p>
        </w:tc>
        <w:tc>
          <w:tcPr>
            <w:tcW w:w="4600" w:type="dxa"/>
            <w:noWrap w:val="0"/>
            <w:vAlign w:val="center"/>
          </w:tcPr>
          <w:p w14:paraId="0BAB764C">
            <w:pPr>
              <w:ind w:firstLine="420" w:firstLineChars="200"/>
              <w:jc w:val="both"/>
              <w:rPr>
                <w:rFonts w:hint="default"/>
                <w:color w:val="auto"/>
                <w:highlight w:val="none"/>
              </w:rPr>
            </w:pPr>
            <w:r>
              <w:rPr>
                <w:rFonts w:hint="default"/>
                <w:color w:val="auto"/>
                <w:highlight w:val="none"/>
                <w:lang w:val="en-US" w:eastAsia="zh-CN"/>
              </w:rPr>
              <w:t>设置网围栏</w:t>
            </w:r>
            <w:r>
              <w:rPr>
                <w:rFonts w:hint="eastAsia"/>
                <w:color w:val="auto"/>
                <w:highlight w:val="none"/>
                <w:lang w:val="en-US" w:eastAsia="zh-CN"/>
              </w:rPr>
              <w:t>780</w:t>
            </w:r>
            <w:r>
              <w:rPr>
                <w:rFonts w:hint="default"/>
                <w:color w:val="auto"/>
                <w:highlight w:val="none"/>
                <w:lang w:val="en-US" w:eastAsia="zh-CN"/>
              </w:rPr>
              <w:t>m，设立警示牌</w:t>
            </w:r>
            <w:r>
              <w:rPr>
                <w:rFonts w:hint="eastAsia"/>
                <w:color w:val="auto"/>
                <w:highlight w:val="none"/>
                <w:lang w:val="en-US" w:eastAsia="zh-CN"/>
              </w:rPr>
              <w:t>10</w:t>
            </w:r>
            <w:r>
              <w:rPr>
                <w:rFonts w:hint="default"/>
                <w:color w:val="auto"/>
                <w:highlight w:val="none"/>
                <w:lang w:val="en-US" w:eastAsia="zh-CN"/>
              </w:rPr>
              <w:t>个。</w:t>
            </w:r>
          </w:p>
          <w:p w14:paraId="4550F450">
            <w:pPr>
              <w:ind w:firstLine="420" w:firstLineChars="200"/>
              <w:jc w:val="both"/>
              <w:rPr>
                <w:rFonts w:hint="default" w:eastAsia="宋体"/>
                <w:color w:val="auto"/>
                <w:highlight w:val="none"/>
                <w:lang w:val="en-US" w:eastAsia="zh-CN"/>
              </w:rPr>
            </w:pPr>
            <w:r>
              <w:rPr>
                <w:rFonts w:hint="eastAsia"/>
                <w:color w:val="auto"/>
                <w:highlight w:val="none"/>
                <w:lang w:val="en-US" w:eastAsia="zh-CN"/>
              </w:rPr>
              <w:t>表土剥离及运输543m</w:t>
            </w:r>
            <w:r>
              <w:rPr>
                <w:rFonts w:hint="eastAsia"/>
                <w:color w:val="auto"/>
                <w:highlight w:val="none"/>
                <w:vertAlign w:val="superscript"/>
                <w:lang w:val="en-US" w:eastAsia="zh-CN"/>
              </w:rPr>
              <w:t>3</w:t>
            </w:r>
            <w:r>
              <w:rPr>
                <w:rFonts w:hint="eastAsia"/>
                <w:color w:val="auto"/>
                <w:highlight w:val="none"/>
                <w:lang w:val="en-US" w:eastAsia="zh-CN"/>
              </w:rPr>
              <w:t>、编织袋拦挡145m</w:t>
            </w:r>
            <w:r>
              <w:rPr>
                <w:rFonts w:hint="eastAsia"/>
                <w:color w:val="auto"/>
                <w:highlight w:val="none"/>
                <w:vertAlign w:val="superscript"/>
                <w:lang w:val="en-US" w:eastAsia="zh-CN"/>
              </w:rPr>
              <w:t>3</w:t>
            </w:r>
            <w:r>
              <w:rPr>
                <w:rFonts w:hint="eastAsia"/>
                <w:color w:val="auto"/>
                <w:highlight w:val="none"/>
                <w:lang w:val="en-US" w:eastAsia="zh-CN"/>
              </w:rPr>
              <w:t>、表土养护0.4330hm</w:t>
            </w:r>
            <w:r>
              <w:rPr>
                <w:rFonts w:hint="eastAsia"/>
                <w:color w:val="auto"/>
                <w:highlight w:val="none"/>
                <w:vertAlign w:val="superscript"/>
                <w:lang w:val="en-US" w:eastAsia="zh-CN"/>
              </w:rPr>
              <w:t>2</w:t>
            </w:r>
            <w:r>
              <w:rPr>
                <w:rFonts w:hint="eastAsia"/>
                <w:color w:val="auto"/>
                <w:highlight w:val="none"/>
                <w:lang w:val="en-US" w:eastAsia="zh-CN"/>
              </w:rPr>
              <w:t>。</w:t>
            </w:r>
          </w:p>
          <w:p w14:paraId="63FC491D">
            <w:pPr>
              <w:ind w:firstLine="420" w:firstLineChars="200"/>
              <w:jc w:val="both"/>
              <w:rPr>
                <w:rFonts w:hint="default"/>
                <w:color w:val="auto"/>
                <w:highlight w:val="none"/>
                <w:lang w:val="en-US" w:eastAsia="zh-CN"/>
              </w:rPr>
            </w:pPr>
            <w:r>
              <w:rPr>
                <w:rFonts w:hint="eastAsia"/>
                <w:color w:val="auto"/>
                <w:highlight w:val="none"/>
                <w:lang w:val="en-US" w:eastAsia="zh-CN"/>
              </w:rPr>
              <w:t>边坡稳定性</w:t>
            </w:r>
            <w:r>
              <w:rPr>
                <w:rFonts w:hint="default"/>
                <w:color w:val="auto"/>
                <w:highlight w:val="none"/>
                <w:lang w:val="en-US" w:eastAsia="zh-CN"/>
              </w:rPr>
              <w:t>监测</w:t>
            </w:r>
            <w:r>
              <w:rPr>
                <w:rFonts w:hint="eastAsia"/>
                <w:color w:val="auto"/>
                <w:highlight w:val="none"/>
                <w:lang w:val="en-US" w:eastAsia="zh-CN"/>
              </w:rPr>
              <w:t>15</w:t>
            </w:r>
            <w:r>
              <w:rPr>
                <w:rFonts w:hint="default"/>
                <w:color w:val="auto"/>
                <w:highlight w:val="none"/>
              </w:rPr>
              <w:t>次； 地下水水位监测共</w:t>
            </w:r>
            <w:r>
              <w:rPr>
                <w:rFonts w:hint="eastAsia"/>
                <w:color w:val="auto"/>
                <w:highlight w:val="none"/>
                <w:lang w:val="en-US" w:eastAsia="zh-CN"/>
              </w:rPr>
              <w:t>12</w:t>
            </w:r>
            <w:r>
              <w:rPr>
                <w:rFonts w:hint="default"/>
                <w:color w:val="auto"/>
                <w:highlight w:val="none"/>
              </w:rPr>
              <w:t>次； 地下水水质监测共</w:t>
            </w:r>
            <w:r>
              <w:rPr>
                <w:rFonts w:hint="eastAsia"/>
                <w:color w:val="auto"/>
                <w:highlight w:val="none"/>
                <w:lang w:val="en-US" w:eastAsia="zh-CN"/>
              </w:rPr>
              <w:t>3</w:t>
            </w:r>
            <w:r>
              <w:rPr>
                <w:rFonts w:hint="default"/>
                <w:color w:val="auto"/>
                <w:highlight w:val="none"/>
              </w:rPr>
              <w:t>次。</w:t>
            </w:r>
            <w:r>
              <w:rPr>
                <w:rFonts w:hint="default"/>
                <w:color w:val="auto"/>
                <w:highlight w:val="none"/>
                <w:lang w:val="en-US" w:eastAsia="zh-CN"/>
              </w:rPr>
              <w:t>土地复垦</w:t>
            </w:r>
            <w:r>
              <w:rPr>
                <w:rFonts w:hint="eastAsia"/>
                <w:color w:val="auto"/>
                <w:highlight w:val="none"/>
                <w:lang w:val="en-US" w:eastAsia="zh-CN"/>
              </w:rPr>
              <w:t>4</w:t>
            </w:r>
            <w:r>
              <w:rPr>
                <w:rFonts w:hint="default"/>
                <w:color w:val="auto"/>
                <w:highlight w:val="none"/>
                <w:lang w:val="en-US" w:eastAsia="zh-CN"/>
              </w:rPr>
              <w:t>次。</w:t>
            </w:r>
          </w:p>
        </w:tc>
        <w:tc>
          <w:tcPr>
            <w:tcW w:w="1321" w:type="dxa"/>
            <w:noWrap w:val="0"/>
            <w:vAlign w:val="center"/>
          </w:tcPr>
          <w:p w14:paraId="1C37BB4C">
            <w:pPr>
              <w:keepNext w:val="0"/>
              <w:keepLines w:val="0"/>
              <w:widowControl/>
              <w:suppressLineNumbers w:val="0"/>
              <w:jc w:val="center"/>
              <w:textAlignment w:val="center"/>
              <w:rPr>
                <w:rFonts w:hint="eastAsia"/>
                <w:color w:val="auto"/>
                <w:highlight w:val="none"/>
                <w:lang w:val="en-US" w:eastAsia="zh-CN"/>
              </w:rPr>
            </w:pPr>
            <w:r>
              <w:rPr>
                <w:rFonts w:hint="default" w:ascii="Times New Roman" w:hAnsi="Times New Roman" w:eastAsia="宋体" w:cs="Times New Roman"/>
                <w:i w:val="0"/>
                <w:iCs w:val="0"/>
                <w:color w:val="auto"/>
                <w:kern w:val="0"/>
                <w:sz w:val="24"/>
                <w:szCs w:val="24"/>
                <w:u w:val="none"/>
                <w:lang w:val="en-US" w:eastAsia="zh-CN" w:bidi="ar"/>
              </w:rPr>
              <w:t xml:space="preserve">7.52 </w:t>
            </w:r>
          </w:p>
        </w:tc>
      </w:tr>
      <w:tr w14:paraId="2D586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5" w:type="dxa"/>
            <w:noWrap w:val="0"/>
            <w:vAlign w:val="center"/>
          </w:tcPr>
          <w:p w14:paraId="1FAE8042">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kern w:val="0"/>
                <w:szCs w:val="21"/>
                <w:highlight w:val="none"/>
              </w:rPr>
              <w:t>202</w:t>
            </w:r>
            <w:r>
              <w:rPr>
                <w:rFonts w:hint="default" w:ascii="Times New Roman" w:hAnsi="Times New Roman" w:cs="Times New Roman"/>
                <w:color w:val="auto"/>
                <w:kern w:val="0"/>
                <w:szCs w:val="21"/>
                <w:highlight w:val="none"/>
                <w:lang w:val="en-US" w:eastAsia="zh-CN"/>
              </w:rPr>
              <w:t>5</w:t>
            </w:r>
            <w:r>
              <w:rPr>
                <w:rFonts w:hint="default" w:ascii="Times New Roman" w:hAnsi="Times New Roman" w:cs="Times New Roman"/>
                <w:color w:val="auto"/>
                <w:kern w:val="0"/>
                <w:szCs w:val="21"/>
                <w:highlight w:val="none"/>
              </w:rPr>
              <w:t>.</w:t>
            </w:r>
            <w:r>
              <w:rPr>
                <w:rFonts w:hint="eastAsia" w:ascii="Times New Roman" w:hAnsi="Times New Roman" w:cs="Times New Roman"/>
                <w:color w:val="auto"/>
                <w:kern w:val="0"/>
                <w:szCs w:val="21"/>
                <w:highlight w:val="none"/>
                <w:lang w:val="en-US" w:eastAsia="zh-CN"/>
              </w:rPr>
              <w:t>5</w:t>
            </w:r>
            <w:r>
              <w:rPr>
                <w:rFonts w:hint="default" w:ascii="Times New Roman" w:hAnsi="Times New Roman" w:cs="Times New Roman"/>
                <w:color w:val="auto"/>
                <w:kern w:val="0"/>
                <w:szCs w:val="21"/>
                <w:highlight w:val="none"/>
              </w:rPr>
              <w:t>～202</w:t>
            </w:r>
            <w:r>
              <w:rPr>
                <w:rFonts w:hint="default" w:ascii="Times New Roman" w:hAnsi="Times New Roman" w:cs="Times New Roman"/>
                <w:color w:val="auto"/>
                <w:kern w:val="0"/>
                <w:szCs w:val="21"/>
                <w:highlight w:val="none"/>
                <w:lang w:val="en-US" w:eastAsia="zh-CN"/>
              </w:rPr>
              <w:t>6.</w:t>
            </w:r>
            <w:r>
              <w:rPr>
                <w:rFonts w:hint="eastAsia" w:ascii="Times New Roman" w:hAnsi="Times New Roman" w:cs="Times New Roman"/>
                <w:color w:val="auto"/>
                <w:kern w:val="0"/>
                <w:szCs w:val="21"/>
                <w:highlight w:val="none"/>
                <w:lang w:val="en-US" w:eastAsia="zh-CN"/>
              </w:rPr>
              <w:t>4</w:t>
            </w:r>
          </w:p>
        </w:tc>
        <w:tc>
          <w:tcPr>
            <w:tcW w:w="1313" w:type="dxa"/>
            <w:noWrap w:val="0"/>
            <w:vAlign w:val="center"/>
          </w:tcPr>
          <w:p w14:paraId="57B492BD">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全矿区</w:t>
            </w:r>
          </w:p>
        </w:tc>
        <w:tc>
          <w:tcPr>
            <w:tcW w:w="4600" w:type="dxa"/>
            <w:noWrap w:val="0"/>
            <w:vAlign w:val="center"/>
          </w:tcPr>
          <w:p w14:paraId="7D508515">
            <w:pPr>
              <w:ind w:firstLine="420" w:firstLineChars="200"/>
              <w:jc w:val="both"/>
              <w:rPr>
                <w:rFonts w:hint="default"/>
                <w:color w:val="auto"/>
                <w:highlight w:val="none"/>
                <w:lang w:val="en-US" w:eastAsia="zh-CN"/>
              </w:rPr>
            </w:pPr>
            <w:r>
              <w:rPr>
                <w:rFonts w:hint="eastAsia"/>
                <w:color w:val="auto"/>
                <w:highlight w:val="none"/>
                <w:lang w:val="en-US" w:eastAsia="zh-CN"/>
              </w:rPr>
              <w:t>原有办公室及临时堆料场拆除建筑物92m</w:t>
            </w:r>
            <w:r>
              <w:rPr>
                <w:rFonts w:hint="eastAsia"/>
                <w:color w:val="auto"/>
                <w:highlight w:val="none"/>
                <w:vertAlign w:val="superscript"/>
                <w:lang w:val="en-US" w:eastAsia="zh-CN"/>
              </w:rPr>
              <w:t>3</w:t>
            </w:r>
            <w:r>
              <w:rPr>
                <w:rFonts w:hint="eastAsia"/>
                <w:color w:val="auto"/>
                <w:highlight w:val="none"/>
                <w:lang w:val="en-US" w:eastAsia="zh-CN"/>
              </w:rPr>
              <w:t>、清理硬覆盖236m</w:t>
            </w:r>
            <w:r>
              <w:rPr>
                <w:rFonts w:hint="eastAsia"/>
                <w:color w:val="auto"/>
                <w:highlight w:val="none"/>
                <w:vertAlign w:val="superscript"/>
                <w:lang w:val="en-US" w:eastAsia="zh-CN"/>
              </w:rPr>
              <w:t>3</w:t>
            </w:r>
            <w:r>
              <w:rPr>
                <w:rFonts w:hint="eastAsia"/>
                <w:color w:val="auto"/>
                <w:highlight w:val="none"/>
                <w:lang w:val="en-US" w:eastAsia="zh-CN"/>
              </w:rPr>
              <w:t>、运输建筑垃圾及硬覆盖328m</w:t>
            </w:r>
            <w:r>
              <w:rPr>
                <w:rFonts w:hint="eastAsia"/>
                <w:color w:val="auto"/>
                <w:highlight w:val="none"/>
                <w:vertAlign w:val="superscript"/>
                <w:lang w:val="en-US" w:eastAsia="zh-CN"/>
              </w:rPr>
              <w:t>3</w:t>
            </w:r>
            <w:r>
              <w:rPr>
                <w:rFonts w:hint="eastAsia"/>
                <w:color w:val="auto"/>
                <w:highlight w:val="none"/>
                <w:lang w:val="en-US" w:eastAsia="zh-CN"/>
              </w:rPr>
              <w:t>。场地平整177m</w:t>
            </w:r>
            <w:r>
              <w:rPr>
                <w:rFonts w:hint="eastAsia"/>
                <w:color w:val="auto"/>
                <w:highlight w:val="none"/>
                <w:vertAlign w:val="superscript"/>
                <w:lang w:val="en-US" w:eastAsia="zh-CN"/>
              </w:rPr>
              <w:t>3</w:t>
            </w:r>
            <w:r>
              <w:rPr>
                <w:rFonts w:hint="eastAsia"/>
                <w:color w:val="auto"/>
                <w:highlight w:val="none"/>
                <w:lang w:val="en-US" w:eastAsia="zh-CN"/>
              </w:rPr>
              <w:t>。</w:t>
            </w:r>
          </w:p>
          <w:p w14:paraId="00F0B1AD">
            <w:pPr>
              <w:ind w:firstLine="420" w:firstLineChars="200"/>
              <w:jc w:val="both"/>
              <w:rPr>
                <w:rFonts w:hint="default" w:ascii="Times New Roman" w:hAnsi="Times New Roman" w:cs="Times New Roman"/>
                <w:color w:val="auto"/>
                <w:szCs w:val="21"/>
                <w:highlight w:val="none"/>
              </w:rPr>
            </w:pPr>
            <w:r>
              <w:rPr>
                <w:rFonts w:hint="eastAsia"/>
                <w:color w:val="auto"/>
                <w:highlight w:val="none"/>
                <w:lang w:val="en-US" w:eastAsia="zh-CN"/>
              </w:rPr>
              <w:t>边坡稳定性</w:t>
            </w:r>
            <w:r>
              <w:rPr>
                <w:rFonts w:hint="default"/>
                <w:color w:val="auto"/>
                <w:highlight w:val="none"/>
                <w:lang w:val="en-US" w:eastAsia="zh-CN"/>
              </w:rPr>
              <w:t>监测</w:t>
            </w:r>
            <w:r>
              <w:rPr>
                <w:rFonts w:hint="eastAsia"/>
                <w:color w:val="auto"/>
                <w:highlight w:val="none"/>
                <w:lang w:val="en-US" w:eastAsia="zh-CN"/>
              </w:rPr>
              <w:t>15</w:t>
            </w:r>
            <w:r>
              <w:rPr>
                <w:rFonts w:hint="default"/>
                <w:color w:val="auto"/>
                <w:highlight w:val="none"/>
              </w:rPr>
              <w:t>次； 地下水水位监测共</w:t>
            </w:r>
            <w:r>
              <w:rPr>
                <w:rFonts w:hint="eastAsia"/>
                <w:color w:val="auto"/>
                <w:highlight w:val="none"/>
                <w:lang w:val="en-US" w:eastAsia="zh-CN"/>
              </w:rPr>
              <w:t>12</w:t>
            </w:r>
            <w:r>
              <w:rPr>
                <w:rFonts w:hint="default"/>
                <w:color w:val="auto"/>
                <w:highlight w:val="none"/>
              </w:rPr>
              <w:t>次； 地下水水质监测共</w:t>
            </w:r>
            <w:r>
              <w:rPr>
                <w:rFonts w:hint="eastAsia"/>
                <w:color w:val="auto"/>
                <w:highlight w:val="none"/>
                <w:lang w:val="en-US" w:eastAsia="zh-CN"/>
              </w:rPr>
              <w:t>3</w:t>
            </w:r>
            <w:r>
              <w:rPr>
                <w:rFonts w:hint="default"/>
                <w:color w:val="auto"/>
                <w:highlight w:val="none"/>
              </w:rPr>
              <w:t>次。</w:t>
            </w:r>
            <w:r>
              <w:rPr>
                <w:rFonts w:hint="default"/>
                <w:color w:val="auto"/>
                <w:highlight w:val="none"/>
                <w:lang w:val="en-US" w:eastAsia="zh-CN"/>
              </w:rPr>
              <w:t>土地复垦</w:t>
            </w:r>
            <w:r>
              <w:rPr>
                <w:rFonts w:hint="eastAsia"/>
                <w:color w:val="auto"/>
                <w:highlight w:val="none"/>
                <w:lang w:val="en-US" w:eastAsia="zh-CN"/>
              </w:rPr>
              <w:t>4</w:t>
            </w:r>
            <w:r>
              <w:rPr>
                <w:rFonts w:hint="default"/>
                <w:color w:val="auto"/>
                <w:highlight w:val="none"/>
                <w:lang w:val="en-US" w:eastAsia="zh-CN"/>
              </w:rPr>
              <w:t>次。</w:t>
            </w:r>
          </w:p>
        </w:tc>
        <w:tc>
          <w:tcPr>
            <w:tcW w:w="1321" w:type="dxa"/>
            <w:noWrap w:val="0"/>
            <w:vAlign w:val="center"/>
          </w:tcPr>
          <w:p w14:paraId="3A8355DE">
            <w:pPr>
              <w:keepNext w:val="0"/>
              <w:keepLines w:val="0"/>
              <w:widowControl/>
              <w:suppressLineNumbers w:val="0"/>
              <w:jc w:val="center"/>
              <w:textAlignment w:val="center"/>
              <w:rPr>
                <w:rFonts w:hint="eastAsia"/>
                <w:color w:val="auto"/>
                <w:highlight w:val="none"/>
                <w:lang w:val="en-US" w:eastAsia="zh-CN"/>
              </w:rPr>
            </w:pPr>
            <w:r>
              <w:rPr>
                <w:rFonts w:hint="default" w:ascii="Times New Roman" w:hAnsi="Times New Roman" w:eastAsia="宋体" w:cs="Times New Roman"/>
                <w:i w:val="0"/>
                <w:iCs w:val="0"/>
                <w:color w:val="auto"/>
                <w:kern w:val="0"/>
                <w:sz w:val="24"/>
                <w:szCs w:val="24"/>
                <w:u w:val="none"/>
                <w:lang w:val="en-US" w:eastAsia="zh-CN" w:bidi="ar"/>
              </w:rPr>
              <w:t xml:space="preserve">9.81 </w:t>
            </w:r>
          </w:p>
        </w:tc>
      </w:tr>
      <w:tr w14:paraId="430C3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5" w:type="dxa"/>
            <w:shd w:val="clear" w:color="auto" w:fill="auto"/>
            <w:noWrap w:val="0"/>
            <w:vAlign w:val="center"/>
          </w:tcPr>
          <w:p w14:paraId="05A70C96">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0"/>
                <w:szCs w:val="21"/>
                <w:highlight w:val="none"/>
              </w:rPr>
              <w:t>202</w:t>
            </w:r>
            <w:r>
              <w:rPr>
                <w:rFonts w:hint="eastAsia" w:ascii="Times New Roman" w:hAnsi="Times New Roman" w:cs="Times New Roman"/>
                <w:color w:val="auto"/>
                <w:kern w:val="0"/>
                <w:szCs w:val="21"/>
                <w:highlight w:val="none"/>
                <w:lang w:val="en-US" w:eastAsia="zh-CN"/>
              </w:rPr>
              <w:t>6</w:t>
            </w:r>
            <w:r>
              <w:rPr>
                <w:rFonts w:hint="default" w:ascii="Times New Roman" w:hAnsi="Times New Roman" w:cs="Times New Roman"/>
                <w:color w:val="auto"/>
                <w:kern w:val="0"/>
                <w:szCs w:val="21"/>
                <w:highlight w:val="none"/>
              </w:rPr>
              <w:t>.</w:t>
            </w:r>
            <w:r>
              <w:rPr>
                <w:rFonts w:hint="eastAsia" w:ascii="Times New Roman" w:hAnsi="Times New Roman" w:cs="Times New Roman"/>
                <w:color w:val="auto"/>
                <w:kern w:val="0"/>
                <w:szCs w:val="21"/>
                <w:highlight w:val="none"/>
                <w:lang w:val="en-US" w:eastAsia="zh-CN"/>
              </w:rPr>
              <w:t>5</w:t>
            </w:r>
            <w:r>
              <w:rPr>
                <w:rFonts w:hint="default" w:ascii="Times New Roman" w:hAnsi="Times New Roman" w:cs="Times New Roman"/>
                <w:color w:val="auto"/>
                <w:kern w:val="0"/>
                <w:szCs w:val="21"/>
                <w:highlight w:val="none"/>
              </w:rPr>
              <w:t>～202</w:t>
            </w:r>
            <w:r>
              <w:rPr>
                <w:rFonts w:hint="eastAsia" w:ascii="Times New Roman" w:hAnsi="Times New Roman" w:cs="Times New Roman"/>
                <w:color w:val="auto"/>
                <w:kern w:val="0"/>
                <w:szCs w:val="21"/>
                <w:highlight w:val="none"/>
                <w:lang w:val="en-US" w:eastAsia="zh-CN"/>
              </w:rPr>
              <w:t>7</w:t>
            </w:r>
            <w:r>
              <w:rPr>
                <w:rFonts w:hint="default" w:ascii="Times New Roman" w:hAnsi="Times New Roman" w:cs="Times New Roman"/>
                <w:color w:val="auto"/>
                <w:kern w:val="0"/>
                <w:szCs w:val="21"/>
                <w:highlight w:val="none"/>
                <w:lang w:val="en-US" w:eastAsia="zh-CN"/>
              </w:rPr>
              <w:t>.</w:t>
            </w:r>
            <w:r>
              <w:rPr>
                <w:rFonts w:hint="eastAsia" w:ascii="Times New Roman" w:hAnsi="Times New Roman" w:cs="Times New Roman"/>
                <w:color w:val="auto"/>
                <w:kern w:val="0"/>
                <w:szCs w:val="21"/>
                <w:highlight w:val="none"/>
                <w:lang w:val="en-US" w:eastAsia="zh-CN"/>
              </w:rPr>
              <w:t>4</w:t>
            </w:r>
          </w:p>
        </w:tc>
        <w:tc>
          <w:tcPr>
            <w:tcW w:w="1313" w:type="dxa"/>
            <w:noWrap w:val="0"/>
            <w:vAlign w:val="center"/>
          </w:tcPr>
          <w:p w14:paraId="401AD72A">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全矿区</w:t>
            </w:r>
          </w:p>
        </w:tc>
        <w:tc>
          <w:tcPr>
            <w:tcW w:w="4600" w:type="dxa"/>
            <w:noWrap w:val="0"/>
            <w:vAlign w:val="center"/>
          </w:tcPr>
          <w:p w14:paraId="0A5499DD">
            <w:pPr>
              <w:ind w:firstLine="420" w:firstLineChars="200"/>
              <w:jc w:val="both"/>
              <w:rPr>
                <w:rFonts w:hint="default"/>
                <w:color w:val="auto"/>
                <w:highlight w:val="none"/>
                <w:lang w:val="en-US" w:eastAsia="zh-CN"/>
              </w:rPr>
            </w:pPr>
            <w:r>
              <w:rPr>
                <w:rFonts w:hint="eastAsia"/>
                <w:color w:val="auto"/>
                <w:highlight w:val="none"/>
                <w:lang w:val="en-US" w:eastAsia="zh-CN"/>
              </w:rPr>
              <w:t>原有办公室及临时堆料场土地翻耕0.1178hm</w:t>
            </w:r>
            <w:r>
              <w:rPr>
                <w:rFonts w:hint="eastAsia"/>
                <w:color w:val="auto"/>
                <w:highlight w:val="none"/>
                <w:vertAlign w:val="superscript"/>
                <w:lang w:val="en-US" w:eastAsia="zh-CN"/>
              </w:rPr>
              <w:t>2</w:t>
            </w:r>
            <w:r>
              <w:rPr>
                <w:rFonts w:hint="eastAsia"/>
                <w:color w:val="auto"/>
                <w:highlight w:val="none"/>
                <w:vertAlign w:val="baseline"/>
                <w:lang w:val="en-US" w:eastAsia="zh-CN"/>
              </w:rPr>
              <w:t>、</w:t>
            </w:r>
            <w:r>
              <w:rPr>
                <w:rFonts w:hint="eastAsia"/>
                <w:color w:val="auto"/>
                <w:highlight w:val="none"/>
                <w:lang w:val="en-US" w:eastAsia="zh-CN"/>
              </w:rPr>
              <w:t>表土运输及回填353m</w:t>
            </w:r>
            <w:r>
              <w:rPr>
                <w:rFonts w:hint="eastAsia"/>
                <w:color w:val="auto"/>
                <w:highlight w:val="none"/>
                <w:vertAlign w:val="superscript"/>
                <w:lang w:val="en-US" w:eastAsia="zh-CN"/>
              </w:rPr>
              <w:t>3</w:t>
            </w:r>
            <w:r>
              <w:rPr>
                <w:rFonts w:hint="eastAsia"/>
                <w:color w:val="auto"/>
                <w:highlight w:val="none"/>
                <w:lang w:val="en-US" w:eastAsia="zh-CN"/>
              </w:rPr>
              <w:t>、栽植乔木295株、播撒草籽0.1178hm</w:t>
            </w:r>
            <w:r>
              <w:rPr>
                <w:rFonts w:hint="eastAsia"/>
                <w:color w:val="auto"/>
                <w:highlight w:val="none"/>
                <w:vertAlign w:val="superscript"/>
                <w:lang w:val="en-US" w:eastAsia="zh-CN"/>
              </w:rPr>
              <w:t>2</w:t>
            </w:r>
            <w:r>
              <w:rPr>
                <w:rFonts w:hint="eastAsia"/>
                <w:color w:val="auto"/>
                <w:highlight w:val="none"/>
                <w:lang w:val="en-US" w:eastAsia="zh-CN"/>
              </w:rPr>
              <w:t>。</w:t>
            </w:r>
          </w:p>
          <w:p w14:paraId="0E0CED50">
            <w:pPr>
              <w:ind w:firstLine="420" w:firstLineChars="200"/>
              <w:jc w:val="both"/>
              <w:rPr>
                <w:rFonts w:hint="default" w:ascii="Times New Roman" w:hAnsi="Times New Roman" w:cs="Times New Roman"/>
                <w:color w:val="auto"/>
                <w:szCs w:val="21"/>
                <w:highlight w:val="none"/>
              </w:rPr>
            </w:pPr>
            <w:r>
              <w:rPr>
                <w:rFonts w:hint="eastAsia"/>
                <w:color w:val="auto"/>
                <w:highlight w:val="none"/>
                <w:lang w:val="en-US" w:eastAsia="zh-CN"/>
              </w:rPr>
              <w:t>边坡稳定性</w:t>
            </w:r>
            <w:r>
              <w:rPr>
                <w:rFonts w:hint="default"/>
                <w:color w:val="auto"/>
                <w:highlight w:val="none"/>
                <w:lang w:val="en-US" w:eastAsia="zh-CN"/>
              </w:rPr>
              <w:t>监测</w:t>
            </w:r>
            <w:r>
              <w:rPr>
                <w:rFonts w:hint="eastAsia"/>
                <w:color w:val="auto"/>
                <w:highlight w:val="none"/>
                <w:lang w:val="en-US" w:eastAsia="zh-CN"/>
              </w:rPr>
              <w:t>15</w:t>
            </w:r>
            <w:r>
              <w:rPr>
                <w:rFonts w:hint="default"/>
                <w:color w:val="auto"/>
                <w:highlight w:val="none"/>
              </w:rPr>
              <w:t>次； 地下水水位监测共</w:t>
            </w:r>
            <w:r>
              <w:rPr>
                <w:rFonts w:hint="eastAsia"/>
                <w:color w:val="auto"/>
                <w:highlight w:val="none"/>
                <w:lang w:val="en-US" w:eastAsia="zh-CN"/>
              </w:rPr>
              <w:t>12</w:t>
            </w:r>
            <w:r>
              <w:rPr>
                <w:rFonts w:hint="default"/>
                <w:color w:val="auto"/>
                <w:highlight w:val="none"/>
              </w:rPr>
              <w:t>次；地下水水质监测共</w:t>
            </w:r>
            <w:r>
              <w:rPr>
                <w:rFonts w:hint="eastAsia"/>
                <w:color w:val="auto"/>
                <w:highlight w:val="none"/>
                <w:lang w:val="en-US" w:eastAsia="zh-CN"/>
              </w:rPr>
              <w:t>3</w:t>
            </w:r>
            <w:r>
              <w:rPr>
                <w:rFonts w:hint="default"/>
                <w:color w:val="auto"/>
                <w:highlight w:val="none"/>
              </w:rPr>
              <w:t>次。</w:t>
            </w:r>
            <w:r>
              <w:rPr>
                <w:rFonts w:hint="default"/>
                <w:color w:val="auto"/>
                <w:highlight w:val="none"/>
                <w:lang w:val="en-US" w:eastAsia="zh-CN"/>
              </w:rPr>
              <w:t>土地复垦</w:t>
            </w:r>
            <w:r>
              <w:rPr>
                <w:rFonts w:hint="eastAsia"/>
                <w:color w:val="auto"/>
                <w:highlight w:val="none"/>
                <w:lang w:val="en-US" w:eastAsia="zh-CN"/>
              </w:rPr>
              <w:t>4</w:t>
            </w:r>
            <w:r>
              <w:rPr>
                <w:rFonts w:hint="default"/>
                <w:color w:val="auto"/>
                <w:highlight w:val="none"/>
                <w:lang w:val="en-US" w:eastAsia="zh-CN"/>
              </w:rPr>
              <w:t>次。</w:t>
            </w:r>
          </w:p>
        </w:tc>
        <w:tc>
          <w:tcPr>
            <w:tcW w:w="1321" w:type="dxa"/>
            <w:noWrap w:val="0"/>
            <w:vAlign w:val="center"/>
          </w:tcPr>
          <w:p w14:paraId="2459E112">
            <w:pPr>
              <w:keepNext w:val="0"/>
              <w:keepLines w:val="0"/>
              <w:widowControl/>
              <w:suppressLineNumbers w:val="0"/>
              <w:jc w:val="center"/>
              <w:textAlignment w:val="center"/>
              <w:rPr>
                <w:rFonts w:hint="eastAsia"/>
                <w:color w:val="auto"/>
                <w:highlight w:val="none"/>
                <w:lang w:val="en-US" w:eastAsia="zh-CN"/>
              </w:rPr>
            </w:pPr>
            <w:r>
              <w:rPr>
                <w:rFonts w:hint="default" w:ascii="Times New Roman" w:hAnsi="Times New Roman" w:eastAsia="宋体" w:cs="Times New Roman"/>
                <w:i w:val="0"/>
                <w:iCs w:val="0"/>
                <w:color w:val="auto"/>
                <w:kern w:val="0"/>
                <w:sz w:val="24"/>
                <w:szCs w:val="24"/>
                <w:u w:val="none"/>
                <w:lang w:val="en-US" w:eastAsia="zh-CN" w:bidi="ar"/>
              </w:rPr>
              <w:t xml:space="preserve">1.05 </w:t>
            </w:r>
          </w:p>
        </w:tc>
      </w:tr>
      <w:tr w14:paraId="44A28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5" w:type="dxa"/>
            <w:noWrap w:val="0"/>
            <w:vAlign w:val="center"/>
          </w:tcPr>
          <w:p w14:paraId="2FCFD457">
            <w:pPr>
              <w:jc w:val="center"/>
              <w:rPr>
                <w:rFonts w:hint="default" w:ascii="Times New Roman" w:hAnsi="Times New Roman" w:cs="Times New Roman"/>
                <w:color w:val="auto"/>
                <w:kern w:val="0"/>
                <w:szCs w:val="21"/>
                <w:highlight w:val="none"/>
                <w:lang w:val="en-US"/>
              </w:rPr>
            </w:pPr>
            <w:r>
              <w:rPr>
                <w:rFonts w:hint="default" w:ascii="Times New Roman" w:hAnsi="Times New Roman" w:cs="Times New Roman"/>
                <w:color w:val="auto"/>
                <w:kern w:val="0"/>
                <w:szCs w:val="21"/>
                <w:highlight w:val="none"/>
              </w:rPr>
              <w:t>202</w:t>
            </w:r>
            <w:r>
              <w:rPr>
                <w:rFonts w:hint="eastAsia" w:ascii="Times New Roman" w:hAnsi="Times New Roman" w:cs="Times New Roman"/>
                <w:color w:val="auto"/>
                <w:kern w:val="0"/>
                <w:szCs w:val="21"/>
                <w:highlight w:val="none"/>
                <w:lang w:val="en-US" w:eastAsia="zh-CN"/>
              </w:rPr>
              <w:t>7</w:t>
            </w:r>
            <w:r>
              <w:rPr>
                <w:rFonts w:hint="default" w:ascii="Times New Roman" w:hAnsi="Times New Roman" w:cs="Times New Roman"/>
                <w:color w:val="auto"/>
                <w:kern w:val="0"/>
                <w:szCs w:val="21"/>
                <w:highlight w:val="none"/>
              </w:rPr>
              <w:t>.</w:t>
            </w:r>
            <w:r>
              <w:rPr>
                <w:rFonts w:hint="eastAsia" w:ascii="Times New Roman" w:hAnsi="Times New Roman" w:cs="Times New Roman"/>
                <w:color w:val="auto"/>
                <w:kern w:val="0"/>
                <w:szCs w:val="21"/>
                <w:highlight w:val="none"/>
                <w:lang w:val="en-US" w:eastAsia="zh-CN"/>
              </w:rPr>
              <w:t>5</w:t>
            </w:r>
            <w:r>
              <w:rPr>
                <w:rFonts w:hint="default" w:ascii="Times New Roman" w:hAnsi="Times New Roman" w:cs="Times New Roman"/>
                <w:color w:val="auto"/>
                <w:kern w:val="0"/>
                <w:szCs w:val="21"/>
                <w:highlight w:val="none"/>
              </w:rPr>
              <w:t>～202</w:t>
            </w:r>
            <w:r>
              <w:rPr>
                <w:rFonts w:hint="eastAsia" w:ascii="Times New Roman" w:hAnsi="Times New Roman" w:cs="Times New Roman"/>
                <w:color w:val="auto"/>
                <w:kern w:val="0"/>
                <w:szCs w:val="21"/>
                <w:highlight w:val="none"/>
                <w:lang w:val="en-US" w:eastAsia="zh-CN"/>
              </w:rPr>
              <w:t>7</w:t>
            </w:r>
            <w:r>
              <w:rPr>
                <w:rFonts w:hint="default" w:ascii="Times New Roman" w:hAnsi="Times New Roman" w:cs="Times New Roman"/>
                <w:color w:val="auto"/>
                <w:kern w:val="0"/>
                <w:szCs w:val="21"/>
                <w:highlight w:val="none"/>
                <w:lang w:val="en-US" w:eastAsia="zh-CN"/>
              </w:rPr>
              <w:t>.</w:t>
            </w:r>
            <w:r>
              <w:rPr>
                <w:rFonts w:hint="eastAsia" w:ascii="Times New Roman" w:hAnsi="Times New Roman" w:cs="Times New Roman"/>
                <w:color w:val="auto"/>
                <w:kern w:val="0"/>
                <w:szCs w:val="21"/>
                <w:highlight w:val="none"/>
                <w:lang w:val="en-US" w:eastAsia="zh-CN"/>
              </w:rPr>
              <w:t>12</w:t>
            </w:r>
          </w:p>
        </w:tc>
        <w:tc>
          <w:tcPr>
            <w:tcW w:w="1313" w:type="dxa"/>
            <w:noWrap w:val="0"/>
            <w:vAlign w:val="center"/>
          </w:tcPr>
          <w:p w14:paraId="77B9837C">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全矿区</w:t>
            </w:r>
          </w:p>
        </w:tc>
        <w:tc>
          <w:tcPr>
            <w:tcW w:w="4600" w:type="dxa"/>
            <w:noWrap w:val="0"/>
            <w:vAlign w:val="center"/>
          </w:tcPr>
          <w:p w14:paraId="1C737B98">
            <w:pPr>
              <w:ind w:firstLine="420" w:firstLineChars="200"/>
              <w:jc w:val="both"/>
              <w:rPr>
                <w:rFonts w:hint="default" w:ascii="Times New Roman" w:hAnsi="Times New Roman" w:cs="Times New Roman"/>
                <w:color w:val="auto"/>
                <w:szCs w:val="21"/>
                <w:highlight w:val="none"/>
              </w:rPr>
            </w:pPr>
            <w:r>
              <w:rPr>
                <w:rFonts w:hint="eastAsia"/>
                <w:color w:val="auto"/>
                <w:highlight w:val="none"/>
                <w:lang w:val="en-US" w:eastAsia="zh-CN"/>
              </w:rPr>
              <w:t>边坡稳定性</w:t>
            </w:r>
            <w:r>
              <w:rPr>
                <w:rFonts w:hint="default"/>
                <w:color w:val="auto"/>
                <w:highlight w:val="none"/>
                <w:lang w:val="en-US" w:eastAsia="zh-CN"/>
              </w:rPr>
              <w:t>监测</w:t>
            </w:r>
            <w:r>
              <w:rPr>
                <w:rFonts w:hint="eastAsia"/>
                <w:color w:val="auto"/>
                <w:highlight w:val="none"/>
                <w:lang w:val="en-US" w:eastAsia="zh-CN"/>
              </w:rPr>
              <w:t>11</w:t>
            </w:r>
            <w:r>
              <w:rPr>
                <w:rFonts w:hint="default"/>
                <w:color w:val="auto"/>
                <w:highlight w:val="none"/>
              </w:rPr>
              <w:t>次； 地下水水位监测共</w:t>
            </w:r>
            <w:r>
              <w:rPr>
                <w:rFonts w:hint="eastAsia"/>
                <w:color w:val="auto"/>
                <w:highlight w:val="none"/>
                <w:lang w:val="en-US" w:eastAsia="zh-CN"/>
              </w:rPr>
              <w:t>9</w:t>
            </w:r>
            <w:r>
              <w:rPr>
                <w:rFonts w:hint="default"/>
                <w:color w:val="auto"/>
                <w:highlight w:val="none"/>
              </w:rPr>
              <w:t>次； 地下水水质监测共</w:t>
            </w:r>
            <w:r>
              <w:rPr>
                <w:rFonts w:hint="eastAsia"/>
                <w:color w:val="auto"/>
                <w:highlight w:val="none"/>
                <w:lang w:val="en-US" w:eastAsia="zh-CN"/>
              </w:rPr>
              <w:t>2</w:t>
            </w:r>
            <w:r>
              <w:rPr>
                <w:rFonts w:hint="default"/>
                <w:color w:val="auto"/>
                <w:highlight w:val="none"/>
              </w:rPr>
              <w:t>次。</w:t>
            </w:r>
            <w:r>
              <w:rPr>
                <w:rFonts w:hint="default"/>
                <w:color w:val="auto"/>
                <w:highlight w:val="none"/>
                <w:lang w:val="en-US" w:eastAsia="zh-CN"/>
              </w:rPr>
              <w:t>土地复垦</w:t>
            </w:r>
            <w:r>
              <w:rPr>
                <w:rFonts w:hint="eastAsia"/>
                <w:color w:val="auto"/>
                <w:highlight w:val="none"/>
                <w:lang w:val="en-US" w:eastAsia="zh-CN"/>
              </w:rPr>
              <w:t>3</w:t>
            </w:r>
            <w:r>
              <w:rPr>
                <w:rFonts w:hint="default"/>
                <w:color w:val="auto"/>
                <w:highlight w:val="none"/>
                <w:lang w:val="en-US" w:eastAsia="zh-CN"/>
              </w:rPr>
              <w:t>次。</w:t>
            </w:r>
          </w:p>
        </w:tc>
        <w:tc>
          <w:tcPr>
            <w:tcW w:w="1321" w:type="dxa"/>
            <w:noWrap w:val="0"/>
            <w:vAlign w:val="center"/>
          </w:tcPr>
          <w:p w14:paraId="06A1FF1C">
            <w:pPr>
              <w:keepNext w:val="0"/>
              <w:keepLines w:val="0"/>
              <w:widowControl/>
              <w:suppressLineNumbers w:val="0"/>
              <w:jc w:val="center"/>
              <w:textAlignment w:val="center"/>
              <w:rPr>
                <w:rFonts w:hint="eastAsia"/>
                <w:color w:val="auto"/>
                <w:highlight w:val="none"/>
                <w:lang w:val="en-US" w:eastAsia="zh-CN"/>
              </w:rPr>
            </w:pPr>
            <w:r>
              <w:rPr>
                <w:rFonts w:hint="default" w:ascii="Times New Roman" w:hAnsi="Times New Roman" w:eastAsia="宋体" w:cs="Times New Roman"/>
                <w:i w:val="0"/>
                <w:iCs w:val="0"/>
                <w:color w:val="auto"/>
                <w:kern w:val="0"/>
                <w:sz w:val="24"/>
                <w:szCs w:val="24"/>
                <w:u w:val="none"/>
                <w:lang w:val="en-US" w:eastAsia="zh-CN" w:bidi="ar"/>
              </w:rPr>
              <w:t>0.7</w:t>
            </w:r>
            <w:r>
              <w:rPr>
                <w:rFonts w:hint="eastAsia" w:ascii="Times New Roman" w:hAnsi="Times New Roman" w:eastAsia="宋体" w:cs="Times New Roman"/>
                <w:i w:val="0"/>
                <w:iCs w:val="0"/>
                <w:color w:val="auto"/>
                <w:kern w:val="0"/>
                <w:sz w:val="24"/>
                <w:szCs w:val="24"/>
                <w:u w:val="none"/>
                <w:lang w:val="en-US" w:eastAsia="zh-CN" w:bidi="ar"/>
              </w:rPr>
              <w:t>5</w:t>
            </w:r>
          </w:p>
        </w:tc>
      </w:tr>
      <w:tr w14:paraId="6D1BC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5" w:type="dxa"/>
            <w:noWrap w:val="0"/>
            <w:vAlign w:val="center"/>
          </w:tcPr>
          <w:p w14:paraId="0E5223DA">
            <w:pPr>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highlight w:val="none"/>
                <w:lang w:val="en-US" w:eastAsia="zh-CN"/>
              </w:rPr>
              <w:t>2028.1</w:t>
            </w:r>
            <w:r>
              <w:rPr>
                <w:rFonts w:hint="default" w:ascii="Times New Roman" w:hAnsi="Times New Roman" w:cs="Times New Roman"/>
                <w:color w:val="auto"/>
                <w:kern w:val="0"/>
                <w:szCs w:val="21"/>
                <w:highlight w:val="none"/>
              </w:rPr>
              <w:t>～</w:t>
            </w:r>
            <w:r>
              <w:rPr>
                <w:rFonts w:hint="eastAsia" w:ascii="Times New Roman" w:hAnsi="Times New Roman" w:cs="Times New Roman"/>
                <w:color w:val="auto"/>
                <w:kern w:val="0"/>
                <w:szCs w:val="21"/>
                <w:highlight w:val="none"/>
                <w:lang w:val="en-US" w:eastAsia="zh-CN"/>
              </w:rPr>
              <w:t>2028.12</w:t>
            </w:r>
          </w:p>
        </w:tc>
        <w:tc>
          <w:tcPr>
            <w:tcW w:w="1313" w:type="dxa"/>
            <w:noWrap w:val="0"/>
            <w:vAlign w:val="center"/>
          </w:tcPr>
          <w:p w14:paraId="13DBDF44">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全矿区</w:t>
            </w:r>
          </w:p>
        </w:tc>
        <w:tc>
          <w:tcPr>
            <w:tcW w:w="4600" w:type="dxa"/>
            <w:noWrap w:val="0"/>
            <w:vAlign w:val="center"/>
          </w:tcPr>
          <w:p w14:paraId="2954058C">
            <w:pPr>
              <w:ind w:firstLine="420" w:firstLineChars="200"/>
              <w:jc w:val="both"/>
              <w:rPr>
                <w:rFonts w:hint="default" w:cs="Times New Roman"/>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边坡清理</w:t>
            </w:r>
            <w:r>
              <w:rPr>
                <w:rFonts w:hint="eastAsia" w:cs="Times New Roman"/>
                <w:bCs/>
                <w:color w:val="auto"/>
                <w:sz w:val="21"/>
                <w:szCs w:val="21"/>
                <w:highlight w:val="none"/>
                <w:lang w:val="en-US" w:eastAsia="zh-CN"/>
              </w:rPr>
              <w:t>586</w:t>
            </w:r>
            <w:r>
              <w:rPr>
                <w:rFonts w:hint="default" w:ascii="Times New Roman" w:hAnsi="Times New Roman" w:cs="Times New Roman"/>
                <w:bCs/>
                <w:color w:val="auto"/>
                <w:sz w:val="21"/>
                <w:szCs w:val="21"/>
                <w:highlight w:val="none"/>
                <w:lang w:val="en-US" w:eastAsia="zh-CN"/>
              </w:rPr>
              <w:t>m</w:t>
            </w:r>
            <w:r>
              <w:rPr>
                <w:rFonts w:hint="default" w:ascii="Times New Roman" w:hAnsi="Times New Roman" w:cs="Times New Roman"/>
                <w:bCs/>
                <w:color w:val="auto"/>
                <w:sz w:val="21"/>
                <w:szCs w:val="21"/>
                <w:highlight w:val="none"/>
                <w:vertAlign w:val="superscript"/>
                <w:lang w:val="en-US" w:eastAsia="zh-CN"/>
              </w:rPr>
              <w:t>3</w:t>
            </w:r>
            <w:r>
              <w:rPr>
                <w:rFonts w:hint="default" w:ascii="Times New Roman" w:hAnsi="Times New Roman" w:cs="Times New Roman"/>
                <w:bCs/>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拆除</w:t>
            </w:r>
            <w:r>
              <w:rPr>
                <w:rFonts w:hint="eastAsia" w:cs="Times New Roman"/>
                <w:color w:val="auto"/>
                <w:sz w:val="21"/>
                <w:szCs w:val="21"/>
                <w:highlight w:val="none"/>
                <w:lang w:val="en-US" w:eastAsia="zh-CN"/>
              </w:rPr>
              <w:t>建筑物342</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清除硬覆盖325m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vertAlign w:val="baseline"/>
                <w:lang w:val="en-US" w:eastAsia="zh-CN"/>
              </w:rPr>
              <w:t>运输建筑垃圾</w:t>
            </w:r>
            <w:r>
              <w:rPr>
                <w:rFonts w:hint="eastAsia" w:cs="Times New Roman"/>
                <w:color w:val="auto"/>
                <w:sz w:val="21"/>
                <w:szCs w:val="21"/>
                <w:highlight w:val="none"/>
                <w:vertAlign w:val="baseline"/>
                <w:lang w:val="en-US" w:eastAsia="zh-CN"/>
              </w:rPr>
              <w:t>及硬覆盖667</w:t>
            </w:r>
            <w:r>
              <w:rPr>
                <w:rFonts w:hint="default" w:ascii="Times New Roman" w:hAnsi="Times New Roman" w:cs="Times New Roman"/>
                <w:color w:val="auto"/>
                <w:sz w:val="21"/>
                <w:szCs w:val="21"/>
                <w:highlight w:val="none"/>
                <w:vertAlign w:val="baseline"/>
                <w:lang w:val="en-US" w:eastAsia="zh-CN"/>
              </w:rPr>
              <w:t>m</w:t>
            </w:r>
            <w:r>
              <w:rPr>
                <w:rFonts w:hint="default" w:ascii="Times New Roman" w:hAnsi="Times New Roman" w:cs="Times New Roman"/>
                <w:color w:val="auto"/>
                <w:sz w:val="21"/>
                <w:szCs w:val="21"/>
                <w:highlight w:val="none"/>
                <w:vertAlign w:val="superscript"/>
                <w:lang w:val="en-US" w:eastAsia="zh-CN"/>
              </w:rPr>
              <w:t>3</w:t>
            </w:r>
            <w:r>
              <w:rPr>
                <w:rFonts w:hint="eastAsia" w:cs="Times New Roman"/>
                <w:bCs/>
                <w:color w:val="auto"/>
                <w:sz w:val="21"/>
                <w:szCs w:val="21"/>
                <w:highlight w:val="none"/>
                <w:lang w:eastAsia="zh-CN"/>
              </w:rPr>
              <w:t>、</w:t>
            </w:r>
            <w:r>
              <w:rPr>
                <w:rFonts w:hint="eastAsia" w:cs="Times New Roman"/>
                <w:bCs/>
                <w:color w:val="auto"/>
                <w:sz w:val="21"/>
                <w:szCs w:val="21"/>
                <w:highlight w:val="none"/>
                <w:lang w:val="en-US" w:eastAsia="zh-CN"/>
              </w:rPr>
              <w:t>废渣回填11705m</w:t>
            </w:r>
            <w:r>
              <w:rPr>
                <w:rFonts w:hint="eastAsia" w:cs="Times New Roman"/>
                <w:bCs/>
                <w:color w:val="auto"/>
                <w:sz w:val="21"/>
                <w:szCs w:val="21"/>
                <w:highlight w:val="none"/>
                <w:vertAlign w:val="superscript"/>
                <w:lang w:val="en-US" w:eastAsia="zh-CN"/>
              </w:rPr>
              <w:t>3</w:t>
            </w:r>
            <w:r>
              <w:rPr>
                <w:rFonts w:hint="eastAsia" w:cs="Times New Roman"/>
                <w:bCs/>
                <w:color w:val="auto"/>
                <w:sz w:val="21"/>
                <w:szCs w:val="21"/>
                <w:highlight w:val="none"/>
                <w:lang w:val="en-US" w:eastAsia="zh-CN"/>
              </w:rPr>
              <w:t>、</w:t>
            </w:r>
            <w:r>
              <w:rPr>
                <w:rFonts w:hint="default" w:ascii="Times New Roman" w:hAnsi="Times New Roman" w:cs="Times New Roman"/>
                <w:bCs/>
                <w:color w:val="auto"/>
                <w:sz w:val="21"/>
                <w:szCs w:val="21"/>
                <w:highlight w:val="none"/>
              </w:rPr>
              <w:t>场地平整</w:t>
            </w:r>
            <w:r>
              <w:rPr>
                <w:rFonts w:hint="eastAsia" w:cs="Times New Roman"/>
                <w:bCs/>
                <w:color w:val="auto"/>
                <w:sz w:val="21"/>
                <w:szCs w:val="21"/>
                <w:highlight w:val="none"/>
                <w:lang w:val="en-US" w:eastAsia="zh-CN"/>
              </w:rPr>
              <w:t>4634</w:t>
            </w:r>
            <w:r>
              <w:rPr>
                <w:rFonts w:hint="default" w:ascii="Times New Roman" w:hAnsi="Times New Roman" w:cs="Times New Roman"/>
                <w:bCs/>
                <w:color w:val="auto"/>
                <w:sz w:val="21"/>
                <w:szCs w:val="21"/>
                <w:highlight w:val="none"/>
                <w:lang w:eastAsia="zh-CN"/>
              </w:rPr>
              <w:t>m</w:t>
            </w:r>
            <w:r>
              <w:rPr>
                <w:rFonts w:hint="default" w:ascii="Times New Roman" w:hAnsi="Times New Roman" w:cs="Times New Roman"/>
                <w:bCs/>
                <w:color w:val="auto"/>
                <w:sz w:val="21"/>
                <w:szCs w:val="21"/>
                <w:highlight w:val="none"/>
                <w:vertAlign w:val="superscript"/>
                <w:lang w:eastAsia="zh-CN"/>
              </w:rPr>
              <w:t>3</w:t>
            </w:r>
            <w:r>
              <w:rPr>
                <w:rFonts w:hint="eastAsia" w:cs="Times New Roman"/>
                <w:bCs/>
                <w:color w:val="auto"/>
                <w:sz w:val="21"/>
                <w:szCs w:val="21"/>
                <w:highlight w:val="none"/>
                <w:lang w:eastAsia="zh-CN"/>
              </w:rPr>
              <w:t>、排水涵管钻设</w:t>
            </w:r>
            <w:r>
              <w:rPr>
                <w:rFonts w:hint="eastAsia" w:cs="Times New Roman"/>
                <w:bCs/>
                <w:color w:val="auto"/>
                <w:sz w:val="21"/>
                <w:szCs w:val="21"/>
                <w:highlight w:val="none"/>
                <w:lang w:val="en-US" w:eastAsia="zh-CN"/>
              </w:rPr>
              <w:t>36m。</w:t>
            </w:r>
          </w:p>
          <w:p w14:paraId="026348FB">
            <w:pPr>
              <w:ind w:firstLine="420" w:firstLineChars="200"/>
              <w:jc w:val="both"/>
              <w:rPr>
                <w:rFonts w:hint="eastAsia"/>
                <w:color w:val="auto"/>
                <w:sz w:val="21"/>
                <w:szCs w:val="21"/>
                <w:highlight w:val="none"/>
                <w:lang w:val="en-US" w:eastAsia="zh-CN"/>
              </w:rPr>
            </w:pPr>
            <w:r>
              <w:rPr>
                <w:rFonts w:hint="eastAsia" w:cs="Times New Roman"/>
                <w:color w:val="auto"/>
                <w:sz w:val="21"/>
                <w:szCs w:val="21"/>
                <w:highlight w:val="none"/>
                <w:lang w:val="en-US" w:eastAsia="zh-CN"/>
              </w:rPr>
              <w:t>土地翻耕1.4167hm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表土运输</w:t>
            </w:r>
            <w:r>
              <w:rPr>
                <w:rFonts w:hint="eastAsia" w:cs="Times New Roman"/>
                <w:color w:val="auto"/>
                <w:sz w:val="21"/>
                <w:szCs w:val="21"/>
                <w:highlight w:val="none"/>
                <w:lang w:val="en-US" w:eastAsia="zh-CN"/>
              </w:rPr>
              <w:t>及回填9268</w:t>
            </w:r>
            <w:r>
              <w:rPr>
                <w:rFonts w:hint="default" w:ascii="Times New Roman" w:hAnsi="Times New Roman" w:cs="Times New Roman"/>
                <w:color w:val="auto"/>
                <w:sz w:val="21"/>
                <w:szCs w:val="21"/>
                <w:highlight w:val="none"/>
                <w:lang w:eastAsia="zh-CN"/>
              </w:rPr>
              <w:t>m</w:t>
            </w:r>
            <w:r>
              <w:rPr>
                <w:rFonts w:hint="default" w:ascii="Times New Roman" w:hAnsi="Times New Roman" w:cs="Times New Roman"/>
                <w:color w:val="auto"/>
                <w:sz w:val="21"/>
                <w:szCs w:val="21"/>
                <w:highlight w:val="none"/>
                <w:vertAlign w:val="superscript"/>
                <w:lang w:eastAsia="zh-CN"/>
              </w:rPr>
              <w:t>3</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种植</w:t>
            </w:r>
            <w:r>
              <w:rPr>
                <w:rFonts w:hint="default" w:ascii="Times New Roman" w:hAnsi="Times New Roman" w:cs="Times New Roman"/>
                <w:color w:val="auto"/>
                <w:sz w:val="21"/>
                <w:szCs w:val="21"/>
                <w:highlight w:val="none"/>
                <w:lang w:eastAsia="zh-CN"/>
              </w:rPr>
              <w:t>落叶松</w:t>
            </w:r>
            <w:r>
              <w:rPr>
                <w:rFonts w:hint="eastAsia" w:cs="Times New Roman"/>
                <w:color w:val="auto"/>
                <w:sz w:val="21"/>
                <w:szCs w:val="21"/>
                <w:highlight w:val="none"/>
                <w:lang w:val="en-US" w:eastAsia="zh-CN"/>
              </w:rPr>
              <w:t>7721</w:t>
            </w:r>
            <w:r>
              <w:rPr>
                <w:rFonts w:hint="default" w:ascii="Times New Roman" w:hAnsi="Times New Roman" w:cs="Times New Roman"/>
                <w:color w:val="auto"/>
                <w:sz w:val="21"/>
                <w:szCs w:val="21"/>
                <w:highlight w:val="none"/>
              </w:rPr>
              <w:t>株，撒播草种面积</w:t>
            </w:r>
            <w:r>
              <w:rPr>
                <w:rFonts w:hint="eastAsia" w:cs="Times New Roman"/>
                <w:color w:val="auto"/>
                <w:kern w:val="0"/>
                <w:sz w:val="21"/>
                <w:szCs w:val="21"/>
                <w:highlight w:val="none"/>
                <w:lang w:val="en-US" w:eastAsia="zh-CN"/>
              </w:rPr>
              <w:t>3.0888</w:t>
            </w:r>
            <w:r>
              <w:rPr>
                <w:rFonts w:hint="default" w:ascii="Times New Roman" w:hAnsi="Times New Roman" w:cs="Times New Roman"/>
                <w:color w:val="auto"/>
                <w:sz w:val="21"/>
                <w:szCs w:val="21"/>
                <w:highlight w:val="none"/>
              </w:rPr>
              <w:t>h</w:t>
            </w:r>
            <w:r>
              <w:rPr>
                <w:rFonts w:hint="default" w:ascii="Times New Roman" w:hAnsi="Times New Roman" w:cs="Times New Roman"/>
                <w:color w:val="auto"/>
                <w:sz w:val="21"/>
                <w:szCs w:val="21"/>
                <w:highlight w:val="none"/>
                <w:lang w:eastAsia="zh-CN"/>
              </w:rPr>
              <w:t>m</w:t>
            </w:r>
            <w:r>
              <w:rPr>
                <w:rFonts w:hint="default" w:ascii="Times New Roman" w:hAnsi="Times New Roman" w:cs="Times New Roman"/>
                <w:color w:val="auto"/>
                <w:sz w:val="21"/>
                <w:szCs w:val="21"/>
                <w:highlight w:val="none"/>
                <w:vertAlign w:val="superscript"/>
                <w:lang w:eastAsia="zh-CN"/>
              </w:rPr>
              <w:t>2</w:t>
            </w:r>
            <w:r>
              <w:rPr>
                <w:rFonts w:hint="eastAsia" w:cs="Times New Roman"/>
                <w:color w:val="auto"/>
                <w:sz w:val="21"/>
                <w:szCs w:val="21"/>
                <w:highlight w:val="none"/>
                <w:vertAlign w:val="baseline"/>
                <w:lang w:eastAsia="zh-CN"/>
              </w:rPr>
              <w:t>、</w:t>
            </w:r>
            <w:r>
              <w:rPr>
                <w:rFonts w:hint="default" w:ascii="Times New Roman" w:hAnsi="Times New Roman" w:cs="Times New Roman"/>
                <w:color w:val="auto"/>
                <w:sz w:val="21"/>
                <w:szCs w:val="21"/>
                <w:highlight w:val="none"/>
                <w:vertAlign w:val="baseline"/>
                <w:lang w:val="en-US" w:eastAsia="zh-CN"/>
              </w:rPr>
              <w:t>栽植爬山虎</w:t>
            </w:r>
            <w:r>
              <w:rPr>
                <w:rFonts w:hint="eastAsia" w:cs="Times New Roman"/>
                <w:color w:val="auto"/>
                <w:sz w:val="21"/>
                <w:szCs w:val="21"/>
                <w:highlight w:val="none"/>
                <w:vertAlign w:val="baseline"/>
                <w:lang w:val="en-US" w:eastAsia="zh-CN"/>
              </w:rPr>
              <w:t>2480</w:t>
            </w:r>
            <w:r>
              <w:rPr>
                <w:rFonts w:hint="default" w:ascii="Times New Roman" w:hAnsi="Times New Roman" w:cs="Times New Roman"/>
                <w:color w:val="auto"/>
                <w:sz w:val="21"/>
                <w:szCs w:val="21"/>
                <w:highlight w:val="none"/>
                <w:vertAlign w:val="baseline"/>
                <w:lang w:val="en-US" w:eastAsia="zh-CN"/>
              </w:rPr>
              <w:t>株</w:t>
            </w:r>
            <w:r>
              <w:rPr>
                <w:rFonts w:hint="eastAsia" w:cs="Times New Roman"/>
                <w:color w:val="auto"/>
                <w:sz w:val="21"/>
                <w:szCs w:val="21"/>
                <w:highlight w:val="none"/>
                <w:vertAlign w:val="baseline"/>
                <w:lang w:val="en-US" w:eastAsia="zh-CN"/>
              </w:rPr>
              <w:t>。</w:t>
            </w:r>
          </w:p>
          <w:p w14:paraId="642DFB31">
            <w:pPr>
              <w:ind w:firstLine="420" w:firstLineChars="200"/>
              <w:jc w:val="both"/>
              <w:rPr>
                <w:rFonts w:hint="default" w:ascii="Times New Roman" w:hAnsi="Times New Roman" w:cs="Times New Roman"/>
                <w:color w:val="auto"/>
                <w:szCs w:val="21"/>
                <w:highlight w:val="none"/>
              </w:rPr>
            </w:pPr>
            <w:r>
              <w:rPr>
                <w:rFonts w:hint="eastAsia"/>
                <w:color w:val="auto"/>
                <w:sz w:val="21"/>
                <w:szCs w:val="21"/>
                <w:highlight w:val="none"/>
                <w:lang w:val="en-US" w:eastAsia="zh-CN"/>
              </w:rPr>
              <w:t>边坡稳定性</w:t>
            </w:r>
            <w:r>
              <w:rPr>
                <w:rFonts w:hint="default"/>
                <w:color w:val="auto"/>
                <w:sz w:val="21"/>
                <w:szCs w:val="21"/>
                <w:highlight w:val="none"/>
                <w:lang w:val="en-US" w:eastAsia="zh-CN"/>
              </w:rPr>
              <w:t>监测</w:t>
            </w:r>
            <w:r>
              <w:rPr>
                <w:rFonts w:hint="eastAsia"/>
                <w:color w:val="auto"/>
                <w:sz w:val="21"/>
                <w:szCs w:val="21"/>
                <w:highlight w:val="none"/>
                <w:lang w:val="en-US" w:eastAsia="zh-CN"/>
              </w:rPr>
              <w:t>15</w:t>
            </w:r>
            <w:r>
              <w:rPr>
                <w:rFonts w:hint="default"/>
                <w:color w:val="auto"/>
                <w:sz w:val="21"/>
                <w:szCs w:val="21"/>
                <w:highlight w:val="none"/>
              </w:rPr>
              <w:t>次； 地下水水位监测共</w:t>
            </w:r>
            <w:r>
              <w:rPr>
                <w:rFonts w:hint="eastAsia"/>
                <w:color w:val="auto"/>
                <w:sz w:val="21"/>
                <w:szCs w:val="21"/>
                <w:highlight w:val="none"/>
                <w:lang w:val="en-US" w:eastAsia="zh-CN"/>
              </w:rPr>
              <w:t>12</w:t>
            </w:r>
            <w:r>
              <w:rPr>
                <w:rFonts w:hint="default"/>
                <w:color w:val="auto"/>
                <w:sz w:val="21"/>
                <w:szCs w:val="21"/>
                <w:highlight w:val="none"/>
              </w:rPr>
              <w:t>次； 地下水水质监测共</w:t>
            </w:r>
            <w:r>
              <w:rPr>
                <w:rFonts w:hint="eastAsia"/>
                <w:color w:val="auto"/>
                <w:sz w:val="21"/>
                <w:szCs w:val="21"/>
                <w:highlight w:val="none"/>
                <w:lang w:val="en-US" w:eastAsia="zh-CN"/>
              </w:rPr>
              <w:t>2</w:t>
            </w:r>
            <w:r>
              <w:rPr>
                <w:rFonts w:hint="default"/>
                <w:color w:val="auto"/>
                <w:sz w:val="21"/>
                <w:szCs w:val="21"/>
                <w:highlight w:val="none"/>
              </w:rPr>
              <w:t>次。</w:t>
            </w:r>
            <w:r>
              <w:rPr>
                <w:rFonts w:hint="default"/>
                <w:color w:val="auto"/>
                <w:sz w:val="21"/>
                <w:szCs w:val="21"/>
                <w:highlight w:val="none"/>
                <w:lang w:val="en-US" w:eastAsia="zh-CN"/>
              </w:rPr>
              <w:t>土地复垦</w:t>
            </w:r>
            <w:r>
              <w:rPr>
                <w:rFonts w:hint="eastAsia"/>
                <w:color w:val="auto"/>
                <w:sz w:val="21"/>
                <w:szCs w:val="21"/>
                <w:highlight w:val="none"/>
                <w:lang w:val="en-US" w:eastAsia="zh-CN"/>
              </w:rPr>
              <w:t>3</w:t>
            </w:r>
            <w:r>
              <w:rPr>
                <w:rFonts w:hint="default"/>
                <w:color w:val="auto"/>
                <w:sz w:val="21"/>
                <w:szCs w:val="21"/>
                <w:highlight w:val="none"/>
                <w:lang w:val="en-US" w:eastAsia="zh-CN"/>
              </w:rPr>
              <w:t>次。</w:t>
            </w:r>
          </w:p>
        </w:tc>
        <w:tc>
          <w:tcPr>
            <w:tcW w:w="1321" w:type="dxa"/>
            <w:noWrap w:val="0"/>
            <w:vAlign w:val="center"/>
          </w:tcPr>
          <w:p w14:paraId="1E89D181">
            <w:pPr>
              <w:keepNext w:val="0"/>
              <w:keepLines w:val="0"/>
              <w:widowControl/>
              <w:suppressLineNumbers w:val="0"/>
              <w:jc w:val="center"/>
              <w:textAlignment w:val="center"/>
              <w:rPr>
                <w:rFonts w:hint="eastAsia"/>
                <w:color w:val="auto"/>
                <w:sz w:val="21"/>
                <w:szCs w:val="21"/>
                <w:highlight w:val="none"/>
                <w:lang w:val="en-US" w:eastAsia="zh-CN"/>
              </w:rPr>
            </w:pPr>
            <w:r>
              <w:rPr>
                <w:rFonts w:hint="default" w:ascii="Times New Roman" w:hAnsi="Times New Roman" w:eastAsia="宋体" w:cs="Times New Roman"/>
                <w:i w:val="0"/>
                <w:iCs w:val="0"/>
                <w:color w:val="auto"/>
                <w:kern w:val="0"/>
                <w:sz w:val="24"/>
                <w:szCs w:val="24"/>
                <w:u w:val="none"/>
                <w:lang w:val="en-US" w:eastAsia="zh-CN" w:bidi="ar"/>
              </w:rPr>
              <w:t xml:space="preserve">45.47 </w:t>
            </w:r>
          </w:p>
        </w:tc>
      </w:tr>
      <w:tr w14:paraId="74388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5" w:type="dxa"/>
            <w:noWrap w:val="0"/>
            <w:vAlign w:val="center"/>
          </w:tcPr>
          <w:p w14:paraId="34D9AB4C">
            <w:pPr>
              <w:jc w:val="center"/>
              <w:rPr>
                <w:rFonts w:hint="default" w:ascii="Times New Roman" w:hAnsi="Times New Roman" w:cs="Times New Roman"/>
                <w:color w:val="auto"/>
                <w:kern w:val="0"/>
                <w:szCs w:val="21"/>
                <w:highlight w:val="none"/>
                <w:lang w:val="en-US" w:eastAsia="zh-CN"/>
              </w:rPr>
            </w:pPr>
            <w:r>
              <w:rPr>
                <w:rFonts w:hint="eastAsia" w:ascii="Times New Roman" w:hAnsi="Times New Roman" w:cs="Times New Roman"/>
                <w:color w:val="auto"/>
                <w:kern w:val="0"/>
                <w:szCs w:val="21"/>
                <w:highlight w:val="none"/>
                <w:lang w:val="en-US" w:eastAsia="zh-CN"/>
              </w:rPr>
              <w:t>合计</w:t>
            </w:r>
          </w:p>
        </w:tc>
        <w:tc>
          <w:tcPr>
            <w:tcW w:w="1313" w:type="dxa"/>
            <w:noWrap w:val="0"/>
            <w:vAlign w:val="center"/>
          </w:tcPr>
          <w:p w14:paraId="5ACD826F">
            <w:pPr>
              <w:jc w:val="center"/>
              <w:rPr>
                <w:rFonts w:hint="default" w:ascii="Times New Roman" w:hAnsi="Times New Roman" w:cs="Times New Roman"/>
                <w:color w:val="auto"/>
                <w:kern w:val="0"/>
                <w:szCs w:val="21"/>
                <w:highlight w:val="none"/>
              </w:rPr>
            </w:pPr>
          </w:p>
        </w:tc>
        <w:tc>
          <w:tcPr>
            <w:tcW w:w="4600" w:type="dxa"/>
            <w:noWrap w:val="0"/>
            <w:vAlign w:val="center"/>
          </w:tcPr>
          <w:p w14:paraId="51884937">
            <w:pPr>
              <w:ind w:firstLine="420" w:firstLineChars="200"/>
              <w:jc w:val="both"/>
              <w:rPr>
                <w:rFonts w:hint="eastAsia"/>
                <w:color w:val="auto"/>
                <w:sz w:val="21"/>
                <w:szCs w:val="21"/>
                <w:highlight w:val="none"/>
                <w:lang w:val="en-US" w:eastAsia="zh-CN"/>
              </w:rPr>
            </w:pPr>
          </w:p>
        </w:tc>
        <w:tc>
          <w:tcPr>
            <w:tcW w:w="1321" w:type="dxa"/>
            <w:noWrap w:val="0"/>
            <w:vAlign w:val="center"/>
          </w:tcPr>
          <w:p w14:paraId="46211A2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64.60</w:t>
            </w:r>
          </w:p>
        </w:tc>
      </w:tr>
    </w:tbl>
    <w:p w14:paraId="4407C67F">
      <w:pPr>
        <w:rPr>
          <w:rFonts w:hint="default" w:ascii="Times New Roman" w:hAnsi="Times New Roman" w:cs="Times New Roman"/>
          <w:color w:val="auto"/>
          <w:highlight w:val="none"/>
        </w:rPr>
        <w:sectPr>
          <w:footerReference r:id="rId11" w:type="default"/>
          <w:pgSz w:w="11906" w:h="16838"/>
          <w:pgMar w:top="1440" w:right="1800" w:bottom="1440" w:left="1800" w:header="851" w:footer="992" w:gutter="0"/>
          <w:pgBorders w:offsetFrom="page">
            <w:top w:val="none" w:sz="0" w:space="0"/>
            <w:left w:val="none" w:sz="0" w:space="0"/>
            <w:bottom w:val="none" w:sz="0" w:space="0"/>
            <w:right w:val="none" w:sz="0" w:space="0"/>
          </w:pgBorders>
          <w:pgNumType w:fmt="decimal"/>
          <w:cols w:space="720" w:num="1"/>
          <w:docGrid w:type="lines" w:linePitch="312" w:charSpace="0"/>
        </w:sectPr>
      </w:pPr>
    </w:p>
    <w:p w14:paraId="1735D5D1">
      <w:pPr>
        <w:pStyle w:val="3"/>
        <w:jc w:val="center"/>
        <w:rPr>
          <w:rFonts w:hint="default" w:ascii="Times New Roman" w:hAnsi="Times New Roman" w:eastAsia="黑体" w:cs="Times New Roman"/>
          <w:b w:val="0"/>
          <w:color w:val="auto"/>
          <w:sz w:val="32"/>
          <w:szCs w:val="32"/>
          <w:highlight w:val="none"/>
        </w:rPr>
      </w:pPr>
      <w:bookmarkStart w:id="307" w:name="_Toc27926"/>
      <w:bookmarkStart w:id="308" w:name="_Toc23855665"/>
      <w:bookmarkStart w:id="309" w:name="_Toc25365"/>
      <w:r>
        <w:rPr>
          <w:rFonts w:hint="default" w:ascii="Times New Roman" w:hAnsi="Times New Roman" w:eastAsia="黑体" w:cs="Times New Roman"/>
          <w:b w:val="0"/>
          <w:color w:val="auto"/>
          <w:sz w:val="32"/>
          <w:szCs w:val="32"/>
          <w:highlight w:val="none"/>
        </w:rPr>
        <w:t>第八章   保障措施与效益分析</w:t>
      </w:r>
      <w:bookmarkEnd w:id="304"/>
      <w:bookmarkEnd w:id="305"/>
      <w:bookmarkEnd w:id="307"/>
      <w:bookmarkEnd w:id="308"/>
      <w:bookmarkEnd w:id="309"/>
    </w:p>
    <w:p w14:paraId="2BECE78D">
      <w:pPr>
        <w:keepNext/>
        <w:keepLines/>
        <w:widowControl w:val="0"/>
        <w:spacing w:before="260" w:after="260" w:line="415" w:lineRule="auto"/>
        <w:outlineLvl w:val="1"/>
        <w:rPr>
          <w:rFonts w:hint="default" w:ascii="Times New Roman" w:hAnsi="Times New Roman" w:eastAsia="黑体" w:cs="Times New Roman"/>
          <w:bCs/>
          <w:color w:val="auto"/>
          <w:sz w:val="30"/>
          <w:szCs w:val="30"/>
          <w:highlight w:val="none"/>
        </w:rPr>
      </w:pPr>
      <w:bookmarkStart w:id="310" w:name="_Toc11298"/>
      <w:bookmarkStart w:id="311" w:name="_Toc531760668"/>
      <w:bookmarkStart w:id="312" w:name="_Toc11243"/>
      <w:bookmarkStart w:id="313" w:name="_Toc23855666"/>
      <w:bookmarkStart w:id="314" w:name="_Toc380584856"/>
      <w:bookmarkStart w:id="315" w:name="_Toc256151484"/>
      <w:r>
        <w:rPr>
          <w:rFonts w:hint="default" w:ascii="Times New Roman" w:hAnsi="Times New Roman" w:eastAsia="黑体" w:cs="Times New Roman"/>
          <w:bCs/>
          <w:color w:val="auto"/>
          <w:sz w:val="30"/>
          <w:szCs w:val="30"/>
          <w:highlight w:val="none"/>
        </w:rPr>
        <w:t>一、组织保障</w:t>
      </w:r>
      <w:bookmarkEnd w:id="310"/>
      <w:bookmarkEnd w:id="311"/>
      <w:bookmarkEnd w:id="312"/>
      <w:bookmarkEnd w:id="313"/>
    </w:p>
    <w:p w14:paraId="057FB8E8">
      <w:pPr>
        <w:spacing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1、按照</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谁开发、谁破坏</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谁损坏、谁复垦</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的原则，该《方案》由</w:t>
      </w:r>
      <w:r>
        <w:rPr>
          <w:rFonts w:hint="eastAsia" w:cs="Times New Roman"/>
          <w:color w:val="auto"/>
          <w:sz w:val="24"/>
          <w:highlight w:val="none"/>
          <w:lang w:eastAsia="zh-CN"/>
        </w:rPr>
        <w:t>北大湖采石场</w:t>
      </w:r>
      <w:r>
        <w:rPr>
          <w:rFonts w:hint="default" w:ascii="Times New Roman" w:hAnsi="Times New Roman" w:cs="Times New Roman"/>
          <w:color w:val="auto"/>
          <w:sz w:val="24"/>
          <w:highlight w:val="none"/>
        </w:rPr>
        <w:t>负责并组织实施。应积极主动与地方矿产资源主管部门取得联系，共同管理施工队伍，自觉地接受地方自然资源行政主管部门的监督检查，使本《方案》设计落到实处，保证该方案的顺利实施并发挥积极作用。</w:t>
      </w:r>
    </w:p>
    <w:p w14:paraId="14403788">
      <w:pPr>
        <w:spacing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为了防止该《方案》的实施流于形式，必须建立和完善专职机构加强对本《方案》实施的组织管理和行政管理，成立地质环境保护与土地复垦领导小组，由矿长任组长，成员由财务、地测、技术等单位负责人兼任。</w:t>
      </w:r>
    </w:p>
    <w:p w14:paraId="6EC08305">
      <w:pPr>
        <w:spacing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3、根据实际需要，设立主管矿山地质环境保护与土地复垦工作的</w:t>
      </w:r>
      <w:r>
        <w:rPr>
          <w:rFonts w:hint="default" w:ascii="Times New Roman" w:hAnsi="Times New Roman" w:cs="Times New Roman"/>
          <w:color w:val="auto"/>
          <w:sz w:val="24"/>
          <w:highlight w:val="none"/>
          <w:lang w:eastAsia="zh-CN"/>
        </w:rPr>
        <w:t>职能部门</w:t>
      </w:r>
      <w:r>
        <w:rPr>
          <w:rFonts w:hint="default" w:ascii="Times New Roman" w:hAnsi="Times New Roman" w:cs="Times New Roman"/>
          <w:color w:val="auto"/>
          <w:sz w:val="24"/>
          <w:highlight w:val="none"/>
        </w:rPr>
        <w:t>，明确分工，责任落实到人，做好有关各方的联系与协调工作。对矿山地质环境保护与土地复垦工作进行宣传，对员工培训、教育、负责具体创建措施的落实工作。</w:t>
      </w:r>
    </w:p>
    <w:p w14:paraId="18420481">
      <w:pPr>
        <w:spacing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4、在矿山地质环境保护与土地复垦施工中应严格按照建设项目管理程序实行招投标制度，选择有施工资质、经验丰富、技术力量强的施工单位具体负责项目的实施。</w:t>
      </w:r>
    </w:p>
    <w:p w14:paraId="18CC56F4">
      <w:pPr>
        <w:keepNext/>
        <w:keepLines/>
        <w:widowControl w:val="0"/>
        <w:spacing w:before="260" w:after="260" w:line="415" w:lineRule="auto"/>
        <w:outlineLvl w:val="1"/>
        <w:rPr>
          <w:rFonts w:hint="default" w:ascii="Times New Roman" w:hAnsi="Times New Roman" w:eastAsia="黑体" w:cs="Times New Roman"/>
          <w:bCs/>
          <w:color w:val="auto"/>
          <w:sz w:val="30"/>
          <w:szCs w:val="30"/>
          <w:highlight w:val="none"/>
        </w:rPr>
      </w:pPr>
      <w:bookmarkStart w:id="316" w:name="_Toc11017"/>
      <w:bookmarkStart w:id="317" w:name="_Toc23855667"/>
      <w:bookmarkStart w:id="318" w:name="_Toc1344"/>
      <w:bookmarkStart w:id="319" w:name="_Toc531760669"/>
      <w:r>
        <w:rPr>
          <w:rFonts w:hint="default" w:ascii="Times New Roman" w:hAnsi="Times New Roman" w:eastAsia="黑体" w:cs="Times New Roman"/>
          <w:bCs/>
          <w:color w:val="auto"/>
          <w:sz w:val="30"/>
          <w:szCs w:val="30"/>
          <w:highlight w:val="none"/>
        </w:rPr>
        <w:t>二、技术保障</w:t>
      </w:r>
      <w:bookmarkEnd w:id="316"/>
      <w:bookmarkEnd w:id="317"/>
      <w:bookmarkEnd w:id="318"/>
      <w:bookmarkEnd w:id="319"/>
    </w:p>
    <w:p w14:paraId="6E6F2009">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矿山地质环境保护与土地复垦工程涉及多学科、多领域多部门，是一项复杂的系统工程，严格按照有关技术规范等要求实施。同时矿山地质环境保护与土地复垦工作专业性、技术性较强，需要定期培训技术人员咨询相关专家，开展科学试验和引进先进技术，以及对土地损毁情况进行动态监测和评价。具体可采取以下技术保障措施：</w:t>
      </w:r>
    </w:p>
    <w:p w14:paraId="05A51660">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方案编制、工程施工都应建立在详细调查、科学分析、详细论证的基础上，提出实施方案，工程根据矿山开采情况、环境条件、土地开发利用情况分类分期实施，并兼顾当前的治理与中长期的治理有机结合，使恢复治理和土地复垦工程既有阶段性，又有连续性。</w:t>
      </w:r>
    </w:p>
    <w:p w14:paraId="0DFDEF8B">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2、引进先进的生产设备、环境检测技术人员和地质灾害治理技术人员等。通过引进专业对口，适应矿山工作环境的技术人员为矿山地质环境保护与土地复垦工作提供人力资源保证。</w:t>
      </w:r>
    </w:p>
    <w:p w14:paraId="1B473B49">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3、加强与相关技术单位的合作，加强对国内外具有先进矿山地质环境保护与土地复垦技术单位的学习研究，及时吸取经验，完善治理和复垦措施。</w:t>
      </w:r>
    </w:p>
    <w:p w14:paraId="2CFA7E86">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4、定期培训技术人员、咨询相关专家、开展科学试验、引进先进技术，以及对矿山地质环境保护与土地复垦工程情况进行动态监测和评价等。</w:t>
      </w:r>
    </w:p>
    <w:p w14:paraId="2F5480DC">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5、首先严格按照建设工程招投标制度选择和确定施工队伍，要求施工队伍具有相关等级资质。其次成立专家顾问组，建立专家支持系统。</w:t>
      </w:r>
    </w:p>
    <w:p w14:paraId="0540600C">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6、建立完善的质量保证体系；一是加强施工监理工作；二是加强质量检查；三是把好原材料关，严禁不合格原材料进入工地；四是建立</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工程质量责任考核办法</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，保证实现质量目标。通过质量保证系统，确保工程质量符合有关要求。</w:t>
      </w:r>
    </w:p>
    <w:p w14:paraId="44893148">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7、建立完善的矿山地质环境保护与土地复垦工程的安全保证体系；在项目的实施过程中，必须把安全摆在突出位置，项目主管部门、项目实施部门和施工队伍，按照</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管生产必须管安全</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和</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谁主管谁负责</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原则，对项目实施单位全过程的进行安全管理。</w:t>
      </w:r>
    </w:p>
    <w:p w14:paraId="50EE9F29">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8、治理复垦项目完成后，提请主管部门组织竣工验收。邀请当地相关政府部门、专家和群众代表一起参加，逐项核实工程量、鉴定工程质量和完成效果，对不合格工程及时返工，并会同参建单位进行经验总结，改进管理工作和技术方法。验收结果将向公众公布。</w:t>
      </w:r>
    </w:p>
    <w:p w14:paraId="48F82AB8">
      <w:pPr>
        <w:keepNext/>
        <w:keepLines/>
        <w:widowControl w:val="0"/>
        <w:spacing w:before="260" w:after="260" w:line="415" w:lineRule="auto"/>
        <w:outlineLvl w:val="1"/>
        <w:rPr>
          <w:rFonts w:hint="default" w:ascii="Times New Roman" w:hAnsi="Times New Roman" w:eastAsia="黑体" w:cs="Times New Roman"/>
          <w:bCs/>
          <w:color w:val="auto"/>
          <w:sz w:val="30"/>
          <w:szCs w:val="30"/>
          <w:highlight w:val="none"/>
        </w:rPr>
      </w:pPr>
      <w:bookmarkStart w:id="320" w:name="_Toc7236"/>
      <w:bookmarkStart w:id="321" w:name="_Toc531760670"/>
      <w:bookmarkStart w:id="322" w:name="_Toc32714"/>
      <w:bookmarkStart w:id="323" w:name="_Toc23855668"/>
      <w:r>
        <w:rPr>
          <w:rFonts w:hint="default" w:ascii="Times New Roman" w:hAnsi="Times New Roman" w:eastAsia="黑体" w:cs="Times New Roman"/>
          <w:bCs/>
          <w:color w:val="auto"/>
          <w:sz w:val="30"/>
          <w:szCs w:val="30"/>
          <w:highlight w:val="none"/>
        </w:rPr>
        <w:t>三、资金保障</w:t>
      </w:r>
      <w:bookmarkEnd w:id="320"/>
      <w:bookmarkEnd w:id="321"/>
      <w:bookmarkEnd w:id="322"/>
      <w:bookmarkEnd w:id="323"/>
    </w:p>
    <w:p w14:paraId="7E2B4E67">
      <w:pPr>
        <w:spacing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矿山地质环境保护与土地复垦基金是矿山企业土地复垦工作取得成功的重要保证。只有资金的充分保障，才能使复垦技术和复垦条件落到实处，才能切实保障土地复垦实施的效果，实现预期目标。</w:t>
      </w:r>
    </w:p>
    <w:p w14:paraId="66856320">
      <w:pPr>
        <w:spacing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一）资金来源</w:t>
      </w:r>
    </w:p>
    <w:p w14:paraId="48A93735">
      <w:pPr>
        <w:spacing w:line="360" w:lineRule="auto"/>
        <w:ind w:firstLine="480" w:firstLineChars="200"/>
        <w:jc w:val="both"/>
        <w:rPr>
          <w:rFonts w:hint="default" w:ascii="Times New Roman" w:hAnsi="Times New Roman" w:cs="Times New Roman"/>
          <w:color w:val="auto"/>
          <w:sz w:val="24"/>
          <w:highlight w:val="none"/>
        </w:rPr>
      </w:pPr>
      <w:bookmarkStart w:id="324" w:name="_Hlk18043814"/>
      <w:r>
        <w:rPr>
          <w:rFonts w:hint="default" w:ascii="Times New Roman" w:hAnsi="Times New Roman" w:cs="Times New Roman"/>
          <w:color w:val="auto"/>
          <w:sz w:val="24"/>
          <w:highlight w:val="none"/>
        </w:rPr>
        <w:t>根据《财政部国土部环保部关于取消矿山地质环境治理恢复保证金建立</w:t>
      </w:r>
      <w:bookmarkStart w:id="325" w:name="_Hlk18044272"/>
      <w:r>
        <w:rPr>
          <w:rFonts w:hint="default" w:ascii="Times New Roman" w:hAnsi="Times New Roman" w:cs="Times New Roman"/>
          <w:color w:val="auto"/>
          <w:sz w:val="24"/>
          <w:highlight w:val="none"/>
        </w:rPr>
        <w:t>矿山地质环境治理恢复基金</w:t>
      </w:r>
      <w:bookmarkEnd w:id="325"/>
      <w:r>
        <w:rPr>
          <w:rFonts w:hint="default" w:ascii="Times New Roman" w:hAnsi="Times New Roman" w:cs="Times New Roman"/>
          <w:color w:val="auto"/>
          <w:sz w:val="24"/>
          <w:highlight w:val="none"/>
        </w:rPr>
        <w:t>的指导意见》</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财建〔2017〕638号）的规定，治理保证金已纳入改革范围，现改为基金。根据《吉林省自然资源厅关于采矿生产项目土地复垦费预存纳入矿山地质环境治理恢复基金管理有关问题的通知》</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吉自然资函〔20</w:t>
      </w:r>
      <w:r>
        <w:rPr>
          <w:rFonts w:hint="eastAsia" w:cs="Times New Roman"/>
          <w:color w:val="auto"/>
          <w:sz w:val="24"/>
          <w:highlight w:val="none"/>
          <w:lang w:val="en-US" w:eastAsia="zh-CN"/>
        </w:rPr>
        <w:t>20</w:t>
      </w:r>
      <w:r>
        <w:rPr>
          <w:rFonts w:hint="default" w:ascii="Times New Roman" w:hAnsi="Times New Roman" w:cs="Times New Roman"/>
          <w:color w:val="auto"/>
          <w:sz w:val="24"/>
          <w:highlight w:val="none"/>
        </w:rPr>
        <w:t>〕266号），土地复垦费预存纳入矿山地质环境治理恢复基金管理。</w:t>
      </w:r>
      <w:bookmarkEnd w:id="324"/>
      <w:r>
        <w:rPr>
          <w:rFonts w:hint="default" w:ascii="Times New Roman" w:hAnsi="Times New Roman" w:cs="Times New Roman"/>
          <w:color w:val="auto"/>
          <w:sz w:val="24"/>
          <w:highlight w:val="none"/>
          <w:lang w:val="en-US" w:eastAsia="zh-CN"/>
        </w:rPr>
        <w:t>将</w:t>
      </w:r>
      <w:r>
        <w:rPr>
          <w:rFonts w:hint="default" w:ascii="Times New Roman" w:hAnsi="Times New Roman" w:cs="Times New Roman"/>
          <w:color w:val="auto"/>
          <w:sz w:val="24"/>
          <w:highlight w:val="none"/>
        </w:rPr>
        <w:t>矿山地质环境治理和土地复垦基金全部</w:t>
      </w:r>
      <w:r>
        <w:rPr>
          <w:rFonts w:hint="eastAsia" w:cs="Times New Roman"/>
          <w:color w:val="auto"/>
          <w:sz w:val="24"/>
          <w:highlight w:val="none"/>
          <w:lang w:eastAsia="zh-CN"/>
        </w:rPr>
        <w:t>列入</w:t>
      </w:r>
      <w:r>
        <w:rPr>
          <w:rFonts w:hint="default" w:ascii="Times New Roman" w:hAnsi="Times New Roman" w:cs="Times New Roman"/>
          <w:color w:val="auto"/>
          <w:sz w:val="24"/>
          <w:highlight w:val="none"/>
        </w:rPr>
        <w:t>生产成本，由</w:t>
      </w:r>
      <w:r>
        <w:rPr>
          <w:rFonts w:hint="eastAsia" w:cs="Times New Roman"/>
          <w:color w:val="auto"/>
          <w:sz w:val="24"/>
          <w:highlight w:val="none"/>
          <w:lang w:eastAsia="zh-CN"/>
        </w:rPr>
        <w:t>北大湖采石场</w:t>
      </w:r>
      <w:r>
        <w:rPr>
          <w:rFonts w:hint="default" w:ascii="Times New Roman" w:hAnsi="Times New Roman" w:cs="Times New Roman"/>
          <w:color w:val="auto"/>
          <w:sz w:val="24"/>
          <w:highlight w:val="none"/>
        </w:rPr>
        <w:t>负责管理。</w:t>
      </w:r>
    </w:p>
    <w:p w14:paraId="50B94A82">
      <w:pPr>
        <w:spacing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二）存放</w:t>
      </w:r>
    </w:p>
    <w:p w14:paraId="5DB43C2E">
      <w:pPr>
        <w:spacing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矿山企业每年列入生产成本中的矿山地质环境保护与土地复垦基金采用集中管理，建立基金账户：矿山企业需在其银行账户中设立基金账户，单独反映基金的提取情况，不得随便改变使用用途，确保基金的专款专用。</w:t>
      </w:r>
    </w:p>
    <w:p w14:paraId="191875D9">
      <w:pPr>
        <w:spacing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三）管理</w:t>
      </w:r>
    </w:p>
    <w:p w14:paraId="19DE90B7">
      <w:pPr>
        <w:spacing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地方自然资源部门根据矿山地质环境保护与土地复垦方案和动态监测情况督查企业。企业需边生产、边治理，对其在矿产资源勘查、开采活动中造成的矿山地质环境问题进行治理修复、土地损毁问题进行复垦。</w:t>
      </w:r>
    </w:p>
    <w:p w14:paraId="702935ED">
      <w:pPr>
        <w:spacing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四、使用</w:t>
      </w:r>
    </w:p>
    <w:p w14:paraId="7B386403">
      <w:pPr>
        <w:spacing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基金由企业自主使用，根据其矿山地质环境保护与土地复垦方案确定的经费预算、工程实施计划、进度安排等，专项用于因矿产资源勘查开采活动造成的矿区</w:t>
      </w:r>
      <w:r>
        <w:rPr>
          <w:rFonts w:hint="eastAsia" w:cs="Times New Roman"/>
          <w:color w:val="auto"/>
          <w:sz w:val="24"/>
          <w:highlight w:val="none"/>
          <w:lang w:val="en-US" w:eastAsia="zh-CN"/>
        </w:rPr>
        <w:t>地质灾害</w:t>
      </w:r>
      <w:r>
        <w:rPr>
          <w:rFonts w:hint="default" w:ascii="Times New Roman" w:hAnsi="Times New Roman" w:cs="Times New Roman"/>
          <w:color w:val="auto"/>
          <w:sz w:val="24"/>
          <w:highlight w:val="none"/>
        </w:rPr>
        <w:t>、地形地貌景观破坏，地下含水层破坏、地表植被损毁预防和修复治理以及矿山地质环境监测等及破坏单元的土地复垦。</w:t>
      </w:r>
    </w:p>
    <w:p w14:paraId="031AA8E5">
      <w:pPr>
        <w:spacing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矿山企业的基金提取、使用及矿山地质环境保护与土地复垦方案的执行情况须列入矿业权人勘查开采信息公示系统。</w:t>
      </w:r>
    </w:p>
    <w:p w14:paraId="2026532A">
      <w:pPr>
        <w:spacing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五、审计</w:t>
      </w:r>
    </w:p>
    <w:p w14:paraId="5A6F989A">
      <w:pPr>
        <w:spacing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保证建设资金及时足额到位，保障矿山地质环境保护与土地复垦工作顺利进行。实施竣工验收时，建设单位应就投资估算调整情况、分年度安排投资、资金到位情况和经费支出情况写出总结报主管部门和监督部门审计审查备案。若投资规模不够，不能按设计方案进行矿山地质环境保护与土地复垦工作，主管部门和监督机构应督促业主单位按原计划追加投资。主要审查内容：</w:t>
      </w:r>
    </w:p>
    <w:p w14:paraId="0707B576">
      <w:pPr>
        <w:spacing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1）审查资金的计提、转划、管理情况。定期或不定期的检查共管账户内矿山地质环境保护与土地复垦基金运行情况，谨防矿山不按时</w:t>
      </w:r>
      <w:r>
        <w:rPr>
          <w:rFonts w:hint="default" w:ascii="Times New Roman" w:hAnsi="Times New Roman" w:cs="Times New Roman"/>
          <w:color w:val="auto"/>
          <w:sz w:val="24"/>
          <w:highlight w:val="none"/>
          <w:lang w:eastAsia="zh-CN"/>
        </w:rPr>
        <w:t>划转</w:t>
      </w:r>
      <w:r>
        <w:rPr>
          <w:rFonts w:hint="default" w:ascii="Times New Roman" w:hAnsi="Times New Roman" w:cs="Times New Roman"/>
          <w:color w:val="auto"/>
          <w:sz w:val="24"/>
          <w:highlight w:val="none"/>
        </w:rPr>
        <w:t>基金或非法挪用基金现象。</w:t>
      </w:r>
    </w:p>
    <w:p w14:paraId="6E124324">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2）审核招投标的真实性：公开、公平、公正确定施工单位是确保工程质量的关键所在，在项目招标中，重点审查招标程序是否规范到位、招标方式和组织形式是否合法，杜绝招标工作出现走过场、暗箱操作的行为。</w:t>
      </w:r>
    </w:p>
    <w:p w14:paraId="18D69229">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3）审核项目资金流向、使用效益，审核预算、决算编制，资金的流程。检查业主或施工单位是否存在虚假决算，或虚列支出，搞虚假工程骗取资金行为，或有关部门滞留项目资金行为。</w:t>
      </w:r>
    </w:p>
    <w:p w14:paraId="6226BF11">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4）实施责任追究制度。在项目的审计中，如出现滥用、挪用资金的行为，追究当事人、相关责任人的责任，给予相应的行政、经济、刑事处罚。</w:t>
      </w:r>
    </w:p>
    <w:p w14:paraId="7FAB778F">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当地自然资源局将加强对</w:t>
      </w:r>
      <w:r>
        <w:rPr>
          <w:rFonts w:hint="eastAsia" w:cs="Times New Roman"/>
          <w:color w:val="auto"/>
          <w:sz w:val="24"/>
          <w:highlight w:val="none"/>
          <w:lang w:eastAsia="zh-CN"/>
        </w:rPr>
        <w:t>北大湖采石场</w:t>
      </w:r>
      <w:r>
        <w:rPr>
          <w:rFonts w:hint="default" w:ascii="Times New Roman" w:hAnsi="Times New Roman" w:cs="Times New Roman"/>
          <w:color w:val="auto"/>
          <w:sz w:val="24"/>
          <w:highlight w:val="none"/>
        </w:rPr>
        <w:t>专项资金的审计，确保以下几点：</w:t>
      </w:r>
    </w:p>
    <w:p w14:paraId="1650FF26">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确定资金的内部控制制度存在、有效并一贯被执行；确定会计报表所列金额真实；确定资金的会计记录正确无误，金额正确，计量无误，</w:t>
      </w:r>
      <w:r>
        <w:rPr>
          <w:rFonts w:hint="default" w:ascii="Times New Roman" w:hAnsi="Times New Roman" w:cs="Times New Roman"/>
          <w:color w:val="auto"/>
          <w:sz w:val="24"/>
          <w:highlight w:val="none"/>
          <w:lang w:eastAsia="zh-CN"/>
        </w:rPr>
        <w:t>明细账和总账</w:t>
      </w:r>
      <w:r>
        <w:rPr>
          <w:rFonts w:hint="default" w:ascii="Times New Roman" w:hAnsi="Times New Roman" w:cs="Times New Roman"/>
          <w:color w:val="auto"/>
          <w:sz w:val="24"/>
          <w:highlight w:val="none"/>
        </w:rPr>
        <w:t>一致，是否有被贪污或挪用现象；确定资金的收支真实，货币计价正确；确定资金在会计报表上的揭露恰当。</w:t>
      </w:r>
    </w:p>
    <w:p w14:paraId="3B4831A3">
      <w:pPr>
        <w:keepNext/>
        <w:keepLines/>
        <w:widowControl w:val="0"/>
        <w:spacing w:before="260" w:after="260" w:line="415" w:lineRule="auto"/>
        <w:outlineLvl w:val="1"/>
        <w:rPr>
          <w:rFonts w:hint="default" w:ascii="Times New Roman" w:hAnsi="Times New Roman" w:eastAsia="黑体" w:cs="Times New Roman"/>
          <w:bCs/>
          <w:color w:val="auto"/>
          <w:sz w:val="30"/>
          <w:szCs w:val="30"/>
          <w:highlight w:val="none"/>
        </w:rPr>
      </w:pPr>
      <w:bookmarkStart w:id="326" w:name="_Toc531760671"/>
      <w:bookmarkStart w:id="327" w:name="_Toc29326"/>
      <w:bookmarkStart w:id="328" w:name="_Toc23855669"/>
      <w:bookmarkStart w:id="329" w:name="_Toc15463"/>
      <w:r>
        <w:rPr>
          <w:rFonts w:hint="default" w:ascii="Times New Roman" w:hAnsi="Times New Roman" w:eastAsia="黑体" w:cs="Times New Roman"/>
          <w:bCs/>
          <w:color w:val="auto"/>
          <w:sz w:val="30"/>
          <w:szCs w:val="30"/>
          <w:highlight w:val="none"/>
        </w:rPr>
        <w:t>四、监管保障</w:t>
      </w:r>
      <w:bookmarkEnd w:id="326"/>
      <w:bookmarkEnd w:id="327"/>
      <w:bookmarkEnd w:id="328"/>
      <w:bookmarkEnd w:id="329"/>
    </w:p>
    <w:p w14:paraId="5FBE7116">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经批准后的土地复垦方案具有法律强制性，</w:t>
      </w:r>
      <w:r>
        <w:rPr>
          <w:rFonts w:hint="eastAsia" w:cs="Times New Roman"/>
          <w:color w:val="auto"/>
          <w:sz w:val="24"/>
          <w:highlight w:val="none"/>
          <w:lang w:eastAsia="zh-CN"/>
        </w:rPr>
        <w:t>北大湖采石场</w:t>
      </w:r>
      <w:r>
        <w:rPr>
          <w:rFonts w:hint="default" w:ascii="Times New Roman" w:hAnsi="Times New Roman" w:cs="Times New Roman"/>
          <w:color w:val="auto"/>
          <w:sz w:val="24"/>
          <w:highlight w:val="none"/>
        </w:rPr>
        <w:t>未经批准不会擅自变更。土地复垦方案有重大变更的，</w:t>
      </w:r>
      <w:r>
        <w:rPr>
          <w:rFonts w:hint="eastAsia" w:cs="Times New Roman"/>
          <w:color w:val="auto"/>
          <w:sz w:val="24"/>
          <w:highlight w:val="none"/>
          <w:lang w:eastAsia="zh-CN"/>
        </w:rPr>
        <w:t>北大湖采石场</w:t>
      </w:r>
      <w:r>
        <w:rPr>
          <w:rFonts w:hint="default" w:ascii="Times New Roman" w:hAnsi="Times New Roman" w:cs="Times New Roman"/>
          <w:color w:val="auto"/>
          <w:sz w:val="24"/>
          <w:highlight w:val="none"/>
        </w:rPr>
        <w:t>将向自然资源主管部门申请变更，并依法取得主管批准后实施。</w:t>
      </w:r>
      <w:r>
        <w:rPr>
          <w:rFonts w:hint="eastAsia" w:cs="Times New Roman"/>
          <w:color w:val="auto"/>
          <w:sz w:val="24"/>
          <w:highlight w:val="none"/>
          <w:lang w:eastAsia="zh-CN"/>
        </w:rPr>
        <w:t>北大湖采石场</w:t>
      </w:r>
      <w:r>
        <w:rPr>
          <w:rFonts w:hint="default" w:ascii="Times New Roman" w:hAnsi="Times New Roman" w:cs="Times New Roman"/>
          <w:color w:val="auto"/>
          <w:sz w:val="24"/>
          <w:highlight w:val="none"/>
        </w:rPr>
        <w:t>将强化土地复垦施工管理，严格按照方案要求进行自查，并主动与自然资源主管部门取得联系，加强与自然资源主管部门合作，自觉接受自然资源主管部门的监督管理。</w:t>
      </w:r>
    </w:p>
    <w:p w14:paraId="0416D46D">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土地复垦工作具有长期性、复杂性和综合性。土地复垦方案经自然资源行政主管部门批准后，</w:t>
      </w:r>
      <w:r>
        <w:rPr>
          <w:rFonts w:hint="eastAsia" w:cs="Times New Roman"/>
          <w:color w:val="auto"/>
          <w:sz w:val="24"/>
          <w:highlight w:val="none"/>
          <w:lang w:eastAsia="zh-CN"/>
        </w:rPr>
        <w:t>北大湖采石场</w:t>
      </w:r>
      <w:r>
        <w:rPr>
          <w:rFonts w:hint="default" w:ascii="Times New Roman" w:hAnsi="Times New Roman" w:cs="Times New Roman"/>
          <w:color w:val="auto"/>
          <w:sz w:val="24"/>
          <w:highlight w:val="none"/>
        </w:rPr>
        <w:t>将根据土地复垦方案编制并实施阶段土地复垦计划和年度土地复垦实施计划，定期向项目所在地县级以上自然资源主管部门报告当年复垦情况，接受</w:t>
      </w:r>
      <w:r>
        <w:rPr>
          <w:rFonts w:hint="eastAsia" w:cs="Times New Roman"/>
          <w:color w:val="auto"/>
          <w:sz w:val="24"/>
          <w:highlight w:val="none"/>
          <w:lang w:eastAsia="zh-CN"/>
        </w:rPr>
        <w:t>永吉县</w:t>
      </w:r>
      <w:r>
        <w:rPr>
          <w:rFonts w:hint="default" w:ascii="Times New Roman" w:hAnsi="Times New Roman" w:cs="Times New Roman"/>
          <w:color w:val="auto"/>
          <w:sz w:val="24"/>
          <w:highlight w:val="none"/>
        </w:rPr>
        <w:t>自然资源局对复垦实施情况监督检查，接受社会对土地复垦实施情况监管，确保土地复垦方案的实施。</w:t>
      </w:r>
    </w:p>
    <w:p w14:paraId="1A6120D7">
      <w:pPr>
        <w:spacing w:line="360" w:lineRule="auto"/>
        <w:ind w:firstLine="480" w:firstLineChars="200"/>
        <w:rPr>
          <w:rFonts w:hint="default" w:ascii="Times New Roman" w:hAnsi="Times New Roman" w:cs="Times New Roman"/>
          <w:color w:val="auto"/>
          <w:sz w:val="24"/>
          <w:highlight w:val="none"/>
        </w:rPr>
      </w:pPr>
      <w:r>
        <w:rPr>
          <w:rFonts w:hint="eastAsia" w:cs="Times New Roman"/>
          <w:color w:val="auto"/>
          <w:sz w:val="24"/>
          <w:highlight w:val="none"/>
          <w:lang w:eastAsia="zh-CN"/>
        </w:rPr>
        <w:t>北大湖采石场</w:t>
      </w:r>
      <w:r>
        <w:rPr>
          <w:rFonts w:hint="default" w:ascii="Times New Roman" w:hAnsi="Times New Roman" w:cs="Times New Roman"/>
          <w:color w:val="auto"/>
          <w:sz w:val="24"/>
          <w:highlight w:val="none"/>
        </w:rPr>
        <w:t>将自觉接受自然资源主管部门的监管。若建设过程中遭到损毁的土地</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没有采取</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边损毁、边复垦</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，未达到土地复垦方案提出的目标和国家规定的标准，</w:t>
      </w:r>
      <w:r>
        <w:rPr>
          <w:rFonts w:hint="eastAsia" w:cs="Times New Roman"/>
          <w:color w:val="auto"/>
          <w:sz w:val="24"/>
          <w:highlight w:val="none"/>
          <w:lang w:eastAsia="zh-CN"/>
        </w:rPr>
        <w:t>北大湖采石场</w:t>
      </w:r>
      <w:r>
        <w:rPr>
          <w:rFonts w:hint="default" w:ascii="Times New Roman" w:hAnsi="Times New Roman" w:cs="Times New Roman"/>
          <w:color w:val="auto"/>
          <w:sz w:val="24"/>
          <w:highlight w:val="none"/>
        </w:rPr>
        <w:t>将自觉接受自然资源主管部门及有关部门处罚。</w:t>
      </w:r>
    </w:p>
    <w:p w14:paraId="741BED08">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土地复垦实施后，将有效地控制因矿区生产造成的土地破坏和水土流失，遏制生态环境的日趋恶化，恢复和重建因矿区生产而破坏的植被，改善矿区周边地区的工农业生产和居民生活环境，促进当地的经济发展。</w:t>
      </w:r>
    </w:p>
    <w:p w14:paraId="27184C2C">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土地复垦效益包括社会效益、环境效益和经济效益三个方面。</w:t>
      </w:r>
    </w:p>
    <w:p w14:paraId="15324ECC">
      <w:pPr>
        <w:keepNext/>
        <w:keepLines/>
        <w:widowControl w:val="0"/>
        <w:spacing w:before="260" w:after="260" w:line="415" w:lineRule="auto"/>
        <w:outlineLvl w:val="1"/>
        <w:rPr>
          <w:rFonts w:hint="default" w:ascii="Times New Roman" w:hAnsi="Times New Roman" w:eastAsia="黑体" w:cs="Times New Roman"/>
          <w:bCs/>
          <w:color w:val="auto"/>
          <w:sz w:val="30"/>
          <w:szCs w:val="30"/>
          <w:highlight w:val="none"/>
        </w:rPr>
      </w:pPr>
      <w:bookmarkStart w:id="330" w:name="_Toc22109"/>
      <w:bookmarkStart w:id="331" w:name="_Toc531760672"/>
      <w:bookmarkStart w:id="332" w:name="_Toc487105360"/>
      <w:bookmarkStart w:id="333" w:name="_Toc23855670"/>
      <w:bookmarkStart w:id="334" w:name="_Toc607"/>
      <w:r>
        <w:rPr>
          <w:rFonts w:hint="default" w:ascii="Times New Roman" w:hAnsi="Times New Roman" w:eastAsia="黑体" w:cs="Times New Roman"/>
          <w:bCs/>
          <w:color w:val="auto"/>
          <w:sz w:val="30"/>
          <w:szCs w:val="30"/>
          <w:highlight w:val="none"/>
        </w:rPr>
        <w:t>五、效益分析</w:t>
      </w:r>
      <w:bookmarkEnd w:id="330"/>
      <w:bookmarkEnd w:id="331"/>
      <w:bookmarkEnd w:id="332"/>
      <w:bookmarkEnd w:id="333"/>
      <w:bookmarkEnd w:id="334"/>
    </w:p>
    <w:p w14:paraId="56D85C39">
      <w:pPr>
        <w:pStyle w:val="5"/>
        <w:rPr>
          <w:rFonts w:hint="default" w:ascii="Times New Roman" w:hAnsi="Times New Roman" w:eastAsia="黑体" w:cs="Times New Roman"/>
          <w:b w:val="0"/>
          <w:bCs w:val="0"/>
          <w:color w:val="auto"/>
          <w:szCs w:val="28"/>
          <w:highlight w:val="none"/>
        </w:rPr>
      </w:pPr>
      <w:bookmarkStart w:id="335" w:name="_Toc487105361"/>
      <w:r>
        <w:rPr>
          <w:rFonts w:hint="default" w:ascii="Times New Roman" w:hAnsi="Times New Roman" w:eastAsia="黑体" w:cs="Times New Roman"/>
          <w:b w:val="0"/>
          <w:bCs w:val="0"/>
          <w:color w:val="auto"/>
          <w:szCs w:val="28"/>
          <w:highlight w:val="none"/>
          <w:lang w:eastAsia="zh-CN"/>
        </w:rPr>
        <w:t>（</w:t>
      </w:r>
      <w:r>
        <w:rPr>
          <w:rFonts w:hint="default" w:ascii="Times New Roman" w:hAnsi="Times New Roman" w:eastAsia="黑体" w:cs="Times New Roman"/>
          <w:b w:val="0"/>
          <w:bCs w:val="0"/>
          <w:color w:val="auto"/>
          <w:szCs w:val="28"/>
          <w:highlight w:val="none"/>
        </w:rPr>
        <w:t>一）社会效益</w:t>
      </w:r>
      <w:bookmarkEnd w:id="314"/>
      <w:bookmarkEnd w:id="315"/>
      <w:bookmarkEnd w:id="335"/>
    </w:p>
    <w:p w14:paraId="531FFDCB">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本工程土地复垦方案实施后，可以减少矿山开采工程引发的水土流失，减轻其所造成的损失和危害，能够确保矿区的安全生产。</w:t>
      </w:r>
    </w:p>
    <w:p w14:paraId="6114AE6B">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矿区复垦能够减轻生态环境破坏，使项目建设运行产生的不利环境影响得到有效控制，为工程建设区的绿化创造了良好的生态环境，有利于矿区职工以及附近居民的身心健康，体现</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以人为本</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的理念，促进人与自然和谐发展。</w:t>
      </w:r>
    </w:p>
    <w:p w14:paraId="33E0FC82">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对复垦后土地经营管理、种植需要更多的工作人员，因此能够为矿区群众提供更多的就业机会，增加矿区群众的收入，对维护社会安定将起到积极作用。</w:t>
      </w:r>
    </w:p>
    <w:p w14:paraId="4B4701DC">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本工程土地复垦项目实施后，通过土地平整、恢复植被，维持或增加林地面积，对改善项目区建设影响范围及周边地区的土地利用结构起到良好的促进作用，从而促进当地林业协调发展。所以，土地复垦是关系国计民生的大事，不仅对发展生产和采矿事业有重要意义，而且对全社会的安定团结和稳定发展也有重要意义。</w:t>
      </w:r>
    </w:p>
    <w:p w14:paraId="3A06F315">
      <w:pPr>
        <w:pStyle w:val="5"/>
        <w:rPr>
          <w:rFonts w:hint="default" w:ascii="Times New Roman" w:hAnsi="Times New Roman" w:eastAsia="黑体" w:cs="Times New Roman"/>
          <w:color w:val="auto"/>
          <w:szCs w:val="28"/>
          <w:highlight w:val="none"/>
        </w:rPr>
      </w:pPr>
      <w:bookmarkStart w:id="336" w:name="_Toc487105362"/>
      <w:bookmarkStart w:id="337" w:name="_Toc251673877"/>
      <w:bookmarkStart w:id="338" w:name="_Toc380584857"/>
      <w:bookmarkStart w:id="339" w:name="_Toc256151485"/>
      <w:r>
        <w:rPr>
          <w:rFonts w:hint="default" w:ascii="Times New Roman" w:hAnsi="Times New Roman" w:eastAsia="黑体" w:cs="Times New Roman"/>
          <w:color w:val="auto"/>
          <w:szCs w:val="28"/>
          <w:highlight w:val="none"/>
          <w:lang w:eastAsia="zh-CN"/>
        </w:rPr>
        <w:t>（</w:t>
      </w:r>
      <w:r>
        <w:rPr>
          <w:rFonts w:hint="default" w:ascii="Times New Roman" w:hAnsi="Times New Roman" w:eastAsia="黑体" w:cs="Times New Roman"/>
          <w:color w:val="auto"/>
          <w:szCs w:val="28"/>
          <w:highlight w:val="none"/>
        </w:rPr>
        <w:t>二）环境效益</w:t>
      </w:r>
      <w:bookmarkEnd w:id="336"/>
      <w:bookmarkEnd w:id="337"/>
      <w:bookmarkEnd w:id="338"/>
      <w:bookmarkEnd w:id="339"/>
    </w:p>
    <w:p w14:paraId="611524B4">
      <w:pPr>
        <w:spacing w:line="360" w:lineRule="auto"/>
        <w:ind w:firstLine="480" w:firstLineChars="200"/>
        <w:rPr>
          <w:rFonts w:hint="default" w:ascii="Times New Roman" w:hAnsi="Times New Roman" w:cs="Times New Roman"/>
          <w:color w:val="auto"/>
          <w:sz w:val="24"/>
          <w:highlight w:val="none"/>
        </w:rPr>
      </w:pPr>
      <w:bookmarkStart w:id="340" w:name="_Toc487105363"/>
      <w:bookmarkStart w:id="341" w:name="_Toc251673878"/>
      <w:bookmarkStart w:id="342" w:name="_Toc256151486"/>
      <w:bookmarkStart w:id="343" w:name="_Toc380584858"/>
      <w:r>
        <w:rPr>
          <w:rFonts w:hint="default" w:ascii="Times New Roman" w:hAnsi="Times New Roman" w:cs="Times New Roman"/>
          <w:color w:val="auto"/>
          <w:sz w:val="24"/>
          <w:highlight w:val="none"/>
        </w:rPr>
        <w:t>矿区生产项目实施过程中，必将给矿区及周边生态环境带来一定的影响和危害。例如：在矿区生产中，由于采矿活动扰动和破坏了原地表植被，区域植被覆盖率降低，可引起局部地区沙化、水土流失等问题。生产机械、人员践踏等活动也会使矿区及周边植被</w:t>
      </w:r>
      <w:r>
        <w:rPr>
          <w:rFonts w:hint="default" w:ascii="Times New Roman" w:hAnsi="Times New Roman" w:cs="Times New Roman"/>
          <w:color w:val="auto"/>
          <w:sz w:val="24"/>
          <w:highlight w:val="none"/>
          <w:lang w:eastAsia="zh-CN"/>
        </w:rPr>
        <w:t>受到严重的</w:t>
      </w:r>
      <w:r>
        <w:rPr>
          <w:rFonts w:hint="default" w:ascii="Times New Roman" w:hAnsi="Times New Roman" w:cs="Times New Roman"/>
          <w:color w:val="auto"/>
          <w:sz w:val="24"/>
          <w:highlight w:val="none"/>
        </w:rPr>
        <w:t>影响，各种机械和车辆排放的废气、油污以及运输车辆行驶扬尘等也将对周围植物的正常生长产生一定的影响。此外，矿区周围植被也将受到不同程度的影响。</w:t>
      </w:r>
    </w:p>
    <w:p w14:paraId="4066400E">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综上所述，矿区生产将破坏矿区及周边的生态系统。对项目区进行土地复垦与生态恢复是非常重要、迫不及待的，结合项目区土地利用规划进行土地复垦，使矿区成为生态环境优良的生态型地区。本地区所在区域主要为</w:t>
      </w:r>
      <w:r>
        <w:rPr>
          <w:rFonts w:hint="eastAsia" w:cs="Times New Roman"/>
          <w:color w:val="auto"/>
          <w:sz w:val="24"/>
          <w:highlight w:val="none"/>
          <w:lang w:val="en-US" w:eastAsia="zh-CN"/>
        </w:rPr>
        <w:t>乔木</w:t>
      </w:r>
      <w:r>
        <w:rPr>
          <w:rFonts w:hint="default" w:ascii="Times New Roman" w:hAnsi="Times New Roman" w:cs="Times New Roman"/>
          <w:color w:val="auto"/>
          <w:sz w:val="24"/>
          <w:highlight w:val="none"/>
        </w:rPr>
        <w:t>林地</w:t>
      </w:r>
      <w:r>
        <w:rPr>
          <w:rFonts w:hint="eastAsia" w:cs="Times New Roman"/>
          <w:color w:val="auto"/>
          <w:sz w:val="24"/>
          <w:highlight w:val="none"/>
          <w:lang w:val="en-US" w:eastAsia="zh-CN"/>
        </w:rPr>
        <w:t>和采矿用地</w:t>
      </w:r>
      <w:r>
        <w:rPr>
          <w:rFonts w:hint="default" w:ascii="Times New Roman" w:hAnsi="Times New Roman" w:cs="Times New Roman"/>
          <w:color w:val="auto"/>
          <w:sz w:val="24"/>
          <w:highlight w:val="none"/>
        </w:rPr>
        <w:t>，对矿区生产破坏的土地应尽量恢复其原有功能，不改变其原来的</w:t>
      </w:r>
      <w:r>
        <w:rPr>
          <w:rFonts w:hint="default" w:ascii="Times New Roman" w:hAnsi="Times New Roman" w:cs="Times New Roman"/>
          <w:color w:val="auto"/>
          <w:sz w:val="24"/>
          <w:highlight w:val="none"/>
          <w:lang w:eastAsia="zh-CN"/>
        </w:rPr>
        <w:t>使用</w:t>
      </w:r>
      <w:r>
        <w:rPr>
          <w:rFonts w:hint="default" w:ascii="Times New Roman" w:hAnsi="Times New Roman" w:cs="Times New Roman"/>
          <w:color w:val="auto"/>
          <w:sz w:val="24"/>
          <w:highlight w:val="none"/>
        </w:rPr>
        <w:t>功能。通过对项目区生态环境的恢复建设，使占有和破坏的土地得到恢复，最终恢复了土地的生产力，建成人工与自然复合的生态系统，形成新的人工和自然景观。将工程对生态环境影响减少到最低，改善了生物群落的生态环境，恢复生物多样化。因此，矿山土地复垦的生态环境效益显著。</w:t>
      </w:r>
    </w:p>
    <w:p w14:paraId="08F01729">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矿山地质环境恢复治理与土地复垦工程实施后，可消除矿山地质灾害隐患和污染源，提高植被覆盖率，有效地防止水土流失，改善当地生态环境。</w:t>
      </w:r>
    </w:p>
    <w:p w14:paraId="1B0F4620">
      <w:pPr>
        <w:pStyle w:val="5"/>
        <w:rPr>
          <w:rFonts w:hint="default" w:ascii="Times New Roman" w:hAnsi="Times New Roman" w:eastAsia="黑体" w:cs="Times New Roman"/>
          <w:color w:val="auto"/>
          <w:szCs w:val="28"/>
          <w:highlight w:val="none"/>
        </w:rPr>
      </w:pPr>
      <w:r>
        <w:rPr>
          <w:rFonts w:hint="default" w:ascii="Times New Roman" w:hAnsi="Times New Roman" w:eastAsia="黑体" w:cs="Times New Roman"/>
          <w:color w:val="auto"/>
          <w:szCs w:val="28"/>
          <w:highlight w:val="none"/>
          <w:lang w:eastAsia="zh-CN"/>
        </w:rPr>
        <w:t>（</w:t>
      </w:r>
      <w:r>
        <w:rPr>
          <w:rFonts w:hint="default" w:ascii="Times New Roman" w:hAnsi="Times New Roman" w:eastAsia="黑体" w:cs="Times New Roman"/>
          <w:color w:val="auto"/>
          <w:szCs w:val="28"/>
          <w:highlight w:val="none"/>
        </w:rPr>
        <w:t>三）经济效益</w:t>
      </w:r>
      <w:bookmarkEnd w:id="340"/>
      <w:bookmarkEnd w:id="341"/>
      <w:bookmarkEnd w:id="342"/>
      <w:bookmarkEnd w:id="343"/>
    </w:p>
    <w:p w14:paraId="56AEFDB0">
      <w:pPr>
        <w:spacing w:line="360" w:lineRule="auto"/>
        <w:ind w:firstLine="480" w:firstLineChars="200"/>
        <w:rPr>
          <w:rFonts w:hint="default" w:ascii="Times New Roman" w:hAnsi="Times New Roman" w:cs="Times New Roman"/>
          <w:color w:val="auto"/>
          <w:sz w:val="24"/>
          <w:highlight w:val="none"/>
        </w:rPr>
      </w:pPr>
      <w:r>
        <w:rPr>
          <w:rFonts w:hint="eastAsia" w:cs="Times New Roman"/>
          <w:color w:val="auto"/>
          <w:sz w:val="24"/>
          <w:highlight w:val="none"/>
          <w:lang w:eastAsia="zh-CN"/>
        </w:rPr>
        <w:t>北大湖采石场</w:t>
      </w:r>
      <w:r>
        <w:rPr>
          <w:rFonts w:hint="default" w:ascii="Times New Roman" w:hAnsi="Times New Roman" w:cs="Times New Roman"/>
          <w:color w:val="auto"/>
          <w:sz w:val="24"/>
          <w:highlight w:val="none"/>
        </w:rPr>
        <w:t>复垦后的土地类型为乔木林地的土地</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植被选用</w:t>
      </w:r>
      <w:r>
        <w:rPr>
          <w:rFonts w:hint="default" w:ascii="Times New Roman" w:hAnsi="Times New Roman" w:cs="Times New Roman"/>
          <w:color w:val="auto"/>
          <w:sz w:val="24"/>
          <w:highlight w:val="none"/>
          <w:lang w:eastAsia="zh-CN"/>
        </w:rPr>
        <w:t>落叶松</w:t>
      </w:r>
      <w:r>
        <w:rPr>
          <w:rFonts w:hint="default" w:ascii="Times New Roman" w:hAnsi="Times New Roman" w:cs="Times New Roman"/>
          <w:color w:val="auto"/>
          <w:sz w:val="24"/>
          <w:highlight w:val="none"/>
        </w:rPr>
        <w:t>，草籽选用紫花苜蓿</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复垦后的土地不但重新复绿，而且生态矿山具有一定的经济效益，也为</w:t>
      </w:r>
      <w:r>
        <w:rPr>
          <w:rFonts w:hint="eastAsia" w:cs="Times New Roman"/>
          <w:color w:val="auto"/>
          <w:sz w:val="24"/>
          <w:highlight w:val="none"/>
          <w:lang w:val="en-US" w:eastAsia="zh-CN"/>
        </w:rPr>
        <w:t>当地</w:t>
      </w:r>
      <w:r>
        <w:rPr>
          <w:rFonts w:hint="default" w:ascii="Times New Roman" w:hAnsi="Times New Roman" w:cs="Times New Roman"/>
          <w:color w:val="auto"/>
          <w:sz w:val="24"/>
          <w:highlight w:val="none"/>
        </w:rPr>
        <w:t>的发展创造了条件。</w:t>
      </w:r>
    </w:p>
    <w:p w14:paraId="53496EA8">
      <w:pPr>
        <w:keepNext/>
        <w:keepLines/>
        <w:widowControl w:val="0"/>
        <w:spacing w:before="260" w:after="260" w:line="415" w:lineRule="auto"/>
        <w:outlineLvl w:val="1"/>
        <w:rPr>
          <w:rFonts w:hint="default" w:ascii="Times New Roman" w:hAnsi="Times New Roman" w:eastAsia="黑体" w:cs="Times New Roman"/>
          <w:bCs/>
          <w:color w:val="auto"/>
          <w:sz w:val="30"/>
          <w:szCs w:val="30"/>
          <w:highlight w:val="none"/>
        </w:rPr>
      </w:pPr>
      <w:bookmarkStart w:id="344" w:name="_Toc30650"/>
      <w:bookmarkStart w:id="345" w:name="_Toc487105364"/>
      <w:bookmarkStart w:id="346" w:name="_Toc23855671"/>
      <w:bookmarkStart w:id="347" w:name="_Toc3290"/>
      <w:bookmarkStart w:id="348" w:name="_Toc531760673"/>
      <w:r>
        <w:rPr>
          <w:rFonts w:hint="default" w:ascii="Times New Roman" w:hAnsi="Times New Roman" w:eastAsia="黑体" w:cs="Times New Roman"/>
          <w:bCs/>
          <w:color w:val="auto"/>
          <w:sz w:val="30"/>
          <w:szCs w:val="30"/>
          <w:highlight w:val="none"/>
        </w:rPr>
        <w:t>六、公众参与</w:t>
      </w:r>
      <w:bookmarkEnd w:id="344"/>
      <w:bookmarkEnd w:id="345"/>
      <w:bookmarkEnd w:id="346"/>
      <w:bookmarkEnd w:id="347"/>
      <w:bookmarkEnd w:id="348"/>
    </w:p>
    <w:p w14:paraId="12472361">
      <w:pPr>
        <w:autoSpaceDE w:val="0"/>
        <w:autoSpaceDN w:val="0"/>
        <w:spacing w:line="360" w:lineRule="auto"/>
        <w:ind w:firstLine="480" w:firstLineChars="200"/>
        <w:rPr>
          <w:rFonts w:hint="default" w:ascii="Times New Roman" w:hAnsi="Times New Roman" w:cs="Times New Roman"/>
          <w:color w:val="auto"/>
          <w:sz w:val="24"/>
          <w:highlight w:val="none"/>
        </w:rPr>
      </w:pPr>
      <w:r>
        <w:rPr>
          <w:rFonts w:hint="eastAsia" w:cs="Times New Roman"/>
          <w:color w:val="auto"/>
          <w:sz w:val="24"/>
          <w:highlight w:val="none"/>
          <w:lang w:eastAsia="zh-CN"/>
        </w:rPr>
        <w:t>北大湖采石场</w:t>
      </w:r>
      <w:r>
        <w:rPr>
          <w:rFonts w:hint="default" w:ascii="Times New Roman" w:hAnsi="Times New Roman" w:cs="Times New Roman"/>
          <w:color w:val="auto"/>
          <w:sz w:val="24"/>
          <w:highlight w:val="none"/>
        </w:rPr>
        <w:t>的矿山地质环境保护与土地复垦是一项庞大的系统工程。应按照</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统一规划、科学治理、</w:t>
      </w:r>
      <w:r>
        <w:rPr>
          <w:rFonts w:hint="default" w:ascii="Times New Roman" w:hAnsi="Times New Roman" w:cs="Times New Roman"/>
          <w:color w:val="auto"/>
          <w:sz w:val="24"/>
          <w:highlight w:val="none"/>
          <w:lang w:eastAsia="zh-CN"/>
        </w:rPr>
        <w:t>分步实施</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和</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因地制宜、综合开发、优先复垦农用地</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的原则，制定专项矿山地质环境保护与土地复垦规划。为了动员社会资金的投入，需要大力引导公众参与矿山地质环境保护与土地复垦工作的力度，积极宣传矿山地质环境保护与土地复垦的法律、法规和相关政策，使社会各界形成矿山地质环境保护、复垦土地、保护生态的共识。要深入开展土地基本国情和国策教育，加强矿山地质环境保护与土地复垦法规和政策宣传，提高全社会对矿山地质环境保护与土地复垦在</w:t>
      </w:r>
      <w:r>
        <w:rPr>
          <w:rFonts w:hint="default" w:ascii="Times New Roman" w:hAnsi="Times New Roman" w:cs="Times New Roman"/>
          <w:color w:val="auto"/>
          <w:sz w:val="24"/>
          <w:highlight w:val="none"/>
          <w:lang w:eastAsia="zh-CN"/>
        </w:rPr>
        <w:t>全面建成小康社会</w:t>
      </w:r>
      <w:r>
        <w:rPr>
          <w:rFonts w:hint="default" w:ascii="Times New Roman" w:hAnsi="Times New Roman" w:cs="Times New Roman"/>
          <w:color w:val="auto"/>
          <w:sz w:val="24"/>
          <w:highlight w:val="none"/>
        </w:rPr>
        <w:t>、实施可持续发展战略、保护和建设生态环境中重要作用的认识。树立依法、按规划进行矿山地质环境保护与土地复垦的观念，增强公众参与和监督意识。在听取了该项目的矿山地质环境保护与复垦方案后，项目区当地村民均认可本项目矿山地质环境保护与复垦的目标、标准和措施。其中主要的公众参与方式为座谈交流会和公示矿山地质环境保护与土地复垦方案，广泛征求意见。</w:t>
      </w:r>
    </w:p>
    <w:p w14:paraId="608BA274">
      <w:pPr>
        <w:autoSpaceDE w:val="0"/>
        <w:autoSpaceDN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方案编制人员实地走访了</w:t>
      </w:r>
      <w:r>
        <w:rPr>
          <w:rFonts w:hint="eastAsia" w:cs="Times New Roman"/>
          <w:color w:val="auto"/>
          <w:sz w:val="24"/>
          <w:highlight w:val="none"/>
          <w:lang w:eastAsia="zh-CN"/>
        </w:rPr>
        <w:t>北大湖采石场</w:t>
      </w:r>
      <w:r>
        <w:rPr>
          <w:rFonts w:hint="default" w:ascii="Times New Roman" w:hAnsi="Times New Roman" w:cs="Times New Roman"/>
          <w:color w:val="auto"/>
          <w:sz w:val="24"/>
          <w:highlight w:val="none"/>
        </w:rPr>
        <w:t>，随机采访了10个土地权益人，向他们了解当地土地利用状况和土地权属关系，矿山地质环境现状问题，并采取问卷调查的形式，公开征集当地居民的意见。收集矿区周边公众对于矿区开采以及矿山环境治理与土地复垦工作的意见。</w:t>
      </w:r>
    </w:p>
    <w:p w14:paraId="4F7A31C2">
      <w:pPr>
        <w:pStyle w:val="156"/>
        <w:ind w:firstLine="464"/>
        <w:rPr>
          <w:rFonts w:hint="default" w:ascii="Times New Roman" w:hAnsi="Times New Roman" w:eastAsia="宋体" w:cs="Times New Roman"/>
          <w:color w:val="auto"/>
          <w:spacing w:val="-4"/>
        </w:rPr>
      </w:pPr>
      <w:r>
        <w:rPr>
          <w:rFonts w:hint="default" w:ascii="Times New Roman" w:hAnsi="Times New Roman" w:eastAsia="宋体" w:cs="Times New Roman"/>
          <w:color w:val="auto"/>
          <w:spacing w:val="-4"/>
        </w:rPr>
        <w:t>（1）问卷调查结果分析</w:t>
      </w:r>
    </w:p>
    <w:p w14:paraId="3CF5A5FC">
      <w:pPr>
        <w:pStyle w:val="156"/>
        <w:ind w:firstLine="464"/>
        <w:rPr>
          <w:rFonts w:hint="default" w:ascii="Times New Roman" w:hAnsi="Times New Roman" w:eastAsia="宋体" w:cs="Times New Roman"/>
          <w:color w:val="auto"/>
          <w:spacing w:val="-4"/>
        </w:rPr>
      </w:pPr>
      <w:r>
        <w:rPr>
          <w:rFonts w:hint="default" w:ascii="Times New Roman" w:hAnsi="Times New Roman" w:eastAsia="宋体" w:cs="Times New Roman"/>
          <w:color w:val="auto"/>
          <w:spacing w:val="-4"/>
        </w:rPr>
        <w:t>对</w:t>
      </w:r>
      <w:r>
        <w:rPr>
          <w:rFonts w:hint="eastAsia" w:ascii="Times New Roman" w:hAnsi="Times New Roman" w:eastAsia="宋体" w:cs="Times New Roman"/>
          <w:color w:val="auto"/>
          <w:spacing w:val="-4"/>
          <w:lang w:eastAsia="zh-CN"/>
        </w:rPr>
        <w:t>北大湖采石场</w:t>
      </w:r>
      <w:r>
        <w:rPr>
          <w:rFonts w:hint="default" w:ascii="Times New Roman" w:hAnsi="Times New Roman" w:eastAsia="宋体" w:cs="Times New Roman"/>
          <w:color w:val="auto"/>
          <w:spacing w:val="-4"/>
        </w:rPr>
        <w:t>开采项目的了解程度：</w:t>
      </w:r>
      <w:r>
        <w:rPr>
          <w:rFonts w:hint="default" w:ascii="Times New Roman" w:hAnsi="Times New Roman" w:eastAsia="宋体" w:cs="Times New Roman"/>
          <w:color w:val="auto"/>
          <w:spacing w:val="-4"/>
          <w:lang w:val="en-US" w:eastAsia="zh-CN"/>
        </w:rPr>
        <w:t>80</w:t>
      </w:r>
      <w:r>
        <w:rPr>
          <w:rFonts w:hint="default" w:ascii="Times New Roman" w:hAnsi="Times New Roman" w:eastAsia="宋体" w:cs="Times New Roman"/>
          <w:color w:val="auto"/>
          <w:spacing w:val="-4"/>
        </w:rPr>
        <w:t>%的受调查者基本了解此项目，</w:t>
      </w:r>
      <w:r>
        <w:rPr>
          <w:rFonts w:hint="default" w:ascii="Times New Roman" w:hAnsi="Times New Roman" w:eastAsia="宋体" w:cs="Times New Roman"/>
          <w:color w:val="auto"/>
          <w:spacing w:val="-4"/>
          <w:lang w:val="en-US" w:eastAsia="zh-CN"/>
        </w:rPr>
        <w:t>2</w:t>
      </w:r>
      <w:r>
        <w:rPr>
          <w:rFonts w:hint="default" w:ascii="Times New Roman" w:hAnsi="Times New Roman" w:eastAsia="宋体" w:cs="Times New Roman"/>
          <w:color w:val="auto"/>
          <w:spacing w:val="-4"/>
        </w:rPr>
        <w:t>0%的受调查者十分了解此项目，说明</w:t>
      </w:r>
      <w:r>
        <w:rPr>
          <w:rFonts w:hint="eastAsia" w:ascii="Times New Roman" w:hAnsi="Times New Roman" w:eastAsia="宋体" w:cs="Times New Roman"/>
          <w:color w:val="auto"/>
          <w:spacing w:val="-4"/>
          <w:lang w:eastAsia="zh-CN"/>
        </w:rPr>
        <w:t>北大湖采石场</w:t>
      </w:r>
      <w:r>
        <w:rPr>
          <w:rFonts w:hint="default" w:ascii="Times New Roman" w:hAnsi="Times New Roman" w:eastAsia="宋体" w:cs="Times New Roman"/>
          <w:color w:val="auto"/>
          <w:spacing w:val="-4"/>
        </w:rPr>
        <w:t>开采项目具有较高的知名度。</w:t>
      </w:r>
    </w:p>
    <w:p w14:paraId="7C2CE8D0">
      <w:pPr>
        <w:pStyle w:val="156"/>
        <w:ind w:firstLine="464"/>
        <w:rPr>
          <w:rFonts w:hint="default" w:ascii="Times New Roman" w:hAnsi="Times New Roman" w:eastAsia="宋体" w:cs="Times New Roman"/>
          <w:color w:val="auto"/>
          <w:spacing w:val="-4"/>
        </w:rPr>
      </w:pPr>
      <w:r>
        <w:rPr>
          <w:rFonts w:hint="default" w:ascii="Times New Roman" w:hAnsi="Times New Roman" w:eastAsia="宋体" w:cs="Times New Roman"/>
          <w:color w:val="auto"/>
          <w:spacing w:val="-4"/>
        </w:rPr>
        <w:t>是否支持</w:t>
      </w:r>
      <w:r>
        <w:rPr>
          <w:rFonts w:hint="eastAsia" w:ascii="Times New Roman" w:hAnsi="Times New Roman" w:eastAsia="宋体" w:cs="Times New Roman"/>
          <w:color w:val="auto"/>
          <w:spacing w:val="-4"/>
          <w:lang w:eastAsia="zh-CN"/>
        </w:rPr>
        <w:t>北大湖采石场</w:t>
      </w:r>
      <w:r>
        <w:rPr>
          <w:rFonts w:hint="default" w:ascii="Times New Roman" w:hAnsi="Times New Roman" w:eastAsia="宋体" w:cs="Times New Roman"/>
          <w:color w:val="auto"/>
          <w:spacing w:val="-4"/>
        </w:rPr>
        <w:t>项目开采：100%的受调查者认为矿山开采有利于当地经济的发展。说明当地群众对于此项目持支持态度。</w:t>
      </w:r>
    </w:p>
    <w:p w14:paraId="473EAE74">
      <w:pPr>
        <w:pStyle w:val="156"/>
        <w:ind w:firstLine="464"/>
        <w:rPr>
          <w:rFonts w:hint="default" w:ascii="Times New Roman" w:hAnsi="Times New Roman" w:eastAsia="宋体" w:cs="Times New Roman"/>
          <w:color w:val="auto"/>
          <w:spacing w:val="-4"/>
        </w:rPr>
      </w:pPr>
      <w:r>
        <w:rPr>
          <w:rFonts w:hint="default" w:ascii="Times New Roman" w:hAnsi="Times New Roman" w:eastAsia="宋体" w:cs="Times New Roman"/>
          <w:color w:val="auto"/>
          <w:spacing w:val="-4"/>
        </w:rPr>
        <w:t>进行矿山环境</w:t>
      </w:r>
      <w:r>
        <w:rPr>
          <w:rFonts w:hint="default" w:ascii="Times New Roman" w:hAnsi="Times New Roman" w:eastAsia="宋体" w:cs="Times New Roman"/>
          <w:color w:val="auto"/>
          <w:spacing w:val="-4"/>
          <w:lang w:val="en-US" w:eastAsia="zh-CN"/>
        </w:rPr>
        <w:t>保护和土地复垦工程</w:t>
      </w:r>
      <w:r>
        <w:rPr>
          <w:rFonts w:hint="default" w:ascii="Times New Roman" w:hAnsi="Times New Roman" w:eastAsia="宋体" w:cs="Times New Roman"/>
          <w:color w:val="auto"/>
          <w:spacing w:val="-4"/>
        </w:rPr>
        <w:t>能否恢复当地的生态环境：</w:t>
      </w:r>
      <w:r>
        <w:rPr>
          <w:rFonts w:hint="default" w:ascii="Times New Roman" w:hAnsi="Times New Roman" w:eastAsia="宋体" w:cs="Times New Roman"/>
          <w:color w:val="auto"/>
          <w:spacing w:val="-4"/>
          <w:lang w:val="en-US" w:eastAsia="zh-CN"/>
        </w:rPr>
        <w:t>10</w:t>
      </w:r>
      <w:r>
        <w:rPr>
          <w:rFonts w:hint="default" w:ascii="Times New Roman" w:hAnsi="Times New Roman" w:eastAsia="宋体" w:cs="Times New Roman"/>
          <w:color w:val="auto"/>
          <w:spacing w:val="-4"/>
        </w:rPr>
        <w:t>0%的受调查者表示能。</w:t>
      </w:r>
    </w:p>
    <w:p w14:paraId="4C08239D">
      <w:pPr>
        <w:pStyle w:val="156"/>
        <w:ind w:firstLine="464"/>
        <w:rPr>
          <w:rFonts w:hint="default" w:ascii="Times New Roman" w:hAnsi="Times New Roman" w:eastAsia="宋体" w:cs="Times New Roman"/>
          <w:color w:val="auto"/>
          <w:spacing w:val="-4"/>
        </w:rPr>
      </w:pPr>
      <w:r>
        <w:rPr>
          <w:rFonts w:hint="default" w:ascii="Times New Roman" w:hAnsi="Times New Roman" w:eastAsia="宋体" w:cs="Times New Roman"/>
          <w:color w:val="auto"/>
          <w:spacing w:val="-4"/>
        </w:rPr>
        <w:t>对于矿山环境恢复治理</w:t>
      </w:r>
      <w:r>
        <w:rPr>
          <w:rFonts w:hint="default" w:ascii="Times New Roman" w:hAnsi="Times New Roman" w:eastAsia="宋体" w:cs="Times New Roman"/>
          <w:color w:val="auto"/>
          <w:spacing w:val="-4"/>
          <w:lang w:eastAsia="zh-CN"/>
        </w:rPr>
        <w:t>与</w:t>
      </w:r>
      <w:r>
        <w:rPr>
          <w:rFonts w:hint="default" w:ascii="Times New Roman" w:hAnsi="Times New Roman" w:eastAsia="宋体" w:cs="Times New Roman"/>
          <w:color w:val="auto"/>
          <w:spacing w:val="-4"/>
          <w:lang w:val="en-US" w:eastAsia="zh-CN"/>
        </w:rPr>
        <w:t>土地复垦</w:t>
      </w:r>
      <w:r>
        <w:rPr>
          <w:rFonts w:hint="default" w:ascii="Times New Roman" w:hAnsi="Times New Roman" w:eastAsia="宋体" w:cs="Times New Roman"/>
          <w:color w:val="auto"/>
          <w:spacing w:val="-4"/>
        </w:rPr>
        <w:t>是否支持：100%的受调查者支持矿山环境</w:t>
      </w:r>
      <w:r>
        <w:rPr>
          <w:rFonts w:hint="default" w:ascii="Times New Roman" w:hAnsi="Times New Roman" w:eastAsia="宋体" w:cs="Times New Roman"/>
          <w:color w:val="auto"/>
          <w:spacing w:val="-4"/>
          <w:lang w:val="en-US" w:eastAsia="zh-CN"/>
        </w:rPr>
        <w:t>保护与土地复垦</w:t>
      </w:r>
      <w:r>
        <w:rPr>
          <w:rFonts w:hint="default" w:ascii="Times New Roman" w:hAnsi="Times New Roman" w:eastAsia="宋体" w:cs="Times New Roman"/>
          <w:color w:val="auto"/>
          <w:spacing w:val="-4"/>
        </w:rPr>
        <w:t>；根据调查数据，受调查者都意识到矿山</w:t>
      </w:r>
      <w:r>
        <w:rPr>
          <w:rFonts w:hint="default" w:ascii="Times New Roman" w:hAnsi="Times New Roman" w:eastAsia="宋体" w:cs="Times New Roman"/>
          <w:color w:val="auto"/>
          <w:spacing w:val="-4"/>
          <w:lang w:val="en-US" w:eastAsia="zh-CN"/>
        </w:rPr>
        <w:t>地质环境保护与</w:t>
      </w:r>
      <w:r>
        <w:rPr>
          <w:rFonts w:hint="default" w:ascii="Times New Roman" w:hAnsi="Times New Roman" w:eastAsia="宋体" w:cs="Times New Roman"/>
          <w:color w:val="auto"/>
          <w:spacing w:val="-4"/>
        </w:rPr>
        <w:t>土地复垦的必要性，这对于矿山土地复垦工作的开展打下了良好的群众基础。</w:t>
      </w:r>
    </w:p>
    <w:p w14:paraId="76CE9C25">
      <w:pPr>
        <w:pStyle w:val="156"/>
        <w:ind w:firstLine="464"/>
        <w:rPr>
          <w:rFonts w:hint="default" w:ascii="Times New Roman" w:hAnsi="Times New Roman" w:eastAsia="宋体" w:cs="Times New Roman"/>
          <w:color w:val="auto"/>
          <w:spacing w:val="-4"/>
          <w:lang w:val="en-US" w:eastAsia="zh-CN"/>
        </w:rPr>
      </w:pPr>
      <w:r>
        <w:rPr>
          <w:rFonts w:hint="default" w:ascii="Times New Roman" w:hAnsi="Times New Roman" w:eastAsia="宋体" w:cs="Times New Roman"/>
          <w:color w:val="auto"/>
          <w:spacing w:val="-4"/>
          <w:lang w:val="en-US" w:eastAsia="zh-CN"/>
        </w:rPr>
        <w:t>对于</w:t>
      </w:r>
      <w:r>
        <w:rPr>
          <w:rFonts w:hint="default" w:ascii="Times New Roman" w:hAnsi="Times New Roman" w:eastAsia="宋体" w:cs="Times New Roman"/>
          <w:color w:val="auto"/>
          <w:spacing w:val="-4"/>
        </w:rPr>
        <w:t>该矿土地复垦最适宜的方向</w:t>
      </w:r>
      <w:r>
        <w:rPr>
          <w:rFonts w:hint="default" w:ascii="Times New Roman" w:hAnsi="Times New Roman" w:eastAsia="宋体" w:cs="Times New Roman"/>
          <w:color w:val="auto"/>
          <w:spacing w:val="-4"/>
          <w:lang w:eastAsia="zh-CN"/>
        </w:rPr>
        <w:t>：</w:t>
      </w:r>
      <w:r>
        <w:rPr>
          <w:rFonts w:hint="default" w:ascii="Times New Roman" w:hAnsi="Times New Roman" w:eastAsia="宋体" w:cs="Times New Roman"/>
          <w:color w:val="auto"/>
          <w:spacing w:val="-4"/>
        </w:rPr>
        <w:t>100%的受调查者</w:t>
      </w:r>
      <w:r>
        <w:rPr>
          <w:rFonts w:hint="default" w:ascii="Times New Roman" w:hAnsi="Times New Roman" w:eastAsia="宋体" w:cs="Times New Roman"/>
          <w:color w:val="auto"/>
          <w:spacing w:val="-4"/>
          <w:lang w:val="en-US" w:eastAsia="zh-CN"/>
        </w:rPr>
        <w:t>表示复垦为</w:t>
      </w:r>
      <w:r>
        <w:rPr>
          <w:rFonts w:hint="eastAsia" w:ascii="Times New Roman" w:hAnsi="Times New Roman" w:eastAsia="宋体" w:cs="Times New Roman"/>
          <w:color w:val="auto"/>
          <w:spacing w:val="-4"/>
          <w:lang w:val="en-US" w:eastAsia="zh-CN"/>
        </w:rPr>
        <w:t>乔木林地</w:t>
      </w:r>
      <w:r>
        <w:rPr>
          <w:rFonts w:hint="default" w:ascii="Times New Roman" w:hAnsi="Times New Roman" w:eastAsia="宋体" w:cs="Times New Roman"/>
          <w:color w:val="auto"/>
          <w:spacing w:val="-4"/>
          <w:lang w:val="en-US" w:eastAsia="zh-CN"/>
        </w:rPr>
        <w:t>。</w:t>
      </w:r>
    </w:p>
    <w:p w14:paraId="6CD555B5">
      <w:pPr>
        <w:pStyle w:val="156"/>
        <w:ind w:firstLine="464"/>
        <w:rPr>
          <w:rFonts w:hint="default" w:ascii="Times New Roman" w:hAnsi="Times New Roman" w:eastAsia="宋体" w:cs="Times New Roman"/>
          <w:color w:val="auto"/>
          <w:spacing w:val="-4"/>
          <w:lang w:eastAsia="zh-CN"/>
        </w:rPr>
      </w:pPr>
      <w:r>
        <w:rPr>
          <w:rFonts w:hint="default" w:ascii="Times New Roman" w:hAnsi="Times New Roman" w:eastAsia="宋体" w:cs="Times New Roman"/>
          <w:color w:val="auto"/>
          <w:spacing w:val="-4"/>
        </w:rPr>
        <w:t>是否愿意监督或参与矿山恢复治理：</w:t>
      </w:r>
      <w:r>
        <w:rPr>
          <w:rFonts w:hint="default" w:ascii="Times New Roman" w:hAnsi="Times New Roman" w:eastAsia="宋体" w:cs="Times New Roman"/>
          <w:color w:val="auto"/>
          <w:spacing w:val="-4"/>
          <w:lang w:val="en-US" w:eastAsia="zh-CN"/>
        </w:rPr>
        <w:t>8</w:t>
      </w:r>
      <w:r>
        <w:rPr>
          <w:rFonts w:hint="default" w:ascii="Times New Roman" w:hAnsi="Times New Roman" w:eastAsia="宋体" w:cs="Times New Roman"/>
          <w:color w:val="auto"/>
          <w:spacing w:val="-4"/>
        </w:rPr>
        <w:t>0%的受访者表示愿意</w:t>
      </w:r>
      <w:r>
        <w:rPr>
          <w:rFonts w:hint="default" w:ascii="Times New Roman" w:hAnsi="Times New Roman" w:eastAsia="宋体" w:cs="Times New Roman"/>
          <w:color w:val="auto"/>
          <w:spacing w:val="-4"/>
          <w:lang w:val="en-US" w:eastAsia="zh-CN"/>
        </w:rPr>
        <w:t>。</w:t>
      </w:r>
    </w:p>
    <w:p w14:paraId="0CEDA0A9">
      <w:pPr>
        <w:pStyle w:val="156"/>
        <w:ind w:firstLine="464"/>
        <w:rPr>
          <w:rFonts w:hint="default" w:ascii="Times New Roman" w:hAnsi="Times New Roman" w:eastAsia="宋体" w:cs="Times New Roman"/>
          <w:color w:val="auto"/>
          <w:spacing w:val="-4"/>
        </w:rPr>
      </w:pPr>
      <w:r>
        <w:rPr>
          <w:rFonts w:hint="default" w:ascii="Times New Roman" w:hAnsi="Times New Roman" w:eastAsia="宋体" w:cs="Times New Roman"/>
          <w:color w:val="auto"/>
          <w:spacing w:val="-4"/>
        </w:rPr>
        <w:t>（2）公众对</w:t>
      </w:r>
      <w:r>
        <w:rPr>
          <w:rFonts w:hint="eastAsia" w:ascii="Times New Roman" w:hAnsi="Times New Roman" w:eastAsia="宋体" w:cs="Times New Roman"/>
          <w:color w:val="auto"/>
          <w:spacing w:val="-4"/>
          <w:lang w:val="en-US" w:eastAsia="zh-CN"/>
        </w:rPr>
        <w:t>北大湖采石场</w:t>
      </w:r>
      <w:r>
        <w:rPr>
          <w:rFonts w:hint="default" w:ascii="Times New Roman" w:hAnsi="Times New Roman" w:eastAsia="宋体" w:cs="Times New Roman"/>
          <w:color w:val="auto"/>
          <w:spacing w:val="-4"/>
        </w:rPr>
        <w:t>土地复垦的建议</w:t>
      </w:r>
    </w:p>
    <w:p w14:paraId="4B798D32">
      <w:pPr>
        <w:pStyle w:val="156"/>
        <w:ind w:firstLine="464"/>
        <w:rPr>
          <w:rFonts w:hint="default" w:ascii="Times New Roman" w:hAnsi="Times New Roman" w:eastAsia="宋体" w:cs="Times New Roman"/>
          <w:color w:val="auto"/>
          <w:spacing w:val="-4"/>
        </w:rPr>
      </w:pPr>
      <w:r>
        <w:rPr>
          <w:rFonts w:hint="default" w:ascii="Times New Roman" w:hAnsi="Times New Roman" w:eastAsia="宋体" w:cs="Times New Roman"/>
          <w:color w:val="auto"/>
          <w:spacing w:val="-4"/>
        </w:rPr>
        <w:t>通过调查问卷收集的意见显示，公众对本次土地复垦工程开展</w:t>
      </w:r>
      <w:r>
        <w:rPr>
          <w:rFonts w:hint="default" w:ascii="Times New Roman" w:hAnsi="Times New Roman" w:eastAsia="宋体" w:cs="Times New Roman"/>
          <w:color w:val="auto"/>
          <w:spacing w:val="-4"/>
          <w:lang w:eastAsia="zh-CN"/>
        </w:rPr>
        <w:t>抱</w:t>
      </w:r>
      <w:r>
        <w:rPr>
          <w:rFonts w:hint="default" w:ascii="Times New Roman" w:hAnsi="Times New Roman" w:eastAsia="宋体" w:cs="Times New Roman"/>
          <w:color w:val="auto"/>
          <w:spacing w:val="-4"/>
        </w:rPr>
        <w:t>有积极态度，并从不同角度对项目区土地复垦的技术、方法以及复垦后的土地的利用方向、植被恢复措施提出了部分建议。多数受调查者认为</w:t>
      </w:r>
      <w:r>
        <w:rPr>
          <w:rFonts w:hint="eastAsia" w:ascii="Times New Roman" w:hAnsi="Times New Roman" w:eastAsia="宋体" w:cs="Times New Roman"/>
          <w:color w:val="auto"/>
          <w:spacing w:val="-4"/>
          <w:lang w:eastAsia="zh-CN"/>
        </w:rPr>
        <w:t>北大湖采石场</w:t>
      </w:r>
      <w:r>
        <w:rPr>
          <w:rFonts w:hint="default" w:ascii="Times New Roman" w:hAnsi="Times New Roman" w:eastAsia="宋体" w:cs="Times New Roman"/>
          <w:color w:val="auto"/>
          <w:spacing w:val="-4"/>
        </w:rPr>
        <w:t>土地复垦方向明确、方案可行，主要是希望矿山企业重视土地复垦工作的实施和抓好日常管理。受调查者提出的建议如下：</w:t>
      </w:r>
    </w:p>
    <w:p w14:paraId="4481EADD">
      <w:pPr>
        <w:pStyle w:val="156"/>
        <w:ind w:firstLine="464"/>
        <w:rPr>
          <w:rFonts w:hint="default" w:ascii="Times New Roman" w:hAnsi="Times New Roman" w:eastAsia="宋体" w:cs="Times New Roman"/>
          <w:color w:val="auto"/>
          <w:spacing w:val="-4"/>
        </w:rPr>
      </w:pPr>
      <w:r>
        <w:rPr>
          <w:rFonts w:hint="default" w:ascii="Times New Roman" w:hAnsi="Times New Roman" w:eastAsia="宋体" w:cs="Times New Roman"/>
          <w:color w:val="auto"/>
          <w:spacing w:val="-4"/>
        </w:rPr>
        <w:t>1）矿山企业应把矿区土地复垦工作落到实处，合理安排矿区土地复垦资金，加强对项目区土地复垦后的管护，尽可能地减轻水土流失，改善当地生态环境。</w:t>
      </w:r>
    </w:p>
    <w:p w14:paraId="22008ED8">
      <w:pPr>
        <w:pStyle w:val="156"/>
        <w:ind w:firstLine="464"/>
        <w:rPr>
          <w:rFonts w:hint="default" w:ascii="Times New Roman" w:hAnsi="Times New Roman" w:eastAsia="宋体" w:cs="Times New Roman"/>
          <w:color w:val="auto"/>
          <w:spacing w:val="-4"/>
        </w:rPr>
      </w:pPr>
      <w:r>
        <w:rPr>
          <w:rFonts w:hint="default" w:ascii="Times New Roman" w:hAnsi="Times New Roman" w:eastAsia="宋体" w:cs="Times New Roman"/>
          <w:color w:val="auto"/>
          <w:spacing w:val="-4"/>
        </w:rPr>
        <w:t>2）尽量将占用的土地恢复为开采前状态。</w:t>
      </w:r>
    </w:p>
    <w:p w14:paraId="0EFCA5CA">
      <w:pPr>
        <w:pStyle w:val="156"/>
        <w:ind w:firstLine="464"/>
        <w:rPr>
          <w:rFonts w:hint="default" w:ascii="Times New Roman" w:hAnsi="Times New Roman" w:eastAsia="宋体" w:cs="Times New Roman"/>
          <w:color w:val="auto"/>
          <w:spacing w:val="-4"/>
        </w:rPr>
      </w:pPr>
      <w:r>
        <w:rPr>
          <w:rFonts w:hint="default" w:ascii="Times New Roman" w:hAnsi="Times New Roman" w:eastAsia="宋体" w:cs="Times New Roman"/>
          <w:color w:val="auto"/>
          <w:spacing w:val="-4"/>
        </w:rPr>
        <w:t>3）矿山企业应优先聘用当地居民从事土地复垦工作，解决他们的就业问题。</w:t>
      </w:r>
    </w:p>
    <w:p w14:paraId="6489B55E">
      <w:pPr>
        <w:pStyle w:val="156"/>
        <w:ind w:firstLine="464"/>
        <w:rPr>
          <w:rFonts w:hint="default" w:ascii="Times New Roman" w:hAnsi="Times New Roman" w:eastAsia="宋体" w:cs="Times New Roman"/>
          <w:color w:val="auto"/>
          <w:spacing w:val="-4"/>
        </w:rPr>
      </w:pPr>
      <w:r>
        <w:rPr>
          <w:rFonts w:hint="default" w:ascii="Times New Roman" w:hAnsi="Times New Roman" w:eastAsia="宋体" w:cs="Times New Roman"/>
          <w:color w:val="auto"/>
          <w:spacing w:val="-4"/>
        </w:rPr>
        <w:t>4）当地政府非常赞同</w:t>
      </w:r>
      <w:r>
        <w:rPr>
          <w:rFonts w:hint="eastAsia" w:ascii="Times New Roman" w:hAnsi="Times New Roman" w:eastAsia="宋体" w:cs="Times New Roman"/>
          <w:color w:val="auto"/>
          <w:spacing w:val="-4"/>
          <w:lang w:eastAsia="zh-CN"/>
        </w:rPr>
        <w:t>北大湖采石场</w:t>
      </w:r>
      <w:r>
        <w:rPr>
          <w:rFonts w:hint="default" w:ascii="Times New Roman" w:hAnsi="Times New Roman" w:eastAsia="宋体" w:cs="Times New Roman"/>
          <w:color w:val="auto"/>
          <w:spacing w:val="-4"/>
        </w:rPr>
        <w:t>开展土地复垦工作，希望方案实施过程中综合考虑项目区域的立地条件，选择乡土植物，确保土地复垦率和复垦效果达到验收要求。同时，希望建设单位加强土地复垦后的管理和保育工作，巩固土地复垦的成果。在发展经济的同时，能很好地保护好生态环境。</w:t>
      </w:r>
    </w:p>
    <w:p w14:paraId="595E7EE7">
      <w:pPr>
        <w:pStyle w:val="156"/>
        <w:ind w:firstLine="464"/>
        <w:rPr>
          <w:rFonts w:hint="default" w:ascii="Times New Roman" w:hAnsi="Times New Roman" w:eastAsia="宋体" w:cs="Times New Roman"/>
          <w:color w:val="auto"/>
          <w:spacing w:val="-4"/>
        </w:rPr>
      </w:pPr>
      <w:r>
        <w:rPr>
          <w:rFonts w:hint="default" w:ascii="Times New Roman" w:hAnsi="Times New Roman" w:eastAsia="宋体" w:cs="Times New Roman"/>
          <w:color w:val="auto"/>
          <w:spacing w:val="-4"/>
        </w:rPr>
        <w:t>5）自然资源管理部门应加强对土地复垦工作实施的监督和定期、不定期的检查；矿山工作人员，现场施工人员及矿山领导参与，采取定期走访调查的方式对矿山土地复垦工作进行监督；当地群众也要参与对矿区土地复垦工作的监督。</w:t>
      </w:r>
    </w:p>
    <w:p w14:paraId="5933B3BC">
      <w:pPr>
        <w:pStyle w:val="3"/>
        <w:jc w:val="center"/>
        <w:rPr>
          <w:rFonts w:hint="default" w:ascii="Times New Roman" w:hAnsi="Times New Roman" w:cs="Times New Roman"/>
          <w:b w:val="0"/>
          <w:color w:val="auto"/>
          <w:sz w:val="21"/>
          <w:szCs w:val="24"/>
          <w:highlight w:val="none"/>
        </w:rPr>
      </w:pPr>
      <w:r>
        <w:rPr>
          <w:rFonts w:hint="default" w:ascii="Times New Roman" w:hAnsi="Times New Roman" w:cs="Times New Roman"/>
          <w:color w:val="auto"/>
          <w:highlight w:val="none"/>
        </w:rPr>
        <w:br w:type="page"/>
      </w:r>
      <w:bookmarkStart w:id="349" w:name="_Toc16854"/>
      <w:bookmarkStart w:id="350" w:name="_Toc23855672"/>
      <w:bookmarkStart w:id="351" w:name="_Toc20944"/>
      <w:bookmarkStart w:id="352" w:name="_Toc487105365"/>
      <w:bookmarkStart w:id="353" w:name="_Toc487105367"/>
      <w:bookmarkStart w:id="354" w:name="_Toc256151489"/>
      <w:bookmarkStart w:id="355" w:name="_Toc454439651"/>
      <w:bookmarkStart w:id="356" w:name="_Toc270767088"/>
      <w:bookmarkStart w:id="357" w:name="_Toc288775808"/>
      <w:bookmarkStart w:id="358" w:name="_Toc270766161"/>
      <w:bookmarkStart w:id="359" w:name="_Toc380584861"/>
      <w:bookmarkStart w:id="360" w:name="_Toc283135727"/>
      <w:bookmarkStart w:id="361" w:name="_Toc288849829"/>
      <w:r>
        <w:rPr>
          <w:rFonts w:hint="default" w:ascii="Times New Roman" w:hAnsi="Times New Roman" w:eastAsia="黑体" w:cs="Times New Roman"/>
          <w:b w:val="0"/>
          <w:color w:val="auto"/>
          <w:sz w:val="32"/>
          <w:szCs w:val="32"/>
          <w:highlight w:val="none"/>
        </w:rPr>
        <w:t>第九章  结论与建议</w:t>
      </w:r>
      <w:bookmarkEnd w:id="349"/>
      <w:bookmarkEnd w:id="350"/>
      <w:bookmarkEnd w:id="351"/>
      <w:bookmarkEnd w:id="352"/>
    </w:p>
    <w:bookmarkEnd w:id="353"/>
    <w:bookmarkEnd w:id="354"/>
    <w:bookmarkEnd w:id="355"/>
    <w:bookmarkEnd w:id="356"/>
    <w:bookmarkEnd w:id="357"/>
    <w:bookmarkEnd w:id="358"/>
    <w:bookmarkEnd w:id="359"/>
    <w:bookmarkEnd w:id="360"/>
    <w:bookmarkEnd w:id="361"/>
    <w:p w14:paraId="317D913C">
      <w:pPr>
        <w:keepNext/>
        <w:keepLines/>
        <w:widowControl w:val="0"/>
        <w:spacing w:before="260" w:after="260" w:line="415" w:lineRule="auto"/>
        <w:outlineLvl w:val="1"/>
        <w:rPr>
          <w:rFonts w:hint="default" w:ascii="Times New Roman" w:hAnsi="Times New Roman" w:eastAsia="黑体" w:cs="Times New Roman"/>
          <w:bCs/>
          <w:color w:val="auto"/>
          <w:sz w:val="30"/>
          <w:szCs w:val="30"/>
          <w:highlight w:val="none"/>
        </w:rPr>
      </w:pPr>
      <w:bookmarkStart w:id="362" w:name="_Toc24314"/>
      <w:bookmarkStart w:id="363" w:name="_Toc9548"/>
      <w:r>
        <w:rPr>
          <w:rFonts w:hint="default" w:ascii="Times New Roman" w:hAnsi="Times New Roman" w:eastAsia="黑体" w:cs="Times New Roman"/>
          <w:bCs/>
          <w:color w:val="auto"/>
          <w:sz w:val="30"/>
          <w:szCs w:val="30"/>
          <w:highlight w:val="none"/>
        </w:rPr>
        <w:t>一、结论</w:t>
      </w:r>
      <w:bookmarkEnd w:id="362"/>
      <w:bookmarkEnd w:id="363"/>
    </w:p>
    <w:p w14:paraId="7FBF4701">
      <w:pPr>
        <w:spacing w:line="360" w:lineRule="auto"/>
        <w:ind w:firstLine="480" w:firstLineChars="200"/>
        <w:jc w:val="both"/>
        <w:rPr>
          <w:rFonts w:hint="default" w:ascii="Times New Roman" w:hAnsi="Times New Roman" w:cs="Times New Roman"/>
          <w:color w:val="auto"/>
          <w:sz w:val="24"/>
          <w:highlight w:val="none"/>
        </w:rPr>
      </w:pPr>
      <w:bookmarkStart w:id="364" w:name="_Hlk91110546"/>
      <w:bookmarkStart w:id="365" w:name="_Toc23855674"/>
      <w:r>
        <w:rPr>
          <w:rFonts w:hint="default" w:ascii="Times New Roman" w:hAnsi="Times New Roman" w:cs="Times New Roman"/>
          <w:color w:val="auto"/>
          <w:sz w:val="24"/>
          <w:highlight w:val="none"/>
        </w:rPr>
        <w:t>1、</w:t>
      </w:r>
      <w:r>
        <w:rPr>
          <w:rFonts w:hint="eastAsia" w:cs="Times New Roman"/>
          <w:color w:val="auto"/>
          <w:sz w:val="24"/>
          <w:highlight w:val="none"/>
          <w:lang w:eastAsia="zh-CN"/>
        </w:rPr>
        <w:t>北大湖采石场</w:t>
      </w:r>
      <w:r>
        <w:rPr>
          <w:rFonts w:hint="default" w:ascii="Times New Roman" w:hAnsi="Times New Roman" w:cs="Times New Roman"/>
          <w:color w:val="auto"/>
          <w:sz w:val="24"/>
          <w:highlight w:val="none"/>
        </w:rPr>
        <w:t>开采矿种为</w:t>
      </w:r>
      <w:r>
        <w:rPr>
          <w:rFonts w:hint="eastAsia" w:cs="Times New Roman"/>
          <w:color w:val="auto"/>
          <w:sz w:val="24"/>
          <w:highlight w:val="none"/>
          <w:lang w:val="en-US" w:eastAsia="zh-CN"/>
        </w:rPr>
        <w:t>方解石</w:t>
      </w:r>
      <w:r>
        <w:rPr>
          <w:rFonts w:hint="default" w:ascii="Times New Roman" w:hAnsi="Times New Roman" w:cs="Times New Roman"/>
          <w:color w:val="auto"/>
          <w:sz w:val="24"/>
          <w:highlight w:val="none"/>
        </w:rPr>
        <w:t>，开采方式为</w:t>
      </w:r>
      <w:r>
        <w:rPr>
          <w:rFonts w:hint="eastAsia" w:cs="Times New Roman"/>
          <w:color w:val="auto"/>
          <w:sz w:val="24"/>
          <w:highlight w:val="none"/>
          <w:lang w:eastAsia="zh-CN"/>
        </w:rPr>
        <w:t>露天开采</w:t>
      </w:r>
      <w:r>
        <w:rPr>
          <w:rFonts w:hint="default" w:ascii="Times New Roman" w:hAnsi="Times New Roman" w:cs="Times New Roman"/>
          <w:color w:val="auto"/>
          <w:sz w:val="24"/>
          <w:highlight w:val="none"/>
        </w:rPr>
        <w:t>。矿山</w:t>
      </w:r>
      <w:r>
        <w:rPr>
          <w:rFonts w:hint="eastAsia" w:cs="Times New Roman"/>
          <w:color w:val="auto"/>
          <w:sz w:val="24"/>
          <w:highlight w:val="none"/>
          <w:lang w:val="en-US" w:eastAsia="zh-CN"/>
        </w:rPr>
        <w:t>剩余年限为3.72</w:t>
      </w:r>
      <w:r>
        <w:rPr>
          <w:rFonts w:hint="default" w:ascii="Times New Roman" w:hAnsi="Times New Roman" w:cs="Times New Roman"/>
          <w:color w:val="auto"/>
          <w:sz w:val="24"/>
          <w:highlight w:val="none"/>
          <w:lang w:val="en-US" w:eastAsia="zh-CN"/>
        </w:rPr>
        <w:t>年</w:t>
      </w:r>
      <w:r>
        <w:rPr>
          <w:rFonts w:hint="default" w:ascii="Times New Roman" w:hAnsi="Times New Roman" w:cs="Times New Roman"/>
          <w:color w:val="auto"/>
          <w:sz w:val="24"/>
          <w:highlight w:val="none"/>
        </w:rPr>
        <w:t>（自2025年5月至2028年12月）。矿山终采后，治理复垦需要1年，管护期3年，确定本方案规划服务年限为</w:t>
      </w:r>
      <w:r>
        <w:rPr>
          <w:rFonts w:hint="eastAsia" w:cs="Times New Roman"/>
          <w:color w:val="auto"/>
          <w:sz w:val="24"/>
          <w:highlight w:val="none"/>
          <w:lang w:val="en-US" w:eastAsia="zh-CN"/>
        </w:rPr>
        <w:t>7.72</w:t>
      </w:r>
      <w:r>
        <w:rPr>
          <w:rFonts w:hint="default" w:ascii="Times New Roman" w:hAnsi="Times New Roman" w:cs="Times New Roman"/>
          <w:color w:val="auto"/>
          <w:sz w:val="24"/>
          <w:highlight w:val="none"/>
        </w:rPr>
        <w:t>年（自2025年5月至2031年12月）。</w:t>
      </w:r>
    </w:p>
    <w:p w14:paraId="70D37021">
      <w:pPr>
        <w:spacing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2、矿山生产建设规模为</w:t>
      </w:r>
      <w:r>
        <w:rPr>
          <w:rFonts w:hint="default" w:ascii="Times New Roman" w:hAnsi="Times New Roman" w:cs="Times New Roman"/>
          <w:color w:val="auto"/>
          <w:sz w:val="24"/>
          <w:highlight w:val="none"/>
          <w:lang w:val="en-US" w:eastAsia="zh-CN"/>
        </w:rPr>
        <w:t>小</w:t>
      </w:r>
      <w:r>
        <w:rPr>
          <w:rFonts w:hint="default" w:ascii="Times New Roman" w:hAnsi="Times New Roman" w:cs="Times New Roman"/>
          <w:color w:val="auto"/>
          <w:sz w:val="24"/>
          <w:highlight w:val="none"/>
        </w:rPr>
        <w:t>型，矿山地质环境条件复杂程度划分为中等，评估区的重要程度</w:t>
      </w:r>
      <w:r>
        <w:rPr>
          <w:rFonts w:hint="default" w:ascii="Times New Roman" w:hAnsi="Times New Roman" w:cs="Times New Roman"/>
          <w:color w:val="auto"/>
          <w:sz w:val="24"/>
          <w:highlight w:val="none"/>
          <w:lang w:val="en-US" w:eastAsia="zh-CN"/>
        </w:rPr>
        <w:t>为</w:t>
      </w:r>
      <w:r>
        <w:rPr>
          <w:rFonts w:hint="eastAsia" w:cs="Times New Roman"/>
          <w:color w:val="auto"/>
          <w:sz w:val="24"/>
          <w:highlight w:val="none"/>
          <w:lang w:val="en-US" w:eastAsia="zh-CN"/>
        </w:rPr>
        <w:t>较</w:t>
      </w:r>
      <w:r>
        <w:rPr>
          <w:rFonts w:hint="default" w:ascii="Times New Roman" w:hAnsi="Times New Roman" w:cs="Times New Roman"/>
          <w:color w:val="auto"/>
          <w:sz w:val="24"/>
          <w:highlight w:val="none"/>
        </w:rPr>
        <w:t>重要区；因此将本次的评估级别确定为</w:t>
      </w:r>
      <w:r>
        <w:rPr>
          <w:rFonts w:hint="eastAsia" w:cs="Times New Roman"/>
          <w:color w:val="auto"/>
          <w:sz w:val="24"/>
          <w:highlight w:val="none"/>
          <w:lang w:val="en-US" w:eastAsia="zh-CN"/>
        </w:rPr>
        <w:t>二</w:t>
      </w:r>
      <w:r>
        <w:rPr>
          <w:rFonts w:hint="default" w:ascii="Times New Roman" w:hAnsi="Times New Roman" w:cs="Times New Roman"/>
          <w:color w:val="auto"/>
          <w:sz w:val="24"/>
          <w:highlight w:val="none"/>
        </w:rPr>
        <w:t>级。</w:t>
      </w:r>
    </w:p>
    <w:bookmarkEnd w:id="364"/>
    <w:p w14:paraId="0AAD5CFD">
      <w:pPr>
        <w:spacing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3、</w:t>
      </w:r>
      <w:r>
        <w:rPr>
          <w:rFonts w:hint="default" w:ascii="Times New Roman" w:hAnsi="Times New Roman" w:cs="Times New Roman"/>
          <w:color w:val="auto"/>
          <w:sz w:val="24"/>
          <w:highlight w:val="none"/>
        </w:rPr>
        <w:t>现状评估结果：现状地质灾害不发育；对含水层影响程度较轻；</w:t>
      </w:r>
      <w:r>
        <w:rPr>
          <w:rFonts w:hint="default" w:ascii="Times New Roman" w:hAnsi="Times New Roman" w:cs="Times New Roman"/>
          <w:color w:val="auto"/>
          <w:sz w:val="24"/>
          <w:highlight w:val="none"/>
          <w:lang w:val="en-US" w:eastAsia="zh-CN"/>
        </w:rPr>
        <w:t>现状</w:t>
      </w:r>
      <w:r>
        <w:rPr>
          <w:rFonts w:hint="eastAsia" w:cs="Times New Roman"/>
          <w:color w:val="auto"/>
          <w:sz w:val="24"/>
          <w:highlight w:val="none"/>
          <w:lang w:val="en-US" w:eastAsia="zh-CN"/>
        </w:rPr>
        <w:t>露天采场、工业广场、生产生活区、原有办公室及临时堆料场、矿山道路、表土堆场</w:t>
      </w:r>
      <w:r>
        <w:rPr>
          <w:rFonts w:hint="default" w:ascii="Times New Roman" w:hAnsi="Times New Roman" w:cs="Times New Roman"/>
          <w:color w:val="auto"/>
          <w:sz w:val="24"/>
          <w:highlight w:val="none"/>
        </w:rPr>
        <w:t>对地形地貌破坏和影响程度严重；对水土环境污染程度较轻。综上，评估区内现状</w:t>
      </w:r>
      <w:r>
        <w:rPr>
          <w:rFonts w:hint="eastAsia" w:cs="Times New Roman"/>
          <w:color w:val="auto"/>
          <w:sz w:val="24"/>
          <w:highlight w:val="none"/>
          <w:lang w:val="en-US" w:eastAsia="zh-CN"/>
        </w:rPr>
        <w:t>露天采场、工业广场、生产生活区、原有办公室及临时堆料场、矿山道路、表土堆场</w:t>
      </w:r>
      <w:r>
        <w:rPr>
          <w:rFonts w:hint="default" w:ascii="Times New Roman" w:hAnsi="Times New Roman" w:cs="Times New Roman"/>
          <w:color w:val="auto"/>
          <w:sz w:val="24"/>
          <w:highlight w:val="none"/>
        </w:rPr>
        <w:t>对矿山地质环境影响</w:t>
      </w:r>
      <w:r>
        <w:rPr>
          <w:rFonts w:hint="default" w:ascii="Times New Roman" w:hAnsi="Times New Roman" w:cs="Times New Roman"/>
          <w:color w:val="auto"/>
          <w:sz w:val="24"/>
          <w:highlight w:val="none"/>
          <w:lang w:val="en-US" w:eastAsia="zh-CN"/>
        </w:rPr>
        <w:t>严重</w:t>
      </w:r>
      <w:r>
        <w:rPr>
          <w:rFonts w:hint="default" w:ascii="Times New Roman" w:hAnsi="Times New Roman" w:cs="Times New Roman"/>
          <w:color w:val="auto"/>
          <w:sz w:val="24"/>
          <w:highlight w:val="none"/>
        </w:rPr>
        <w:t>，严重面积</w:t>
      </w:r>
      <w:r>
        <w:rPr>
          <w:rFonts w:hint="eastAsia" w:cs="Times New Roman"/>
          <w:color w:val="auto"/>
          <w:sz w:val="24"/>
          <w:highlight w:val="none"/>
          <w:lang w:val="en-US" w:eastAsia="zh-CN"/>
        </w:rPr>
        <w:t>3.7362</w:t>
      </w:r>
      <w:r>
        <w:rPr>
          <w:rFonts w:hint="default" w:ascii="Times New Roman" w:hAnsi="Times New Roman" w:cs="Times New Roman"/>
          <w:color w:val="auto"/>
          <w:sz w:val="24"/>
          <w:highlight w:val="none"/>
        </w:rPr>
        <w:t>h</w:t>
      </w:r>
      <w:r>
        <w:rPr>
          <w:rFonts w:hint="default" w:ascii="Times New Roman" w:hAnsi="Times New Roman" w:cs="Times New Roman"/>
          <w:color w:val="auto"/>
          <w:sz w:val="24"/>
          <w:highlight w:val="none"/>
          <w:lang w:eastAsia="zh-CN"/>
        </w:rPr>
        <w:t>m</w:t>
      </w:r>
      <w:r>
        <w:rPr>
          <w:rFonts w:hint="default" w:ascii="Times New Roman" w:hAnsi="Times New Roman" w:cs="Times New Roman"/>
          <w:color w:val="auto"/>
          <w:sz w:val="24"/>
          <w:highlight w:val="none"/>
          <w:vertAlign w:val="superscript"/>
          <w:lang w:eastAsia="zh-CN"/>
        </w:rPr>
        <w:t>2</w:t>
      </w:r>
      <w:r>
        <w:rPr>
          <w:rFonts w:hint="default" w:ascii="Times New Roman" w:hAnsi="Times New Roman" w:cs="Times New Roman"/>
          <w:color w:val="auto"/>
          <w:sz w:val="24"/>
          <w:highlight w:val="none"/>
        </w:rPr>
        <w:t>；评估区内其他区域对矿山地质环境影响较轻，面积</w:t>
      </w:r>
      <w:r>
        <w:rPr>
          <w:rFonts w:hint="eastAsia" w:cs="Times New Roman"/>
          <w:color w:val="auto"/>
          <w:sz w:val="24"/>
          <w:highlight w:val="none"/>
          <w:lang w:val="en-US" w:eastAsia="zh-CN"/>
        </w:rPr>
        <w:t>77.6731</w:t>
      </w:r>
      <w:r>
        <w:rPr>
          <w:rFonts w:hint="default" w:ascii="Times New Roman" w:hAnsi="Times New Roman" w:cs="Times New Roman"/>
          <w:color w:val="auto"/>
          <w:sz w:val="24"/>
          <w:highlight w:val="none"/>
        </w:rPr>
        <w:t>h</w:t>
      </w:r>
      <w:r>
        <w:rPr>
          <w:rFonts w:hint="default" w:ascii="Times New Roman" w:hAnsi="Times New Roman" w:cs="Times New Roman"/>
          <w:color w:val="auto"/>
          <w:sz w:val="24"/>
          <w:highlight w:val="none"/>
          <w:lang w:eastAsia="zh-CN"/>
        </w:rPr>
        <w:t>m</w:t>
      </w:r>
      <w:r>
        <w:rPr>
          <w:rFonts w:hint="default" w:ascii="Times New Roman" w:hAnsi="Times New Roman" w:cs="Times New Roman"/>
          <w:color w:val="auto"/>
          <w:sz w:val="24"/>
          <w:highlight w:val="none"/>
          <w:vertAlign w:val="superscript"/>
          <w:lang w:eastAsia="zh-CN"/>
        </w:rPr>
        <w:t>2</w:t>
      </w:r>
      <w:r>
        <w:rPr>
          <w:rFonts w:hint="default" w:ascii="Times New Roman" w:hAnsi="Times New Roman" w:cs="Times New Roman"/>
          <w:color w:val="auto"/>
          <w:sz w:val="24"/>
          <w:highlight w:val="none"/>
        </w:rPr>
        <w:t>。</w:t>
      </w:r>
    </w:p>
    <w:p w14:paraId="2A2FBAEF">
      <w:pPr>
        <w:spacing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rPr>
        <w:t>预测评估结果：预测开采可能</w:t>
      </w:r>
      <w:r>
        <w:rPr>
          <w:rFonts w:hint="eastAsia" w:cs="Times New Roman"/>
          <w:color w:val="auto"/>
          <w:sz w:val="24"/>
          <w:highlight w:val="none"/>
          <w:lang w:val="en-US" w:eastAsia="zh-CN"/>
        </w:rPr>
        <w:t>产生</w:t>
      </w:r>
      <w:r>
        <w:rPr>
          <w:rFonts w:hint="default" w:ascii="Times New Roman" w:hAnsi="Times New Roman" w:cs="Times New Roman"/>
          <w:color w:val="auto"/>
          <w:sz w:val="24"/>
          <w:highlight w:val="none"/>
        </w:rPr>
        <w:t>地质灾害，危害程度小，危险性小；对含水层影响程度较轻；预测</w:t>
      </w:r>
      <w:r>
        <w:rPr>
          <w:rFonts w:hint="eastAsia" w:cs="Times New Roman"/>
          <w:color w:val="auto"/>
          <w:sz w:val="24"/>
          <w:highlight w:val="none"/>
          <w:lang w:val="en-US" w:eastAsia="zh-CN"/>
        </w:rPr>
        <w:t>露天采场、工业广场、生产生活区、原有办公室及临时堆料场、矿山道路、表土堆场</w:t>
      </w:r>
      <w:r>
        <w:rPr>
          <w:rFonts w:hint="default" w:ascii="Times New Roman" w:hAnsi="Times New Roman" w:cs="Times New Roman"/>
          <w:color w:val="auto"/>
          <w:sz w:val="24"/>
          <w:highlight w:val="none"/>
        </w:rPr>
        <w:t>对地形地貌破坏和影响程度严重；对水土环境污染程度较轻。综上，预测</w:t>
      </w:r>
      <w:r>
        <w:rPr>
          <w:rFonts w:hint="eastAsia" w:cs="Times New Roman"/>
          <w:color w:val="auto"/>
          <w:sz w:val="24"/>
          <w:highlight w:val="none"/>
          <w:lang w:val="en-US" w:eastAsia="zh-CN"/>
        </w:rPr>
        <w:t>露天采场、工业广场、生产生活区、原有办公室及临时堆料场、矿山道路、表土堆场</w:t>
      </w:r>
      <w:r>
        <w:rPr>
          <w:rFonts w:hint="default" w:ascii="Times New Roman" w:hAnsi="Times New Roman" w:cs="Times New Roman"/>
          <w:color w:val="auto"/>
          <w:sz w:val="24"/>
          <w:highlight w:val="none"/>
        </w:rPr>
        <w:t>对矿山地质环境影响</w:t>
      </w:r>
      <w:r>
        <w:rPr>
          <w:rFonts w:hint="default" w:ascii="Times New Roman" w:hAnsi="Times New Roman" w:cs="Times New Roman"/>
          <w:color w:val="auto"/>
          <w:sz w:val="24"/>
          <w:highlight w:val="none"/>
          <w:lang w:val="en-US" w:eastAsia="zh-CN"/>
        </w:rPr>
        <w:t>严重</w:t>
      </w:r>
      <w:r>
        <w:rPr>
          <w:rFonts w:hint="default" w:ascii="Times New Roman" w:hAnsi="Times New Roman" w:cs="Times New Roman"/>
          <w:color w:val="auto"/>
          <w:sz w:val="24"/>
          <w:highlight w:val="none"/>
        </w:rPr>
        <w:t>，严重面积</w:t>
      </w:r>
      <w:r>
        <w:rPr>
          <w:rFonts w:hint="eastAsia" w:cs="Times New Roman"/>
          <w:color w:val="auto"/>
          <w:sz w:val="24"/>
          <w:highlight w:val="none"/>
          <w:lang w:val="en-US" w:eastAsia="zh-CN"/>
        </w:rPr>
        <w:t>4.0745</w:t>
      </w:r>
      <w:r>
        <w:rPr>
          <w:rFonts w:hint="default" w:ascii="Times New Roman" w:hAnsi="Times New Roman" w:cs="Times New Roman"/>
          <w:color w:val="auto"/>
          <w:sz w:val="24"/>
          <w:highlight w:val="none"/>
        </w:rPr>
        <w:t>h</w:t>
      </w:r>
      <w:r>
        <w:rPr>
          <w:rFonts w:hint="default" w:ascii="Times New Roman" w:hAnsi="Times New Roman" w:cs="Times New Roman"/>
          <w:color w:val="auto"/>
          <w:sz w:val="24"/>
          <w:highlight w:val="none"/>
          <w:lang w:eastAsia="zh-CN"/>
        </w:rPr>
        <w:t>m</w:t>
      </w:r>
      <w:r>
        <w:rPr>
          <w:rFonts w:hint="default" w:ascii="Times New Roman" w:hAnsi="Times New Roman" w:cs="Times New Roman"/>
          <w:color w:val="auto"/>
          <w:sz w:val="24"/>
          <w:highlight w:val="none"/>
          <w:vertAlign w:val="superscript"/>
          <w:lang w:eastAsia="zh-CN"/>
        </w:rPr>
        <w:t>2</w:t>
      </w:r>
      <w:r>
        <w:rPr>
          <w:rFonts w:hint="default" w:ascii="Times New Roman" w:hAnsi="Times New Roman" w:cs="Times New Roman"/>
          <w:color w:val="auto"/>
          <w:sz w:val="24"/>
          <w:highlight w:val="none"/>
        </w:rPr>
        <w:t>；评估区内其他区域对矿山地质环境影响较轻，面积</w:t>
      </w:r>
      <w:r>
        <w:rPr>
          <w:rFonts w:hint="eastAsia" w:cs="Times New Roman"/>
          <w:color w:val="auto"/>
          <w:sz w:val="24"/>
          <w:highlight w:val="none"/>
          <w:lang w:val="en-US" w:eastAsia="zh-CN"/>
        </w:rPr>
        <w:t>77.3348</w:t>
      </w:r>
      <w:r>
        <w:rPr>
          <w:rFonts w:hint="default" w:ascii="Times New Roman" w:hAnsi="Times New Roman" w:cs="Times New Roman"/>
          <w:color w:val="auto"/>
          <w:sz w:val="24"/>
          <w:highlight w:val="none"/>
        </w:rPr>
        <w:t>h</w:t>
      </w:r>
      <w:r>
        <w:rPr>
          <w:rFonts w:hint="default" w:ascii="Times New Roman" w:hAnsi="Times New Roman" w:cs="Times New Roman"/>
          <w:color w:val="auto"/>
          <w:sz w:val="24"/>
          <w:highlight w:val="none"/>
          <w:lang w:eastAsia="zh-CN"/>
        </w:rPr>
        <w:t>m</w:t>
      </w:r>
      <w:r>
        <w:rPr>
          <w:rFonts w:hint="default" w:ascii="Times New Roman" w:hAnsi="Times New Roman" w:cs="Times New Roman"/>
          <w:color w:val="auto"/>
          <w:sz w:val="24"/>
          <w:highlight w:val="none"/>
          <w:vertAlign w:val="superscript"/>
          <w:lang w:eastAsia="zh-CN"/>
        </w:rPr>
        <w:t>2</w:t>
      </w:r>
      <w:r>
        <w:rPr>
          <w:rFonts w:hint="default" w:ascii="Times New Roman" w:hAnsi="Times New Roman" w:cs="Times New Roman"/>
          <w:color w:val="auto"/>
          <w:sz w:val="24"/>
          <w:highlight w:val="none"/>
        </w:rPr>
        <w:t>。</w:t>
      </w:r>
    </w:p>
    <w:p w14:paraId="69A72C11">
      <w:pPr>
        <w:spacing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5、综合分区：</w:t>
      </w:r>
      <w:r>
        <w:rPr>
          <w:rFonts w:hint="default" w:ascii="Times New Roman" w:hAnsi="Times New Roman" w:cs="Times New Roman"/>
          <w:color w:val="auto"/>
          <w:sz w:val="24"/>
          <w:highlight w:val="none"/>
          <w:lang w:val="en-US" w:eastAsia="zh-CN"/>
        </w:rPr>
        <w:t>将</w:t>
      </w:r>
      <w:r>
        <w:rPr>
          <w:rFonts w:hint="eastAsia" w:cs="Times New Roman"/>
          <w:color w:val="auto"/>
          <w:sz w:val="24"/>
          <w:highlight w:val="none"/>
          <w:lang w:eastAsia="zh-CN"/>
        </w:rPr>
        <w:t>露天采场、工业广场、生产生活区、原有办公室及临时堆料场、矿山道路、表土堆场</w:t>
      </w:r>
      <w:r>
        <w:rPr>
          <w:rFonts w:hint="default" w:ascii="Times New Roman" w:hAnsi="Times New Roman" w:cs="Times New Roman"/>
          <w:color w:val="auto"/>
          <w:sz w:val="24"/>
          <w:highlight w:val="none"/>
        </w:rPr>
        <w:t>划分为矿区地质环境重点防治区</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面积</w:t>
      </w:r>
      <w:r>
        <w:rPr>
          <w:rFonts w:hint="eastAsia" w:cs="Times New Roman"/>
          <w:color w:val="auto"/>
          <w:sz w:val="24"/>
          <w:highlight w:val="none"/>
          <w:lang w:val="en-US" w:eastAsia="zh-CN"/>
        </w:rPr>
        <w:t>4.0745</w:t>
      </w:r>
      <w:r>
        <w:rPr>
          <w:rFonts w:hint="default" w:ascii="Times New Roman" w:hAnsi="Times New Roman" w:cs="Times New Roman"/>
          <w:color w:val="auto"/>
          <w:sz w:val="24"/>
          <w:highlight w:val="none"/>
        </w:rPr>
        <w:t>h</w:t>
      </w:r>
      <w:r>
        <w:rPr>
          <w:rFonts w:hint="default" w:ascii="Times New Roman" w:hAnsi="Times New Roman" w:cs="Times New Roman"/>
          <w:color w:val="auto"/>
          <w:sz w:val="24"/>
          <w:highlight w:val="none"/>
          <w:lang w:eastAsia="zh-CN"/>
        </w:rPr>
        <w:t>m</w:t>
      </w:r>
      <w:r>
        <w:rPr>
          <w:rFonts w:hint="default" w:ascii="Times New Roman" w:hAnsi="Times New Roman" w:cs="Times New Roman"/>
          <w:color w:val="auto"/>
          <w:sz w:val="24"/>
          <w:highlight w:val="none"/>
          <w:vertAlign w:val="superscript"/>
          <w:lang w:eastAsia="zh-CN"/>
        </w:rPr>
        <w:t>2</w:t>
      </w:r>
      <w:r>
        <w:rPr>
          <w:rFonts w:hint="default" w:ascii="Times New Roman" w:hAnsi="Times New Roman" w:cs="Times New Roman"/>
          <w:color w:val="auto"/>
          <w:sz w:val="24"/>
          <w:highlight w:val="none"/>
        </w:rPr>
        <w:t>；将评估区内的其他区域划分为矿山地质环境一般防治区，面积</w:t>
      </w:r>
      <w:r>
        <w:rPr>
          <w:rFonts w:hint="eastAsia" w:cs="Times New Roman"/>
          <w:color w:val="auto"/>
          <w:sz w:val="24"/>
          <w:highlight w:val="none"/>
          <w:lang w:val="en-US" w:eastAsia="zh-CN"/>
        </w:rPr>
        <w:t>77.3348</w:t>
      </w:r>
      <w:r>
        <w:rPr>
          <w:rFonts w:hint="default" w:ascii="Times New Roman" w:hAnsi="Times New Roman" w:cs="Times New Roman"/>
          <w:color w:val="auto"/>
          <w:sz w:val="24"/>
          <w:highlight w:val="none"/>
        </w:rPr>
        <w:t>h</w:t>
      </w:r>
      <w:r>
        <w:rPr>
          <w:rFonts w:hint="default" w:ascii="Times New Roman" w:hAnsi="Times New Roman" w:cs="Times New Roman"/>
          <w:color w:val="auto"/>
          <w:sz w:val="24"/>
          <w:highlight w:val="none"/>
          <w:lang w:eastAsia="zh-CN"/>
        </w:rPr>
        <w:t>m</w:t>
      </w:r>
      <w:r>
        <w:rPr>
          <w:rFonts w:hint="default" w:ascii="Times New Roman" w:hAnsi="Times New Roman" w:cs="Times New Roman"/>
          <w:color w:val="auto"/>
          <w:sz w:val="24"/>
          <w:highlight w:val="none"/>
          <w:vertAlign w:val="superscript"/>
          <w:lang w:eastAsia="zh-CN"/>
        </w:rPr>
        <w:t>2</w:t>
      </w:r>
      <w:r>
        <w:rPr>
          <w:rFonts w:hint="default" w:ascii="Times New Roman" w:hAnsi="Times New Roman" w:cs="Times New Roman"/>
          <w:color w:val="auto"/>
          <w:sz w:val="24"/>
          <w:highlight w:val="none"/>
        </w:rPr>
        <w:t>。</w:t>
      </w:r>
    </w:p>
    <w:p w14:paraId="12B1892A">
      <w:pPr>
        <w:autoSpaceDE w:val="0"/>
        <w:autoSpaceDN w:val="0"/>
        <w:adjustRightInd w:val="0"/>
        <w:spacing w:line="360" w:lineRule="auto"/>
        <w:ind w:firstLine="480" w:firstLineChars="200"/>
        <w:jc w:val="both"/>
        <w:rPr>
          <w:rFonts w:hint="default" w:ascii="Times New Roman" w:hAnsi="Times New Roman" w:cs="Times New Roman"/>
          <w:b w:val="0"/>
          <w:bCs/>
          <w:color w:val="auto"/>
          <w:sz w:val="24"/>
          <w:highlight w:val="none"/>
          <w:vertAlign w:val="baseline"/>
          <w:lang w:val="en-US"/>
        </w:rPr>
      </w:pPr>
      <w:r>
        <w:rPr>
          <w:rFonts w:hint="default" w:ascii="Times New Roman" w:hAnsi="Times New Roman" w:cs="Times New Roman"/>
          <w:bCs/>
          <w:color w:val="auto"/>
          <w:sz w:val="24"/>
          <w:highlight w:val="none"/>
        </w:rPr>
        <w:t>6、</w:t>
      </w:r>
      <w:r>
        <w:rPr>
          <w:rFonts w:hint="default" w:ascii="Times New Roman" w:hAnsi="Times New Roman" w:cs="Times New Roman"/>
          <w:b w:val="0"/>
          <w:bCs/>
          <w:color w:val="auto"/>
          <w:sz w:val="24"/>
          <w:highlight w:val="none"/>
        </w:rPr>
        <w:t>复垦区的确定：总损毁土地面积</w:t>
      </w:r>
      <w:r>
        <w:rPr>
          <w:rFonts w:hint="eastAsia" w:cs="Times New Roman"/>
          <w:b w:val="0"/>
          <w:bCs/>
          <w:color w:val="auto"/>
          <w:sz w:val="24"/>
          <w:highlight w:val="none"/>
          <w:lang w:val="en-US" w:eastAsia="zh-CN"/>
        </w:rPr>
        <w:t>4.0745</w:t>
      </w:r>
      <w:r>
        <w:rPr>
          <w:rFonts w:hint="default" w:ascii="Times New Roman" w:hAnsi="Times New Roman" w:cs="Times New Roman"/>
          <w:b w:val="0"/>
          <w:bCs/>
          <w:color w:val="auto"/>
          <w:sz w:val="24"/>
          <w:highlight w:val="none"/>
        </w:rPr>
        <w:t>h</w:t>
      </w:r>
      <w:r>
        <w:rPr>
          <w:rFonts w:hint="default" w:ascii="Times New Roman" w:hAnsi="Times New Roman" w:cs="Times New Roman"/>
          <w:b w:val="0"/>
          <w:bCs/>
          <w:color w:val="auto"/>
          <w:sz w:val="24"/>
          <w:highlight w:val="none"/>
          <w:lang w:eastAsia="zh-CN"/>
        </w:rPr>
        <w:t>m</w:t>
      </w:r>
      <w:r>
        <w:rPr>
          <w:rFonts w:hint="default" w:ascii="Times New Roman" w:hAnsi="Times New Roman" w:cs="Times New Roman"/>
          <w:b w:val="0"/>
          <w:bCs/>
          <w:color w:val="auto"/>
          <w:sz w:val="24"/>
          <w:highlight w:val="none"/>
          <w:vertAlign w:val="superscript"/>
          <w:lang w:eastAsia="zh-CN"/>
        </w:rPr>
        <w:t>2</w:t>
      </w:r>
      <w:r>
        <w:rPr>
          <w:rFonts w:hint="default" w:ascii="Times New Roman" w:hAnsi="Times New Roman" w:cs="Times New Roman"/>
          <w:b w:val="0"/>
          <w:bCs/>
          <w:color w:val="auto"/>
          <w:sz w:val="24"/>
          <w:highlight w:val="none"/>
        </w:rPr>
        <w:t>，</w:t>
      </w:r>
      <w:r>
        <w:rPr>
          <w:rFonts w:hint="default" w:ascii="Times New Roman" w:hAnsi="Times New Roman" w:cs="Times New Roman"/>
          <w:color w:val="auto"/>
          <w:sz w:val="24"/>
          <w:highlight w:val="none"/>
        </w:rPr>
        <w:t>损毁方式为挖损、压占，其中挖损损毁</w:t>
      </w:r>
      <w:r>
        <w:rPr>
          <w:rFonts w:hint="eastAsia" w:cs="Times New Roman"/>
          <w:color w:val="auto"/>
          <w:sz w:val="24"/>
          <w:highlight w:val="none"/>
          <w:lang w:val="en-US" w:eastAsia="zh-CN"/>
        </w:rPr>
        <w:t>2.5400</w:t>
      </w:r>
      <w:r>
        <w:rPr>
          <w:rFonts w:hint="default" w:ascii="Times New Roman" w:hAnsi="Times New Roman" w:cs="Times New Roman"/>
          <w:color w:val="auto"/>
          <w:sz w:val="24"/>
          <w:highlight w:val="none"/>
        </w:rPr>
        <w:t>h</w:t>
      </w:r>
      <w:r>
        <w:rPr>
          <w:rFonts w:hint="default" w:ascii="Times New Roman" w:hAnsi="Times New Roman" w:cs="Times New Roman"/>
          <w:color w:val="auto"/>
          <w:sz w:val="24"/>
          <w:highlight w:val="none"/>
          <w:lang w:eastAsia="zh-CN"/>
        </w:rPr>
        <w:t>m</w:t>
      </w:r>
      <w:r>
        <w:rPr>
          <w:rFonts w:hint="default" w:ascii="Times New Roman" w:hAnsi="Times New Roman" w:cs="Times New Roman"/>
          <w:color w:val="auto"/>
          <w:sz w:val="24"/>
          <w:highlight w:val="none"/>
          <w:vertAlign w:val="superscript"/>
          <w:lang w:eastAsia="zh-CN"/>
        </w:rPr>
        <w:t>2</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压占损毁</w:t>
      </w:r>
      <w:r>
        <w:rPr>
          <w:rFonts w:hint="eastAsia" w:cs="Times New Roman"/>
          <w:color w:val="auto"/>
          <w:sz w:val="24"/>
          <w:highlight w:val="none"/>
          <w:lang w:val="en-US" w:eastAsia="zh-CN"/>
        </w:rPr>
        <w:t>1.5345</w:t>
      </w:r>
      <w:r>
        <w:rPr>
          <w:rFonts w:hint="default" w:ascii="Times New Roman" w:hAnsi="Times New Roman" w:cs="Times New Roman"/>
          <w:color w:val="auto"/>
          <w:sz w:val="24"/>
          <w:highlight w:val="none"/>
        </w:rPr>
        <w:t>h</w:t>
      </w:r>
      <w:r>
        <w:rPr>
          <w:rFonts w:hint="default" w:ascii="Times New Roman" w:hAnsi="Times New Roman" w:cs="Times New Roman"/>
          <w:color w:val="auto"/>
          <w:sz w:val="24"/>
          <w:highlight w:val="none"/>
          <w:lang w:eastAsia="zh-CN"/>
        </w:rPr>
        <w:t>m</w:t>
      </w:r>
      <w:r>
        <w:rPr>
          <w:rFonts w:hint="default" w:ascii="Times New Roman" w:hAnsi="Times New Roman" w:cs="Times New Roman"/>
          <w:color w:val="auto"/>
          <w:sz w:val="24"/>
          <w:highlight w:val="none"/>
          <w:vertAlign w:val="superscript"/>
          <w:lang w:eastAsia="zh-CN"/>
        </w:rPr>
        <w:t>2</w:t>
      </w:r>
      <w:r>
        <w:rPr>
          <w:rFonts w:hint="default" w:ascii="Times New Roman" w:hAnsi="Times New Roman" w:cs="Times New Roman"/>
          <w:color w:val="auto"/>
          <w:sz w:val="24"/>
          <w:highlight w:val="none"/>
        </w:rPr>
        <w:t>；损毁土地类型为乔木林地</w:t>
      </w:r>
      <w:r>
        <w:rPr>
          <w:rFonts w:hint="eastAsia" w:cs="Times New Roman"/>
          <w:color w:val="auto"/>
          <w:sz w:val="24"/>
          <w:highlight w:val="none"/>
          <w:lang w:val="en-US" w:eastAsia="zh-CN"/>
        </w:rPr>
        <w:t>0.1810</w:t>
      </w:r>
      <w:r>
        <w:rPr>
          <w:rFonts w:hint="default" w:ascii="Times New Roman" w:hAnsi="Times New Roman" w:cs="Times New Roman"/>
          <w:color w:val="auto"/>
          <w:sz w:val="24"/>
          <w:highlight w:val="none"/>
        </w:rPr>
        <w:t>h</w:t>
      </w:r>
      <w:r>
        <w:rPr>
          <w:rFonts w:hint="default" w:ascii="Times New Roman" w:hAnsi="Times New Roman" w:cs="Times New Roman"/>
          <w:color w:val="auto"/>
          <w:sz w:val="24"/>
          <w:highlight w:val="none"/>
          <w:lang w:eastAsia="zh-CN"/>
        </w:rPr>
        <w:t>m</w:t>
      </w:r>
      <w:r>
        <w:rPr>
          <w:rFonts w:hint="default" w:ascii="Times New Roman" w:hAnsi="Times New Roman" w:cs="Times New Roman"/>
          <w:color w:val="auto"/>
          <w:sz w:val="24"/>
          <w:highlight w:val="none"/>
          <w:vertAlign w:val="superscript"/>
          <w:lang w:eastAsia="zh-CN"/>
        </w:rPr>
        <w:t>2</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采矿用地</w:t>
      </w:r>
      <w:r>
        <w:rPr>
          <w:rFonts w:hint="eastAsia" w:cs="Times New Roman"/>
          <w:color w:val="auto"/>
          <w:sz w:val="24"/>
          <w:highlight w:val="none"/>
          <w:lang w:val="en-US" w:eastAsia="zh-CN"/>
        </w:rPr>
        <w:t>3.8935</w:t>
      </w:r>
      <w:r>
        <w:rPr>
          <w:rFonts w:hint="default" w:ascii="Times New Roman" w:hAnsi="Times New Roman" w:cs="Times New Roman"/>
          <w:color w:val="auto"/>
          <w:sz w:val="24"/>
          <w:highlight w:val="none"/>
        </w:rPr>
        <w:t>h</w:t>
      </w:r>
      <w:r>
        <w:rPr>
          <w:rFonts w:hint="default" w:ascii="Times New Roman" w:hAnsi="Times New Roman" w:cs="Times New Roman"/>
          <w:color w:val="auto"/>
          <w:sz w:val="24"/>
          <w:highlight w:val="none"/>
          <w:lang w:eastAsia="zh-CN"/>
        </w:rPr>
        <w:t>m</w:t>
      </w:r>
      <w:r>
        <w:rPr>
          <w:rFonts w:hint="default" w:ascii="Times New Roman" w:hAnsi="Times New Roman" w:cs="Times New Roman"/>
          <w:color w:val="auto"/>
          <w:sz w:val="24"/>
          <w:highlight w:val="none"/>
          <w:vertAlign w:val="superscript"/>
          <w:lang w:eastAsia="zh-CN"/>
        </w:rPr>
        <w:t>2</w:t>
      </w:r>
      <w:r>
        <w:rPr>
          <w:rFonts w:hint="eastAsia" w:cs="Times New Roman"/>
          <w:b w:val="0"/>
          <w:bCs/>
          <w:color w:val="auto"/>
          <w:sz w:val="24"/>
          <w:highlight w:val="none"/>
          <w:vertAlign w:val="baseline"/>
          <w:lang w:val="en-US" w:eastAsia="zh-CN"/>
        </w:rPr>
        <w:t>。</w:t>
      </w:r>
    </w:p>
    <w:p w14:paraId="48AD0054">
      <w:pPr>
        <w:autoSpaceDE w:val="0"/>
        <w:autoSpaceDN w:val="0"/>
        <w:adjustRightInd w:val="0"/>
        <w:spacing w:line="360" w:lineRule="auto"/>
        <w:ind w:firstLine="480" w:firstLineChars="200"/>
        <w:jc w:val="both"/>
        <w:rPr>
          <w:rFonts w:hint="default" w:ascii="Times New Roman" w:hAnsi="Times New Roman" w:cs="Times New Roman"/>
          <w:b w:val="0"/>
          <w:bCs/>
          <w:color w:val="auto"/>
          <w:sz w:val="24"/>
          <w:highlight w:val="none"/>
        </w:rPr>
      </w:pPr>
      <w:r>
        <w:rPr>
          <w:rFonts w:hint="default" w:ascii="Times New Roman" w:hAnsi="Times New Roman" w:cs="Times New Roman"/>
          <w:b w:val="0"/>
          <w:bCs/>
          <w:color w:val="auto"/>
          <w:sz w:val="24"/>
          <w:highlight w:val="none"/>
        </w:rPr>
        <w:t>复垦责任范围的确定：</w:t>
      </w:r>
      <w:r>
        <w:rPr>
          <w:rFonts w:hint="eastAsia" w:cs="Times New Roman"/>
          <w:b w:val="0"/>
          <w:bCs/>
          <w:color w:val="auto"/>
          <w:sz w:val="24"/>
          <w:highlight w:val="none"/>
          <w:lang w:val="en-US" w:eastAsia="zh-CN"/>
        </w:rPr>
        <w:t>项目复垦区</w:t>
      </w:r>
      <w:r>
        <w:rPr>
          <w:rFonts w:hint="default" w:ascii="Times New Roman" w:hAnsi="Times New Roman" w:cs="Times New Roman"/>
          <w:b w:val="0"/>
          <w:bCs/>
          <w:color w:val="auto"/>
          <w:sz w:val="24"/>
          <w:highlight w:val="none"/>
        </w:rPr>
        <w:t>面积</w:t>
      </w:r>
      <w:r>
        <w:rPr>
          <w:rFonts w:hint="eastAsia" w:cs="Times New Roman"/>
          <w:b w:val="0"/>
          <w:bCs/>
          <w:color w:val="auto"/>
          <w:sz w:val="24"/>
          <w:highlight w:val="none"/>
          <w:lang w:val="en-US" w:eastAsia="zh-CN"/>
        </w:rPr>
        <w:t>4.0745</w:t>
      </w:r>
      <w:r>
        <w:rPr>
          <w:rFonts w:hint="default" w:ascii="Times New Roman" w:hAnsi="Times New Roman" w:cs="Times New Roman"/>
          <w:b w:val="0"/>
          <w:bCs/>
          <w:color w:val="auto"/>
          <w:sz w:val="24"/>
          <w:highlight w:val="none"/>
        </w:rPr>
        <w:t>h</w:t>
      </w:r>
      <w:r>
        <w:rPr>
          <w:rFonts w:hint="default" w:ascii="Times New Roman" w:hAnsi="Times New Roman" w:cs="Times New Roman"/>
          <w:b w:val="0"/>
          <w:bCs/>
          <w:color w:val="auto"/>
          <w:sz w:val="24"/>
          <w:highlight w:val="none"/>
          <w:lang w:eastAsia="zh-CN"/>
        </w:rPr>
        <w:t>m</w:t>
      </w:r>
      <w:r>
        <w:rPr>
          <w:rFonts w:hint="default" w:ascii="Times New Roman" w:hAnsi="Times New Roman" w:cs="Times New Roman"/>
          <w:b w:val="0"/>
          <w:bCs/>
          <w:color w:val="auto"/>
          <w:sz w:val="24"/>
          <w:highlight w:val="none"/>
          <w:vertAlign w:val="superscript"/>
          <w:lang w:eastAsia="zh-CN"/>
        </w:rPr>
        <w:t>2</w:t>
      </w:r>
      <w:r>
        <w:rPr>
          <w:rFonts w:hint="eastAsia" w:cs="Times New Roman"/>
          <w:b w:val="0"/>
          <w:bCs/>
          <w:color w:val="auto"/>
          <w:sz w:val="24"/>
          <w:highlight w:val="none"/>
          <w:vertAlign w:val="baseline"/>
          <w:lang w:eastAsia="zh-CN"/>
        </w:rPr>
        <w:t>，</w:t>
      </w:r>
      <w:r>
        <w:rPr>
          <w:rFonts w:hint="default" w:ascii="Times New Roman" w:hAnsi="Times New Roman" w:cs="Times New Roman"/>
          <w:b w:val="0"/>
          <w:bCs/>
          <w:color w:val="auto"/>
          <w:sz w:val="24"/>
          <w:highlight w:val="none"/>
        </w:rPr>
        <w:t>本项目无永久性建设用地，</w:t>
      </w:r>
      <w:r>
        <w:rPr>
          <w:rFonts w:hint="eastAsia" w:cs="Times New Roman"/>
          <w:b w:val="0"/>
          <w:bCs/>
          <w:color w:val="auto"/>
          <w:sz w:val="24"/>
          <w:highlight w:val="none"/>
          <w:lang w:val="en-US" w:eastAsia="zh-CN"/>
        </w:rPr>
        <w:t>因此，</w:t>
      </w:r>
      <w:r>
        <w:rPr>
          <w:rFonts w:hint="default" w:ascii="Times New Roman" w:hAnsi="Times New Roman" w:cs="Times New Roman"/>
          <w:b w:val="0"/>
          <w:bCs/>
          <w:color w:val="auto"/>
          <w:sz w:val="24"/>
          <w:highlight w:val="none"/>
        </w:rPr>
        <w:t>复垦责任范围与复垦区面积相同，确定复垦责任范围面积</w:t>
      </w:r>
      <w:r>
        <w:rPr>
          <w:rFonts w:hint="eastAsia" w:cs="Times New Roman"/>
          <w:b w:val="0"/>
          <w:bCs/>
          <w:color w:val="auto"/>
          <w:sz w:val="24"/>
          <w:highlight w:val="none"/>
          <w:lang w:val="en-US" w:eastAsia="zh-CN"/>
        </w:rPr>
        <w:t>4.0745</w:t>
      </w:r>
      <w:r>
        <w:rPr>
          <w:rFonts w:hint="default" w:ascii="Times New Roman" w:hAnsi="Times New Roman" w:cs="Times New Roman"/>
          <w:b w:val="0"/>
          <w:bCs/>
          <w:color w:val="auto"/>
          <w:sz w:val="24"/>
          <w:highlight w:val="none"/>
        </w:rPr>
        <w:t>h</w:t>
      </w:r>
      <w:r>
        <w:rPr>
          <w:rFonts w:hint="default" w:ascii="Times New Roman" w:hAnsi="Times New Roman" w:cs="Times New Roman"/>
          <w:b w:val="0"/>
          <w:bCs/>
          <w:color w:val="auto"/>
          <w:sz w:val="24"/>
          <w:highlight w:val="none"/>
          <w:lang w:eastAsia="zh-CN"/>
        </w:rPr>
        <w:t>m</w:t>
      </w:r>
      <w:r>
        <w:rPr>
          <w:rFonts w:hint="default" w:ascii="Times New Roman" w:hAnsi="Times New Roman" w:cs="Times New Roman"/>
          <w:b w:val="0"/>
          <w:bCs/>
          <w:color w:val="auto"/>
          <w:sz w:val="24"/>
          <w:highlight w:val="none"/>
          <w:vertAlign w:val="superscript"/>
          <w:lang w:eastAsia="zh-CN"/>
        </w:rPr>
        <w:t>2</w:t>
      </w:r>
      <w:r>
        <w:rPr>
          <w:rFonts w:hint="default" w:ascii="Times New Roman" w:hAnsi="Times New Roman" w:cs="Times New Roman"/>
          <w:b w:val="0"/>
          <w:bCs/>
          <w:color w:val="auto"/>
          <w:sz w:val="24"/>
          <w:highlight w:val="none"/>
        </w:rPr>
        <w:t>。</w:t>
      </w:r>
    </w:p>
    <w:p w14:paraId="36E6A89E">
      <w:pPr>
        <w:autoSpaceDE w:val="0"/>
        <w:autoSpaceDN w:val="0"/>
        <w:adjustRightIn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本项目实施后，土地复垦面积</w:t>
      </w:r>
      <w:r>
        <w:rPr>
          <w:rFonts w:hint="eastAsia" w:cs="Times New Roman"/>
          <w:color w:val="auto"/>
          <w:sz w:val="24"/>
          <w:highlight w:val="none"/>
          <w:lang w:val="en-US" w:eastAsia="zh-CN"/>
        </w:rPr>
        <w:t>4.0745</w:t>
      </w:r>
      <w:r>
        <w:rPr>
          <w:rFonts w:hint="default" w:ascii="Times New Roman" w:hAnsi="Times New Roman" w:cs="Times New Roman"/>
          <w:color w:val="auto"/>
          <w:sz w:val="24"/>
          <w:highlight w:val="none"/>
        </w:rPr>
        <w:t>hm²，土地复垦方向为</w:t>
      </w:r>
      <w:r>
        <w:rPr>
          <w:rFonts w:hint="default" w:ascii="Times New Roman" w:hAnsi="Times New Roman" w:cs="Times New Roman"/>
          <w:bCs/>
          <w:color w:val="auto"/>
          <w:sz w:val="24"/>
          <w:highlight w:val="none"/>
        </w:rPr>
        <w:t>乔木林地</w:t>
      </w:r>
      <w:r>
        <w:rPr>
          <w:rFonts w:hint="default" w:ascii="Times New Roman" w:hAnsi="Times New Roman" w:cs="Times New Roman"/>
          <w:color w:val="auto"/>
          <w:sz w:val="24"/>
          <w:highlight w:val="none"/>
        </w:rPr>
        <w:t>。土地复垦率为</w:t>
      </w:r>
      <w:r>
        <w:rPr>
          <w:rFonts w:hint="eastAsia" w:cs="Times New Roman"/>
          <w:color w:val="auto"/>
          <w:sz w:val="24"/>
          <w:highlight w:val="none"/>
          <w:lang w:val="en-US" w:eastAsia="zh-CN"/>
        </w:rPr>
        <w:t>78.70</w:t>
      </w:r>
      <w:r>
        <w:rPr>
          <w:rFonts w:hint="default"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rPr>
        <w:t>。</w:t>
      </w:r>
    </w:p>
    <w:p w14:paraId="4E453AE4">
      <w:pPr>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7、方案涉及的工程量如下：</w:t>
      </w:r>
    </w:p>
    <w:p w14:paraId="6F51F528">
      <w:pPr>
        <w:autoSpaceDE w:val="0"/>
        <w:autoSpaceDN w:val="0"/>
        <w:spacing w:line="360" w:lineRule="auto"/>
        <w:ind w:firstLine="482" w:firstLineChars="200"/>
        <w:rPr>
          <w:rFonts w:hint="default" w:ascii="Times New Roman" w:hAnsi="Times New Roman" w:cs="Times New Roman"/>
          <w:color w:val="auto"/>
          <w:sz w:val="24"/>
          <w:highlight w:val="none"/>
        </w:rPr>
      </w:pPr>
      <w:r>
        <w:rPr>
          <w:rFonts w:hint="default" w:ascii="Times New Roman" w:hAnsi="Times New Roman" w:cs="Times New Roman"/>
          <w:b/>
          <w:color w:val="auto"/>
          <w:sz w:val="24"/>
          <w:highlight w:val="none"/>
        </w:rPr>
        <w:t>恢复治理部分</w:t>
      </w:r>
      <w:r>
        <w:rPr>
          <w:rFonts w:hint="default" w:ascii="Times New Roman" w:hAnsi="Times New Roman" w:cs="Times New Roman"/>
          <w:color w:val="auto"/>
          <w:sz w:val="24"/>
          <w:highlight w:val="none"/>
        </w:rPr>
        <w:t>：</w:t>
      </w:r>
    </w:p>
    <w:p w14:paraId="022BD77A">
      <w:pPr>
        <w:spacing w:line="360" w:lineRule="auto"/>
        <w:ind w:firstLine="480" w:firstLineChars="200"/>
        <w:jc w:val="both"/>
        <w:rPr>
          <w:rFonts w:hint="eastAsia" w:cs="Times New Roman"/>
          <w:bCs/>
          <w:color w:val="auto"/>
          <w:sz w:val="24"/>
          <w:highlight w:val="none"/>
          <w:lang w:val="en-US" w:eastAsia="zh-CN"/>
        </w:rPr>
      </w:pPr>
      <w:bookmarkStart w:id="366" w:name="_Hlk91110283"/>
      <w:r>
        <w:rPr>
          <w:rFonts w:hint="default" w:ascii="Times New Roman" w:hAnsi="Times New Roman" w:cs="Times New Roman"/>
          <w:color w:val="auto"/>
          <w:sz w:val="24"/>
          <w:highlight w:val="none"/>
        </w:rPr>
        <w:t>设立警示牌</w:t>
      </w:r>
      <w:r>
        <w:rPr>
          <w:rFonts w:hint="eastAsia" w:cs="Times New Roman"/>
          <w:color w:val="auto"/>
          <w:sz w:val="24"/>
          <w:highlight w:val="none"/>
          <w:lang w:val="en-US" w:eastAsia="zh-CN"/>
        </w:rPr>
        <w:t>10</w:t>
      </w:r>
      <w:r>
        <w:rPr>
          <w:rFonts w:hint="default" w:ascii="Times New Roman" w:hAnsi="Times New Roman" w:cs="Times New Roman"/>
          <w:color w:val="auto"/>
          <w:sz w:val="24"/>
          <w:highlight w:val="none"/>
          <w:lang w:val="en-US" w:eastAsia="zh-CN"/>
        </w:rPr>
        <w:t>个</w:t>
      </w:r>
      <w:r>
        <w:rPr>
          <w:rFonts w:hint="eastAsia" w:ascii="Times New Roman" w:hAnsi="Times New Roman" w:cs="Times New Roman"/>
          <w:color w:val="auto"/>
          <w:sz w:val="24"/>
          <w:highlight w:val="none"/>
          <w:lang w:val="en-US" w:eastAsia="zh-CN"/>
        </w:rPr>
        <w:t>，网围栏</w:t>
      </w:r>
      <w:r>
        <w:rPr>
          <w:rFonts w:hint="eastAsia" w:cs="Times New Roman"/>
          <w:color w:val="auto"/>
          <w:sz w:val="24"/>
          <w:highlight w:val="none"/>
          <w:lang w:val="en-US" w:eastAsia="zh-CN"/>
        </w:rPr>
        <w:t>780</w:t>
      </w:r>
      <w:r>
        <w:rPr>
          <w:rFonts w:hint="eastAsia" w:ascii="Times New Roman" w:hAnsi="Times New Roman" w:cs="Times New Roman"/>
          <w:color w:val="auto"/>
          <w:sz w:val="24"/>
          <w:highlight w:val="none"/>
          <w:lang w:val="en-US" w:eastAsia="zh-CN"/>
        </w:rPr>
        <w:t>m</w:t>
      </w:r>
      <w:r>
        <w:rPr>
          <w:rFonts w:hint="default" w:ascii="Times New Roman" w:hAnsi="Times New Roman" w:cs="Times New Roman"/>
          <w:color w:val="auto"/>
          <w:sz w:val="24"/>
          <w:highlight w:val="none"/>
        </w:rPr>
        <w:t>。</w:t>
      </w:r>
      <w:r>
        <w:rPr>
          <w:rFonts w:hint="default" w:ascii="Times New Roman" w:hAnsi="Times New Roman" w:cs="Times New Roman"/>
          <w:bCs/>
          <w:color w:val="auto"/>
          <w:sz w:val="24"/>
          <w:highlight w:val="none"/>
          <w:lang w:val="en-US" w:eastAsia="zh-CN"/>
        </w:rPr>
        <w:t>边坡清理</w:t>
      </w:r>
      <w:r>
        <w:rPr>
          <w:rFonts w:hint="eastAsia" w:cs="Times New Roman"/>
          <w:bCs/>
          <w:color w:val="auto"/>
          <w:sz w:val="24"/>
          <w:highlight w:val="none"/>
          <w:lang w:val="en-US" w:eastAsia="zh-CN"/>
        </w:rPr>
        <w:t>586</w:t>
      </w:r>
      <w:r>
        <w:rPr>
          <w:rFonts w:hint="default" w:ascii="Times New Roman" w:hAnsi="Times New Roman" w:cs="Times New Roman"/>
          <w:bCs/>
          <w:color w:val="auto"/>
          <w:sz w:val="24"/>
          <w:highlight w:val="none"/>
          <w:lang w:val="en-US" w:eastAsia="zh-CN"/>
        </w:rPr>
        <w:t>m</w:t>
      </w:r>
      <w:r>
        <w:rPr>
          <w:rFonts w:hint="default" w:ascii="Times New Roman" w:hAnsi="Times New Roman" w:cs="Times New Roman"/>
          <w:bCs/>
          <w:color w:val="auto"/>
          <w:sz w:val="24"/>
          <w:highlight w:val="none"/>
          <w:vertAlign w:val="superscript"/>
          <w:lang w:val="en-US" w:eastAsia="zh-CN"/>
        </w:rPr>
        <w:t>3</w:t>
      </w:r>
      <w:r>
        <w:rPr>
          <w:rFonts w:hint="default" w:ascii="Times New Roman" w:hAnsi="Times New Roman" w:cs="Times New Roman"/>
          <w:bCs/>
          <w:color w:val="auto"/>
          <w:sz w:val="24"/>
          <w:highlight w:val="none"/>
          <w:lang w:val="en-US" w:eastAsia="zh-CN"/>
        </w:rPr>
        <w:t>，</w:t>
      </w:r>
      <w:r>
        <w:rPr>
          <w:rFonts w:hint="default" w:ascii="Times New Roman" w:hAnsi="Times New Roman" w:cs="Times New Roman"/>
          <w:color w:val="auto"/>
          <w:sz w:val="24"/>
          <w:highlight w:val="none"/>
          <w:lang w:val="en-US" w:eastAsia="zh-CN"/>
        </w:rPr>
        <w:t>拆除</w:t>
      </w:r>
      <w:r>
        <w:rPr>
          <w:rFonts w:hint="eastAsia" w:cs="Times New Roman"/>
          <w:color w:val="auto"/>
          <w:sz w:val="24"/>
          <w:highlight w:val="none"/>
          <w:lang w:val="en-US" w:eastAsia="zh-CN"/>
        </w:rPr>
        <w:t>建筑物434</w:t>
      </w:r>
      <w:r>
        <w:rPr>
          <w:rFonts w:hint="default" w:ascii="Times New Roman" w:hAnsi="Times New Roman" w:cs="Times New Roman"/>
          <w:color w:val="auto"/>
          <w:sz w:val="24"/>
          <w:highlight w:val="none"/>
          <w:lang w:val="en-US" w:eastAsia="zh-CN"/>
        </w:rPr>
        <w:t>m</w:t>
      </w:r>
      <w:r>
        <w:rPr>
          <w:rFonts w:hint="default" w:ascii="Times New Roman" w:hAnsi="Times New Roman" w:cs="Times New Roman"/>
          <w:color w:val="auto"/>
          <w:sz w:val="24"/>
          <w:highlight w:val="none"/>
          <w:vertAlign w:val="superscript"/>
          <w:lang w:val="en-US" w:eastAsia="zh-CN"/>
        </w:rPr>
        <w:t>3</w:t>
      </w:r>
      <w:r>
        <w:rPr>
          <w:rFonts w:hint="default" w:ascii="Times New Roman" w:hAnsi="Times New Roman" w:cs="Times New Roman"/>
          <w:color w:val="auto"/>
          <w:sz w:val="24"/>
          <w:highlight w:val="none"/>
          <w:lang w:val="en-US" w:eastAsia="zh-CN"/>
        </w:rPr>
        <w:t>，</w:t>
      </w:r>
      <w:r>
        <w:rPr>
          <w:rFonts w:hint="eastAsia" w:cs="Times New Roman"/>
          <w:color w:val="auto"/>
          <w:sz w:val="24"/>
          <w:highlight w:val="none"/>
          <w:lang w:val="en-US" w:eastAsia="zh-CN"/>
        </w:rPr>
        <w:t>清除硬覆盖561m</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w:t>
      </w:r>
      <w:r>
        <w:rPr>
          <w:rFonts w:hint="default" w:ascii="Times New Roman" w:hAnsi="Times New Roman" w:cs="Times New Roman"/>
          <w:color w:val="auto"/>
          <w:sz w:val="24"/>
          <w:highlight w:val="none"/>
          <w:vertAlign w:val="baseline"/>
          <w:lang w:val="en-US" w:eastAsia="zh-CN"/>
        </w:rPr>
        <w:t>运输建筑垃圾</w:t>
      </w:r>
      <w:r>
        <w:rPr>
          <w:rFonts w:hint="eastAsia" w:cs="Times New Roman"/>
          <w:color w:val="auto"/>
          <w:sz w:val="24"/>
          <w:highlight w:val="none"/>
          <w:vertAlign w:val="baseline"/>
          <w:lang w:val="en-US" w:eastAsia="zh-CN"/>
        </w:rPr>
        <w:t>及硬覆盖995</w:t>
      </w:r>
      <w:r>
        <w:rPr>
          <w:rFonts w:hint="default" w:ascii="Times New Roman" w:hAnsi="Times New Roman" w:cs="Times New Roman"/>
          <w:color w:val="auto"/>
          <w:sz w:val="24"/>
          <w:highlight w:val="none"/>
          <w:vertAlign w:val="baseline"/>
          <w:lang w:val="en-US" w:eastAsia="zh-CN"/>
        </w:rPr>
        <w:t>m</w:t>
      </w:r>
      <w:r>
        <w:rPr>
          <w:rFonts w:hint="default" w:ascii="Times New Roman" w:hAnsi="Times New Roman" w:cs="Times New Roman"/>
          <w:color w:val="auto"/>
          <w:sz w:val="24"/>
          <w:highlight w:val="none"/>
          <w:vertAlign w:val="superscript"/>
          <w:lang w:val="en-US" w:eastAsia="zh-CN"/>
        </w:rPr>
        <w:t>3</w:t>
      </w:r>
      <w:r>
        <w:rPr>
          <w:rFonts w:hint="eastAsia" w:cs="Times New Roman"/>
          <w:bCs/>
          <w:color w:val="auto"/>
          <w:sz w:val="24"/>
          <w:highlight w:val="none"/>
          <w:lang w:eastAsia="zh-CN"/>
        </w:rPr>
        <w:t>、</w:t>
      </w:r>
      <w:r>
        <w:rPr>
          <w:rFonts w:hint="eastAsia" w:cs="Times New Roman"/>
          <w:bCs/>
          <w:color w:val="auto"/>
          <w:sz w:val="24"/>
          <w:highlight w:val="none"/>
          <w:lang w:val="en-US" w:eastAsia="zh-CN"/>
        </w:rPr>
        <w:t>废渣回填11705m</w:t>
      </w:r>
      <w:r>
        <w:rPr>
          <w:rFonts w:hint="eastAsia" w:cs="Times New Roman"/>
          <w:bCs/>
          <w:color w:val="auto"/>
          <w:sz w:val="24"/>
          <w:highlight w:val="none"/>
          <w:vertAlign w:val="superscript"/>
          <w:lang w:val="en-US" w:eastAsia="zh-CN"/>
        </w:rPr>
        <w:t>3</w:t>
      </w:r>
      <w:r>
        <w:rPr>
          <w:rFonts w:hint="eastAsia" w:cs="Times New Roman"/>
          <w:bCs/>
          <w:color w:val="auto"/>
          <w:sz w:val="24"/>
          <w:highlight w:val="none"/>
          <w:lang w:val="en-US" w:eastAsia="zh-CN"/>
        </w:rPr>
        <w:t>、</w:t>
      </w:r>
      <w:r>
        <w:rPr>
          <w:rFonts w:hint="default" w:ascii="Times New Roman" w:hAnsi="Times New Roman" w:cs="Times New Roman"/>
          <w:bCs/>
          <w:color w:val="auto"/>
          <w:sz w:val="24"/>
          <w:highlight w:val="none"/>
        </w:rPr>
        <w:t>场地平整</w:t>
      </w:r>
      <w:r>
        <w:rPr>
          <w:rFonts w:hint="eastAsia" w:cs="Times New Roman"/>
          <w:bCs/>
          <w:color w:val="auto"/>
          <w:sz w:val="24"/>
          <w:highlight w:val="none"/>
          <w:lang w:val="en-US" w:eastAsia="zh-CN"/>
        </w:rPr>
        <w:t>4811</w:t>
      </w:r>
      <w:r>
        <w:rPr>
          <w:rFonts w:hint="default" w:ascii="Times New Roman" w:hAnsi="Times New Roman" w:cs="Times New Roman"/>
          <w:bCs/>
          <w:color w:val="auto"/>
          <w:sz w:val="24"/>
          <w:highlight w:val="none"/>
          <w:lang w:eastAsia="zh-CN"/>
        </w:rPr>
        <w:t>m</w:t>
      </w:r>
      <w:r>
        <w:rPr>
          <w:rFonts w:hint="default" w:ascii="Times New Roman" w:hAnsi="Times New Roman" w:cs="Times New Roman"/>
          <w:bCs/>
          <w:color w:val="auto"/>
          <w:sz w:val="24"/>
          <w:highlight w:val="none"/>
          <w:vertAlign w:val="superscript"/>
          <w:lang w:eastAsia="zh-CN"/>
        </w:rPr>
        <w:t>3</w:t>
      </w:r>
      <w:r>
        <w:rPr>
          <w:rFonts w:hint="eastAsia" w:cs="Times New Roman"/>
          <w:bCs/>
          <w:color w:val="auto"/>
          <w:sz w:val="24"/>
          <w:highlight w:val="none"/>
          <w:lang w:eastAsia="zh-CN"/>
        </w:rPr>
        <w:t>、排水涵管钻设</w:t>
      </w:r>
      <w:r>
        <w:rPr>
          <w:rFonts w:hint="eastAsia" w:cs="Times New Roman"/>
          <w:bCs/>
          <w:color w:val="auto"/>
          <w:sz w:val="24"/>
          <w:highlight w:val="none"/>
          <w:lang w:val="en-US" w:eastAsia="zh-CN"/>
        </w:rPr>
        <w:t>36m。</w:t>
      </w:r>
    </w:p>
    <w:p w14:paraId="34B2EB87">
      <w:pPr>
        <w:spacing w:line="360" w:lineRule="auto"/>
        <w:ind w:firstLine="480" w:firstLineChars="200"/>
        <w:jc w:val="both"/>
        <w:rPr>
          <w:rFonts w:hint="default" w:cs="Times New Roman"/>
          <w:bCs/>
          <w:color w:val="auto"/>
          <w:sz w:val="24"/>
          <w:highlight w:val="none"/>
          <w:lang w:val="en-US" w:eastAsia="zh-CN"/>
        </w:rPr>
      </w:pPr>
      <w:r>
        <w:rPr>
          <w:rFonts w:hint="default" w:cs="Times New Roman"/>
          <w:bCs/>
          <w:color w:val="auto"/>
          <w:sz w:val="24"/>
          <w:highlight w:val="none"/>
          <w:lang w:val="en-US" w:eastAsia="zh-CN"/>
        </w:rPr>
        <w:t>边坡稳定性监测116次；地下水水位监测93次；地下水水质监测23次。</w:t>
      </w:r>
    </w:p>
    <w:bookmarkEnd w:id="366"/>
    <w:p w14:paraId="2B1C331D">
      <w:pPr>
        <w:autoSpaceDE w:val="0"/>
        <w:autoSpaceDN w:val="0"/>
        <w:spacing w:line="360" w:lineRule="auto"/>
        <w:ind w:firstLine="482" w:firstLineChars="200"/>
        <w:rPr>
          <w:rFonts w:hint="default" w:ascii="Times New Roman" w:hAnsi="Times New Roman" w:cs="Times New Roman"/>
          <w:color w:val="auto"/>
          <w:sz w:val="24"/>
          <w:highlight w:val="none"/>
        </w:rPr>
      </w:pPr>
      <w:r>
        <w:rPr>
          <w:rFonts w:hint="default" w:ascii="Times New Roman" w:hAnsi="Times New Roman" w:cs="Times New Roman"/>
          <w:b/>
          <w:color w:val="auto"/>
          <w:sz w:val="24"/>
          <w:highlight w:val="none"/>
        </w:rPr>
        <w:t>土地复垦部分</w:t>
      </w:r>
      <w:r>
        <w:rPr>
          <w:rFonts w:hint="default" w:ascii="Times New Roman" w:hAnsi="Times New Roman" w:cs="Times New Roman"/>
          <w:color w:val="auto"/>
          <w:sz w:val="24"/>
          <w:highlight w:val="none"/>
        </w:rPr>
        <w:t>：</w:t>
      </w:r>
    </w:p>
    <w:p w14:paraId="7049CA78">
      <w:pPr>
        <w:autoSpaceDE w:val="0"/>
        <w:autoSpaceDN w:val="0"/>
        <w:spacing w:line="360" w:lineRule="auto"/>
        <w:ind w:firstLine="480" w:firstLineChars="200"/>
        <w:jc w:val="both"/>
        <w:rPr>
          <w:rFonts w:hint="default" w:ascii="Times New Roman" w:hAnsi="Times New Roman" w:cs="Times New Roman"/>
          <w:bCs/>
          <w:color w:val="auto"/>
          <w:sz w:val="24"/>
          <w:highlight w:val="none"/>
        </w:rPr>
      </w:pPr>
      <w:r>
        <w:rPr>
          <w:rFonts w:hint="eastAsia" w:cs="Times New Roman"/>
          <w:color w:val="auto"/>
          <w:sz w:val="24"/>
          <w:highlight w:val="none"/>
          <w:lang w:val="en-US" w:eastAsia="zh-CN"/>
        </w:rPr>
        <w:t>表土剥离及运输543m</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、编织袋拦挡145m</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、表土养护0.4330hm</w:t>
      </w:r>
      <w:r>
        <w:rPr>
          <w:rFonts w:hint="eastAsia" w:cs="Times New Roman"/>
          <w:color w:val="auto"/>
          <w:sz w:val="24"/>
          <w:highlight w:val="none"/>
          <w:vertAlign w:val="superscript"/>
          <w:lang w:val="en-US" w:eastAsia="zh-CN"/>
        </w:rPr>
        <w:t>2</w:t>
      </w:r>
      <w:r>
        <w:rPr>
          <w:rFonts w:hint="eastAsia" w:cs="Times New Roman"/>
          <w:color w:val="auto"/>
          <w:sz w:val="24"/>
          <w:highlight w:val="none"/>
          <w:lang w:val="en-US" w:eastAsia="zh-CN"/>
        </w:rPr>
        <w:t>、土地翻耕1.5345hm</w:t>
      </w:r>
      <w:r>
        <w:rPr>
          <w:rFonts w:hint="eastAsia" w:cs="Times New Roman"/>
          <w:color w:val="auto"/>
          <w:sz w:val="24"/>
          <w:highlight w:val="none"/>
          <w:vertAlign w:val="superscript"/>
          <w:lang w:val="en-US" w:eastAsia="zh-CN"/>
        </w:rPr>
        <w:t>2</w:t>
      </w:r>
      <w:r>
        <w:rPr>
          <w:rFonts w:hint="eastAsia"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表土运输</w:t>
      </w:r>
      <w:r>
        <w:rPr>
          <w:rFonts w:hint="eastAsia" w:cs="Times New Roman"/>
          <w:color w:val="auto"/>
          <w:sz w:val="24"/>
          <w:highlight w:val="none"/>
          <w:lang w:val="en-US" w:eastAsia="zh-CN"/>
        </w:rPr>
        <w:t>及回填9621</w:t>
      </w:r>
      <w:r>
        <w:rPr>
          <w:rFonts w:hint="default" w:ascii="Times New Roman" w:hAnsi="Times New Roman" w:cs="Times New Roman"/>
          <w:color w:val="auto"/>
          <w:sz w:val="24"/>
          <w:highlight w:val="none"/>
          <w:lang w:eastAsia="zh-CN"/>
        </w:rPr>
        <w:t>m</w:t>
      </w:r>
      <w:r>
        <w:rPr>
          <w:rFonts w:hint="default" w:ascii="Times New Roman" w:hAnsi="Times New Roman" w:cs="Times New Roman"/>
          <w:color w:val="auto"/>
          <w:sz w:val="24"/>
          <w:highlight w:val="none"/>
          <w:vertAlign w:val="superscript"/>
          <w:lang w:eastAsia="zh-CN"/>
        </w:rPr>
        <w:t>3</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种植</w:t>
      </w:r>
      <w:r>
        <w:rPr>
          <w:rFonts w:hint="default" w:ascii="Times New Roman" w:hAnsi="Times New Roman" w:cs="Times New Roman"/>
          <w:color w:val="auto"/>
          <w:sz w:val="24"/>
          <w:highlight w:val="none"/>
          <w:lang w:eastAsia="zh-CN"/>
        </w:rPr>
        <w:t>落叶松</w:t>
      </w:r>
      <w:r>
        <w:rPr>
          <w:rFonts w:hint="eastAsia" w:cs="Times New Roman"/>
          <w:color w:val="auto"/>
          <w:sz w:val="24"/>
          <w:highlight w:val="none"/>
          <w:lang w:val="en-US" w:eastAsia="zh-CN"/>
        </w:rPr>
        <w:t>8016</w:t>
      </w:r>
      <w:r>
        <w:rPr>
          <w:rFonts w:hint="default" w:ascii="Times New Roman" w:hAnsi="Times New Roman" w:cs="Times New Roman"/>
          <w:color w:val="auto"/>
          <w:sz w:val="24"/>
          <w:highlight w:val="none"/>
        </w:rPr>
        <w:t>株，撒播草种面积</w:t>
      </w:r>
      <w:r>
        <w:rPr>
          <w:rFonts w:hint="eastAsia" w:cs="Times New Roman"/>
          <w:color w:val="auto"/>
          <w:kern w:val="0"/>
          <w:sz w:val="24"/>
          <w:highlight w:val="none"/>
          <w:lang w:val="en-US" w:eastAsia="zh-CN"/>
        </w:rPr>
        <w:t>3.2066</w:t>
      </w:r>
      <w:r>
        <w:rPr>
          <w:rFonts w:hint="default" w:ascii="Times New Roman" w:hAnsi="Times New Roman" w:cs="Times New Roman"/>
          <w:color w:val="auto"/>
          <w:sz w:val="24"/>
          <w:highlight w:val="none"/>
        </w:rPr>
        <w:t>h</w:t>
      </w:r>
      <w:r>
        <w:rPr>
          <w:rFonts w:hint="default" w:ascii="Times New Roman" w:hAnsi="Times New Roman" w:cs="Times New Roman"/>
          <w:color w:val="auto"/>
          <w:sz w:val="24"/>
          <w:highlight w:val="none"/>
          <w:lang w:eastAsia="zh-CN"/>
        </w:rPr>
        <w:t>m</w:t>
      </w:r>
      <w:r>
        <w:rPr>
          <w:rFonts w:hint="default" w:ascii="Times New Roman" w:hAnsi="Times New Roman" w:cs="Times New Roman"/>
          <w:color w:val="auto"/>
          <w:sz w:val="24"/>
          <w:highlight w:val="none"/>
          <w:vertAlign w:val="superscript"/>
          <w:lang w:eastAsia="zh-CN"/>
        </w:rPr>
        <w:t>2</w:t>
      </w:r>
      <w:r>
        <w:rPr>
          <w:rFonts w:hint="eastAsia" w:cs="Times New Roman"/>
          <w:color w:val="auto"/>
          <w:sz w:val="24"/>
          <w:highlight w:val="none"/>
          <w:vertAlign w:val="baseline"/>
          <w:lang w:eastAsia="zh-CN"/>
        </w:rPr>
        <w:t>、</w:t>
      </w:r>
      <w:r>
        <w:rPr>
          <w:rFonts w:hint="default" w:ascii="Times New Roman" w:hAnsi="Times New Roman" w:cs="Times New Roman"/>
          <w:color w:val="auto"/>
          <w:sz w:val="24"/>
          <w:highlight w:val="none"/>
          <w:vertAlign w:val="baseline"/>
          <w:lang w:val="en-US" w:eastAsia="zh-CN"/>
        </w:rPr>
        <w:t>栽植爬山虎</w:t>
      </w:r>
      <w:r>
        <w:rPr>
          <w:rFonts w:hint="eastAsia" w:cs="Times New Roman"/>
          <w:color w:val="auto"/>
          <w:sz w:val="24"/>
          <w:highlight w:val="none"/>
          <w:vertAlign w:val="baseline"/>
          <w:lang w:val="en-US" w:eastAsia="zh-CN"/>
        </w:rPr>
        <w:t>2480</w:t>
      </w:r>
      <w:r>
        <w:rPr>
          <w:rFonts w:hint="default" w:ascii="Times New Roman" w:hAnsi="Times New Roman" w:cs="Times New Roman"/>
          <w:color w:val="auto"/>
          <w:sz w:val="24"/>
          <w:highlight w:val="none"/>
          <w:vertAlign w:val="baseline"/>
          <w:lang w:val="en-US" w:eastAsia="zh-CN"/>
        </w:rPr>
        <w:t>株</w:t>
      </w:r>
      <w:r>
        <w:rPr>
          <w:rFonts w:hint="default" w:ascii="Times New Roman" w:hAnsi="Times New Roman" w:cs="Times New Roman"/>
          <w:bCs/>
          <w:color w:val="auto"/>
          <w:sz w:val="24"/>
          <w:highlight w:val="none"/>
        </w:rPr>
        <w:t>。</w:t>
      </w:r>
    </w:p>
    <w:p w14:paraId="070245F9">
      <w:pPr>
        <w:autoSpaceDE w:val="0"/>
        <w:autoSpaceDN w:val="0"/>
        <w:adjustRightInd w:val="0"/>
        <w:spacing w:line="360" w:lineRule="auto"/>
        <w:ind w:firstLine="48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设置</w:t>
      </w:r>
      <w:r>
        <w:rPr>
          <w:rFonts w:hint="eastAsia" w:cs="Times New Roman"/>
          <w:color w:val="auto"/>
          <w:sz w:val="24"/>
          <w:highlight w:val="none"/>
          <w:lang w:val="en-US" w:eastAsia="zh-CN"/>
        </w:rPr>
        <w:t>土地复垦监测，</w:t>
      </w:r>
      <w:r>
        <w:rPr>
          <w:rFonts w:hint="default" w:ascii="Times New Roman" w:hAnsi="Times New Roman" w:cs="Times New Roman"/>
          <w:color w:val="auto"/>
          <w:sz w:val="24"/>
          <w:highlight w:val="none"/>
        </w:rPr>
        <w:t>监测频率</w:t>
      </w:r>
      <w:r>
        <w:rPr>
          <w:rFonts w:hint="eastAsia" w:cs="Times New Roman"/>
          <w:color w:val="auto"/>
          <w:sz w:val="24"/>
          <w:highlight w:val="none"/>
          <w:lang w:val="en-US" w:eastAsia="zh-CN"/>
        </w:rPr>
        <w:t>4</w:t>
      </w:r>
      <w:r>
        <w:rPr>
          <w:rFonts w:hint="default" w:ascii="Times New Roman" w:hAnsi="Times New Roman" w:cs="Times New Roman"/>
          <w:color w:val="auto"/>
          <w:sz w:val="24"/>
          <w:highlight w:val="none"/>
        </w:rPr>
        <w:t>次/年，监测</w:t>
      </w:r>
      <w:r>
        <w:rPr>
          <w:rFonts w:hint="eastAsia" w:cs="Times New Roman"/>
          <w:color w:val="auto"/>
          <w:sz w:val="24"/>
          <w:highlight w:val="none"/>
          <w:lang w:val="en-US" w:eastAsia="zh-CN"/>
        </w:rPr>
        <w:t>7.72</w:t>
      </w:r>
      <w:r>
        <w:rPr>
          <w:rFonts w:hint="default" w:ascii="Times New Roman" w:hAnsi="Times New Roman" w:cs="Times New Roman"/>
          <w:color w:val="auto"/>
          <w:sz w:val="24"/>
          <w:highlight w:val="none"/>
        </w:rPr>
        <w:t>年，共监测</w:t>
      </w:r>
      <w:r>
        <w:rPr>
          <w:rFonts w:hint="eastAsia" w:cs="Times New Roman"/>
          <w:color w:val="auto"/>
          <w:sz w:val="24"/>
          <w:highlight w:val="none"/>
          <w:lang w:val="en-US" w:eastAsia="zh-CN"/>
        </w:rPr>
        <w:t>31</w:t>
      </w:r>
      <w:r>
        <w:rPr>
          <w:rFonts w:hint="default" w:ascii="Times New Roman" w:hAnsi="Times New Roman" w:cs="Times New Roman"/>
          <w:color w:val="auto"/>
          <w:sz w:val="24"/>
          <w:highlight w:val="none"/>
        </w:rPr>
        <w:t>次。</w:t>
      </w:r>
    </w:p>
    <w:p w14:paraId="10C50FAD">
      <w:pPr>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rPr>
        <w:t>管护</w:t>
      </w:r>
      <w:r>
        <w:rPr>
          <w:rFonts w:hint="eastAsia" w:cs="Times New Roman"/>
          <w:color w:val="auto"/>
          <w:sz w:val="24"/>
          <w:highlight w:val="none"/>
          <w:lang w:val="en-US" w:eastAsia="zh-CN"/>
        </w:rPr>
        <w:t>总面积3.2066</w:t>
      </w:r>
      <w:r>
        <w:rPr>
          <w:rFonts w:hint="default" w:ascii="Times New Roman" w:hAnsi="Times New Roman" w:cs="Times New Roman"/>
          <w:color w:val="auto"/>
          <w:sz w:val="24"/>
          <w:highlight w:val="none"/>
          <w:lang w:val="en-US" w:eastAsia="zh-CN"/>
        </w:rPr>
        <w:t>hm</w:t>
      </w:r>
      <w:r>
        <w:rPr>
          <w:rFonts w:hint="default" w:ascii="Times New Roman" w:hAnsi="Times New Roman" w:cs="Times New Roman"/>
          <w:color w:val="auto"/>
          <w:sz w:val="24"/>
          <w:highlight w:val="none"/>
          <w:vertAlign w:val="superscript"/>
          <w:lang w:val="en-US" w:eastAsia="zh-CN"/>
        </w:rPr>
        <w:t>2</w:t>
      </w:r>
      <w:r>
        <w:rPr>
          <w:rFonts w:hint="default" w:ascii="Times New Roman" w:hAnsi="Times New Roman" w:cs="Times New Roman"/>
          <w:color w:val="auto"/>
          <w:sz w:val="24"/>
          <w:highlight w:val="none"/>
        </w:rPr>
        <w:t>，管护期3年。</w:t>
      </w:r>
    </w:p>
    <w:p w14:paraId="65BE4FCA">
      <w:pPr>
        <w:spacing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8、根据矿山地质环境保护与土地复垦工作部署、工程量及工程技术手段，参照相关标准，</w:t>
      </w:r>
      <w:r>
        <w:rPr>
          <w:rFonts w:hint="eastAsia" w:cs="Times New Roman"/>
          <w:color w:val="auto"/>
          <w:sz w:val="24"/>
          <w:highlight w:val="none"/>
          <w:lang w:eastAsia="zh-CN"/>
        </w:rPr>
        <w:t>北大湖采石场</w:t>
      </w:r>
      <w:r>
        <w:rPr>
          <w:rFonts w:hint="default" w:ascii="Times New Roman" w:hAnsi="Times New Roman" w:cs="Times New Roman"/>
          <w:color w:val="auto"/>
          <w:sz w:val="24"/>
          <w:highlight w:val="none"/>
          <w:lang w:eastAsia="zh-CN"/>
        </w:rPr>
        <w:t>矿山地质环境保护与土地复垦静态总投资</w:t>
      </w:r>
      <w:r>
        <w:rPr>
          <w:rFonts w:hint="eastAsia" w:cs="Times New Roman"/>
          <w:color w:val="auto"/>
          <w:sz w:val="24"/>
          <w:highlight w:val="none"/>
          <w:lang w:eastAsia="zh-CN"/>
        </w:rPr>
        <w:t>78.21</w:t>
      </w:r>
      <w:r>
        <w:rPr>
          <w:rFonts w:hint="default" w:ascii="Times New Roman" w:hAnsi="Times New Roman" w:cs="Times New Roman"/>
          <w:color w:val="auto"/>
          <w:sz w:val="24"/>
          <w:highlight w:val="none"/>
          <w:lang w:eastAsia="zh-CN"/>
        </w:rPr>
        <w:t>万元，动态总投资</w:t>
      </w:r>
      <w:r>
        <w:rPr>
          <w:rFonts w:hint="eastAsia" w:cs="Times New Roman"/>
          <w:color w:val="auto"/>
          <w:sz w:val="24"/>
          <w:highlight w:val="none"/>
          <w:lang w:eastAsia="zh-CN"/>
        </w:rPr>
        <w:t>84.12</w:t>
      </w:r>
      <w:r>
        <w:rPr>
          <w:rFonts w:hint="default" w:ascii="Times New Roman" w:hAnsi="Times New Roman" w:cs="Times New Roman"/>
          <w:color w:val="auto"/>
          <w:sz w:val="24"/>
          <w:highlight w:val="none"/>
          <w:lang w:eastAsia="zh-CN"/>
        </w:rPr>
        <w:t>万元。其中矿山地质环境恢复治理总投资</w:t>
      </w:r>
      <w:r>
        <w:rPr>
          <w:rFonts w:hint="eastAsia" w:cs="Times New Roman"/>
          <w:color w:val="auto"/>
          <w:sz w:val="24"/>
          <w:highlight w:val="none"/>
          <w:lang w:eastAsia="zh-CN"/>
        </w:rPr>
        <w:t>41.72</w:t>
      </w:r>
      <w:r>
        <w:rPr>
          <w:rFonts w:hint="default" w:ascii="Times New Roman" w:hAnsi="Times New Roman" w:cs="Times New Roman"/>
          <w:color w:val="auto"/>
          <w:sz w:val="24"/>
          <w:highlight w:val="none"/>
          <w:lang w:eastAsia="zh-CN"/>
        </w:rPr>
        <w:t>万元，土地复垦静态总投资</w:t>
      </w:r>
      <w:r>
        <w:rPr>
          <w:rFonts w:hint="eastAsia" w:cs="Times New Roman"/>
          <w:color w:val="auto"/>
          <w:sz w:val="24"/>
          <w:highlight w:val="none"/>
          <w:lang w:eastAsia="zh-CN"/>
        </w:rPr>
        <w:t>34.20</w:t>
      </w:r>
      <w:r>
        <w:rPr>
          <w:rFonts w:hint="default" w:ascii="Times New Roman" w:hAnsi="Times New Roman" w:cs="Times New Roman"/>
          <w:color w:val="auto"/>
          <w:sz w:val="24"/>
          <w:highlight w:val="none"/>
          <w:lang w:eastAsia="zh-CN"/>
        </w:rPr>
        <w:t>万元，土地复垦动态总投资</w:t>
      </w:r>
      <w:r>
        <w:rPr>
          <w:rFonts w:hint="eastAsia" w:cs="Times New Roman"/>
          <w:color w:val="auto"/>
          <w:sz w:val="24"/>
          <w:highlight w:val="none"/>
          <w:lang w:eastAsia="zh-CN"/>
        </w:rPr>
        <w:t>40.11</w:t>
      </w:r>
      <w:r>
        <w:rPr>
          <w:rFonts w:hint="default" w:ascii="Times New Roman" w:hAnsi="Times New Roman" w:cs="Times New Roman"/>
          <w:color w:val="auto"/>
          <w:sz w:val="24"/>
          <w:highlight w:val="none"/>
          <w:lang w:eastAsia="zh-CN"/>
        </w:rPr>
        <w:t>万元</w:t>
      </w:r>
      <w:r>
        <w:rPr>
          <w:rFonts w:hint="default" w:ascii="Times New Roman" w:hAnsi="Times New Roman" w:cs="Times New Roman"/>
          <w:color w:val="auto"/>
          <w:sz w:val="24"/>
          <w:highlight w:val="none"/>
        </w:rPr>
        <w:t>。</w:t>
      </w:r>
    </w:p>
    <w:p w14:paraId="69C2F180">
      <w:pPr>
        <w:keepNext/>
        <w:keepLines/>
        <w:widowControl w:val="0"/>
        <w:spacing w:before="260" w:after="260" w:line="415" w:lineRule="auto"/>
        <w:outlineLvl w:val="1"/>
        <w:rPr>
          <w:rFonts w:hint="default" w:ascii="Times New Roman" w:hAnsi="Times New Roman" w:eastAsia="黑体" w:cs="Times New Roman"/>
          <w:bCs/>
          <w:color w:val="auto"/>
          <w:sz w:val="30"/>
          <w:szCs w:val="30"/>
          <w:highlight w:val="none"/>
        </w:rPr>
      </w:pPr>
      <w:bookmarkStart w:id="367" w:name="_Toc17141"/>
      <w:bookmarkStart w:id="368" w:name="_Toc5393"/>
      <w:r>
        <w:rPr>
          <w:rFonts w:hint="default" w:ascii="Times New Roman" w:hAnsi="Times New Roman" w:eastAsia="黑体" w:cs="Times New Roman"/>
          <w:bCs/>
          <w:color w:val="auto"/>
          <w:sz w:val="30"/>
          <w:szCs w:val="30"/>
          <w:highlight w:val="none"/>
        </w:rPr>
        <w:t>二、建议</w:t>
      </w:r>
      <w:bookmarkEnd w:id="365"/>
      <w:bookmarkEnd w:id="367"/>
      <w:bookmarkEnd w:id="368"/>
    </w:p>
    <w:p w14:paraId="26CB73E5">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1、建立健全矿山地质灾害及环境地质问题监测机制和预报预警系统，并始终贯穿于矿山开发的全过程，坚持边开发边治理的原则，最大限度地减少矿山开采对地质环境的影响。</w:t>
      </w:r>
    </w:p>
    <w:p w14:paraId="3BC7A14A">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2、本着</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在开发中保护</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在保护中开发</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和</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谁破坏、谁治理</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的原则，矿山应积极开展矿山地质环境保护与恢复治理工作，及时存储矿山地质环境恢复治理保证金及土地复垦费用。</w:t>
      </w:r>
    </w:p>
    <w:p w14:paraId="22EE568D">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3、在矿山地质环境防治工程的实施过程中，应注意周边地质环境的保护，避免对地质环境造成新的破坏。</w:t>
      </w:r>
    </w:p>
    <w:p w14:paraId="1328DC3F">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4、在今后开采过程中影响矿山生产及地质环境的因素很多，出现问题建议矿山企业对本方案及时进行修改。</w:t>
      </w:r>
    </w:p>
    <w:p w14:paraId="5A67585D">
      <w:pPr>
        <w:spacing w:line="360" w:lineRule="auto"/>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5、治理恢复费用估算参照的现有价格水平，如以后物价出现波动，治理恢复费用应以当地、当时物价水平为准。</w:t>
      </w:r>
    </w:p>
    <w:p w14:paraId="150BA9A9">
      <w:pPr>
        <w:spacing w:line="360" w:lineRule="auto"/>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6、矿山地质环境工程完成后应加强维护管理，确保发挥长期效益。</w:t>
      </w:r>
    </w:p>
    <w:p w14:paraId="6A45FC96">
      <w:pPr>
        <w:spacing w:line="360" w:lineRule="auto"/>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7、本方案不代替矿山地质环境治理恢复工程设计，矿山企业在进行工程治理时，应委托相关单位对矿山地质环境影响区进行专项工程勘察、设计。</w:t>
      </w:r>
    </w:p>
    <w:p w14:paraId="44A03CE3">
      <w:pPr>
        <w:spacing w:line="360" w:lineRule="auto"/>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8、建议每5年对本方案修编一次，以适应当年市场价格和矿山实际生产情况。</w:t>
      </w:r>
    </w:p>
    <w:p w14:paraId="0B11F030">
      <w:pPr>
        <w:spacing w:line="360" w:lineRule="auto"/>
        <w:ind w:firstLine="480"/>
        <w:rPr>
          <w:rFonts w:hint="default" w:ascii="Times New Roman" w:hAnsi="Times New Roman" w:cs="Times New Roman"/>
          <w:color w:val="auto"/>
          <w:sz w:val="24"/>
          <w:highlight w:val="none"/>
        </w:rPr>
      </w:pPr>
    </w:p>
    <w:p w14:paraId="36E5F30C">
      <w:pPr>
        <w:adjustRightInd w:val="0"/>
        <w:snapToGrid w:val="0"/>
        <w:spacing w:line="360" w:lineRule="auto"/>
        <w:ind w:firstLine="420" w:firstLineChars="200"/>
        <w:rPr>
          <w:rFonts w:hint="default" w:ascii="Times New Roman" w:hAnsi="Times New Roman" w:cs="Times New Roman"/>
          <w:color w:val="auto"/>
          <w:sz w:val="24"/>
          <w:highlight w:val="none"/>
        </w:rPr>
      </w:pPr>
      <w:r>
        <w:rPr>
          <w:rFonts w:hint="default" w:ascii="Times New Roman" w:hAnsi="Times New Roman" w:cs="Times New Roman"/>
          <w:color w:val="auto"/>
          <w:highlight w:val="none"/>
        </w:rPr>
        <mc:AlternateContent>
          <mc:Choice Requires="wps">
            <w:drawing>
              <wp:anchor distT="0" distB="0" distL="114300" distR="114300" simplePos="0" relativeHeight="251661312" behindDoc="0" locked="0" layoutInCell="1" allowOverlap="1">
                <wp:simplePos x="0" y="0"/>
                <wp:positionH relativeFrom="column">
                  <wp:posOffset>-962025</wp:posOffset>
                </wp:positionH>
                <wp:positionV relativeFrom="paragraph">
                  <wp:posOffset>-9566910</wp:posOffset>
                </wp:positionV>
                <wp:extent cx="2095500" cy="497205"/>
                <wp:effectExtent l="4445" t="5080" r="14605" b="12065"/>
                <wp:wrapNone/>
                <wp:docPr id="37" name="文本框 2"/>
                <wp:cNvGraphicFramePr/>
                <a:graphic xmlns:a="http://schemas.openxmlformats.org/drawingml/2006/main">
                  <a:graphicData uri="http://schemas.microsoft.com/office/word/2010/wordprocessingShape">
                    <wps:wsp>
                      <wps:cNvSpPr txBox="1"/>
                      <wps:spPr>
                        <a:xfrm>
                          <a:off x="0" y="0"/>
                          <a:ext cx="2095500" cy="49720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72C6AC77">
                            <w:pPr>
                              <w:rPr>
                                <w:sz w:val="32"/>
                                <w:szCs w:val="40"/>
                              </w:rPr>
                            </w:pPr>
                            <w:r>
                              <w:rPr>
                                <w:rFonts w:hint="eastAsia"/>
                                <w:sz w:val="32"/>
                                <w:szCs w:val="40"/>
                              </w:rPr>
                              <w:t>附件</w:t>
                            </w:r>
                          </w:p>
                        </w:txbxContent>
                      </wps:txbx>
                      <wps:bodyPr upright="1">
                        <a:spAutoFit/>
                      </wps:bodyPr>
                    </wps:wsp>
                  </a:graphicData>
                </a:graphic>
                <wp14:sizeRelH relativeFrom="margin">
                  <wp14:pctWidth>40000</wp14:pctWidth>
                </wp14:sizeRelH>
                <wp14:sizeRelV relativeFrom="margin">
                  <wp14:pctHeight>20000</wp14:pctHeight>
                </wp14:sizeRelV>
              </wp:anchor>
            </w:drawing>
          </mc:Choice>
          <mc:Fallback>
            <w:pict>
              <v:shape id="文本框 2" o:spid="_x0000_s1026" o:spt="202" type="#_x0000_t202" style="position:absolute;left:0pt;margin-left:-75.75pt;margin-top:-753.3pt;height:39.15pt;width:165pt;z-index:251661312;mso-width-relative:margin;mso-height-relative:margin;mso-width-percent:400;mso-height-percent:200;" fillcolor="#FFFFFF" filled="t" stroked="t" coordsize="21600,21600" o:gfxdata="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Gpk+O2wAAABABAAAPAAAA&#10;AAAAAAEAIAAAACIAAABkcnMvZG93bnJldi54bWxQSwECFAAUAAAACACHTuJA9wcKNhICAABRBAAA&#10;DgAAAAAAAAABACAAAAAqAQAAZHJzL2Uyb0RvYy54bWxQSwUGAAAAAAYABgBZAQAArgUAAAAA&#10;">
                <v:fill on="t" focussize="0,0"/>
                <v:stroke color="#FFFFFF" joinstyle="miter"/>
                <v:imagedata o:title=""/>
                <o:lock v:ext="edit" aspectratio="f"/>
                <v:textbox style="mso-fit-shape-to-text:t;">
                  <w:txbxContent>
                    <w:p w14:paraId="72C6AC77">
                      <w:pPr>
                        <w:rPr>
                          <w:sz w:val="32"/>
                          <w:szCs w:val="40"/>
                        </w:rPr>
                      </w:pPr>
                      <w:r>
                        <w:rPr>
                          <w:rFonts w:hint="eastAsia"/>
                          <w:sz w:val="32"/>
                          <w:szCs w:val="40"/>
                        </w:rPr>
                        <w:t>附件</w:t>
                      </w:r>
                    </w:p>
                  </w:txbxContent>
                </v:textbox>
              </v:shape>
            </w:pict>
          </mc:Fallback>
        </mc:AlternateContent>
      </w:r>
    </w:p>
    <w:sectPr>
      <w:headerReference r:id="rId12" w:type="default"/>
      <w:footerReference r:id="rId13" w:type="default"/>
      <w:pgSz w:w="11906" w:h="16838"/>
      <w:pgMar w:top="1440" w:right="1800" w:bottom="1440" w:left="1800" w:header="851" w:footer="992" w:gutter="0"/>
      <w:pgBorders w:offsetFrom="page">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仿宋">
    <w:panose1 w:val="02010600040101010101"/>
    <w:charset w:val="86"/>
    <w:family w:val="auto"/>
    <w:pitch w:val="default"/>
    <w:sig w:usb0="00000287" w:usb1="080F0000" w:usb2="00000000" w:usb3="00000000" w:csb0="0004009F" w:csb1="DFD70000"/>
  </w:font>
  <w:font w:name="Cambria Math">
    <w:panose1 w:val="02040503050406030204"/>
    <w:charset w:val="00"/>
    <w:family w:val="roman"/>
    <w:pitch w:val="default"/>
    <w:sig w:usb0="E00006FF" w:usb1="420024FF" w:usb2="02000000" w:usb3="00000000" w:csb0="2000019F" w:csb1="00000000"/>
  </w:font>
  <w:font w:name="华文新魏">
    <w:panose1 w:val="02010800040101010101"/>
    <w:charset w:val="86"/>
    <w:family w:val="auto"/>
    <w:pitch w:val="default"/>
    <w:sig w:usb0="00000001" w:usb1="080F0000" w:usb2="0000000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Arial Black">
    <w:panose1 w:val="020B0A04020102020204"/>
    <w:charset w:val="00"/>
    <w:family w:val="swiss"/>
    <w:pitch w:val="default"/>
    <w:sig w:usb0="A00002AF" w:usb1="400078FB" w:usb2="00000000" w:usb3="00000000" w:csb0="6000009F" w:csb1="DFD70000"/>
  </w:font>
  <w:font w:name="方正姚体">
    <w:panose1 w:val="02010601030101010101"/>
    <w:charset w:val="86"/>
    <w:family w:val="auto"/>
    <w:pitch w:val="default"/>
    <w:sig w:usb0="00000003"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2E9D9">
    <w:pPr>
      <w:pStyle w:val="22"/>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77B43C">
    <w:pPr>
      <w:pStyle w:val="2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9C7B49">
    <w:pPr>
      <w:pStyle w:val="2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767DD9">
    <w:pPr>
      <w:pStyle w:val="22"/>
    </w:pPr>
    <w:r>
      <w:rPr>
        <w:rFonts w:hint="eastAsia"/>
      </w:rPr>
      <w:tab/>
    </w:r>
  </w:p>
  <w:p w14:paraId="3F1A7EB2">
    <w:pPr>
      <w:pStyle w:val="22"/>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C763C7">
    <w:pPr>
      <w:pStyle w:val="22"/>
      <w:tabs>
        <w:tab w:val="clear" w:pos="4153"/>
      </w:tabs>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400685" cy="160020"/>
              <wp:effectExtent l="0" t="0" r="0" b="0"/>
              <wp:wrapNone/>
              <wp:docPr id="38" name="文本框 23"/>
              <wp:cNvGraphicFramePr/>
              <a:graphic xmlns:a="http://schemas.openxmlformats.org/drawingml/2006/main">
                <a:graphicData uri="http://schemas.microsoft.com/office/word/2010/wordprocessingShape">
                  <wps:wsp>
                    <wps:cNvSpPr txBox="1"/>
                    <wps:spPr>
                      <a:xfrm>
                        <a:off x="0" y="0"/>
                        <a:ext cx="400685" cy="160020"/>
                      </a:xfrm>
                      <a:prstGeom prst="rect">
                        <a:avLst/>
                      </a:prstGeom>
                      <a:noFill/>
                      <a:ln>
                        <a:noFill/>
                      </a:ln>
                    </wps:spPr>
                    <wps:txbx>
                      <w:txbxContent>
                        <w:p w14:paraId="7A3167C6">
                          <w:pPr>
                            <w:pStyle w:val="22"/>
                          </w:pPr>
                          <w:r>
                            <w:fldChar w:fldCharType="begin"/>
                          </w:r>
                          <w:r>
                            <w:instrText xml:space="preserve"> PAGE  \* MERGEFORMAT </w:instrText>
                          </w:r>
                          <w:r>
                            <w:fldChar w:fldCharType="separate"/>
                          </w:r>
                          <w:r>
                            <w:t>33</w:t>
                          </w:r>
                          <w:r>
                            <w:fldChar w:fldCharType="end"/>
                          </w:r>
                        </w:p>
                      </w:txbxContent>
                    </wps:txbx>
                    <wps:bodyPr lIns="0" tIns="0" rIns="0" bIns="0" upright="1"/>
                  </wps:wsp>
                </a:graphicData>
              </a:graphic>
            </wp:anchor>
          </w:drawing>
        </mc:Choice>
        <mc:Fallback>
          <w:pict>
            <v:shape id="文本框 23" o:spid="_x0000_s1026" o:spt="202" type="#_x0000_t202" style="position:absolute;left:0pt;margin-top:0pt;height:12.6pt;width:31.55pt;mso-position-horizontal:center;mso-position-horizontal-relative:margin;z-index:251660288;mso-width-relative:page;mso-height-relative:page;" filled="f" stroked="f" coordsize="21600,21600" o:gfxdata="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PjTbcNMAAAADAQAADwAAAAAAAAABACAAAAAiAAAAZHJzL2Rvd25yZXYueG1sUEsBAhQAFAAA&#10;AAgAh07iQFgn2ay7AQAAcwMAAA4AAAAAAAAAAQAgAAAAIgEAAGRycy9lMm9Eb2MueG1sUEsFBgAA&#10;AAAGAAYAWQEAAE8FAAAAAA==&#10;">
              <v:fill on="f" focussize="0,0"/>
              <v:stroke on="f"/>
              <v:imagedata o:title=""/>
              <o:lock v:ext="edit" aspectratio="f"/>
              <v:textbox inset="0mm,0mm,0mm,0mm">
                <w:txbxContent>
                  <w:p w14:paraId="7A3167C6">
                    <w:pPr>
                      <w:pStyle w:val="22"/>
                    </w:pPr>
                    <w:r>
                      <w:fldChar w:fldCharType="begin"/>
                    </w:r>
                    <w:r>
                      <w:instrText xml:space="preserve"> PAGE  \* MERGEFORMAT </w:instrText>
                    </w:r>
                    <w:r>
                      <w:fldChar w:fldCharType="separate"/>
                    </w:r>
                    <w:r>
                      <w:t>33</w:t>
                    </w:r>
                    <w:r>
                      <w:fldChar w:fldCharType="end"/>
                    </w:r>
                  </w:p>
                </w:txbxContent>
              </v:textbox>
            </v:shape>
          </w:pict>
        </mc:Fallback>
      </mc:AlternateContent>
    </w:r>
  </w:p>
  <w:p w14:paraId="2DC3A70A">
    <w:pPr>
      <w:pStyle w:val="22"/>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C50581">
    <w:pPr>
      <w:pStyle w:val="22"/>
      <w:spacing w:line="600" w:lineRule="exact"/>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1E22CB3">
                          <w:pPr>
                            <w:pStyle w:val="22"/>
                          </w:pPr>
                          <w:r>
                            <w:fldChar w:fldCharType="begin"/>
                          </w:r>
                          <w:r>
                            <w:instrText xml:space="preserve"> PAGE  \* MERGEFORMAT </w:instrText>
                          </w:r>
                          <w:r>
                            <w:fldChar w:fldCharType="separate"/>
                          </w:r>
                          <w:r>
                            <w:t>142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rrjO8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lLShy3OPHzj+/nn7/Pv74R&#10;9KFAfYAa8x4DZqbhxg+YPPsBnZn3oKLNX2REMI7yni7yyiERkR+tlqtVhSGBsfmC+OzpeYiQ7qS3&#10;JBsNjTi/Iis/3kMaU+eUXM35W21MmaFxfzkQM3tY7n3sMVtp2A0ToZ1vT8inx9E31OGmU2I+OlQ2&#10;b8lsxNnYzcYhRL3vyhrlehA+HBI2UXrLFUbYqTDOrLCb9isvxfN7yXr6pz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uuuM7yQEAAJsDAAAOAAAAAAAAAAEAIAAAAB4BAABkcnMvZTJvRG9j&#10;LnhtbFBLBQYAAAAABgAGAFkBAABZBQAAAAA=&#10;">
              <v:fill on="f" focussize="0,0"/>
              <v:stroke on="f"/>
              <v:imagedata o:title=""/>
              <o:lock v:ext="edit" aspectratio="f"/>
              <v:textbox inset="0mm,0mm,0mm,0mm" style="mso-fit-shape-to-text:t;">
                <w:txbxContent>
                  <w:p w14:paraId="31E22CB3">
                    <w:pPr>
                      <w:pStyle w:val="22"/>
                    </w:pPr>
                    <w:r>
                      <w:fldChar w:fldCharType="begin"/>
                    </w:r>
                    <w:r>
                      <w:instrText xml:space="preserve"> PAGE  \* MERGEFORMAT </w:instrText>
                    </w:r>
                    <w:r>
                      <w:fldChar w:fldCharType="separate"/>
                    </w:r>
                    <w:r>
                      <w:t>142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B56153">
    <w:pPr>
      <w:pStyle w:val="22"/>
      <w:spacing w:line="600" w:lineRule="exact"/>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3D2FC25">
                          <w:pPr>
                            <w:pStyle w:val="22"/>
                          </w:pPr>
                          <w:r>
                            <w:fldChar w:fldCharType="begin"/>
                          </w:r>
                          <w:r>
                            <w:instrText xml:space="preserve"> PAGE  \* MERGEFORMAT </w:instrText>
                          </w:r>
                          <w:r>
                            <w:fldChar w:fldCharType="separate"/>
                          </w:r>
                          <w:r>
                            <w:t>102</w:t>
                          </w:r>
                          <w:r>
                            <w:fldChar w:fldCharType="end"/>
                          </w:r>
                        </w:p>
                      </w:txbxContent>
                    </wps:txbx>
                    <wps:bodyPr wrap="none" lIns="0" tIns="0" rIns="0" bIns="0" upright="1">
                      <a:spAutoFit/>
                    </wps:bodyPr>
                  </wps:wsp>
                </a:graphicData>
              </a:graphic>
            </wp:anchor>
          </w:drawing>
        </mc:Choice>
        <mc:Fallback>
          <w:pict>
            <v:shape id="文本框 25"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MOgM18oBAACbAwAADgAAAAAAAAABACAAAAAeAQAAZHJzL2Uyb0Rv&#10;Yy54bWxQSwUGAAAAAAYABgBZAQAAWgUAAAAA&#10;">
              <v:fill on="f" focussize="0,0"/>
              <v:stroke on="f"/>
              <v:imagedata o:title=""/>
              <o:lock v:ext="edit" aspectratio="f"/>
              <v:textbox inset="0mm,0mm,0mm,0mm" style="mso-fit-shape-to-text:t;">
                <w:txbxContent>
                  <w:p w14:paraId="43D2FC25">
                    <w:pPr>
                      <w:pStyle w:val="22"/>
                    </w:pPr>
                    <w:r>
                      <w:fldChar w:fldCharType="begin"/>
                    </w:r>
                    <w:r>
                      <w:instrText xml:space="preserve"> PAGE  \* MERGEFORMAT </w:instrText>
                    </w:r>
                    <w:r>
                      <w:fldChar w:fldCharType="separate"/>
                    </w:r>
                    <w:r>
                      <w:t>102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D86871">
    <w:pPr>
      <w:pStyle w:val="2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35E893">
    <w:pPr>
      <w:pStyle w:val="2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900A52">
    <w:pPr>
      <w:pStyle w:val="2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5D18C0">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4B8ED87"/>
    <w:multiLevelType w:val="singleLevel"/>
    <w:tmpl w:val="D4B8ED87"/>
    <w:lvl w:ilvl="0" w:tentative="0">
      <w:start w:val="2"/>
      <w:numFmt w:val="chineseCounting"/>
      <w:suff w:val="nothing"/>
      <w:lvlText w:val="（%1）"/>
      <w:lvlJc w:val="left"/>
      <w:rPr>
        <w:rFonts w:hint="eastAsia"/>
      </w:rPr>
    </w:lvl>
  </w:abstractNum>
  <w:abstractNum w:abstractNumId="1">
    <w:nsid w:val="E46BB86F"/>
    <w:multiLevelType w:val="singleLevel"/>
    <w:tmpl w:val="E46BB86F"/>
    <w:lvl w:ilvl="0" w:tentative="0">
      <w:start w:val="2"/>
      <w:numFmt w:val="decimal"/>
      <w:suff w:val="nothing"/>
      <w:lvlText w:val="（%1）"/>
      <w:lvlJc w:val="left"/>
    </w:lvl>
  </w:abstractNum>
  <w:abstractNum w:abstractNumId="2">
    <w:nsid w:val="2EB854B7"/>
    <w:multiLevelType w:val="singleLevel"/>
    <w:tmpl w:val="2EB854B7"/>
    <w:lvl w:ilvl="0" w:tentative="0">
      <w:start w:val="2"/>
      <w:numFmt w:val="chineseCounting"/>
      <w:suff w:val="nothing"/>
      <w:lvlText w:val="（%1）"/>
      <w:lvlJc w:val="left"/>
      <w:rPr>
        <w:rFonts w:hint="eastAsi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HorizontalSpacing w:val="105"/>
  <w:drawingGridVerticalSpacing w:val="163"/>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ZiNDIxYTBlM2RhODU3ZGI0YjFhYmQwZDc2Y2RjOTYifQ=="/>
    <w:docVar w:name="KSO_WPS_MARK_KEY" w:val="287a8b19-de93-4224-a2a6-f49c897eecb5"/>
  </w:docVars>
  <w:rsids>
    <w:rsidRoot w:val="00172A27"/>
    <w:rsid w:val="000002AD"/>
    <w:rsid w:val="00000407"/>
    <w:rsid w:val="000004C0"/>
    <w:rsid w:val="000004E6"/>
    <w:rsid w:val="00000D63"/>
    <w:rsid w:val="000012E1"/>
    <w:rsid w:val="000017C4"/>
    <w:rsid w:val="00001C00"/>
    <w:rsid w:val="00001CFC"/>
    <w:rsid w:val="00001D01"/>
    <w:rsid w:val="00001D32"/>
    <w:rsid w:val="0000225D"/>
    <w:rsid w:val="00002329"/>
    <w:rsid w:val="0000295D"/>
    <w:rsid w:val="00002A23"/>
    <w:rsid w:val="00002AEA"/>
    <w:rsid w:val="00002DE1"/>
    <w:rsid w:val="00003472"/>
    <w:rsid w:val="000035EC"/>
    <w:rsid w:val="00003C78"/>
    <w:rsid w:val="00003E02"/>
    <w:rsid w:val="0000411F"/>
    <w:rsid w:val="00005363"/>
    <w:rsid w:val="00005407"/>
    <w:rsid w:val="00005593"/>
    <w:rsid w:val="00005C0D"/>
    <w:rsid w:val="00006566"/>
    <w:rsid w:val="00006BBF"/>
    <w:rsid w:val="00006C80"/>
    <w:rsid w:val="00006CA6"/>
    <w:rsid w:val="00007124"/>
    <w:rsid w:val="0001010B"/>
    <w:rsid w:val="0001035D"/>
    <w:rsid w:val="000109CC"/>
    <w:rsid w:val="00010A53"/>
    <w:rsid w:val="00010BC0"/>
    <w:rsid w:val="00010EF6"/>
    <w:rsid w:val="0001176B"/>
    <w:rsid w:val="00012588"/>
    <w:rsid w:val="00012972"/>
    <w:rsid w:val="00012992"/>
    <w:rsid w:val="000129C4"/>
    <w:rsid w:val="0001306E"/>
    <w:rsid w:val="000132A6"/>
    <w:rsid w:val="00013340"/>
    <w:rsid w:val="00013586"/>
    <w:rsid w:val="00013687"/>
    <w:rsid w:val="00013CAE"/>
    <w:rsid w:val="000143FE"/>
    <w:rsid w:val="00014890"/>
    <w:rsid w:val="00014F12"/>
    <w:rsid w:val="00015131"/>
    <w:rsid w:val="00015C72"/>
    <w:rsid w:val="00015DEF"/>
    <w:rsid w:val="000160BB"/>
    <w:rsid w:val="00016588"/>
    <w:rsid w:val="00016612"/>
    <w:rsid w:val="00017076"/>
    <w:rsid w:val="0001707A"/>
    <w:rsid w:val="000175C1"/>
    <w:rsid w:val="00017828"/>
    <w:rsid w:val="000178CC"/>
    <w:rsid w:val="00017DB1"/>
    <w:rsid w:val="0002006D"/>
    <w:rsid w:val="0002012E"/>
    <w:rsid w:val="000207CE"/>
    <w:rsid w:val="000209BA"/>
    <w:rsid w:val="00020BC0"/>
    <w:rsid w:val="00021194"/>
    <w:rsid w:val="00021236"/>
    <w:rsid w:val="00021B6D"/>
    <w:rsid w:val="00021C4E"/>
    <w:rsid w:val="0002295F"/>
    <w:rsid w:val="00022CD9"/>
    <w:rsid w:val="00023186"/>
    <w:rsid w:val="0002340A"/>
    <w:rsid w:val="0002346C"/>
    <w:rsid w:val="000234F9"/>
    <w:rsid w:val="000235C7"/>
    <w:rsid w:val="000246F6"/>
    <w:rsid w:val="0002475F"/>
    <w:rsid w:val="00024BF1"/>
    <w:rsid w:val="00024C14"/>
    <w:rsid w:val="00024F17"/>
    <w:rsid w:val="00024F5F"/>
    <w:rsid w:val="00025601"/>
    <w:rsid w:val="000258FE"/>
    <w:rsid w:val="000259AB"/>
    <w:rsid w:val="000260B5"/>
    <w:rsid w:val="00026224"/>
    <w:rsid w:val="00026251"/>
    <w:rsid w:val="0002634B"/>
    <w:rsid w:val="0002669D"/>
    <w:rsid w:val="00026B4F"/>
    <w:rsid w:val="00026CAB"/>
    <w:rsid w:val="00026F03"/>
    <w:rsid w:val="000271F1"/>
    <w:rsid w:val="00027460"/>
    <w:rsid w:val="000274BC"/>
    <w:rsid w:val="00027606"/>
    <w:rsid w:val="00027785"/>
    <w:rsid w:val="000304A6"/>
    <w:rsid w:val="000307ED"/>
    <w:rsid w:val="00030A40"/>
    <w:rsid w:val="00030DE4"/>
    <w:rsid w:val="000315DA"/>
    <w:rsid w:val="0003191E"/>
    <w:rsid w:val="0003206A"/>
    <w:rsid w:val="00032486"/>
    <w:rsid w:val="0003288E"/>
    <w:rsid w:val="00032DA8"/>
    <w:rsid w:val="00032F20"/>
    <w:rsid w:val="00032FAC"/>
    <w:rsid w:val="00032FD0"/>
    <w:rsid w:val="00033704"/>
    <w:rsid w:val="000341BA"/>
    <w:rsid w:val="0003445D"/>
    <w:rsid w:val="000344E7"/>
    <w:rsid w:val="00034CF1"/>
    <w:rsid w:val="00034F26"/>
    <w:rsid w:val="00034F70"/>
    <w:rsid w:val="00035240"/>
    <w:rsid w:val="00035D94"/>
    <w:rsid w:val="00035F63"/>
    <w:rsid w:val="000364C3"/>
    <w:rsid w:val="00036548"/>
    <w:rsid w:val="00036703"/>
    <w:rsid w:val="000370A8"/>
    <w:rsid w:val="00037A66"/>
    <w:rsid w:val="00037B33"/>
    <w:rsid w:val="00037F8D"/>
    <w:rsid w:val="00040134"/>
    <w:rsid w:val="0004075E"/>
    <w:rsid w:val="000407F3"/>
    <w:rsid w:val="00040A49"/>
    <w:rsid w:val="00040BC9"/>
    <w:rsid w:val="00040C5C"/>
    <w:rsid w:val="00040D62"/>
    <w:rsid w:val="000410A9"/>
    <w:rsid w:val="0004120C"/>
    <w:rsid w:val="0004136A"/>
    <w:rsid w:val="000414CA"/>
    <w:rsid w:val="00041903"/>
    <w:rsid w:val="000419C3"/>
    <w:rsid w:val="00041A49"/>
    <w:rsid w:val="00041DF6"/>
    <w:rsid w:val="0004202A"/>
    <w:rsid w:val="00042091"/>
    <w:rsid w:val="000426AD"/>
    <w:rsid w:val="00042E30"/>
    <w:rsid w:val="00042E9D"/>
    <w:rsid w:val="00042F31"/>
    <w:rsid w:val="000432D1"/>
    <w:rsid w:val="000432FF"/>
    <w:rsid w:val="000434D7"/>
    <w:rsid w:val="000438DC"/>
    <w:rsid w:val="00043CC2"/>
    <w:rsid w:val="00044273"/>
    <w:rsid w:val="0004450F"/>
    <w:rsid w:val="0004474A"/>
    <w:rsid w:val="00044969"/>
    <w:rsid w:val="00045C6D"/>
    <w:rsid w:val="00045DB6"/>
    <w:rsid w:val="00045FE4"/>
    <w:rsid w:val="00046085"/>
    <w:rsid w:val="00046768"/>
    <w:rsid w:val="00046800"/>
    <w:rsid w:val="000469E5"/>
    <w:rsid w:val="00046BF8"/>
    <w:rsid w:val="00047093"/>
    <w:rsid w:val="000471CD"/>
    <w:rsid w:val="00047576"/>
    <w:rsid w:val="00047939"/>
    <w:rsid w:val="000500C0"/>
    <w:rsid w:val="0005079C"/>
    <w:rsid w:val="00050B5F"/>
    <w:rsid w:val="0005155E"/>
    <w:rsid w:val="000515D3"/>
    <w:rsid w:val="00051717"/>
    <w:rsid w:val="00051739"/>
    <w:rsid w:val="00051C34"/>
    <w:rsid w:val="00051E94"/>
    <w:rsid w:val="00052028"/>
    <w:rsid w:val="000523A1"/>
    <w:rsid w:val="00052E03"/>
    <w:rsid w:val="00052ED8"/>
    <w:rsid w:val="00052FEF"/>
    <w:rsid w:val="0005302B"/>
    <w:rsid w:val="00053312"/>
    <w:rsid w:val="00053396"/>
    <w:rsid w:val="0005340A"/>
    <w:rsid w:val="00053DB9"/>
    <w:rsid w:val="0005406D"/>
    <w:rsid w:val="00054274"/>
    <w:rsid w:val="00054418"/>
    <w:rsid w:val="0005450B"/>
    <w:rsid w:val="00054816"/>
    <w:rsid w:val="000548E0"/>
    <w:rsid w:val="00054C09"/>
    <w:rsid w:val="00054D28"/>
    <w:rsid w:val="0005558B"/>
    <w:rsid w:val="000555B6"/>
    <w:rsid w:val="00055991"/>
    <w:rsid w:val="000562DB"/>
    <w:rsid w:val="000563BC"/>
    <w:rsid w:val="0005656B"/>
    <w:rsid w:val="00056AE6"/>
    <w:rsid w:val="00056BBC"/>
    <w:rsid w:val="000570E9"/>
    <w:rsid w:val="0005740D"/>
    <w:rsid w:val="000576DB"/>
    <w:rsid w:val="00057DC4"/>
    <w:rsid w:val="00060178"/>
    <w:rsid w:val="0006043A"/>
    <w:rsid w:val="000607E7"/>
    <w:rsid w:val="00060C57"/>
    <w:rsid w:val="0006113B"/>
    <w:rsid w:val="0006187C"/>
    <w:rsid w:val="000618D0"/>
    <w:rsid w:val="0006214A"/>
    <w:rsid w:val="00062B6B"/>
    <w:rsid w:val="00062C68"/>
    <w:rsid w:val="00062CE4"/>
    <w:rsid w:val="00063B5C"/>
    <w:rsid w:val="00063E70"/>
    <w:rsid w:val="00063FF2"/>
    <w:rsid w:val="00064816"/>
    <w:rsid w:val="00064AED"/>
    <w:rsid w:val="0006521C"/>
    <w:rsid w:val="000656A3"/>
    <w:rsid w:val="00065963"/>
    <w:rsid w:val="0006597E"/>
    <w:rsid w:val="0006608C"/>
    <w:rsid w:val="00066483"/>
    <w:rsid w:val="00066710"/>
    <w:rsid w:val="00066A64"/>
    <w:rsid w:val="0006714C"/>
    <w:rsid w:val="00067716"/>
    <w:rsid w:val="0006781D"/>
    <w:rsid w:val="00070129"/>
    <w:rsid w:val="000705DD"/>
    <w:rsid w:val="0007108E"/>
    <w:rsid w:val="00071316"/>
    <w:rsid w:val="00071430"/>
    <w:rsid w:val="000715CB"/>
    <w:rsid w:val="00071619"/>
    <w:rsid w:val="0007191B"/>
    <w:rsid w:val="00071955"/>
    <w:rsid w:val="00071F21"/>
    <w:rsid w:val="00071F25"/>
    <w:rsid w:val="00072201"/>
    <w:rsid w:val="00072236"/>
    <w:rsid w:val="000725C3"/>
    <w:rsid w:val="000727CE"/>
    <w:rsid w:val="00072842"/>
    <w:rsid w:val="00072CF7"/>
    <w:rsid w:val="00073824"/>
    <w:rsid w:val="00073DEF"/>
    <w:rsid w:val="000742E0"/>
    <w:rsid w:val="000746E9"/>
    <w:rsid w:val="00074702"/>
    <w:rsid w:val="0007473D"/>
    <w:rsid w:val="0007483E"/>
    <w:rsid w:val="00074AE7"/>
    <w:rsid w:val="00074D93"/>
    <w:rsid w:val="0007533A"/>
    <w:rsid w:val="00076476"/>
    <w:rsid w:val="00076528"/>
    <w:rsid w:val="0007652E"/>
    <w:rsid w:val="00076C50"/>
    <w:rsid w:val="00076D5F"/>
    <w:rsid w:val="0007709D"/>
    <w:rsid w:val="000771B2"/>
    <w:rsid w:val="00077369"/>
    <w:rsid w:val="0007738C"/>
    <w:rsid w:val="00077A68"/>
    <w:rsid w:val="00077B9A"/>
    <w:rsid w:val="00077DEF"/>
    <w:rsid w:val="00077DF2"/>
    <w:rsid w:val="000804E3"/>
    <w:rsid w:val="00080953"/>
    <w:rsid w:val="00080CA6"/>
    <w:rsid w:val="00081AA4"/>
    <w:rsid w:val="000823DB"/>
    <w:rsid w:val="000825C6"/>
    <w:rsid w:val="00082778"/>
    <w:rsid w:val="00082BF4"/>
    <w:rsid w:val="00082E65"/>
    <w:rsid w:val="00082E95"/>
    <w:rsid w:val="00082F54"/>
    <w:rsid w:val="00082F89"/>
    <w:rsid w:val="00084098"/>
    <w:rsid w:val="0008477B"/>
    <w:rsid w:val="000849E1"/>
    <w:rsid w:val="00084ECB"/>
    <w:rsid w:val="00085031"/>
    <w:rsid w:val="0008530A"/>
    <w:rsid w:val="000856B8"/>
    <w:rsid w:val="000858AE"/>
    <w:rsid w:val="00085ACF"/>
    <w:rsid w:val="00085AD3"/>
    <w:rsid w:val="00085C95"/>
    <w:rsid w:val="0008616E"/>
    <w:rsid w:val="00086202"/>
    <w:rsid w:val="0008653E"/>
    <w:rsid w:val="000868AD"/>
    <w:rsid w:val="000873A0"/>
    <w:rsid w:val="000875A0"/>
    <w:rsid w:val="0009054E"/>
    <w:rsid w:val="00090A5B"/>
    <w:rsid w:val="00090EC9"/>
    <w:rsid w:val="000915C8"/>
    <w:rsid w:val="000919CE"/>
    <w:rsid w:val="00091B07"/>
    <w:rsid w:val="00091E85"/>
    <w:rsid w:val="000921FF"/>
    <w:rsid w:val="0009231F"/>
    <w:rsid w:val="00092379"/>
    <w:rsid w:val="00092563"/>
    <w:rsid w:val="00092972"/>
    <w:rsid w:val="00092A55"/>
    <w:rsid w:val="0009397F"/>
    <w:rsid w:val="00093AAE"/>
    <w:rsid w:val="00094130"/>
    <w:rsid w:val="00094446"/>
    <w:rsid w:val="000945CC"/>
    <w:rsid w:val="0009489B"/>
    <w:rsid w:val="000948CF"/>
    <w:rsid w:val="00094C12"/>
    <w:rsid w:val="00094E01"/>
    <w:rsid w:val="00094E8E"/>
    <w:rsid w:val="00094FED"/>
    <w:rsid w:val="00095005"/>
    <w:rsid w:val="00095040"/>
    <w:rsid w:val="000953EC"/>
    <w:rsid w:val="00095579"/>
    <w:rsid w:val="00095649"/>
    <w:rsid w:val="00095A38"/>
    <w:rsid w:val="00095C99"/>
    <w:rsid w:val="00095D85"/>
    <w:rsid w:val="00096275"/>
    <w:rsid w:val="000963CF"/>
    <w:rsid w:val="00096864"/>
    <w:rsid w:val="00096CA5"/>
    <w:rsid w:val="00096FBD"/>
    <w:rsid w:val="00097235"/>
    <w:rsid w:val="000976CA"/>
    <w:rsid w:val="000976EE"/>
    <w:rsid w:val="000978B5"/>
    <w:rsid w:val="00097F27"/>
    <w:rsid w:val="000A068B"/>
    <w:rsid w:val="000A0C5C"/>
    <w:rsid w:val="000A0E05"/>
    <w:rsid w:val="000A0E15"/>
    <w:rsid w:val="000A102A"/>
    <w:rsid w:val="000A102D"/>
    <w:rsid w:val="000A172A"/>
    <w:rsid w:val="000A17FD"/>
    <w:rsid w:val="000A1B09"/>
    <w:rsid w:val="000A1F78"/>
    <w:rsid w:val="000A2318"/>
    <w:rsid w:val="000A24AB"/>
    <w:rsid w:val="000A2DFD"/>
    <w:rsid w:val="000A3225"/>
    <w:rsid w:val="000A3471"/>
    <w:rsid w:val="000A3541"/>
    <w:rsid w:val="000A3F0C"/>
    <w:rsid w:val="000A3F4A"/>
    <w:rsid w:val="000A4256"/>
    <w:rsid w:val="000A42EE"/>
    <w:rsid w:val="000A4326"/>
    <w:rsid w:val="000A4979"/>
    <w:rsid w:val="000A4AE1"/>
    <w:rsid w:val="000A4B66"/>
    <w:rsid w:val="000A510C"/>
    <w:rsid w:val="000A56F8"/>
    <w:rsid w:val="000A588F"/>
    <w:rsid w:val="000A5B0E"/>
    <w:rsid w:val="000A657A"/>
    <w:rsid w:val="000A6A10"/>
    <w:rsid w:val="000A6D92"/>
    <w:rsid w:val="000A6DBB"/>
    <w:rsid w:val="000A6DE4"/>
    <w:rsid w:val="000A7170"/>
    <w:rsid w:val="000A736C"/>
    <w:rsid w:val="000A73C2"/>
    <w:rsid w:val="000A74EB"/>
    <w:rsid w:val="000A76DF"/>
    <w:rsid w:val="000B08AF"/>
    <w:rsid w:val="000B08B8"/>
    <w:rsid w:val="000B0972"/>
    <w:rsid w:val="000B0AAE"/>
    <w:rsid w:val="000B1233"/>
    <w:rsid w:val="000B1433"/>
    <w:rsid w:val="000B1476"/>
    <w:rsid w:val="000B15B1"/>
    <w:rsid w:val="000B1676"/>
    <w:rsid w:val="000B1C26"/>
    <w:rsid w:val="000B1FD1"/>
    <w:rsid w:val="000B2E05"/>
    <w:rsid w:val="000B2FE3"/>
    <w:rsid w:val="000B376B"/>
    <w:rsid w:val="000B3812"/>
    <w:rsid w:val="000B3929"/>
    <w:rsid w:val="000B3A62"/>
    <w:rsid w:val="000B3D16"/>
    <w:rsid w:val="000B3E4F"/>
    <w:rsid w:val="000B3F1E"/>
    <w:rsid w:val="000B4372"/>
    <w:rsid w:val="000B4606"/>
    <w:rsid w:val="000B4D98"/>
    <w:rsid w:val="000B5062"/>
    <w:rsid w:val="000B55DB"/>
    <w:rsid w:val="000B603C"/>
    <w:rsid w:val="000B67D0"/>
    <w:rsid w:val="000B77B3"/>
    <w:rsid w:val="000B7BE4"/>
    <w:rsid w:val="000C01B8"/>
    <w:rsid w:val="000C07F1"/>
    <w:rsid w:val="000C0961"/>
    <w:rsid w:val="000C1314"/>
    <w:rsid w:val="000C1609"/>
    <w:rsid w:val="000C18DD"/>
    <w:rsid w:val="000C19DB"/>
    <w:rsid w:val="000C1D03"/>
    <w:rsid w:val="000C2CB8"/>
    <w:rsid w:val="000C354A"/>
    <w:rsid w:val="000C36FF"/>
    <w:rsid w:val="000C38FF"/>
    <w:rsid w:val="000C3FBB"/>
    <w:rsid w:val="000C4081"/>
    <w:rsid w:val="000C44E8"/>
    <w:rsid w:val="000C489F"/>
    <w:rsid w:val="000C497B"/>
    <w:rsid w:val="000C49F0"/>
    <w:rsid w:val="000C4BAC"/>
    <w:rsid w:val="000C4D1F"/>
    <w:rsid w:val="000C4D92"/>
    <w:rsid w:val="000C4E55"/>
    <w:rsid w:val="000C5210"/>
    <w:rsid w:val="000C5245"/>
    <w:rsid w:val="000C590E"/>
    <w:rsid w:val="000C59D2"/>
    <w:rsid w:val="000C5FF5"/>
    <w:rsid w:val="000C6215"/>
    <w:rsid w:val="000C655A"/>
    <w:rsid w:val="000C6A79"/>
    <w:rsid w:val="000C7AE2"/>
    <w:rsid w:val="000C7F60"/>
    <w:rsid w:val="000D01F9"/>
    <w:rsid w:val="000D0241"/>
    <w:rsid w:val="000D04AC"/>
    <w:rsid w:val="000D0591"/>
    <w:rsid w:val="000D0595"/>
    <w:rsid w:val="000D0B9F"/>
    <w:rsid w:val="000D15FE"/>
    <w:rsid w:val="000D1756"/>
    <w:rsid w:val="000D17B1"/>
    <w:rsid w:val="000D1829"/>
    <w:rsid w:val="000D1B84"/>
    <w:rsid w:val="000D1C3D"/>
    <w:rsid w:val="000D1F95"/>
    <w:rsid w:val="000D2038"/>
    <w:rsid w:val="000D2181"/>
    <w:rsid w:val="000D2404"/>
    <w:rsid w:val="000D2A8D"/>
    <w:rsid w:val="000D2E1A"/>
    <w:rsid w:val="000D3A53"/>
    <w:rsid w:val="000D4461"/>
    <w:rsid w:val="000D4743"/>
    <w:rsid w:val="000D4835"/>
    <w:rsid w:val="000D5248"/>
    <w:rsid w:val="000D57CE"/>
    <w:rsid w:val="000D591C"/>
    <w:rsid w:val="000D59E1"/>
    <w:rsid w:val="000D5D92"/>
    <w:rsid w:val="000D5E3B"/>
    <w:rsid w:val="000D6528"/>
    <w:rsid w:val="000D659F"/>
    <w:rsid w:val="000D6874"/>
    <w:rsid w:val="000D6A81"/>
    <w:rsid w:val="000D6BDC"/>
    <w:rsid w:val="000D6CB7"/>
    <w:rsid w:val="000D72CD"/>
    <w:rsid w:val="000D7CD8"/>
    <w:rsid w:val="000D7CF8"/>
    <w:rsid w:val="000D7F4B"/>
    <w:rsid w:val="000E0104"/>
    <w:rsid w:val="000E070E"/>
    <w:rsid w:val="000E0CB5"/>
    <w:rsid w:val="000E1015"/>
    <w:rsid w:val="000E10C3"/>
    <w:rsid w:val="000E15EC"/>
    <w:rsid w:val="000E1747"/>
    <w:rsid w:val="000E38EC"/>
    <w:rsid w:val="000E3DDC"/>
    <w:rsid w:val="000E3EB0"/>
    <w:rsid w:val="000E3F2E"/>
    <w:rsid w:val="000E448D"/>
    <w:rsid w:val="000E44C9"/>
    <w:rsid w:val="000E4826"/>
    <w:rsid w:val="000E4D87"/>
    <w:rsid w:val="000E5006"/>
    <w:rsid w:val="000E5070"/>
    <w:rsid w:val="000E539C"/>
    <w:rsid w:val="000E53AE"/>
    <w:rsid w:val="000E53F8"/>
    <w:rsid w:val="000E5830"/>
    <w:rsid w:val="000E5E8D"/>
    <w:rsid w:val="000E6C2B"/>
    <w:rsid w:val="000E7E70"/>
    <w:rsid w:val="000F0C5F"/>
    <w:rsid w:val="000F1262"/>
    <w:rsid w:val="000F1392"/>
    <w:rsid w:val="000F192A"/>
    <w:rsid w:val="000F1B38"/>
    <w:rsid w:val="000F20A6"/>
    <w:rsid w:val="000F213D"/>
    <w:rsid w:val="000F21B7"/>
    <w:rsid w:val="000F2225"/>
    <w:rsid w:val="000F2304"/>
    <w:rsid w:val="000F2923"/>
    <w:rsid w:val="000F29D0"/>
    <w:rsid w:val="000F2FAD"/>
    <w:rsid w:val="000F334F"/>
    <w:rsid w:val="000F3458"/>
    <w:rsid w:val="000F3CC2"/>
    <w:rsid w:val="000F3DBC"/>
    <w:rsid w:val="000F44D7"/>
    <w:rsid w:val="000F47A6"/>
    <w:rsid w:val="000F4AFC"/>
    <w:rsid w:val="000F4CFC"/>
    <w:rsid w:val="000F5366"/>
    <w:rsid w:val="000F559D"/>
    <w:rsid w:val="000F5B62"/>
    <w:rsid w:val="000F5DF7"/>
    <w:rsid w:val="000F5F1C"/>
    <w:rsid w:val="000F5F7B"/>
    <w:rsid w:val="000F6577"/>
    <w:rsid w:val="000F6591"/>
    <w:rsid w:val="000F6658"/>
    <w:rsid w:val="000F7C15"/>
    <w:rsid w:val="0010095D"/>
    <w:rsid w:val="00100BB1"/>
    <w:rsid w:val="00101361"/>
    <w:rsid w:val="0010138B"/>
    <w:rsid w:val="00101588"/>
    <w:rsid w:val="00101686"/>
    <w:rsid w:val="00101910"/>
    <w:rsid w:val="00101F31"/>
    <w:rsid w:val="001020FE"/>
    <w:rsid w:val="00102255"/>
    <w:rsid w:val="00102482"/>
    <w:rsid w:val="001025E4"/>
    <w:rsid w:val="001026CD"/>
    <w:rsid w:val="00102B5F"/>
    <w:rsid w:val="00102D93"/>
    <w:rsid w:val="00103984"/>
    <w:rsid w:val="00103A97"/>
    <w:rsid w:val="00103AAF"/>
    <w:rsid w:val="00103AB1"/>
    <w:rsid w:val="001046DD"/>
    <w:rsid w:val="001048C5"/>
    <w:rsid w:val="00105719"/>
    <w:rsid w:val="00105B3B"/>
    <w:rsid w:val="0010624D"/>
    <w:rsid w:val="00106DEE"/>
    <w:rsid w:val="00106E79"/>
    <w:rsid w:val="0010707D"/>
    <w:rsid w:val="001075C3"/>
    <w:rsid w:val="00107BB0"/>
    <w:rsid w:val="001101C6"/>
    <w:rsid w:val="0011029E"/>
    <w:rsid w:val="0011056F"/>
    <w:rsid w:val="001108B9"/>
    <w:rsid w:val="00110927"/>
    <w:rsid w:val="00111B15"/>
    <w:rsid w:val="00111D1A"/>
    <w:rsid w:val="00112423"/>
    <w:rsid w:val="0011247D"/>
    <w:rsid w:val="001134D9"/>
    <w:rsid w:val="001136F5"/>
    <w:rsid w:val="00113C94"/>
    <w:rsid w:val="001140B0"/>
    <w:rsid w:val="00114644"/>
    <w:rsid w:val="001149EF"/>
    <w:rsid w:val="00114C68"/>
    <w:rsid w:val="00114CA3"/>
    <w:rsid w:val="00114D86"/>
    <w:rsid w:val="0011589E"/>
    <w:rsid w:val="00115B39"/>
    <w:rsid w:val="00115ED5"/>
    <w:rsid w:val="0011610F"/>
    <w:rsid w:val="001164FF"/>
    <w:rsid w:val="0011694D"/>
    <w:rsid w:val="001169F7"/>
    <w:rsid w:val="00116CC3"/>
    <w:rsid w:val="00117298"/>
    <w:rsid w:val="0011738F"/>
    <w:rsid w:val="00117C76"/>
    <w:rsid w:val="001201CC"/>
    <w:rsid w:val="00121294"/>
    <w:rsid w:val="0012143B"/>
    <w:rsid w:val="001215A8"/>
    <w:rsid w:val="00121B63"/>
    <w:rsid w:val="00121F88"/>
    <w:rsid w:val="00121FB1"/>
    <w:rsid w:val="00122E09"/>
    <w:rsid w:val="00122E43"/>
    <w:rsid w:val="00122E50"/>
    <w:rsid w:val="00122FC2"/>
    <w:rsid w:val="0012315B"/>
    <w:rsid w:val="001232AC"/>
    <w:rsid w:val="00123542"/>
    <w:rsid w:val="00123764"/>
    <w:rsid w:val="001237B6"/>
    <w:rsid w:val="00123A0D"/>
    <w:rsid w:val="00123C9D"/>
    <w:rsid w:val="0012402D"/>
    <w:rsid w:val="001245A0"/>
    <w:rsid w:val="00124C79"/>
    <w:rsid w:val="00124DCA"/>
    <w:rsid w:val="00124E48"/>
    <w:rsid w:val="00125664"/>
    <w:rsid w:val="00125710"/>
    <w:rsid w:val="00125DBB"/>
    <w:rsid w:val="00125F48"/>
    <w:rsid w:val="00126238"/>
    <w:rsid w:val="00126BC9"/>
    <w:rsid w:val="00126DA2"/>
    <w:rsid w:val="00126FD4"/>
    <w:rsid w:val="00127C22"/>
    <w:rsid w:val="001301F8"/>
    <w:rsid w:val="0013021A"/>
    <w:rsid w:val="0013044A"/>
    <w:rsid w:val="0013059E"/>
    <w:rsid w:val="00130B4C"/>
    <w:rsid w:val="00130BAF"/>
    <w:rsid w:val="00130E53"/>
    <w:rsid w:val="00130EFD"/>
    <w:rsid w:val="00131005"/>
    <w:rsid w:val="001311D8"/>
    <w:rsid w:val="00131222"/>
    <w:rsid w:val="001317B3"/>
    <w:rsid w:val="00132152"/>
    <w:rsid w:val="00132770"/>
    <w:rsid w:val="00132885"/>
    <w:rsid w:val="001328E5"/>
    <w:rsid w:val="001329E6"/>
    <w:rsid w:val="00132A0D"/>
    <w:rsid w:val="00132BBD"/>
    <w:rsid w:val="00132C47"/>
    <w:rsid w:val="00133053"/>
    <w:rsid w:val="00133C7F"/>
    <w:rsid w:val="00134629"/>
    <w:rsid w:val="0013464D"/>
    <w:rsid w:val="00134AE4"/>
    <w:rsid w:val="00134BA0"/>
    <w:rsid w:val="00134DD0"/>
    <w:rsid w:val="00134EA7"/>
    <w:rsid w:val="001352C3"/>
    <w:rsid w:val="00135657"/>
    <w:rsid w:val="00135750"/>
    <w:rsid w:val="0013590A"/>
    <w:rsid w:val="00135C90"/>
    <w:rsid w:val="00135D04"/>
    <w:rsid w:val="00135F48"/>
    <w:rsid w:val="00135FD6"/>
    <w:rsid w:val="00136221"/>
    <w:rsid w:val="00136431"/>
    <w:rsid w:val="00136879"/>
    <w:rsid w:val="00136A24"/>
    <w:rsid w:val="00136A74"/>
    <w:rsid w:val="00136B48"/>
    <w:rsid w:val="00136DF6"/>
    <w:rsid w:val="00136F1C"/>
    <w:rsid w:val="0013702F"/>
    <w:rsid w:val="0013713A"/>
    <w:rsid w:val="00137463"/>
    <w:rsid w:val="0014048B"/>
    <w:rsid w:val="001406BF"/>
    <w:rsid w:val="001407F1"/>
    <w:rsid w:val="00140C65"/>
    <w:rsid w:val="00140E33"/>
    <w:rsid w:val="00140FC7"/>
    <w:rsid w:val="0014115F"/>
    <w:rsid w:val="001412D1"/>
    <w:rsid w:val="0014176F"/>
    <w:rsid w:val="0014177B"/>
    <w:rsid w:val="00141A60"/>
    <w:rsid w:val="00141E06"/>
    <w:rsid w:val="00142182"/>
    <w:rsid w:val="001421FA"/>
    <w:rsid w:val="00142EA0"/>
    <w:rsid w:val="00143048"/>
    <w:rsid w:val="00143353"/>
    <w:rsid w:val="0014339F"/>
    <w:rsid w:val="001434F2"/>
    <w:rsid w:val="001435E7"/>
    <w:rsid w:val="001438C3"/>
    <w:rsid w:val="001438E5"/>
    <w:rsid w:val="0014423A"/>
    <w:rsid w:val="00144A34"/>
    <w:rsid w:val="00144DBC"/>
    <w:rsid w:val="00144E48"/>
    <w:rsid w:val="001454B3"/>
    <w:rsid w:val="00145610"/>
    <w:rsid w:val="001456E0"/>
    <w:rsid w:val="00145C86"/>
    <w:rsid w:val="00145E14"/>
    <w:rsid w:val="0014691F"/>
    <w:rsid w:val="00146C16"/>
    <w:rsid w:val="00146E4F"/>
    <w:rsid w:val="00146F5F"/>
    <w:rsid w:val="00147D62"/>
    <w:rsid w:val="00147FFD"/>
    <w:rsid w:val="00150843"/>
    <w:rsid w:val="00150E12"/>
    <w:rsid w:val="0015108F"/>
    <w:rsid w:val="0015128A"/>
    <w:rsid w:val="001512D4"/>
    <w:rsid w:val="00151705"/>
    <w:rsid w:val="0015186A"/>
    <w:rsid w:val="00151D74"/>
    <w:rsid w:val="00151D8A"/>
    <w:rsid w:val="00151F2E"/>
    <w:rsid w:val="00151F59"/>
    <w:rsid w:val="001521F6"/>
    <w:rsid w:val="00152474"/>
    <w:rsid w:val="00152515"/>
    <w:rsid w:val="00152D98"/>
    <w:rsid w:val="00152DA6"/>
    <w:rsid w:val="0015302A"/>
    <w:rsid w:val="00153791"/>
    <w:rsid w:val="00153DCD"/>
    <w:rsid w:val="00153F56"/>
    <w:rsid w:val="001544B5"/>
    <w:rsid w:val="00154586"/>
    <w:rsid w:val="001551F5"/>
    <w:rsid w:val="0015539C"/>
    <w:rsid w:val="001554A7"/>
    <w:rsid w:val="00155568"/>
    <w:rsid w:val="00155AB0"/>
    <w:rsid w:val="001562BB"/>
    <w:rsid w:val="00156518"/>
    <w:rsid w:val="00156934"/>
    <w:rsid w:val="00156C09"/>
    <w:rsid w:val="00156F6C"/>
    <w:rsid w:val="00157137"/>
    <w:rsid w:val="001571D7"/>
    <w:rsid w:val="001571E4"/>
    <w:rsid w:val="0015725C"/>
    <w:rsid w:val="00157420"/>
    <w:rsid w:val="001577A1"/>
    <w:rsid w:val="00157A71"/>
    <w:rsid w:val="00157BD9"/>
    <w:rsid w:val="0016021A"/>
    <w:rsid w:val="00160251"/>
    <w:rsid w:val="0016069C"/>
    <w:rsid w:val="001609E3"/>
    <w:rsid w:val="00161255"/>
    <w:rsid w:val="00161B6E"/>
    <w:rsid w:val="00161B84"/>
    <w:rsid w:val="00161CE3"/>
    <w:rsid w:val="00162633"/>
    <w:rsid w:val="00162652"/>
    <w:rsid w:val="0016280D"/>
    <w:rsid w:val="00162CB5"/>
    <w:rsid w:val="00162DF0"/>
    <w:rsid w:val="0016323D"/>
    <w:rsid w:val="001632C1"/>
    <w:rsid w:val="00163306"/>
    <w:rsid w:val="001633FF"/>
    <w:rsid w:val="001636D0"/>
    <w:rsid w:val="00163A1F"/>
    <w:rsid w:val="00163E5F"/>
    <w:rsid w:val="00163E88"/>
    <w:rsid w:val="00163EB4"/>
    <w:rsid w:val="00163F60"/>
    <w:rsid w:val="001642BF"/>
    <w:rsid w:val="001643EF"/>
    <w:rsid w:val="00164B55"/>
    <w:rsid w:val="00164C95"/>
    <w:rsid w:val="001650AA"/>
    <w:rsid w:val="00165347"/>
    <w:rsid w:val="0016536A"/>
    <w:rsid w:val="001659CD"/>
    <w:rsid w:val="001659FF"/>
    <w:rsid w:val="00165DD1"/>
    <w:rsid w:val="001662C6"/>
    <w:rsid w:val="001668CE"/>
    <w:rsid w:val="001669AF"/>
    <w:rsid w:val="001669E2"/>
    <w:rsid w:val="00166F68"/>
    <w:rsid w:val="0016707B"/>
    <w:rsid w:val="00167137"/>
    <w:rsid w:val="001675F5"/>
    <w:rsid w:val="00167816"/>
    <w:rsid w:val="00167D09"/>
    <w:rsid w:val="00170787"/>
    <w:rsid w:val="00170932"/>
    <w:rsid w:val="0017114E"/>
    <w:rsid w:val="00171222"/>
    <w:rsid w:val="00171BE1"/>
    <w:rsid w:val="00171D23"/>
    <w:rsid w:val="00171FE2"/>
    <w:rsid w:val="00172267"/>
    <w:rsid w:val="001729DA"/>
    <w:rsid w:val="001729DF"/>
    <w:rsid w:val="00172A27"/>
    <w:rsid w:val="00172A6E"/>
    <w:rsid w:val="00172B02"/>
    <w:rsid w:val="00172BD8"/>
    <w:rsid w:val="00172C32"/>
    <w:rsid w:val="00172D38"/>
    <w:rsid w:val="001736DD"/>
    <w:rsid w:val="0017478A"/>
    <w:rsid w:val="0017480D"/>
    <w:rsid w:val="0017491B"/>
    <w:rsid w:val="00174CFD"/>
    <w:rsid w:val="00174EA4"/>
    <w:rsid w:val="00175441"/>
    <w:rsid w:val="0017557B"/>
    <w:rsid w:val="00176746"/>
    <w:rsid w:val="00177394"/>
    <w:rsid w:val="001775C2"/>
    <w:rsid w:val="001777E0"/>
    <w:rsid w:val="001777F2"/>
    <w:rsid w:val="00177F8B"/>
    <w:rsid w:val="00180014"/>
    <w:rsid w:val="001803E6"/>
    <w:rsid w:val="001804C6"/>
    <w:rsid w:val="00180568"/>
    <w:rsid w:val="00180979"/>
    <w:rsid w:val="00180FC3"/>
    <w:rsid w:val="001812C4"/>
    <w:rsid w:val="001815A3"/>
    <w:rsid w:val="001817FB"/>
    <w:rsid w:val="00181C26"/>
    <w:rsid w:val="00181C6D"/>
    <w:rsid w:val="00182714"/>
    <w:rsid w:val="001829FC"/>
    <w:rsid w:val="00182DAC"/>
    <w:rsid w:val="00182F44"/>
    <w:rsid w:val="00182FF0"/>
    <w:rsid w:val="0018304F"/>
    <w:rsid w:val="0018311F"/>
    <w:rsid w:val="00183549"/>
    <w:rsid w:val="00183732"/>
    <w:rsid w:val="001837DB"/>
    <w:rsid w:val="00183C7C"/>
    <w:rsid w:val="00183E52"/>
    <w:rsid w:val="00184001"/>
    <w:rsid w:val="00184115"/>
    <w:rsid w:val="001842F5"/>
    <w:rsid w:val="00184438"/>
    <w:rsid w:val="00184A87"/>
    <w:rsid w:val="00184E08"/>
    <w:rsid w:val="00185289"/>
    <w:rsid w:val="00185532"/>
    <w:rsid w:val="001855F6"/>
    <w:rsid w:val="00185C93"/>
    <w:rsid w:val="0018743F"/>
    <w:rsid w:val="00187E77"/>
    <w:rsid w:val="00187F90"/>
    <w:rsid w:val="00190055"/>
    <w:rsid w:val="00190109"/>
    <w:rsid w:val="001901CB"/>
    <w:rsid w:val="0019023D"/>
    <w:rsid w:val="0019037E"/>
    <w:rsid w:val="00190537"/>
    <w:rsid w:val="00190BC3"/>
    <w:rsid w:val="00190DD6"/>
    <w:rsid w:val="00190EB8"/>
    <w:rsid w:val="00190F25"/>
    <w:rsid w:val="00191AC3"/>
    <w:rsid w:val="00191B73"/>
    <w:rsid w:val="00191EB3"/>
    <w:rsid w:val="0019242A"/>
    <w:rsid w:val="00192E48"/>
    <w:rsid w:val="001931C4"/>
    <w:rsid w:val="0019322A"/>
    <w:rsid w:val="00193C42"/>
    <w:rsid w:val="00194184"/>
    <w:rsid w:val="00194222"/>
    <w:rsid w:val="00194434"/>
    <w:rsid w:val="00194709"/>
    <w:rsid w:val="001947A6"/>
    <w:rsid w:val="00194D25"/>
    <w:rsid w:val="0019500B"/>
    <w:rsid w:val="00195215"/>
    <w:rsid w:val="00195265"/>
    <w:rsid w:val="001954EE"/>
    <w:rsid w:val="0019558C"/>
    <w:rsid w:val="00195719"/>
    <w:rsid w:val="00195A9D"/>
    <w:rsid w:val="00195D5A"/>
    <w:rsid w:val="00196226"/>
    <w:rsid w:val="001963AD"/>
    <w:rsid w:val="001963C8"/>
    <w:rsid w:val="00196831"/>
    <w:rsid w:val="00196AF6"/>
    <w:rsid w:val="00196B39"/>
    <w:rsid w:val="0019701D"/>
    <w:rsid w:val="001970F0"/>
    <w:rsid w:val="0019768A"/>
    <w:rsid w:val="00197C67"/>
    <w:rsid w:val="00197D8C"/>
    <w:rsid w:val="00197EE9"/>
    <w:rsid w:val="001A0543"/>
    <w:rsid w:val="001A0C1B"/>
    <w:rsid w:val="001A0D4B"/>
    <w:rsid w:val="001A0DFC"/>
    <w:rsid w:val="001A1557"/>
    <w:rsid w:val="001A16F8"/>
    <w:rsid w:val="001A18B8"/>
    <w:rsid w:val="001A1B9A"/>
    <w:rsid w:val="001A1C35"/>
    <w:rsid w:val="001A288B"/>
    <w:rsid w:val="001A2F27"/>
    <w:rsid w:val="001A3206"/>
    <w:rsid w:val="001A3FD8"/>
    <w:rsid w:val="001A4BB1"/>
    <w:rsid w:val="001A5075"/>
    <w:rsid w:val="001A5519"/>
    <w:rsid w:val="001A5863"/>
    <w:rsid w:val="001A614A"/>
    <w:rsid w:val="001A61FC"/>
    <w:rsid w:val="001A627B"/>
    <w:rsid w:val="001A6434"/>
    <w:rsid w:val="001A658D"/>
    <w:rsid w:val="001A72CF"/>
    <w:rsid w:val="001A7320"/>
    <w:rsid w:val="001A7BB6"/>
    <w:rsid w:val="001A7D5B"/>
    <w:rsid w:val="001B0125"/>
    <w:rsid w:val="001B0C69"/>
    <w:rsid w:val="001B0F82"/>
    <w:rsid w:val="001B14AB"/>
    <w:rsid w:val="001B1531"/>
    <w:rsid w:val="001B1973"/>
    <w:rsid w:val="001B1CF3"/>
    <w:rsid w:val="001B1DC9"/>
    <w:rsid w:val="001B1E86"/>
    <w:rsid w:val="001B1F9E"/>
    <w:rsid w:val="001B205A"/>
    <w:rsid w:val="001B2330"/>
    <w:rsid w:val="001B2861"/>
    <w:rsid w:val="001B2AE7"/>
    <w:rsid w:val="001B2B0F"/>
    <w:rsid w:val="001B2C8F"/>
    <w:rsid w:val="001B2FFB"/>
    <w:rsid w:val="001B30A1"/>
    <w:rsid w:val="001B3705"/>
    <w:rsid w:val="001B3B44"/>
    <w:rsid w:val="001B3C63"/>
    <w:rsid w:val="001B4282"/>
    <w:rsid w:val="001B466A"/>
    <w:rsid w:val="001B4C13"/>
    <w:rsid w:val="001B4EEE"/>
    <w:rsid w:val="001B52D1"/>
    <w:rsid w:val="001B5982"/>
    <w:rsid w:val="001B5C54"/>
    <w:rsid w:val="001B5E4C"/>
    <w:rsid w:val="001B60F1"/>
    <w:rsid w:val="001B6137"/>
    <w:rsid w:val="001B6BD4"/>
    <w:rsid w:val="001B6E4F"/>
    <w:rsid w:val="001B6E55"/>
    <w:rsid w:val="001B6FEB"/>
    <w:rsid w:val="001B789E"/>
    <w:rsid w:val="001B79A6"/>
    <w:rsid w:val="001B79B7"/>
    <w:rsid w:val="001B7EC2"/>
    <w:rsid w:val="001C00C6"/>
    <w:rsid w:val="001C0489"/>
    <w:rsid w:val="001C058B"/>
    <w:rsid w:val="001C0642"/>
    <w:rsid w:val="001C0676"/>
    <w:rsid w:val="001C09EC"/>
    <w:rsid w:val="001C0D9F"/>
    <w:rsid w:val="001C0FAD"/>
    <w:rsid w:val="001C11BB"/>
    <w:rsid w:val="001C1232"/>
    <w:rsid w:val="001C1861"/>
    <w:rsid w:val="001C1BB7"/>
    <w:rsid w:val="001C1BD4"/>
    <w:rsid w:val="001C1D25"/>
    <w:rsid w:val="001C1F0F"/>
    <w:rsid w:val="001C1F4F"/>
    <w:rsid w:val="001C1FC0"/>
    <w:rsid w:val="001C2AE8"/>
    <w:rsid w:val="001C2CBD"/>
    <w:rsid w:val="001C2D84"/>
    <w:rsid w:val="001C2F1B"/>
    <w:rsid w:val="001C30EF"/>
    <w:rsid w:val="001C327A"/>
    <w:rsid w:val="001C3F33"/>
    <w:rsid w:val="001C417F"/>
    <w:rsid w:val="001C45D3"/>
    <w:rsid w:val="001C4AEA"/>
    <w:rsid w:val="001C4D72"/>
    <w:rsid w:val="001C4D98"/>
    <w:rsid w:val="001C5772"/>
    <w:rsid w:val="001C5A1D"/>
    <w:rsid w:val="001C5C92"/>
    <w:rsid w:val="001C618E"/>
    <w:rsid w:val="001C6436"/>
    <w:rsid w:val="001C6CB2"/>
    <w:rsid w:val="001C7016"/>
    <w:rsid w:val="001C7395"/>
    <w:rsid w:val="001C794C"/>
    <w:rsid w:val="001C7C2C"/>
    <w:rsid w:val="001C7F30"/>
    <w:rsid w:val="001D00E1"/>
    <w:rsid w:val="001D031F"/>
    <w:rsid w:val="001D0356"/>
    <w:rsid w:val="001D037A"/>
    <w:rsid w:val="001D03D3"/>
    <w:rsid w:val="001D0861"/>
    <w:rsid w:val="001D08A4"/>
    <w:rsid w:val="001D0D2E"/>
    <w:rsid w:val="001D11F4"/>
    <w:rsid w:val="001D1970"/>
    <w:rsid w:val="001D1A3A"/>
    <w:rsid w:val="001D1ACA"/>
    <w:rsid w:val="001D1C9C"/>
    <w:rsid w:val="001D1E01"/>
    <w:rsid w:val="001D1E0A"/>
    <w:rsid w:val="001D2B24"/>
    <w:rsid w:val="001D2E40"/>
    <w:rsid w:val="001D2F72"/>
    <w:rsid w:val="001D325C"/>
    <w:rsid w:val="001D338F"/>
    <w:rsid w:val="001D36D2"/>
    <w:rsid w:val="001D3B0D"/>
    <w:rsid w:val="001D4121"/>
    <w:rsid w:val="001D41E9"/>
    <w:rsid w:val="001D4935"/>
    <w:rsid w:val="001D49F7"/>
    <w:rsid w:val="001D4C2E"/>
    <w:rsid w:val="001D4F6D"/>
    <w:rsid w:val="001D5356"/>
    <w:rsid w:val="001D53E3"/>
    <w:rsid w:val="001D54FA"/>
    <w:rsid w:val="001D57CB"/>
    <w:rsid w:val="001D5D52"/>
    <w:rsid w:val="001D6189"/>
    <w:rsid w:val="001D6871"/>
    <w:rsid w:val="001D69D8"/>
    <w:rsid w:val="001D6C59"/>
    <w:rsid w:val="001D6FB0"/>
    <w:rsid w:val="001D705F"/>
    <w:rsid w:val="001D70D6"/>
    <w:rsid w:val="001D77B8"/>
    <w:rsid w:val="001D7BA2"/>
    <w:rsid w:val="001D7C84"/>
    <w:rsid w:val="001D7D2A"/>
    <w:rsid w:val="001D7D53"/>
    <w:rsid w:val="001E0052"/>
    <w:rsid w:val="001E0136"/>
    <w:rsid w:val="001E0748"/>
    <w:rsid w:val="001E0EBE"/>
    <w:rsid w:val="001E1073"/>
    <w:rsid w:val="001E1305"/>
    <w:rsid w:val="001E1535"/>
    <w:rsid w:val="001E17AD"/>
    <w:rsid w:val="001E1A51"/>
    <w:rsid w:val="001E1A96"/>
    <w:rsid w:val="001E1B09"/>
    <w:rsid w:val="001E1E66"/>
    <w:rsid w:val="001E2085"/>
    <w:rsid w:val="001E2958"/>
    <w:rsid w:val="001E2A58"/>
    <w:rsid w:val="001E2E83"/>
    <w:rsid w:val="001E3659"/>
    <w:rsid w:val="001E4036"/>
    <w:rsid w:val="001E42F3"/>
    <w:rsid w:val="001E4593"/>
    <w:rsid w:val="001E48CA"/>
    <w:rsid w:val="001E50C6"/>
    <w:rsid w:val="001E53BF"/>
    <w:rsid w:val="001E53C4"/>
    <w:rsid w:val="001E5459"/>
    <w:rsid w:val="001E56F9"/>
    <w:rsid w:val="001E5941"/>
    <w:rsid w:val="001E59CB"/>
    <w:rsid w:val="001E5F5D"/>
    <w:rsid w:val="001E61D5"/>
    <w:rsid w:val="001E62D8"/>
    <w:rsid w:val="001E67EC"/>
    <w:rsid w:val="001E6A7B"/>
    <w:rsid w:val="001E6C77"/>
    <w:rsid w:val="001E6CC4"/>
    <w:rsid w:val="001E6EF8"/>
    <w:rsid w:val="001E6FBE"/>
    <w:rsid w:val="001E722C"/>
    <w:rsid w:val="001E740B"/>
    <w:rsid w:val="001E7456"/>
    <w:rsid w:val="001E75C8"/>
    <w:rsid w:val="001E7860"/>
    <w:rsid w:val="001E7B3C"/>
    <w:rsid w:val="001E7B59"/>
    <w:rsid w:val="001E7EE6"/>
    <w:rsid w:val="001E7FD5"/>
    <w:rsid w:val="001F0681"/>
    <w:rsid w:val="001F0845"/>
    <w:rsid w:val="001F0BAF"/>
    <w:rsid w:val="001F10DA"/>
    <w:rsid w:val="001F14AF"/>
    <w:rsid w:val="001F14FB"/>
    <w:rsid w:val="001F1A8E"/>
    <w:rsid w:val="001F1FCA"/>
    <w:rsid w:val="001F2BE7"/>
    <w:rsid w:val="001F30EC"/>
    <w:rsid w:val="001F3304"/>
    <w:rsid w:val="001F34F9"/>
    <w:rsid w:val="001F3861"/>
    <w:rsid w:val="001F38F7"/>
    <w:rsid w:val="001F3912"/>
    <w:rsid w:val="001F409F"/>
    <w:rsid w:val="001F4160"/>
    <w:rsid w:val="001F4616"/>
    <w:rsid w:val="001F470B"/>
    <w:rsid w:val="001F47FD"/>
    <w:rsid w:val="001F4C2B"/>
    <w:rsid w:val="001F4E4E"/>
    <w:rsid w:val="001F509A"/>
    <w:rsid w:val="001F5210"/>
    <w:rsid w:val="001F6093"/>
    <w:rsid w:val="001F60CC"/>
    <w:rsid w:val="001F631E"/>
    <w:rsid w:val="001F6528"/>
    <w:rsid w:val="001F6805"/>
    <w:rsid w:val="001F69EA"/>
    <w:rsid w:val="001F6A9E"/>
    <w:rsid w:val="001F6AE9"/>
    <w:rsid w:val="001F7035"/>
    <w:rsid w:val="001F7394"/>
    <w:rsid w:val="001F73BF"/>
    <w:rsid w:val="001F7850"/>
    <w:rsid w:val="001F7A95"/>
    <w:rsid w:val="001F7EC8"/>
    <w:rsid w:val="001F7F92"/>
    <w:rsid w:val="00200017"/>
    <w:rsid w:val="00200410"/>
    <w:rsid w:val="002004D9"/>
    <w:rsid w:val="0020098D"/>
    <w:rsid w:val="00201071"/>
    <w:rsid w:val="002016AF"/>
    <w:rsid w:val="00201F79"/>
    <w:rsid w:val="0020229F"/>
    <w:rsid w:val="00202478"/>
    <w:rsid w:val="00202668"/>
    <w:rsid w:val="00202843"/>
    <w:rsid w:val="00202A85"/>
    <w:rsid w:val="002035C7"/>
    <w:rsid w:val="00203748"/>
    <w:rsid w:val="00203A90"/>
    <w:rsid w:val="002041AF"/>
    <w:rsid w:val="002042A4"/>
    <w:rsid w:val="00204944"/>
    <w:rsid w:val="00204B3A"/>
    <w:rsid w:val="00204BF9"/>
    <w:rsid w:val="0020506E"/>
    <w:rsid w:val="002056C6"/>
    <w:rsid w:val="00205BAC"/>
    <w:rsid w:val="00205E6E"/>
    <w:rsid w:val="00206088"/>
    <w:rsid w:val="002060E2"/>
    <w:rsid w:val="0020684E"/>
    <w:rsid w:val="00206A48"/>
    <w:rsid w:val="002070C0"/>
    <w:rsid w:val="002072E5"/>
    <w:rsid w:val="00207834"/>
    <w:rsid w:val="00207ABF"/>
    <w:rsid w:val="00207B0F"/>
    <w:rsid w:val="002105A5"/>
    <w:rsid w:val="00210917"/>
    <w:rsid w:val="00210AB7"/>
    <w:rsid w:val="00210CB3"/>
    <w:rsid w:val="0021124F"/>
    <w:rsid w:val="00211479"/>
    <w:rsid w:val="002118CD"/>
    <w:rsid w:val="00211FAE"/>
    <w:rsid w:val="002120C9"/>
    <w:rsid w:val="00212BEB"/>
    <w:rsid w:val="00212C04"/>
    <w:rsid w:val="002134E3"/>
    <w:rsid w:val="00213EFD"/>
    <w:rsid w:val="0021441E"/>
    <w:rsid w:val="002146EA"/>
    <w:rsid w:val="00214926"/>
    <w:rsid w:val="00214AFC"/>
    <w:rsid w:val="00214F2F"/>
    <w:rsid w:val="0021566E"/>
    <w:rsid w:val="00215F09"/>
    <w:rsid w:val="002160B2"/>
    <w:rsid w:val="002160FF"/>
    <w:rsid w:val="00216192"/>
    <w:rsid w:val="002161D0"/>
    <w:rsid w:val="002162EF"/>
    <w:rsid w:val="00216625"/>
    <w:rsid w:val="002166FF"/>
    <w:rsid w:val="00216A8E"/>
    <w:rsid w:val="00216D4E"/>
    <w:rsid w:val="00217070"/>
    <w:rsid w:val="00217163"/>
    <w:rsid w:val="002172C8"/>
    <w:rsid w:val="00217508"/>
    <w:rsid w:val="00217B9F"/>
    <w:rsid w:val="00217D89"/>
    <w:rsid w:val="00217EEB"/>
    <w:rsid w:val="00220485"/>
    <w:rsid w:val="00220586"/>
    <w:rsid w:val="0022073B"/>
    <w:rsid w:val="00220DE3"/>
    <w:rsid w:val="00220DF8"/>
    <w:rsid w:val="002213DB"/>
    <w:rsid w:val="00221B11"/>
    <w:rsid w:val="00221D85"/>
    <w:rsid w:val="00222133"/>
    <w:rsid w:val="00222535"/>
    <w:rsid w:val="0022280E"/>
    <w:rsid w:val="00222AA8"/>
    <w:rsid w:val="00222AE5"/>
    <w:rsid w:val="002238AC"/>
    <w:rsid w:val="002239F3"/>
    <w:rsid w:val="002240C2"/>
    <w:rsid w:val="00224114"/>
    <w:rsid w:val="002244EF"/>
    <w:rsid w:val="0022476F"/>
    <w:rsid w:val="00224C78"/>
    <w:rsid w:val="00224F94"/>
    <w:rsid w:val="00225890"/>
    <w:rsid w:val="00225916"/>
    <w:rsid w:val="00225B74"/>
    <w:rsid w:val="00225F86"/>
    <w:rsid w:val="00226970"/>
    <w:rsid w:val="00226B15"/>
    <w:rsid w:val="00226BE3"/>
    <w:rsid w:val="00226F32"/>
    <w:rsid w:val="002270E4"/>
    <w:rsid w:val="00227319"/>
    <w:rsid w:val="00227B30"/>
    <w:rsid w:val="00227D8E"/>
    <w:rsid w:val="00227E49"/>
    <w:rsid w:val="00227FB4"/>
    <w:rsid w:val="00230224"/>
    <w:rsid w:val="00230947"/>
    <w:rsid w:val="00230FEE"/>
    <w:rsid w:val="0023119A"/>
    <w:rsid w:val="00231B59"/>
    <w:rsid w:val="002320BB"/>
    <w:rsid w:val="00233938"/>
    <w:rsid w:val="0023437C"/>
    <w:rsid w:val="00234382"/>
    <w:rsid w:val="0023450D"/>
    <w:rsid w:val="0023489D"/>
    <w:rsid w:val="002348F0"/>
    <w:rsid w:val="002349C6"/>
    <w:rsid w:val="002355F7"/>
    <w:rsid w:val="00235E09"/>
    <w:rsid w:val="00236062"/>
    <w:rsid w:val="00236992"/>
    <w:rsid w:val="00236FF4"/>
    <w:rsid w:val="0023702F"/>
    <w:rsid w:val="00237808"/>
    <w:rsid w:val="00237BFF"/>
    <w:rsid w:val="00237C24"/>
    <w:rsid w:val="002400FF"/>
    <w:rsid w:val="002402AF"/>
    <w:rsid w:val="0024053F"/>
    <w:rsid w:val="00240A1B"/>
    <w:rsid w:val="00241077"/>
    <w:rsid w:val="00241983"/>
    <w:rsid w:val="00241E2E"/>
    <w:rsid w:val="00242145"/>
    <w:rsid w:val="0024223E"/>
    <w:rsid w:val="00242270"/>
    <w:rsid w:val="00242677"/>
    <w:rsid w:val="00242A8A"/>
    <w:rsid w:val="00242A95"/>
    <w:rsid w:val="00242BB2"/>
    <w:rsid w:val="00242C18"/>
    <w:rsid w:val="00242EB6"/>
    <w:rsid w:val="0024300C"/>
    <w:rsid w:val="0024317A"/>
    <w:rsid w:val="00243267"/>
    <w:rsid w:val="0024370C"/>
    <w:rsid w:val="00243C74"/>
    <w:rsid w:val="00243D7C"/>
    <w:rsid w:val="0024453E"/>
    <w:rsid w:val="00244553"/>
    <w:rsid w:val="002448E7"/>
    <w:rsid w:val="00244A62"/>
    <w:rsid w:val="00244D5C"/>
    <w:rsid w:val="002457C1"/>
    <w:rsid w:val="00245CCE"/>
    <w:rsid w:val="00245EB1"/>
    <w:rsid w:val="002462B0"/>
    <w:rsid w:val="002463AC"/>
    <w:rsid w:val="002463AF"/>
    <w:rsid w:val="00246463"/>
    <w:rsid w:val="00246D04"/>
    <w:rsid w:val="0024781E"/>
    <w:rsid w:val="002479FE"/>
    <w:rsid w:val="00251432"/>
    <w:rsid w:val="00251AB5"/>
    <w:rsid w:val="00252195"/>
    <w:rsid w:val="00252357"/>
    <w:rsid w:val="002523B7"/>
    <w:rsid w:val="00252696"/>
    <w:rsid w:val="002528F6"/>
    <w:rsid w:val="00252D55"/>
    <w:rsid w:val="00253286"/>
    <w:rsid w:val="00253354"/>
    <w:rsid w:val="002535DE"/>
    <w:rsid w:val="00253731"/>
    <w:rsid w:val="00253AC3"/>
    <w:rsid w:val="00253BAE"/>
    <w:rsid w:val="00253D6A"/>
    <w:rsid w:val="002542F4"/>
    <w:rsid w:val="002545A6"/>
    <w:rsid w:val="002547D4"/>
    <w:rsid w:val="002549F2"/>
    <w:rsid w:val="00255874"/>
    <w:rsid w:val="002558F7"/>
    <w:rsid w:val="00255EB9"/>
    <w:rsid w:val="002560BA"/>
    <w:rsid w:val="00256620"/>
    <w:rsid w:val="00256676"/>
    <w:rsid w:val="00256911"/>
    <w:rsid w:val="0025699C"/>
    <w:rsid w:val="00256CD4"/>
    <w:rsid w:val="002577EC"/>
    <w:rsid w:val="00257A2B"/>
    <w:rsid w:val="00257A56"/>
    <w:rsid w:val="00257D5F"/>
    <w:rsid w:val="00260146"/>
    <w:rsid w:val="00260275"/>
    <w:rsid w:val="002611C8"/>
    <w:rsid w:val="0026188A"/>
    <w:rsid w:val="00261D88"/>
    <w:rsid w:val="002620C6"/>
    <w:rsid w:val="0026237E"/>
    <w:rsid w:val="002629E4"/>
    <w:rsid w:val="00262C46"/>
    <w:rsid w:val="00262FFB"/>
    <w:rsid w:val="00263E8D"/>
    <w:rsid w:val="00263FAF"/>
    <w:rsid w:val="0026416F"/>
    <w:rsid w:val="002642C0"/>
    <w:rsid w:val="00264324"/>
    <w:rsid w:val="0026449D"/>
    <w:rsid w:val="002644A4"/>
    <w:rsid w:val="00264727"/>
    <w:rsid w:val="00264B64"/>
    <w:rsid w:val="00264D75"/>
    <w:rsid w:val="00264F66"/>
    <w:rsid w:val="002653DB"/>
    <w:rsid w:val="00265A38"/>
    <w:rsid w:val="00265B60"/>
    <w:rsid w:val="00266B6D"/>
    <w:rsid w:val="00266DE0"/>
    <w:rsid w:val="00267327"/>
    <w:rsid w:val="002673B5"/>
    <w:rsid w:val="00267974"/>
    <w:rsid w:val="00270057"/>
    <w:rsid w:val="00270209"/>
    <w:rsid w:val="002704E1"/>
    <w:rsid w:val="0027085D"/>
    <w:rsid w:val="00270B93"/>
    <w:rsid w:val="00270D2C"/>
    <w:rsid w:val="0027121C"/>
    <w:rsid w:val="00271290"/>
    <w:rsid w:val="002717D0"/>
    <w:rsid w:val="00271956"/>
    <w:rsid w:val="002719B6"/>
    <w:rsid w:val="00271EFA"/>
    <w:rsid w:val="002722A8"/>
    <w:rsid w:val="002724BC"/>
    <w:rsid w:val="00272746"/>
    <w:rsid w:val="00272A4F"/>
    <w:rsid w:val="00272CEC"/>
    <w:rsid w:val="00272DDF"/>
    <w:rsid w:val="00272EC0"/>
    <w:rsid w:val="00273341"/>
    <w:rsid w:val="002734D2"/>
    <w:rsid w:val="00273645"/>
    <w:rsid w:val="00273D4F"/>
    <w:rsid w:val="0027445B"/>
    <w:rsid w:val="0027460F"/>
    <w:rsid w:val="002746CF"/>
    <w:rsid w:val="00274941"/>
    <w:rsid w:val="00274C43"/>
    <w:rsid w:val="00274E0D"/>
    <w:rsid w:val="00274E38"/>
    <w:rsid w:val="002754A8"/>
    <w:rsid w:val="00275C77"/>
    <w:rsid w:val="00276F26"/>
    <w:rsid w:val="00276FD6"/>
    <w:rsid w:val="002771B0"/>
    <w:rsid w:val="0027732E"/>
    <w:rsid w:val="00277522"/>
    <w:rsid w:val="00277B44"/>
    <w:rsid w:val="00280A0A"/>
    <w:rsid w:val="00280DDE"/>
    <w:rsid w:val="00280FB1"/>
    <w:rsid w:val="00281027"/>
    <w:rsid w:val="00281055"/>
    <w:rsid w:val="002810A9"/>
    <w:rsid w:val="00282238"/>
    <w:rsid w:val="00282531"/>
    <w:rsid w:val="002827CC"/>
    <w:rsid w:val="00283EC3"/>
    <w:rsid w:val="00284248"/>
    <w:rsid w:val="00284338"/>
    <w:rsid w:val="00284492"/>
    <w:rsid w:val="002844A1"/>
    <w:rsid w:val="00284EF6"/>
    <w:rsid w:val="00284EFC"/>
    <w:rsid w:val="00284F42"/>
    <w:rsid w:val="00285486"/>
    <w:rsid w:val="00285764"/>
    <w:rsid w:val="00285D2A"/>
    <w:rsid w:val="002860E7"/>
    <w:rsid w:val="00286259"/>
    <w:rsid w:val="00286540"/>
    <w:rsid w:val="00286551"/>
    <w:rsid w:val="0028696E"/>
    <w:rsid w:val="00286A15"/>
    <w:rsid w:val="00286A7C"/>
    <w:rsid w:val="00286C89"/>
    <w:rsid w:val="00286D49"/>
    <w:rsid w:val="00286D78"/>
    <w:rsid w:val="002870C2"/>
    <w:rsid w:val="002871F0"/>
    <w:rsid w:val="00287364"/>
    <w:rsid w:val="00287472"/>
    <w:rsid w:val="002877A8"/>
    <w:rsid w:val="00287860"/>
    <w:rsid w:val="00287901"/>
    <w:rsid w:val="00287993"/>
    <w:rsid w:val="00290043"/>
    <w:rsid w:val="00290178"/>
    <w:rsid w:val="00290294"/>
    <w:rsid w:val="002907D7"/>
    <w:rsid w:val="00290925"/>
    <w:rsid w:val="00290AC5"/>
    <w:rsid w:val="00290B34"/>
    <w:rsid w:val="00290D58"/>
    <w:rsid w:val="00290E92"/>
    <w:rsid w:val="00290FAD"/>
    <w:rsid w:val="002910DA"/>
    <w:rsid w:val="002914AE"/>
    <w:rsid w:val="00291783"/>
    <w:rsid w:val="00292260"/>
    <w:rsid w:val="002924AE"/>
    <w:rsid w:val="00292D78"/>
    <w:rsid w:val="00292EFC"/>
    <w:rsid w:val="00293918"/>
    <w:rsid w:val="00293B70"/>
    <w:rsid w:val="00293C3D"/>
    <w:rsid w:val="002941CE"/>
    <w:rsid w:val="002946B8"/>
    <w:rsid w:val="00294973"/>
    <w:rsid w:val="00294A97"/>
    <w:rsid w:val="00294E26"/>
    <w:rsid w:val="00294E62"/>
    <w:rsid w:val="00294F8C"/>
    <w:rsid w:val="0029528A"/>
    <w:rsid w:val="002956BD"/>
    <w:rsid w:val="002957C0"/>
    <w:rsid w:val="002958BA"/>
    <w:rsid w:val="00295D40"/>
    <w:rsid w:val="00295F01"/>
    <w:rsid w:val="00295FF9"/>
    <w:rsid w:val="00296124"/>
    <w:rsid w:val="00296DA9"/>
    <w:rsid w:val="00297109"/>
    <w:rsid w:val="00297390"/>
    <w:rsid w:val="002974F3"/>
    <w:rsid w:val="0029780C"/>
    <w:rsid w:val="00297B01"/>
    <w:rsid w:val="002A048B"/>
    <w:rsid w:val="002A05F5"/>
    <w:rsid w:val="002A05F8"/>
    <w:rsid w:val="002A0879"/>
    <w:rsid w:val="002A0BF1"/>
    <w:rsid w:val="002A0C5F"/>
    <w:rsid w:val="002A0CE4"/>
    <w:rsid w:val="002A0DCC"/>
    <w:rsid w:val="002A0EE0"/>
    <w:rsid w:val="002A102A"/>
    <w:rsid w:val="002A12E8"/>
    <w:rsid w:val="002A15C3"/>
    <w:rsid w:val="002A1640"/>
    <w:rsid w:val="002A167D"/>
    <w:rsid w:val="002A1A01"/>
    <w:rsid w:val="002A1B0B"/>
    <w:rsid w:val="002A1E07"/>
    <w:rsid w:val="002A2ABD"/>
    <w:rsid w:val="002A2BC2"/>
    <w:rsid w:val="002A2CFD"/>
    <w:rsid w:val="002A3397"/>
    <w:rsid w:val="002A3623"/>
    <w:rsid w:val="002A39C9"/>
    <w:rsid w:val="002A3B6C"/>
    <w:rsid w:val="002A3C0F"/>
    <w:rsid w:val="002A44D4"/>
    <w:rsid w:val="002A4639"/>
    <w:rsid w:val="002A4709"/>
    <w:rsid w:val="002A49D8"/>
    <w:rsid w:val="002A49F2"/>
    <w:rsid w:val="002A4D66"/>
    <w:rsid w:val="002A50B6"/>
    <w:rsid w:val="002A5379"/>
    <w:rsid w:val="002A5A48"/>
    <w:rsid w:val="002A5B10"/>
    <w:rsid w:val="002A5CE1"/>
    <w:rsid w:val="002A6055"/>
    <w:rsid w:val="002A631E"/>
    <w:rsid w:val="002A6883"/>
    <w:rsid w:val="002A68CA"/>
    <w:rsid w:val="002A6ADE"/>
    <w:rsid w:val="002A6CAB"/>
    <w:rsid w:val="002A6F46"/>
    <w:rsid w:val="002A7089"/>
    <w:rsid w:val="002A71F2"/>
    <w:rsid w:val="002A729A"/>
    <w:rsid w:val="002A77FD"/>
    <w:rsid w:val="002A78B0"/>
    <w:rsid w:val="002A7B4E"/>
    <w:rsid w:val="002B0396"/>
    <w:rsid w:val="002B06F8"/>
    <w:rsid w:val="002B0702"/>
    <w:rsid w:val="002B088B"/>
    <w:rsid w:val="002B09A0"/>
    <w:rsid w:val="002B0A95"/>
    <w:rsid w:val="002B0ADA"/>
    <w:rsid w:val="002B0D39"/>
    <w:rsid w:val="002B0E2F"/>
    <w:rsid w:val="002B0F4B"/>
    <w:rsid w:val="002B10C7"/>
    <w:rsid w:val="002B15C9"/>
    <w:rsid w:val="002B18EE"/>
    <w:rsid w:val="002B20C5"/>
    <w:rsid w:val="002B2610"/>
    <w:rsid w:val="002B2A66"/>
    <w:rsid w:val="002B2CE2"/>
    <w:rsid w:val="002B30EF"/>
    <w:rsid w:val="002B31D1"/>
    <w:rsid w:val="002B3942"/>
    <w:rsid w:val="002B39DC"/>
    <w:rsid w:val="002B3B7C"/>
    <w:rsid w:val="002B41E0"/>
    <w:rsid w:val="002B421E"/>
    <w:rsid w:val="002B434C"/>
    <w:rsid w:val="002B48F5"/>
    <w:rsid w:val="002B4ABD"/>
    <w:rsid w:val="002B5116"/>
    <w:rsid w:val="002B5B78"/>
    <w:rsid w:val="002B6063"/>
    <w:rsid w:val="002B68C0"/>
    <w:rsid w:val="002B7337"/>
    <w:rsid w:val="002B7653"/>
    <w:rsid w:val="002B7FAA"/>
    <w:rsid w:val="002C029B"/>
    <w:rsid w:val="002C0353"/>
    <w:rsid w:val="002C0AE1"/>
    <w:rsid w:val="002C0C4D"/>
    <w:rsid w:val="002C0C56"/>
    <w:rsid w:val="002C0FAE"/>
    <w:rsid w:val="002C113C"/>
    <w:rsid w:val="002C163A"/>
    <w:rsid w:val="002C1F2B"/>
    <w:rsid w:val="002C24A6"/>
    <w:rsid w:val="002C25BC"/>
    <w:rsid w:val="002C2AE6"/>
    <w:rsid w:val="002C2E06"/>
    <w:rsid w:val="002C32B5"/>
    <w:rsid w:val="002C3943"/>
    <w:rsid w:val="002C3E23"/>
    <w:rsid w:val="002C4015"/>
    <w:rsid w:val="002C4144"/>
    <w:rsid w:val="002C4249"/>
    <w:rsid w:val="002C4315"/>
    <w:rsid w:val="002C433E"/>
    <w:rsid w:val="002C4F29"/>
    <w:rsid w:val="002C4FFF"/>
    <w:rsid w:val="002C50A6"/>
    <w:rsid w:val="002C5450"/>
    <w:rsid w:val="002C5774"/>
    <w:rsid w:val="002C5B8A"/>
    <w:rsid w:val="002C5CA8"/>
    <w:rsid w:val="002C5E65"/>
    <w:rsid w:val="002C6482"/>
    <w:rsid w:val="002C649B"/>
    <w:rsid w:val="002C6657"/>
    <w:rsid w:val="002C675C"/>
    <w:rsid w:val="002C68E3"/>
    <w:rsid w:val="002C6C8E"/>
    <w:rsid w:val="002C6EEE"/>
    <w:rsid w:val="002C7147"/>
    <w:rsid w:val="002C73E0"/>
    <w:rsid w:val="002C76F2"/>
    <w:rsid w:val="002C7796"/>
    <w:rsid w:val="002C79DA"/>
    <w:rsid w:val="002C7B54"/>
    <w:rsid w:val="002C7C77"/>
    <w:rsid w:val="002C7E13"/>
    <w:rsid w:val="002D0A50"/>
    <w:rsid w:val="002D1188"/>
    <w:rsid w:val="002D153D"/>
    <w:rsid w:val="002D1878"/>
    <w:rsid w:val="002D1A2C"/>
    <w:rsid w:val="002D2556"/>
    <w:rsid w:val="002D2670"/>
    <w:rsid w:val="002D28B4"/>
    <w:rsid w:val="002D28B8"/>
    <w:rsid w:val="002D2C0D"/>
    <w:rsid w:val="002D2D15"/>
    <w:rsid w:val="002D2EB4"/>
    <w:rsid w:val="002D31A0"/>
    <w:rsid w:val="002D34A6"/>
    <w:rsid w:val="002D34EB"/>
    <w:rsid w:val="002D3A39"/>
    <w:rsid w:val="002D3D1F"/>
    <w:rsid w:val="002D420D"/>
    <w:rsid w:val="002D42B0"/>
    <w:rsid w:val="002D42CF"/>
    <w:rsid w:val="002D47D0"/>
    <w:rsid w:val="002D48E5"/>
    <w:rsid w:val="002D49FF"/>
    <w:rsid w:val="002D4DD4"/>
    <w:rsid w:val="002D4EE6"/>
    <w:rsid w:val="002D55B6"/>
    <w:rsid w:val="002D5667"/>
    <w:rsid w:val="002D580E"/>
    <w:rsid w:val="002D5905"/>
    <w:rsid w:val="002D5907"/>
    <w:rsid w:val="002D59F1"/>
    <w:rsid w:val="002D5A7D"/>
    <w:rsid w:val="002D5E87"/>
    <w:rsid w:val="002D604B"/>
    <w:rsid w:val="002D6150"/>
    <w:rsid w:val="002D61B3"/>
    <w:rsid w:val="002D62A7"/>
    <w:rsid w:val="002D6FE1"/>
    <w:rsid w:val="002D7047"/>
    <w:rsid w:val="002D70CE"/>
    <w:rsid w:val="002D757E"/>
    <w:rsid w:val="002D7B20"/>
    <w:rsid w:val="002E0128"/>
    <w:rsid w:val="002E0BD2"/>
    <w:rsid w:val="002E0D89"/>
    <w:rsid w:val="002E124F"/>
    <w:rsid w:val="002E1425"/>
    <w:rsid w:val="002E14C4"/>
    <w:rsid w:val="002E15C5"/>
    <w:rsid w:val="002E190E"/>
    <w:rsid w:val="002E1D09"/>
    <w:rsid w:val="002E216C"/>
    <w:rsid w:val="002E253C"/>
    <w:rsid w:val="002E273F"/>
    <w:rsid w:val="002E2D65"/>
    <w:rsid w:val="002E319F"/>
    <w:rsid w:val="002E35EF"/>
    <w:rsid w:val="002E3A4D"/>
    <w:rsid w:val="002E4097"/>
    <w:rsid w:val="002E4216"/>
    <w:rsid w:val="002E4ACE"/>
    <w:rsid w:val="002E4CB6"/>
    <w:rsid w:val="002E500C"/>
    <w:rsid w:val="002E52E9"/>
    <w:rsid w:val="002E556B"/>
    <w:rsid w:val="002E5A9D"/>
    <w:rsid w:val="002E667F"/>
    <w:rsid w:val="002E6881"/>
    <w:rsid w:val="002E6B86"/>
    <w:rsid w:val="002E6B96"/>
    <w:rsid w:val="002E7591"/>
    <w:rsid w:val="002E769C"/>
    <w:rsid w:val="002E78A7"/>
    <w:rsid w:val="002E78E4"/>
    <w:rsid w:val="002E7EA4"/>
    <w:rsid w:val="002E7EFE"/>
    <w:rsid w:val="002F02C7"/>
    <w:rsid w:val="002F038E"/>
    <w:rsid w:val="002F0A30"/>
    <w:rsid w:val="002F0E54"/>
    <w:rsid w:val="002F103E"/>
    <w:rsid w:val="002F115F"/>
    <w:rsid w:val="002F147E"/>
    <w:rsid w:val="002F1B1C"/>
    <w:rsid w:val="002F1E93"/>
    <w:rsid w:val="002F2714"/>
    <w:rsid w:val="002F2727"/>
    <w:rsid w:val="002F2B19"/>
    <w:rsid w:val="002F2F4F"/>
    <w:rsid w:val="002F2FDE"/>
    <w:rsid w:val="002F324E"/>
    <w:rsid w:val="002F35A3"/>
    <w:rsid w:val="002F3AF0"/>
    <w:rsid w:val="002F3C25"/>
    <w:rsid w:val="002F3F83"/>
    <w:rsid w:val="002F4060"/>
    <w:rsid w:val="002F41BA"/>
    <w:rsid w:val="002F4354"/>
    <w:rsid w:val="002F44B9"/>
    <w:rsid w:val="002F4D2C"/>
    <w:rsid w:val="002F4ECF"/>
    <w:rsid w:val="002F543C"/>
    <w:rsid w:val="002F573F"/>
    <w:rsid w:val="002F5A5F"/>
    <w:rsid w:val="002F651A"/>
    <w:rsid w:val="002F657E"/>
    <w:rsid w:val="002F6B1A"/>
    <w:rsid w:val="002F6D47"/>
    <w:rsid w:val="002F7B1F"/>
    <w:rsid w:val="002F7CD9"/>
    <w:rsid w:val="003005E3"/>
    <w:rsid w:val="003006AD"/>
    <w:rsid w:val="00300770"/>
    <w:rsid w:val="00300DA5"/>
    <w:rsid w:val="00300E9E"/>
    <w:rsid w:val="00300EB9"/>
    <w:rsid w:val="00300EC3"/>
    <w:rsid w:val="00301246"/>
    <w:rsid w:val="003012B6"/>
    <w:rsid w:val="00301A72"/>
    <w:rsid w:val="00301F84"/>
    <w:rsid w:val="003020AE"/>
    <w:rsid w:val="0030217B"/>
    <w:rsid w:val="00302710"/>
    <w:rsid w:val="00302A9F"/>
    <w:rsid w:val="00302F79"/>
    <w:rsid w:val="0030313B"/>
    <w:rsid w:val="003031C2"/>
    <w:rsid w:val="003033D1"/>
    <w:rsid w:val="00303407"/>
    <w:rsid w:val="00303457"/>
    <w:rsid w:val="003034DD"/>
    <w:rsid w:val="00303D44"/>
    <w:rsid w:val="003041D6"/>
    <w:rsid w:val="00304536"/>
    <w:rsid w:val="00304886"/>
    <w:rsid w:val="00305243"/>
    <w:rsid w:val="0030536F"/>
    <w:rsid w:val="003053A0"/>
    <w:rsid w:val="003053B2"/>
    <w:rsid w:val="00305893"/>
    <w:rsid w:val="0030598F"/>
    <w:rsid w:val="00305B4F"/>
    <w:rsid w:val="00305C93"/>
    <w:rsid w:val="00305D72"/>
    <w:rsid w:val="00305DEA"/>
    <w:rsid w:val="003067DD"/>
    <w:rsid w:val="00306B9C"/>
    <w:rsid w:val="00306C3B"/>
    <w:rsid w:val="003100AF"/>
    <w:rsid w:val="00310336"/>
    <w:rsid w:val="00310468"/>
    <w:rsid w:val="00310510"/>
    <w:rsid w:val="003105F0"/>
    <w:rsid w:val="003107EB"/>
    <w:rsid w:val="00310ADD"/>
    <w:rsid w:val="00310DBE"/>
    <w:rsid w:val="00310EE3"/>
    <w:rsid w:val="003112D2"/>
    <w:rsid w:val="00311B4E"/>
    <w:rsid w:val="00311B85"/>
    <w:rsid w:val="00312086"/>
    <w:rsid w:val="003122CE"/>
    <w:rsid w:val="00312436"/>
    <w:rsid w:val="003126C0"/>
    <w:rsid w:val="00312F9E"/>
    <w:rsid w:val="00313244"/>
    <w:rsid w:val="00313325"/>
    <w:rsid w:val="00313494"/>
    <w:rsid w:val="0031358E"/>
    <w:rsid w:val="00313C73"/>
    <w:rsid w:val="00313D2B"/>
    <w:rsid w:val="00314021"/>
    <w:rsid w:val="00314067"/>
    <w:rsid w:val="00314643"/>
    <w:rsid w:val="00314749"/>
    <w:rsid w:val="00314800"/>
    <w:rsid w:val="00314C43"/>
    <w:rsid w:val="00315225"/>
    <w:rsid w:val="003159A6"/>
    <w:rsid w:val="00316150"/>
    <w:rsid w:val="00316213"/>
    <w:rsid w:val="003162E6"/>
    <w:rsid w:val="00316550"/>
    <w:rsid w:val="003177E3"/>
    <w:rsid w:val="00317D7B"/>
    <w:rsid w:val="00320C89"/>
    <w:rsid w:val="00320F12"/>
    <w:rsid w:val="003211B2"/>
    <w:rsid w:val="00321BA0"/>
    <w:rsid w:val="00321BC1"/>
    <w:rsid w:val="0032225C"/>
    <w:rsid w:val="003226A5"/>
    <w:rsid w:val="003229BF"/>
    <w:rsid w:val="00322B6C"/>
    <w:rsid w:val="00322D29"/>
    <w:rsid w:val="00322E30"/>
    <w:rsid w:val="003234A2"/>
    <w:rsid w:val="00323668"/>
    <w:rsid w:val="0032383F"/>
    <w:rsid w:val="00323B68"/>
    <w:rsid w:val="00323C24"/>
    <w:rsid w:val="00323DFA"/>
    <w:rsid w:val="00323EF0"/>
    <w:rsid w:val="00324045"/>
    <w:rsid w:val="00324119"/>
    <w:rsid w:val="0032516C"/>
    <w:rsid w:val="003254B4"/>
    <w:rsid w:val="00325701"/>
    <w:rsid w:val="00326124"/>
    <w:rsid w:val="00326293"/>
    <w:rsid w:val="003266FC"/>
    <w:rsid w:val="00326A07"/>
    <w:rsid w:val="00326BDA"/>
    <w:rsid w:val="00326D35"/>
    <w:rsid w:val="003270F0"/>
    <w:rsid w:val="003272C4"/>
    <w:rsid w:val="0032779C"/>
    <w:rsid w:val="0032798C"/>
    <w:rsid w:val="00327A42"/>
    <w:rsid w:val="00330397"/>
    <w:rsid w:val="003304EB"/>
    <w:rsid w:val="00330B03"/>
    <w:rsid w:val="00331B22"/>
    <w:rsid w:val="00331E6D"/>
    <w:rsid w:val="00331E82"/>
    <w:rsid w:val="003328F5"/>
    <w:rsid w:val="0033293C"/>
    <w:rsid w:val="00332E2D"/>
    <w:rsid w:val="003332C8"/>
    <w:rsid w:val="00333973"/>
    <w:rsid w:val="00333AFF"/>
    <w:rsid w:val="00333DF0"/>
    <w:rsid w:val="00333F28"/>
    <w:rsid w:val="00334155"/>
    <w:rsid w:val="0033465B"/>
    <w:rsid w:val="00334C03"/>
    <w:rsid w:val="0033564F"/>
    <w:rsid w:val="00335775"/>
    <w:rsid w:val="00335796"/>
    <w:rsid w:val="00335812"/>
    <w:rsid w:val="0033587F"/>
    <w:rsid w:val="003358B3"/>
    <w:rsid w:val="00335AE7"/>
    <w:rsid w:val="00335CD2"/>
    <w:rsid w:val="00335D9A"/>
    <w:rsid w:val="003362D5"/>
    <w:rsid w:val="0033647C"/>
    <w:rsid w:val="003364D4"/>
    <w:rsid w:val="00336859"/>
    <w:rsid w:val="0033693C"/>
    <w:rsid w:val="00336984"/>
    <w:rsid w:val="00336B00"/>
    <w:rsid w:val="00336BE0"/>
    <w:rsid w:val="00337079"/>
    <w:rsid w:val="00337351"/>
    <w:rsid w:val="00337B82"/>
    <w:rsid w:val="00337F8A"/>
    <w:rsid w:val="00340100"/>
    <w:rsid w:val="003405C1"/>
    <w:rsid w:val="003407CE"/>
    <w:rsid w:val="0034097C"/>
    <w:rsid w:val="00340B4B"/>
    <w:rsid w:val="00340C11"/>
    <w:rsid w:val="00340E2E"/>
    <w:rsid w:val="00340E33"/>
    <w:rsid w:val="003414E2"/>
    <w:rsid w:val="003419D8"/>
    <w:rsid w:val="00341B2F"/>
    <w:rsid w:val="00341BCF"/>
    <w:rsid w:val="00342488"/>
    <w:rsid w:val="00342648"/>
    <w:rsid w:val="003426E9"/>
    <w:rsid w:val="00342A03"/>
    <w:rsid w:val="00342A40"/>
    <w:rsid w:val="00342D85"/>
    <w:rsid w:val="00343129"/>
    <w:rsid w:val="00343BC8"/>
    <w:rsid w:val="00343D70"/>
    <w:rsid w:val="00343E6D"/>
    <w:rsid w:val="0034491D"/>
    <w:rsid w:val="00344A10"/>
    <w:rsid w:val="0034522F"/>
    <w:rsid w:val="00345343"/>
    <w:rsid w:val="00345568"/>
    <w:rsid w:val="00345942"/>
    <w:rsid w:val="00345C03"/>
    <w:rsid w:val="00345E67"/>
    <w:rsid w:val="003465A6"/>
    <w:rsid w:val="003465E3"/>
    <w:rsid w:val="00347870"/>
    <w:rsid w:val="0035027D"/>
    <w:rsid w:val="003509CC"/>
    <w:rsid w:val="00350A32"/>
    <w:rsid w:val="00350F0E"/>
    <w:rsid w:val="003511D1"/>
    <w:rsid w:val="003515F9"/>
    <w:rsid w:val="00352159"/>
    <w:rsid w:val="0035272E"/>
    <w:rsid w:val="0035273A"/>
    <w:rsid w:val="003528C7"/>
    <w:rsid w:val="003530AD"/>
    <w:rsid w:val="003537FA"/>
    <w:rsid w:val="00353847"/>
    <w:rsid w:val="00353C2B"/>
    <w:rsid w:val="00354353"/>
    <w:rsid w:val="003543C0"/>
    <w:rsid w:val="0035445D"/>
    <w:rsid w:val="003548A3"/>
    <w:rsid w:val="003548C2"/>
    <w:rsid w:val="00354AAA"/>
    <w:rsid w:val="00354BFB"/>
    <w:rsid w:val="00354F83"/>
    <w:rsid w:val="003552AA"/>
    <w:rsid w:val="0035546E"/>
    <w:rsid w:val="003554FD"/>
    <w:rsid w:val="00355CFA"/>
    <w:rsid w:val="00355D8D"/>
    <w:rsid w:val="00356098"/>
    <w:rsid w:val="0035619F"/>
    <w:rsid w:val="003561E3"/>
    <w:rsid w:val="00356268"/>
    <w:rsid w:val="0035644C"/>
    <w:rsid w:val="00356913"/>
    <w:rsid w:val="00356A86"/>
    <w:rsid w:val="00356CAB"/>
    <w:rsid w:val="00356FEE"/>
    <w:rsid w:val="003573C9"/>
    <w:rsid w:val="003603EA"/>
    <w:rsid w:val="00360758"/>
    <w:rsid w:val="00360863"/>
    <w:rsid w:val="00360F34"/>
    <w:rsid w:val="0036111B"/>
    <w:rsid w:val="00361AA0"/>
    <w:rsid w:val="00361FFA"/>
    <w:rsid w:val="00362243"/>
    <w:rsid w:val="00362331"/>
    <w:rsid w:val="00362389"/>
    <w:rsid w:val="0036313D"/>
    <w:rsid w:val="00363353"/>
    <w:rsid w:val="003633C0"/>
    <w:rsid w:val="003638F7"/>
    <w:rsid w:val="003639B2"/>
    <w:rsid w:val="00364147"/>
    <w:rsid w:val="00364563"/>
    <w:rsid w:val="003645D7"/>
    <w:rsid w:val="003647BA"/>
    <w:rsid w:val="0036482F"/>
    <w:rsid w:val="00364864"/>
    <w:rsid w:val="00364F47"/>
    <w:rsid w:val="003656CA"/>
    <w:rsid w:val="00365C8F"/>
    <w:rsid w:val="00365DA6"/>
    <w:rsid w:val="00365EEB"/>
    <w:rsid w:val="00366181"/>
    <w:rsid w:val="003662B3"/>
    <w:rsid w:val="00366652"/>
    <w:rsid w:val="00366FC6"/>
    <w:rsid w:val="003672A5"/>
    <w:rsid w:val="00367389"/>
    <w:rsid w:val="0036739C"/>
    <w:rsid w:val="003673DB"/>
    <w:rsid w:val="00367752"/>
    <w:rsid w:val="00367A0E"/>
    <w:rsid w:val="0037029C"/>
    <w:rsid w:val="003704D5"/>
    <w:rsid w:val="003708E6"/>
    <w:rsid w:val="003709D3"/>
    <w:rsid w:val="003709D9"/>
    <w:rsid w:val="00370C22"/>
    <w:rsid w:val="00370DB0"/>
    <w:rsid w:val="0037100A"/>
    <w:rsid w:val="00371177"/>
    <w:rsid w:val="00371793"/>
    <w:rsid w:val="00371BE4"/>
    <w:rsid w:val="00371C0D"/>
    <w:rsid w:val="00372438"/>
    <w:rsid w:val="00372829"/>
    <w:rsid w:val="00372C0B"/>
    <w:rsid w:val="00372C40"/>
    <w:rsid w:val="003730C1"/>
    <w:rsid w:val="003732EC"/>
    <w:rsid w:val="00373597"/>
    <w:rsid w:val="00373838"/>
    <w:rsid w:val="00373A0C"/>
    <w:rsid w:val="00373D18"/>
    <w:rsid w:val="00373DDC"/>
    <w:rsid w:val="00373F89"/>
    <w:rsid w:val="003743C0"/>
    <w:rsid w:val="003748DC"/>
    <w:rsid w:val="00374B26"/>
    <w:rsid w:val="00374D99"/>
    <w:rsid w:val="00375F41"/>
    <w:rsid w:val="0037601F"/>
    <w:rsid w:val="003763FC"/>
    <w:rsid w:val="003768E7"/>
    <w:rsid w:val="00376CCD"/>
    <w:rsid w:val="00376E6B"/>
    <w:rsid w:val="0037714B"/>
    <w:rsid w:val="0037740F"/>
    <w:rsid w:val="00377637"/>
    <w:rsid w:val="00380027"/>
    <w:rsid w:val="00380162"/>
    <w:rsid w:val="003806F6"/>
    <w:rsid w:val="003809AE"/>
    <w:rsid w:val="00380CF6"/>
    <w:rsid w:val="00380FAD"/>
    <w:rsid w:val="0038103B"/>
    <w:rsid w:val="00381387"/>
    <w:rsid w:val="00381B7A"/>
    <w:rsid w:val="00381DC1"/>
    <w:rsid w:val="00382379"/>
    <w:rsid w:val="00382935"/>
    <w:rsid w:val="00382C9B"/>
    <w:rsid w:val="003831BF"/>
    <w:rsid w:val="003832FE"/>
    <w:rsid w:val="00383EC5"/>
    <w:rsid w:val="003840C2"/>
    <w:rsid w:val="00384179"/>
    <w:rsid w:val="003844EF"/>
    <w:rsid w:val="00385238"/>
    <w:rsid w:val="00385480"/>
    <w:rsid w:val="00386151"/>
    <w:rsid w:val="003865D3"/>
    <w:rsid w:val="00386C81"/>
    <w:rsid w:val="00386EB6"/>
    <w:rsid w:val="003873C3"/>
    <w:rsid w:val="00387476"/>
    <w:rsid w:val="00387C5E"/>
    <w:rsid w:val="00387F1D"/>
    <w:rsid w:val="00387FF6"/>
    <w:rsid w:val="003903A7"/>
    <w:rsid w:val="003905F9"/>
    <w:rsid w:val="0039066B"/>
    <w:rsid w:val="0039094A"/>
    <w:rsid w:val="0039096F"/>
    <w:rsid w:val="00390F9D"/>
    <w:rsid w:val="003910A5"/>
    <w:rsid w:val="00391716"/>
    <w:rsid w:val="00391AC4"/>
    <w:rsid w:val="00392125"/>
    <w:rsid w:val="0039244C"/>
    <w:rsid w:val="003926BD"/>
    <w:rsid w:val="00392C5D"/>
    <w:rsid w:val="00393404"/>
    <w:rsid w:val="0039354C"/>
    <w:rsid w:val="00393772"/>
    <w:rsid w:val="003939AF"/>
    <w:rsid w:val="00393D88"/>
    <w:rsid w:val="00394EEB"/>
    <w:rsid w:val="00395236"/>
    <w:rsid w:val="003955E5"/>
    <w:rsid w:val="00395680"/>
    <w:rsid w:val="00395957"/>
    <w:rsid w:val="00395C7C"/>
    <w:rsid w:val="003965A1"/>
    <w:rsid w:val="00396888"/>
    <w:rsid w:val="00396B3F"/>
    <w:rsid w:val="00396E6F"/>
    <w:rsid w:val="00397235"/>
    <w:rsid w:val="003973E2"/>
    <w:rsid w:val="00397765"/>
    <w:rsid w:val="00397A58"/>
    <w:rsid w:val="00397F16"/>
    <w:rsid w:val="003A0021"/>
    <w:rsid w:val="003A01C4"/>
    <w:rsid w:val="003A039E"/>
    <w:rsid w:val="003A0584"/>
    <w:rsid w:val="003A0B8B"/>
    <w:rsid w:val="003A0C92"/>
    <w:rsid w:val="003A0D58"/>
    <w:rsid w:val="003A1223"/>
    <w:rsid w:val="003A1494"/>
    <w:rsid w:val="003A18A1"/>
    <w:rsid w:val="003A19A7"/>
    <w:rsid w:val="003A1EC0"/>
    <w:rsid w:val="003A1F68"/>
    <w:rsid w:val="003A2318"/>
    <w:rsid w:val="003A28A3"/>
    <w:rsid w:val="003A293F"/>
    <w:rsid w:val="003A2F32"/>
    <w:rsid w:val="003A325E"/>
    <w:rsid w:val="003A35CA"/>
    <w:rsid w:val="003A3D03"/>
    <w:rsid w:val="003A3E08"/>
    <w:rsid w:val="003A42FB"/>
    <w:rsid w:val="003A43FD"/>
    <w:rsid w:val="003A4951"/>
    <w:rsid w:val="003A4B95"/>
    <w:rsid w:val="003A4EC8"/>
    <w:rsid w:val="003A4F03"/>
    <w:rsid w:val="003A5606"/>
    <w:rsid w:val="003A5910"/>
    <w:rsid w:val="003A60B0"/>
    <w:rsid w:val="003A6133"/>
    <w:rsid w:val="003A6319"/>
    <w:rsid w:val="003A6393"/>
    <w:rsid w:val="003A6860"/>
    <w:rsid w:val="003A6938"/>
    <w:rsid w:val="003A6A37"/>
    <w:rsid w:val="003A731E"/>
    <w:rsid w:val="003A73E4"/>
    <w:rsid w:val="003A7A58"/>
    <w:rsid w:val="003A7F43"/>
    <w:rsid w:val="003B01BD"/>
    <w:rsid w:val="003B04DC"/>
    <w:rsid w:val="003B06D6"/>
    <w:rsid w:val="003B0B39"/>
    <w:rsid w:val="003B0D85"/>
    <w:rsid w:val="003B1F3E"/>
    <w:rsid w:val="003B2242"/>
    <w:rsid w:val="003B23BB"/>
    <w:rsid w:val="003B25A0"/>
    <w:rsid w:val="003B26A6"/>
    <w:rsid w:val="003B28EC"/>
    <w:rsid w:val="003B30F0"/>
    <w:rsid w:val="003B3C59"/>
    <w:rsid w:val="003B4342"/>
    <w:rsid w:val="003B4592"/>
    <w:rsid w:val="003B47CA"/>
    <w:rsid w:val="003B4AA4"/>
    <w:rsid w:val="003B4BBC"/>
    <w:rsid w:val="003B4C5F"/>
    <w:rsid w:val="003B4E24"/>
    <w:rsid w:val="003B516F"/>
    <w:rsid w:val="003B51E3"/>
    <w:rsid w:val="003B5631"/>
    <w:rsid w:val="003B5DCC"/>
    <w:rsid w:val="003B5FBF"/>
    <w:rsid w:val="003B6EC9"/>
    <w:rsid w:val="003B7799"/>
    <w:rsid w:val="003B7ADC"/>
    <w:rsid w:val="003B7EEE"/>
    <w:rsid w:val="003C076A"/>
    <w:rsid w:val="003C09F3"/>
    <w:rsid w:val="003C0C57"/>
    <w:rsid w:val="003C0F2F"/>
    <w:rsid w:val="003C10AF"/>
    <w:rsid w:val="003C1697"/>
    <w:rsid w:val="003C1A6E"/>
    <w:rsid w:val="003C1F51"/>
    <w:rsid w:val="003C22CE"/>
    <w:rsid w:val="003C2839"/>
    <w:rsid w:val="003C2A16"/>
    <w:rsid w:val="003C3044"/>
    <w:rsid w:val="003C3265"/>
    <w:rsid w:val="003C3394"/>
    <w:rsid w:val="003C3453"/>
    <w:rsid w:val="003C3871"/>
    <w:rsid w:val="003C39D3"/>
    <w:rsid w:val="003C3A2A"/>
    <w:rsid w:val="003C3C71"/>
    <w:rsid w:val="003C3D30"/>
    <w:rsid w:val="003C3D58"/>
    <w:rsid w:val="003C4A1C"/>
    <w:rsid w:val="003C4EBF"/>
    <w:rsid w:val="003C504C"/>
    <w:rsid w:val="003C51CA"/>
    <w:rsid w:val="003C524C"/>
    <w:rsid w:val="003C5417"/>
    <w:rsid w:val="003C55D6"/>
    <w:rsid w:val="003C566D"/>
    <w:rsid w:val="003C56A4"/>
    <w:rsid w:val="003C5AA8"/>
    <w:rsid w:val="003C5F35"/>
    <w:rsid w:val="003C5FC0"/>
    <w:rsid w:val="003C6455"/>
    <w:rsid w:val="003C65E8"/>
    <w:rsid w:val="003C678B"/>
    <w:rsid w:val="003C683E"/>
    <w:rsid w:val="003C69C2"/>
    <w:rsid w:val="003C6CDB"/>
    <w:rsid w:val="003C6FAC"/>
    <w:rsid w:val="003C72DF"/>
    <w:rsid w:val="003C7300"/>
    <w:rsid w:val="003C7394"/>
    <w:rsid w:val="003C7453"/>
    <w:rsid w:val="003C7757"/>
    <w:rsid w:val="003C7ED9"/>
    <w:rsid w:val="003D0A7C"/>
    <w:rsid w:val="003D101D"/>
    <w:rsid w:val="003D1756"/>
    <w:rsid w:val="003D1A45"/>
    <w:rsid w:val="003D1D77"/>
    <w:rsid w:val="003D1FD6"/>
    <w:rsid w:val="003D2181"/>
    <w:rsid w:val="003D2626"/>
    <w:rsid w:val="003D27D4"/>
    <w:rsid w:val="003D2943"/>
    <w:rsid w:val="003D2A76"/>
    <w:rsid w:val="003D2BDB"/>
    <w:rsid w:val="003D2C3F"/>
    <w:rsid w:val="003D2E96"/>
    <w:rsid w:val="003D2F52"/>
    <w:rsid w:val="003D36E6"/>
    <w:rsid w:val="003D3941"/>
    <w:rsid w:val="003D39A0"/>
    <w:rsid w:val="003D3AC5"/>
    <w:rsid w:val="003D3EE5"/>
    <w:rsid w:val="003D4282"/>
    <w:rsid w:val="003D447C"/>
    <w:rsid w:val="003D4D36"/>
    <w:rsid w:val="003D4EE2"/>
    <w:rsid w:val="003D4F16"/>
    <w:rsid w:val="003D51C2"/>
    <w:rsid w:val="003D553D"/>
    <w:rsid w:val="003D566F"/>
    <w:rsid w:val="003D5764"/>
    <w:rsid w:val="003D58D5"/>
    <w:rsid w:val="003D5B9B"/>
    <w:rsid w:val="003D5D8E"/>
    <w:rsid w:val="003D610E"/>
    <w:rsid w:val="003D7095"/>
    <w:rsid w:val="003E0872"/>
    <w:rsid w:val="003E097B"/>
    <w:rsid w:val="003E09A9"/>
    <w:rsid w:val="003E0A5C"/>
    <w:rsid w:val="003E0AC9"/>
    <w:rsid w:val="003E0EC2"/>
    <w:rsid w:val="003E1030"/>
    <w:rsid w:val="003E110C"/>
    <w:rsid w:val="003E11C3"/>
    <w:rsid w:val="003E1344"/>
    <w:rsid w:val="003E19DE"/>
    <w:rsid w:val="003E2473"/>
    <w:rsid w:val="003E25CC"/>
    <w:rsid w:val="003E263E"/>
    <w:rsid w:val="003E2CB4"/>
    <w:rsid w:val="003E2DA5"/>
    <w:rsid w:val="003E2FFB"/>
    <w:rsid w:val="003E3023"/>
    <w:rsid w:val="003E337F"/>
    <w:rsid w:val="003E3FA7"/>
    <w:rsid w:val="003E4003"/>
    <w:rsid w:val="003E44C9"/>
    <w:rsid w:val="003E4762"/>
    <w:rsid w:val="003E4A2E"/>
    <w:rsid w:val="003E5566"/>
    <w:rsid w:val="003E5861"/>
    <w:rsid w:val="003E5B93"/>
    <w:rsid w:val="003E6443"/>
    <w:rsid w:val="003E649D"/>
    <w:rsid w:val="003E64A5"/>
    <w:rsid w:val="003E66D2"/>
    <w:rsid w:val="003E674A"/>
    <w:rsid w:val="003E689C"/>
    <w:rsid w:val="003E6B01"/>
    <w:rsid w:val="003E6F9C"/>
    <w:rsid w:val="003E70DD"/>
    <w:rsid w:val="003E752F"/>
    <w:rsid w:val="003E7D17"/>
    <w:rsid w:val="003F0066"/>
    <w:rsid w:val="003F0436"/>
    <w:rsid w:val="003F0474"/>
    <w:rsid w:val="003F06A0"/>
    <w:rsid w:val="003F07B2"/>
    <w:rsid w:val="003F0829"/>
    <w:rsid w:val="003F11D9"/>
    <w:rsid w:val="003F11DE"/>
    <w:rsid w:val="003F17AF"/>
    <w:rsid w:val="003F2B31"/>
    <w:rsid w:val="003F2D7C"/>
    <w:rsid w:val="003F305E"/>
    <w:rsid w:val="003F3443"/>
    <w:rsid w:val="003F35F2"/>
    <w:rsid w:val="003F3645"/>
    <w:rsid w:val="003F3768"/>
    <w:rsid w:val="003F3F56"/>
    <w:rsid w:val="003F44CA"/>
    <w:rsid w:val="003F459C"/>
    <w:rsid w:val="003F468B"/>
    <w:rsid w:val="003F4948"/>
    <w:rsid w:val="003F4F6F"/>
    <w:rsid w:val="003F4FEE"/>
    <w:rsid w:val="003F54E3"/>
    <w:rsid w:val="003F57D5"/>
    <w:rsid w:val="003F5A23"/>
    <w:rsid w:val="003F5AA2"/>
    <w:rsid w:val="003F5C1F"/>
    <w:rsid w:val="003F5F2D"/>
    <w:rsid w:val="003F6C85"/>
    <w:rsid w:val="003F6C87"/>
    <w:rsid w:val="003F6FD8"/>
    <w:rsid w:val="003F720C"/>
    <w:rsid w:val="003F7489"/>
    <w:rsid w:val="003F748E"/>
    <w:rsid w:val="003F7721"/>
    <w:rsid w:val="003F7750"/>
    <w:rsid w:val="003F7C27"/>
    <w:rsid w:val="003F7E5D"/>
    <w:rsid w:val="003F7F42"/>
    <w:rsid w:val="003F7F89"/>
    <w:rsid w:val="004001B1"/>
    <w:rsid w:val="00400B7D"/>
    <w:rsid w:val="004010B4"/>
    <w:rsid w:val="00401E7F"/>
    <w:rsid w:val="00401F4E"/>
    <w:rsid w:val="004022E7"/>
    <w:rsid w:val="004029E7"/>
    <w:rsid w:val="004029F8"/>
    <w:rsid w:val="00402A64"/>
    <w:rsid w:val="00402ADF"/>
    <w:rsid w:val="004031FB"/>
    <w:rsid w:val="0040383B"/>
    <w:rsid w:val="00403921"/>
    <w:rsid w:val="00404DC4"/>
    <w:rsid w:val="00405735"/>
    <w:rsid w:val="004057B5"/>
    <w:rsid w:val="0040581A"/>
    <w:rsid w:val="00405F07"/>
    <w:rsid w:val="0040610B"/>
    <w:rsid w:val="004061C4"/>
    <w:rsid w:val="004065F8"/>
    <w:rsid w:val="004066B1"/>
    <w:rsid w:val="0040690A"/>
    <w:rsid w:val="00406D50"/>
    <w:rsid w:val="00406DDD"/>
    <w:rsid w:val="00406F64"/>
    <w:rsid w:val="00406F6F"/>
    <w:rsid w:val="0040705C"/>
    <w:rsid w:val="00407520"/>
    <w:rsid w:val="00407621"/>
    <w:rsid w:val="00410173"/>
    <w:rsid w:val="00410864"/>
    <w:rsid w:val="004108CA"/>
    <w:rsid w:val="00410C2B"/>
    <w:rsid w:val="00410D15"/>
    <w:rsid w:val="0041100F"/>
    <w:rsid w:val="0041178D"/>
    <w:rsid w:val="0041192A"/>
    <w:rsid w:val="00411C3C"/>
    <w:rsid w:val="00411D7F"/>
    <w:rsid w:val="004121FB"/>
    <w:rsid w:val="004123A1"/>
    <w:rsid w:val="00412B12"/>
    <w:rsid w:val="00412FF8"/>
    <w:rsid w:val="00413941"/>
    <w:rsid w:val="00413BD4"/>
    <w:rsid w:val="0041413A"/>
    <w:rsid w:val="00414C1D"/>
    <w:rsid w:val="00414C30"/>
    <w:rsid w:val="00414D93"/>
    <w:rsid w:val="004151CB"/>
    <w:rsid w:val="004155B6"/>
    <w:rsid w:val="004155F7"/>
    <w:rsid w:val="00415EB8"/>
    <w:rsid w:val="00415F9C"/>
    <w:rsid w:val="00416736"/>
    <w:rsid w:val="00416C8D"/>
    <w:rsid w:val="00416D73"/>
    <w:rsid w:val="00416EA4"/>
    <w:rsid w:val="00417202"/>
    <w:rsid w:val="0041763B"/>
    <w:rsid w:val="00417996"/>
    <w:rsid w:val="00417B0F"/>
    <w:rsid w:val="00420A6E"/>
    <w:rsid w:val="00420B79"/>
    <w:rsid w:val="00420C46"/>
    <w:rsid w:val="00420D72"/>
    <w:rsid w:val="004210B3"/>
    <w:rsid w:val="00421795"/>
    <w:rsid w:val="00421F23"/>
    <w:rsid w:val="004221A1"/>
    <w:rsid w:val="0042231D"/>
    <w:rsid w:val="00422530"/>
    <w:rsid w:val="004229EF"/>
    <w:rsid w:val="0042439A"/>
    <w:rsid w:val="0042442B"/>
    <w:rsid w:val="0042454D"/>
    <w:rsid w:val="00424A2F"/>
    <w:rsid w:val="0042544B"/>
    <w:rsid w:val="0042547B"/>
    <w:rsid w:val="004257F8"/>
    <w:rsid w:val="00425A66"/>
    <w:rsid w:val="00425AD7"/>
    <w:rsid w:val="00425C03"/>
    <w:rsid w:val="00426281"/>
    <w:rsid w:val="004262D2"/>
    <w:rsid w:val="00426438"/>
    <w:rsid w:val="00426640"/>
    <w:rsid w:val="00426D28"/>
    <w:rsid w:val="004274A6"/>
    <w:rsid w:val="004274E0"/>
    <w:rsid w:val="0042759D"/>
    <w:rsid w:val="00427B76"/>
    <w:rsid w:val="00427CF1"/>
    <w:rsid w:val="00427FA4"/>
    <w:rsid w:val="004304B2"/>
    <w:rsid w:val="0043095F"/>
    <w:rsid w:val="004309CB"/>
    <w:rsid w:val="00430C95"/>
    <w:rsid w:val="00431069"/>
    <w:rsid w:val="00431408"/>
    <w:rsid w:val="004315FC"/>
    <w:rsid w:val="00431645"/>
    <w:rsid w:val="004319EE"/>
    <w:rsid w:val="00431CCA"/>
    <w:rsid w:val="0043210D"/>
    <w:rsid w:val="004321ED"/>
    <w:rsid w:val="0043262C"/>
    <w:rsid w:val="00432791"/>
    <w:rsid w:val="00432A11"/>
    <w:rsid w:val="00432C81"/>
    <w:rsid w:val="0043336A"/>
    <w:rsid w:val="0043342F"/>
    <w:rsid w:val="004334E5"/>
    <w:rsid w:val="00433B97"/>
    <w:rsid w:val="00433BF6"/>
    <w:rsid w:val="00433D69"/>
    <w:rsid w:val="00434022"/>
    <w:rsid w:val="004341F7"/>
    <w:rsid w:val="004344A0"/>
    <w:rsid w:val="004346B6"/>
    <w:rsid w:val="00434707"/>
    <w:rsid w:val="00434BFA"/>
    <w:rsid w:val="0043513A"/>
    <w:rsid w:val="00435344"/>
    <w:rsid w:val="00435B5C"/>
    <w:rsid w:val="00435C34"/>
    <w:rsid w:val="00435EBA"/>
    <w:rsid w:val="004366AB"/>
    <w:rsid w:val="00436C87"/>
    <w:rsid w:val="00436DB0"/>
    <w:rsid w:val="00437202"/>
    <w:rsid w:val="004375CD"/>
    <w:rsid w:val="00437843"/>
    <w:rsid w:val="00440027"/>
    <w:rsid w:val="004402D7"/>
    <w:rsid w:val="004402DE"/>
    <w:rsid w:val="004407B4"/>
    <w:rsid w:val="004407C9"/>
    <w:rsid w:val="00440F30"/>
    <w:rsid w:val="0044103B"/>
    <w:rsid w:val="00441DB7"/>
    <w:rsid w:val="00441E15"/>
    <w:rsid w:val="00441EB0"/>
    <w:rsid w:val="00441F64"/>
    <w:rsid w:val="00441FBE"/>
    <w:rsid w:val="0044249F"/>
    <w:rsid w:val="0044258E"/>
    <w:rsid w:val="00442A41"/>
    <w:rsid w:val="00442A9A"/>
    <w:rsid w:val="00443F91"/>
    <w:rsid w:val="0044401A"/>
    <w:rsid w:val="0044436C"/>
    <w:rsid w:val="0044488F"/>
    <w:rsid w:val="00444A42"/>
    <w:rsid w:val="00444F0D"/>
    <w:rsid w:val="0044506F"/>
    <w:rsid w:val="00445093"/>
    <w:rsid w:val="004458B1"/>
    <w:rsid w:val="00445B0A"/>
    <w:rsid w:val="00445B23"/>
    <w:rsid w:val="00445DE1"/>
    <w:rsid w:val="00446247"/>
    <w:rsid w:val="00446FBA"/>
    <w:rsid w:val="00447B0D"/>
    <w:rsid w:val="00447D58"/>
    <w:rsid w:val="00450350"/>
    <w:rsid w:val="004503D0"/>
    <w:rsid w:val="004503E4"/>
    <w:rsid w:val="00450756"/>
    <w:rsid w:val="00451EA1"/>
    <w:rsid w:val="00452314"/>
    <w:rsid w:val="00452450"/>
    <w:rsid w:val="004526AE"/>
    <w:rsid w:val="004529C5"/>
    <w:rsid w:val="00453232"/>
    <w:rsid w:val="004533C0"/>
    <w:rsid w:val="00453B0D"/>
    <w:rsid w:val="00454080"/>
    <w:rsid w:val="0045426B"/>
    <w:rsid w:val="0045443A"/>
    <w:rsid w:val="00454F02"/>
    <w:rsid w:val="00455142"/>
    <w:rsid w:val="00455B6B"/>
    <w:rsid w:val="00455C28"/>
    <w:rsid w:val="0045605B"/>
    <w:rsid w:val="00456428"/>
    <w:rsid w:val="0045685D"/>
    <w:rsid w:val="00457312"/>
    <w:rsid w:val="0045741F"/>
    <w:rsid w:val="00457A05"/>
    <w:rsid w:val="00457AD0"/>
    <w:rsid w:val="00457ECC"/>
    <w:rsid w:val="00457F66"/>
    <w:rsid w:val="00457FB9"/>
    <w:rsid w:val="004607EE"/>
    <w:rsid w:val="00460974"/>
    <w:rsid w:val="00461129"/>
    <w:rsid w:val="004619B2"/>
    <w:rsid w:val="00461F51"/>
    <w:rsid w:val="00462140"/>
    <w:rsid w:val="00462981"/>
    <w:rsid w:val="00462B53"/>
    <w:rsid w:val="00462F14"/>
    <w:rsid w:val="0046345B"/>
    <w:rsid w:val="0046353E"/>
    <w:rsid w:val="0046371D"/>
    <w:rsid w:val="00463766"/>
    <w:rsid w:val="00463F01"/>
    <w:rsid w:val="00464200"/>
    <w:rsid w:val="004642DA"/>
    <w:rsid w:val="00464B39"/>
    <w:rsid w:val="004653BC"/>
    <w:rsid w:val="00465419"/>
    <w:rsid w:val="004655D2"/>
    <w:rsid w:val="00465678"/>
    <w:rsid w:val="00465B29"/>
    <w:rsid w:val="00465B7E"/>
    <w:rsid w:val="00465C4A"/>
    <w:rsid w:val="00465EC9"/>
    <w:rsid w:val="00466399"/>
    <w:rsid w:val="00466561"/>
    <w:rsid w:val="00466AA5"/>
    <w:rsid w:val="00466C69"/>
    <w:rsid w:val="00466FA9"/>
    <w:rsid w:val="00467AAD"/>
    <w:rsid w:val="00467AD2"/>
    <w:rsid w:val="00467B70"/>
    <w:rsid w:val="00467FCB"/>
    <w:rsid w:val="0047050D"/>
    <w:rsid w:val="00470714"/>
    <w:rsid w:val="0047095E"/>
    <w:rsid w:val="00470DBE"/>
    <w:rsid w:val="00470ED7"/>
    <w:rsid w:val="0047123A"/>
    <w:rsid w:val="00471544"/>
    <w:rsid w:val="00471554"/>
    <w:rsid w:val="004715F2"/>
    <w:rsid w:val="00471BB7"/>
    <w:rsid w:val="00471C74"/>
    <w:rsid w:val="004726A8"/>
    <w:rsid w:val="00472CB6"/>
    <w:rsid w:val="00472DD7"/>
    <w:rsid w:val="00472E17"/>
    <w:rsid w:val="00472EC1"/>
    <w:rsid w:val="00473166"/>
    <w:rsid w:val="004731AA"/>
    <w:rsid w:val="00473596"/>
    <w:rsid w:val="004735E3"/>
    <w:rsid w:val="00473F53"/>
    <w:rsid w:val="00474702"/>
    <w:rsid w:val="00475384"/>
    <w:rsid w:val="004756E2"/>
    <w:rsid w:val="00475713"/>
    <w:rsid w:val="00475984"/>
    <w:rsid w:val="00475B3D"/>
    <w:rsid w:val="00475EE3"/>
    <w:rsid w:val="004760D2"/>
    <w:rsid w:val="00476121"/>
    <w:rsid w:val="004762AA"/>
    <w:rsid w:val="00476E4D"/>
    <w:rsid w:val="00476EB4"/>
    <w:rsid w:val="00476FC5"/>
    <w:rsid w:val="004771D7"/>
    <w:rsid w:val="00477370"/>
    <w:rsid w:val="004777ED"/>
    <w:rsid w:val="00477D0B"/>
    <w:rsid w:val="0048198D"/>
    <w:rsid w:val="004819BD"/>
    <w:rsid w:val="00481D2A"/>
    <w:rsid w:val="00481D76"/>
    <w:rsid w:val="00481EF9"/>
    <w:rsid w:val="00482173"/>
    <w:rsid w:val="0048217B"/>
    <w:rsid w:val="004821BA"/>
    <w:rsid w:val="00482C0D"/>
    <w:rsid w:val="00482C78"/>
    <w:rsid w:val="00483310"/>
    <w:rsid w:val="00483DFD"/>
    <w:rsid w:val="00483F3B"/>
    <w:rsid w:val="00483FD1"/>
    <w:rsid w:val="00484283"/>
    <w:rsid w:val="00484424"/>
    <w:rsid w:val="00484639"/>
    <w:rsid w:val="00484FCA"/>
    <w:rsid w:val="004851F7"/>
    <w:rsid w:val="004853CE"/>
    <w:rsid w:val="00485474"/>
    <w:rsid w:val="00485914"/>
    <w:rsid w:val="00486395"/>
    <w:rsid w:val="00486467"/>
    <w:rsid w:val="00486994"/>
    <w:rsid w:val="00486CBD"/>
    <w:rsid w:val="00486D96"/>
    <w:rsid w:val="00486F28"/>
    <w:rsid w:val="0048748E"/>
    <w:rsid w:val="00487785"/>
    <w:rsid w:val="004877B7"/>
    <w:rsid w:val="00487870"/>
    <w:rsid w:val="00487AA1"/>
    <w:rsid w:val="00487C38"/>
    <w:rsid w:val="00487DE3"/>
    <w:rsid w:val="00487F70"/>
    <w:rsid w:val="004902F4"/>
    <w:rsid w:val="0049124C"/>
    <w:rsid w:val="004914FF"/>
    <w:rsid w:val="004918D5"/>
    <w:rsid w:val="00491B8D"/>
    <w:rsid w:val="00491D51"/>
    <w:rsid w:val="00491D81"/>
    <w:rsid w:val="00491EBB"/>
    <w:rsid w:val="00492000"/>
    <w:rsid w:val="004920C5"/>
    <w:rsid w:val="00492166"/>
    <w:rsid w:val="0049233F"/>
    <w:rsid w:val="00492D4C"/>
    <w:rsid w:val="0049337A"/>
    <w:rsid w:val="00493530"/>
    <w:rsid w:val="00493647"/>
    <w:rsid w:val="0049364E"/>
    <w:rsid w:val="00493A1F"/>
    <w:rsid w:val="00493BC7"/>
    <w:rsid w:val="00493C90"/>
    <w:rsid w:val="00494123"/>
    <w:rsid w:val="0049416F"/>
    <w:rsid w:val="00494805"/>
    <w:rsid w:val="004950B6"/>
    <w:rsid w:val="00495303"/>
    <w:rsid w:val="0049582E"/>
    <w:rsid w:val="004959BC"/>
    <w:rsid w:val="00495E19"/>
    <w:rsid w:val="00495FA4"/>
    <w:rsid w:val="0049623D"/>
    <w:rsid w:val="004966BA"/>
    <w:rsid w:val="00496BAA"/>
    <w:rsid w:val="004970C7"/>
    <w:rsid w:val="004974F5"/>
    <w:rsid w:val="0049754C"/>
    <w:rsid w:val="0049796D"/>
    <w:rsid w:val="00497B8D"/>
    <w:rsid w:val="00497DF5"/>
    <w:rsid w:val="004A02DC"/>
    <w:rsid w:val="004A0AD5"/>
    <w:rsid w:val="004A0E4F"/>
    <w:rsid w:val="004A0E5C"/>
    <w:rsid w:val="004A0EB2"/>
    <w:rsid w:val="004A0F33"/>
    <w:rsid w:val="004A112C"/>
    <w:rsid w:val="004A1176"/>
    <w:rsid w:val="004A1268"/>
    <w:rsid w:val="004A1374"/>
    <w:rsid w:val="004A1911"/>
    <w:rsid w:val="004A1E0D"/>
    <w:rsid w:val="004A1E50"/>
    <w:rsid w:val="004A1ECE"/>
    <w:rsid w:val="004A1EE8"/>
    <w:rsid w:val="004A1FFD"/>
    <w:rsid w:val="004A217F"/>
    <w:rsid w:val="004A2463"/>
    <w:rsid w:val="004A27C9"/>
    <w:rsid w:val="004A2B4D"/>
    <w:rsid w:val="004A2FD5"/>
    <w:rsid w:val="004A3174"/>
    <w:rsid w:val="004A351B"/>
    <w:rsid w:val="004A3A02"/>
    <w:rsid w:val="004A3DD4"/>
    <w:rsid w:val="004A4114"/>
    <w:rsid w:val="004A43DE"/>
    <w:rsid w:val="004A445C"/>
    <w:rsid w:val="004A4687"/>
    <w:rsid w:val="004A4A80"/>
    <w:rsid w:val="004A53B8"/>
    <w:rsid w:val="004A556B"/>
    <w:rsid w:val="004A5BF1"/>
    <w:rsid w:val="004A5F09"/>
    <w:rsid w:val="004A5F76"/>
    <w:rsid w:val="004A6070"/>
    <w:rsid w:val="004A6407"/>
    <w:rsid w:val="004A6594"/>
    <w:rsid w:val="004A6669"/>
    <w:rsid w:val="004A6E28"/>
    <w:rsid w:val="004A739D"/>
    <w:rsid w:val="004A7412"/>
    <w:rsid w:val="004A76FE"/>
    <w:rsid w:val="004A7BD8"/>
    <w:rsid w:val="004A7D66"/>
    <w:rsid w:val="004A7F76"/>
    <w:rsid w:val="004B0236"/>
    <w:rsid w:val="004B03B9"/>
    <w:rsid w:val="004B0712"/>
    <w:rsid w:val="004B07B1"/>
    <w:rsid w:val="004B0BD5"/>
    <w:rsid w:val="004B0EFE"/>
    <w:rsid w:val="004B12E2"/>
    <w:rsid w:val="004B1809"/>
    <w:rsid w:val="004B1928"/>
    <w:rsid w:val="004B1937"/>
    <w:rsid w:val="004B1E53"/>
    <w:rsid w:val="004B22DA"/>
    <w:rsid w:val="004B256A"/>
    <w:rsid w:val="004B25E0"/>
    <w:rsid w:val="004B2C61"/>
    <w:rsid w:val="004B2C87"/>
    <w:rsid w:val="004B30FE"/>
    <w:rsid w:val="004B3301"/>
    <w:rsid w:val="004B35F0"/>
    <w:rsid w:val="004B37AE"/>
    <w:rsid w:val="004B3832"/>
    <w:rsid w:val="004B39CB"/>
    <w:rsid w:val="004B40E3"/>
    <w:rsid w:val="004B4310"/>
    <w:rsid w:val="004B43F9"/>
    <w:rsid w:val="004B4C19"/>
    <w:rsid w:val="004B4D98"/>
    <w:rsid w:val="004B5176"/>
    <w:rsid w:val="004B5D79"/>
    <w:rsid w:val="004B6430"/>
    <w:rsid w:val="004B6B44"/>
    <w:rsid w:val="004B72D7"/>
    <w:rsid w:val="004B7368"/>
    <w:rsid w:val="004B79AA"/>
    <w:rsid w:val="004C019D"/>
    <w:rsid w:val="004C033D"/>
    <w:rsid w:val="004C0BF4"/>
    <w:rsid w:val="004C0CE4"/>
    <w:rsid w:val="004C0EAD"/>
    <w:rsid w:val="004C14A8"/>
    <w:rsid w:val="004C1EE6"/>
    <w:rsid w:val="004C2584"/>
    <w:rsid w:val="004C2887"/>
    <w:rsid w:val="004C2A41"/>
    <w:rsid w:val="004C2C6A"/>
    <w:rsid w:val="004C35BF"/>
    <w:rsid w:val="004C3DCC"/>
    <w:rsid w:val="004C4866"/>
    <w:rsid w:val="004C4939"/>
    <w:rsid w:val="004C4A88"/>
    <w:rsid w:val="004C4D93"/>
    <w:rsid w:val="004C4F96"/>
    <w:rsid w:val="004C50FC"/>
    <w:rsid w:val="004C51B4"/>
    <w:rsid w:val="004C558C"/>
    <w:rsid w:val="004C567C"/>
    <w:rsid w:val="004C571A"/>
    <w:rsid w:val="004C5877"/>
    <w:rsid w:val="004C659F"/>
    <w:rsid w:val="004C6D58"/>
    <w:rsid w:val="004C70EA"/>
    <w:rsid w:val="004C712B"/>
    <w:rsid w:val="004C76D5"/>
    <w:rsid w:val="004C7787"/>
    <w:rsid w:val="004C7F35"/>
    <w:rsid w:val="004D00E7"/>
    <w:rsid w:val="004D06C8"/>
    <w:rsid w:val="004D0C26"/>
    <w:rsid w:val="004D0EED"/>
    <w:rsid w:val="004D1291"/>
    <w:rsid w:val="004D12FD"/>
    <w:rsid w:val="004D142C"/>
    <w:rsid w:val="004D170F"/>
    <w:rsid w:val="004D1B9C"/>
    <w:rsid w:val="004D1C8E"/>
    <w:rsid w:val="004D260F"/>
    <w:rsid w:val="004D2CC8"/>
    <w:rsid w:val="004D2D12"/>
    <w:rsid w:val="004D2D58"/>
    <w:rsid w:val="004D3286"/>
    <w:rsid w:val="004D340E"/>
    <w:rsid w:val="004D3722"/>
    <w:rsid w:val="004D47C5"/>
    <w:rsid w:val="004D49FB"/>
    <w:rsid w:val="004D4AD5"/>
    <w:rsid w:val="004D4AE8"/>
    <w:rsid w:val="004D4BF4"/>
    <w:rsid w:val="004D4D2F"/>
    <w:rsid w:val="004D4F43"/>
    <w:rsid w:val="004D4F7B"/>
    <w:rsid w:val="004D500A"/>
    <w:rsid w:val="004D53E4"/>
    <w:rsid w:val="004D5552"/>
    <w:rsid w:val="004D5BDC"/>
    <w:rsid w:val="004D5BFB"/>
    <w:rsid w:val="004D5F74"/>
    <w:rsid w:val="004D5F8E"/>
    <w:rsid w:val="004D5F9E"/>
    <w:rsid w:val="004D5FDD"/>
    <w:rsid w:val="004D6165"/>
    <w:rsid w:val="004D62DA"/>
    <w:rsid w:val="004D69AC"/>
    <w:rsid w:val="004D746F"/>
    <w:rsid w:val="004D7B54"/>
    <w:rsid w:val="004D7C18"/>
    <w:rsid w:val="004E04F1"/>
    <w:rsid w:val="004E0AD1"/>
    <w:rsid w:val="004E1219"/>
    <w:rsid w:val="004E1A27"/>
    <w:rsid w:val="004E1F7D"/>
    <w:rsid w:val="004E2414"/>
    <w:rsid w:val="004E3DC3"/>
    <w:rsid w:val="004E4119"/>
    <w:rsid w:val="004E42D8"/>
    <w:rsid w:val="004E46DA"/>
    <w:rsid w:val="004E4837"/>
    <w:rsid w:val="004E4841"/>
    <w:rsid w:val="004E4A1C"/>
    <w:rsid w:val="004E4DF2"/>
    <w:rsid w:val="004E51CC"/>
    <w:rsid w:val="004E53EE"/>
    <w:rsid w:val="004E5B32"/>
    <w:rsid w:val="004E5D2E"/>
    <w:rsid w:val="004E6280"/>
    <w:rsid w:val="004E647B"/>
    <w:rsid w:val="004E6FA1"/>
    <w:rsid w:val="004E72E2"/>
    <w:rsid w:val="004E742F"/>
    <w:rsid w:val="004E7463"/>
    <w:rsid w:val="004E7613"/>
    <w:rsid w:val="004E76E6"/>
    <w:rsid w:val="004F02D4"/>
    <w:rsid w:val="004F06C7"/>
    <w:rsid w:val="004F09CC"/>
    <w:rsid w:val="004F0D15"/>
    <w:rsid w:val="004F0DC5"/>
    <w:rsid w:val="004F10A8"/>
    <w:rsid w:val="004F12F0"/>
    <w:rsid w:val="004F1440"/>
    <w:rsid w:val="004F15C5"/>
    <w:rsid w:val="004F166F"/>
    <w:rsid w:val="004F18AD"/>
    <w:rsid w:val="004F1CB3"/>
    <w:rsid w:val="004F2097"/>
    <w:rsid w:val="004F215C"/>
    <w:rsid w:val="004F21CA"/>
    <w:rsid w:val="004F2242"/>
    <w:rsid w:val="004F22F9"/>
    <w:rsid w:val="004F353C"/>
    <w:rsid w:val="004F354F"/>
    <w:rsid w:val="004F3556"/>
    <w:rsid w:val="004F367D"/>
    <w:rsid w:val="004F3C17"/>
    <w:rsid w:val="004F3F47"/>
    <w:rsid w:val="004F4635"/>
    <w:rsid w:val="004F4761"/>
    <w:rsid w:val="004F4F64"/>
    <w:rsid w:val="004F5198"/>
    <w:rsid w:val="004F51CE"/>
    <w:rsid w:val="004F5218"/>
    <w:rsid w:val="004F5260"/>
    <w:rsid w:val="004F5486"/>
    <w:rsid w:val="004F5B53"/>
    <w:rsid w:val="004F5B76"/>
    <w:rsid w:val="004F5E13"/>
    <w:rsid w:val="004F5F38"/>
    <w:rsid w:val="004F6B63"/>
    <w:rsid w:val="004F6D51"/>
    <w:rsid w:val="004F70AF"/>
    <w:rsid w:val="004F70CD"/>
    <w:rsid w:val="004F7167"/>
    <w:rsid w:val="004F7AA3"/>
    <w:rsid w:val="004F7C84"/>
    <w:rsid w:val="0050079D"/>
    <w:rsid w:val="00500812"/>
    <w:rsid w:val="0050092B"/>
    <w:rsid w:val="00500AA7"/>
    <w:rsid w:val="00500F71"/>
    <w:rsid w:val="00501084"/>
    <w:rsid w:val="00501ECF"/>
    <w:rsid w:val="00502140"/>
    <w:rsid w:val="00502675"/>
    <w:rsid w:val="00502702"/>
    <w:rsid w:val="005028F3"/>
    <w:rsid w:val="00502BD3"/>
    <w:rsid w:val="00502BE7"/>
    <w:rsid w:val="00502E89"/>
    <w:rsid w:val="00502F57"/>
    <w:rsid w:val="005034EA"/>
    <w:rsid w:val="0050378A"/>
    <w:rsid w:val="005038BA"/>
    <w:rsid w:val="00503A43"/>
    <w:rsid w:val="0050437A"/>
    <w:rsid w:val="00504BE4"/>
    <w:rsid w:val="00504E10"/>
    <w:rsid w:val="00505611"/>
    <w:rsid w:val="005058E2"/>
    <w:rsid w:val="00505C65"/>
    <w:rsid w:val="00505C6A"/>
    <w:rsid w:val="00505E6B"/>
    <w:rsid w:val="00505FE4"/>
    <w:rsid w:val="00506D59"/>
    <w:rsid w:val="00506FD0"/>
    <w:rsid w:val="0050748A"/>
    <w:rsid w:val="005077D6"/>
    <w:rsid w:val="005078D5"/>
    <w:rsid w:val="00507FDE"/>
    <w:rsid w:val="005103C3"/>
    <w:rsid w:val="005114F8"/>
    <w:rsid w:val="005115B1"/>
    <w:rsid w:val="00511AC7"/>
    <w:rsid w:val="00511BBB"/>
    <w:rsid w:val="00511D42"/>
    <w:rsid w:val="00511DE0"/>
    <w:rsid w:val="00511FE6"/>
    <w:rsid w:val="00512575"/>
    <w:rsid w:val="005125DE"/>
    <w:rsid w:val="00512632"/>
    <w:rsid w:val="0051380C"/>
    <w:rsid w:val="00513E21"/>
    <w:rsid w:val="00513F1F"/>
    <w:rsid w:val="00513F65"/>
    <w:rsid w:val="00513FA3"/>
    <w:rsid w:val="00514398"/>
    <w:rsid w:val="005145CD"/>
    <w:rsid w:val="00514826"/>
    <w:rsid w:val="0051498F"/>
    <w:rsid w:val="005149B8"/>
    <w:rsid w:val="00514AEF"/>
    <w:rsid w:val="005150FD"/>
    <w:rsid w:val="005155F0"/>
    <w:rsid w:val="00515CF6"/>
    <w:rsid w:val="00515E52"/>
    <w:rsid w:val="00515E5F"/>
    <w:rsid w:val="00516391"/>
    <w:rsid w:val="00516954"/>
    <w:rsid w:val="00516B27"/>
    <w:rsid w:val="00516ED2"/>
    <w:rsid w:val="00517010"/>
    <w:rsid w:val="00517103"/>
    <w:rsid w:val="005174B2"/>
    <w:rsid w:val="00517C43"/>
    <w:rsid w:val="00517E46"/>
    <w:rsid w:val="00520732"/>
    <w:rsid w:val="00520BE6"/>
    <w:rsid w:val="00520DCC"/>
    <w:rsid w:val="00520FCC"/>
    <w:rsid w:val="00521288"/>
    <w:rsid w:val="0052191C"/>
    <w:rsid w:val="00521A67"/>
    <w:rsid w:val="00521B14"/>
    <w:rsid w:val="00521CE1"/>
    <w:rsid w:val="00521CF5"/>
    <w:rsid w:val="00522157"/>
    <w:rsid w:val="0052218F"/>
    <w:rsid w:val="00522195"/>
    <w:rsid w:val="005223A8"/>
    <w:rsid w:val="0052274D"/>
    <w:rsid w:val="00522823"/>
    <w:rsid w:val="0052290C"/>
    <w:rsid w:val="00523037"/>
    <w:rsid w:val="00523B55"/>
    <w:rsid w:val="00523C69"/>
    <w:rsid w:val="0052410D"/>
    <w:rsid w:val="0052437B"/>
    <w:rsid w:val="00524636"/>
    <w:rsid w:val="0052466F"/>
    <w:rsid w:val="00524BE8"/>
    <w:rsid w:val="00524D7C"/>
    <w:rsid w:val="00525061"/>
    <w:rsid w:val="0052549D"/>
    <w:rsid w:val="005259C0"/>
    <w:rsid w:val="00525A47"/>
    <w:rsid w:val="00525C0D"/>
    <w:rsid w:val="00525D6E"/>
    <w:rsid w:val="00525E78"/>
    <w:rsid w:val="0052680B"/>
    <w:rsid w:val="0052744F"/>
    <w:rsid w:val="00527E7D"/>
    <w:rsid w:val="00527FB7"/>
    <w:rsid w:val="00530064"/>
    <w:rsid w:val="00530ED4"/>
    <w:rsid w:val="00530F5A"/>
    <w:rsid w:val="00531325"/>
    <w:rsid w:val="005316CB"/>
    <w:rsid w:val="00531BB7"/>
    <w:rsid w:val="00531D50"/>
    <w:rsid w:val="00531E5E"/>
    <w:rsid w:val="005320A9"/>
    <w:rsid w:val="00532345"/>
    <w:rsid w:val="00532534"/>
    <w:rsid w:val="00532E87"/>
    <w:rsid w:val="0053315F"/>
    <w:rsid w:val="00533165"/>
    <w:rsid w:val="0053339A"/>
    <w:rsid w:val="005337E4"/>
    <w:rsid w:val="00533A9C"/>
    <w:rsid w:val="00533B96"/>
    <w:rsid w:val="005341D3"/>
    <w:rsid w:val="0053432C"/>
    <w:rsid w:val="005347A5"/>
    <w:rsid w:val="005349EB"/>
    <w:rsid w:val="00535B01"/>
    <w:rsid w:val="00535CD8"/>
    <w:rsid w:val="00535D22"/>
    <w:rsid w:val="005360EC"/>
    <w:rsid w:val="0053639D"/>
    <w:rsid w:val="005369FB"/>
    <w:rsid w:val="00536C91"/>
    <w:rsid w:val="00536E3B"/>
    <w:rsid w:val="0053729E"/>
    <w:rsid w:val="005372E2"/>
    <w:rsid w:val="00537981"/>
    <w:rsid w:val="00537AB1"/>
    <w:rsid w:val="00537B3B"/>
    <w:rsid w:val="00537B42"/>
    <w:rsid w:val="00537E8F"/>
    <w:rsid w:val="0054006C"/>
    <w:rsid w:val="005400F2"/>
    <w:rsid w:val="0054033D"/>
    <w:rsid w:val="005406DE"/>
    <w:rsid w:val="0054081A"/>
    <w:rsid w:val="00540B3B"/>
    <w:rsid w:val="00541345"/>
    <w:rsid w:val="00541A2C"/>
    <w:rsid w:val="00541AEE"/>
    <w:rsid w:val="00541C21"/>
    <w:rsid w:val="005420BF"/>
    <w:rsid w:val="0054226D"/>
    <w:rsid w:val="005431A6"/>
    <w:rsid w:val="005438C1"/>
    <w:rsid w:val="005438CC"/>
    <w:rsid w:val="005439CE"/>
    <w:rsid w:val="00543C7B"/>
    <w:rsid w:val="005442CD"/>
    <w:rsid w:val="0054435D"/>
    <w:rsid w:val="00544413"/>
    <w:rsid w:val="0054466F"/>
    <w:rsid w:val="00545819"/>
    <w:rsid w:val="0054588B"/>
    <w:rsid w:val="00545C68"/>
    <w:rsid w:val="0054605A"/>
    <w:rsid w:val="0054607B"/>
    <w:rsid w:val="005460EA"/>
    <w:rsid w:val="005469A4"/>
    <w:rsid w:val="00546B5D"/>
    <w:rsid w:val="00546DB8"/>
    <w:rsid w:val="00546FB1"/>
    <w:rsid w:val="00547314"/>
    <w:rsid w:val="005478D6"/>
    <w:rsid w:val="005478F1"/>
    <w:rsid w:val="00547A1E"/>
    <w:rsid w:val="00547E49"/>
    <w:rsid w:val="005502F4"/>
    <w:rsid w:val="00550426"/>
    <w:rsid w:val="005505A6"/>
    <w:rsid w:val="00550B21"/>
    <w:rsid w:val="00550D9F"/>
    <w:rsid w:val="0055115C"/>
    <w:rsid w:val="00551AD3"/>
    <w:rsid w:val="00551F63"/>
    <w:rsid w:val="0055253D"/>
    <w:rsid w:val="00552D27"/>
    <w:rsid w:val="00552DE1"/>
    <w:rsid w:val="00552F02"/>
    <w:rsid w:val="00553352"/>
    <w:rsid w:val="00553890"/>
    <w:rsid w:val="00553A45"/>
    <w:rsid w:val="005548DF"/>
    <w:rsid w:val="00554BF0"/>
    <w:rsid w:val="00554EA7"/>
    <w:rsid w:val="00555E42"/>
    <w:rsid w:val="00556113"/>
    <w:rsid w:val="005562FC"/>
    <w:rsid w:val="0055684C"/>
    <w:rsid w:val="005568B4"/>
    <w:rsid w:val="00556AC9"/>
    <w:rsid w:val="00556E32"/>
    <w:rsid w:val="005578AF"/>
    <w:rsid w:val="00557D68"/>
    <w:rsid w:val="00557E70"/>
    <w:rsid w:val="00560C53"/>
    <w:rsid w:val="00560DEF"/>
    <w:rsid w:val="00561337"/>
    <w:rsid w:val="0056147B"/>
    <w:rsid w:val="005617E0"/>
    <w:rsid w:val="00561B6C"/>
    <w:rsid w:val="00561CFF"/>
    <w:rsid w:val="00561E57"/>
    <w:rsid w:val="00562058"/>
    <w:rsid w:val="005620DB"/>
    <w:rsid w:val="005624B8"/>
    <w:rsid w:val="00563610"/>
    <w:rsid w:val="0056438D"/>
    <w:rsid w:val="005647FA"/>
    <w:rsid w:val="00564DE7"/>
    <w:rsid w:val="005650AB"/>
    <w:rsid w:val="0056513F"/>
    <w:rsid w:val="00565230"/>
    <w:rsid w:val="00565331"/>
    <w:rsid w:val="0056539E"/>
    <w:rsid w:val="00565519"/>
    <w:rsid w:val="0056552F"/>
    <w:rsid w:val="00565658"/>
    <w:rsid w:val="00565800"/>
    <w:rsid w:val="00565DF0"/>
    <w:rsid w:val="00565EA5"/>
    <w:rsid w:val="00566300"/>
    <w:rsid w:val="0056632C"/>
    <w:rsid w:val="0056655A"/>
    <w:rsid w:val="005668F4"/>
    <w:rsid w:val="00566D44"/>
    <w:rsid w:val="00566E70"/>
    <w:rsid w:val="00566FE4"/>
    <w:rsid w:val="00567492"/>
    <w:rsid w:val="00567927"/>
    <w:rsid w:val="00567BCA"/>
    <w:rsid w:val="00567CE0"/>
    <w:rsid w:val="00567F85"/>
    <w:rsid w:val="00570537"/>
    <w:rsid w:val="0057076B"/>
    <w:rsid w:val="005709D4"/>
    <w:rsid w:val="00570AB8"/>
    <w:rsid w:val="00570E37"/>
    <w:rsid w:val="0057144F"/>
    <w:rsid w:val="005716E3"/>
    <w:rsid w:val="00571B92"/>
    <w:rsid w:val="00571FD8"/>
    <w:rsid w:val="00572C1E"/>
    <w:rsid w:val="00572F7D"/>
    <w:rsid w:val="005734FE"/>
    <w:rsid w:val="005736EA"/>
    <w:rsid w:val="00573AF7"/>
    <w:rsid w:val="00573BC4"/>
    <w:rsid w:val="00574333"/>
    <w:rsid w:val="005744B1"/>
    <w:rsid w:val="00574631"/>
    <w:rsid w:val="00574B00"/>
    <w:rsid w:val="005764E2"/>
    <w:rsid w:val="00576533"/>
    <w:rsid w:val="005766DD"/>
    <w:rsid w:val="0057686F"/>
    <w:rsid w:val="00576FA8"/>
    <w:rsid w:val="00577684"/>
    <w:rsid w:val="005779CA"/>
    <w:rsid w:val="00577A3A"/>
    <w:rsid w:val="005803A3"/>
    <w:rsid w:val="005804DE"/>
    <w:rsid w:val="00580852"/>
    <w:rsid w:val="00580A34"/>
    <w:rsid w:val="00580CB2"/>
    <w:rsid w:val="00580E7D"/>
    <w:rsid w:val="005810A0"/>
    <w:rsid w:val="005810CF"/>
    <w:rsid w:val="00581877"/>
    <w:rsid w:val="00581A87"/>
    <w:rsid w:val="00581C04"/>
    <w:rsid w:val="00581C73"/>
    <w:rsid w:val="0058223F"/>
    <w:rsid w:val="005827C4"/>
    <w:rsid w:val="005828E8"/>
    <w:rsid w:val="00583469"/>
    <w:rsid w:val="005838CC"/>
    <w:rsid w:val="005839E7"/>
    <w:rsid w:val="0058470C"/>
    <w:rsid w:val="005847EF"/>
    <w:rsid w:val="005849E7"/>
    <w:rsid w:val="00584AF9"/>
    <w:rsid w:val="00584C44"/>
    <w:rsid w:val="00584F3E"/>
    <w:rsid w:val="005852EC"/>
    <w:rsid w:val="005853D1"/>
    <w:rsid w:val="005854D9"/>
    <w:rsid w:val="005855EB"/>
    <w:rsid w:val="00585640"/>
    <w:rsid w:val="00585A46"/>
    <w:rsid w:val="00585C56"/>
    <w:rsid w:val="00586256"/>
    <w:rsid w:val="0058647F"/>
    <w:rsid w:val="00586BDC"/>
    <w:rsid w:val="0058708D"/>
    <w:rsid w:val="005872A6"/>
    <w:rsid w:val="00587C33"/>
    <w:rsid w:val="005903A9"/>
    <w:rsid w:val="005907AE"/>
    <w:rsid w:val="005907B1"/>
    <w:rsid w:val="0059098F"/>
    <w:rsid w:val="00591636"/>
    <w:rsid w:val="00591C6B"/>
    <w:rsid w:val="00592244"/>
    <w:rsid w:val="0059305A"/>
    <w:rsid w:val="00593406"/>
    <w:rsid w:val="0059362E"/>
    <w:rsid w:val="0059362F"/>
    <w:rsid w:val="00593AC8"/>
    <w:rsid w:val="00593C4D"/>
    <w:rsid w:val="00594730"/>
    <w:rsid w:val="00594A95"/>
    <w:rsid w:val="00594BFD"/>
    <w:rsid w:val="00594F3C"/>
    <w:rsid w:val="0059540F"/>
    <w:rsid w:val="00595B14"/>
    <w:rsid w:val="00596076"/>
    <w:rsid w:val="005960F5"/>
    <w:rsid w:val="005961BA"/>
    <w:rsid w:val="0059621C"/>
    <w:rsid w:val="005964E2"/>
    <w:rsid w:val="005966C2"/>
    <w:rsid w:val="00596C9A"/>
    <w:rsid w:val="00596E66"/>
    <w:rsid w:val="00596F78"/>
    <w:rsid w:val="00597089"/>
    <w:rsid w:val="00597711"/>
    <w:rsid w:val="00597ACB"/>
    <w:rsid w:val="005A0B5A"/>
    <w:rsid w:val="005A0C16"/>
    <w:rsid w:val="005A0D41"/>
    <w:rsid w:val="005A132D"/>
    <w:rsid w:val="005A21E7"/>
    <w:rsid w:val="005A2378"/>
    <w:rsid w:val="005A2491"/>
    <w:rsid w:val="005A25FD"/>
    <w:rsid w:val="005A29C2"/>
    <w:rsid w:val="005A2A3D"/>
    <w:rsid w:val="005A2C98"/>
    <w:rsid w:val="005A34A6"/>
    <w:rsid w:val="005A3904"/>
    <w:rsid w:val="005A3CB7"/>
    <w:rsid w:val="005A3D8C"/>
    <w:rsid w:val="005A41DF"/>
    <w:rsid w:val="005A4516"/>
    <w:rsid w:val="005A4B43"/>
    <w:rsid w:val="005A4C3C"/>
    <w:rsid w:val="005A4CEE"/>
    <w:rsid w:val="005A61A8"/>
    <w:rsid w:val="005A65F4"/>
    <w:rsid w:val="005A7104"/>
    <w:rsid w:val="005A7117"/>
    <w:rsid w:val="005A727F"/>
    <w:rsid w:val="005A7C81"/>
    <w:rsid w:val="005A7DB6"/>
    <w:rsid w:val="005B0076"/>
    <w:rsid w:val="005B0D40"/>
    <w:rsid w:val="005B0D8E"/>
    <w:rsid w:val="005B0EA6"/>
    <w:rsid w:val="005B1B24"/>
    <w:rsid w:val="005B1BD3"/>
    <w:rsid w:val="005B1E7F"/>
    <w:rsid w:val="005B20AF"/>
    <w:rsid w:val="005B21E1"/>
    <w:rsid w:val="005B2338"/>
    <w:rsid w:val="005B24B0"/>
    <w:rsid w:val="005B26D3"/>
    <w:rsid w:val="005B2BCF"/>
    <w:rsid w:val="005B2D4B"/>
    <w:rsid w:val="005B2ECA"/>
    <w:rsid w:val="005B3161"/>
    <w:rsid w:val="005B34D1"/>
    <w:rsid w:val="005B35A8"/>
    <w:rsid w:val="005B3ACE"/>
    <w:rsid w:val="005B3C7F"/>
    <w:rsid w:val="005B402D"/>
    <w:rsid w:val="005B4293"/>
    <w:rsid w:val="005B46FF"/>
    <w:rsid w:val="005B4CFF"/>
    <w:rsid w:val="005B5AFE"/>
    <w:rsid w:val="005B5C34"/>
    <w:rsid w:val="005B5F7F"/>
    <w:rsid w:val="005B68D3"/>
    <w:rsid w:val="005B699A"/>
    <w:rsid w:val="005B71EB"/>
    <w:rsid w:val="005B7339"/>
    <w:rsid w:val="005B76CD"/>
    <w:rsid w:val="005B7A18"/>
    <w:rsid w:val="005B7B10"/>
    <w:rsid w:val="005B7BBB"/>
    <w:rsid w:val="005C010B"/>
    <w:rsid w:val="005C03FD"/>
    <w:rsid w:val="005C0532"/>
    <w:rsid w:val="005C06B6"/>
    <w:rsid w:val="005C088A"/>
    <w:rsid w:val="005C0A08"/>
    <w:rsid w:val="005C0F88"/>
    <w:rsid w:val="005C1050"/>
    <w:rsid w:val="005C1161"/>
    <w:rsid w:val="005C1307"/>
    <w:rsid w:val="005C1E19"/>
    <w:rsid w:val="005C2348"/>
    <w:rsid w:val="005C24ED"/>
    <w:rsid w:val="005C258B"/>
    <w:rsid w:val="005C2936"/>
    <w:rsid w:val="005C2A45"/>
    <w:rsid w:val="005C2C2A"/>
    <w:rsid w:val="005C3079"/>
    <w:rsid w:val="005C3151"/>
    <w:rsid w:val="005C3293"/>
    <w:rsid w:val="005C3402"/>
    <w:rsid w:val="005C3803"/>
    <w:rsid w:val="005C39AE"/>
    <w:rsid w:val="005C3D63"/>
    <w:rsid w:val="005C43AB"/>
    <w:rsid w:val="005C49A6"/>
    <w:rsid w:val="005C4C46"/>
    <w:rsid w:val="005C4D69"/>
    <w:rsid w:val="005C56EC"/>
    <w:rsid w:val="005C5D94"/>
    <w:rsid w:val="005C5E76"/>
    <w:rsid w:val="005C62B9"/>
    <w:rsid w:val="005C64F2"/>
    <w:rsid w:val="005C6592"/>
    <w:rsid w:val="005C6F84"/>
    <w:rsid w:val="005C6FF3"/>
    <w:rsid w:val="005C730B"/>
    <w:rsid w:val="005C730E"/>
    <w:rsid w:val="005C74AC"/>
    <w:rsid w:val="005C7983"/>
    <w:rsid w:val="005C7E2D"/>
    <w:rsid w:val="005D0281"/>
    <w:rsid w:val="005D0672"/>
    <w:rsid w:val="005D06EC"/>
    <w:rsid w:val="005D0B98"/>
    <w:rsid w:val="005D0FF6"/>
    <w:rsid w:val="005D10B8"/>
    <w:rsid w:val="005D1206"/>
    <w:rsid w:val="005D13A2"/>
    <w:rsid w:val="005D188A"/>
    <w:rsid w:val="005D19B5"/>
    <w:rsid w:val="005D1C0C"/>
    <w:rsid w:val="005D1F44"/>
    <w:rsid w:val="005D209B"/>
    <w:rsid w:val="005D2486"/>
    <w:rsid w:val="005D273E"/>
    <w:rsid w:val="005D2777"/>
    <w:rsid w:val="005D2AF1"/>
    <w:rsid w:val="005D2B11"/>
    <w:rsid w:val="005D2C43"/>
    <w:rsid w:val="005D3861"/>
    <w:rsid w:val="005D394A"/>
    <w:rsid w:val="005D3A48"/>
    <w:rsid w:val="005D47AA"/>
    <w:rsid w:val="005D4A85"/>
    <w:rsid w:val="005D54BD"/>
    <w:rsid w:val="005D5501"/>
    <w:rsid w:val="005D5926"/>
    <w:rsid w:val="005D5D34"/>
    <w:rsid w:val="005D614C"/>
    <w:rsid w:val="005D6918"/>
    <w:rsid w:val="005D7398"/>
    <w:rsid w:val="005D75FC"/>
    <w:rsid w:val="005D77F1"/>
    <w:rsid w:val="005D7956"/>
    <w:rsid w:val="005D7B26"/>
    <w:rsid w:val="005E00D8"/>
    <w:rsid w:val="005E01BC"/>
    <w:rsid w:val="005E0441"/>
    <w:rsid w:val="005E0632"/>
    <w:rsid w:val="005E123A"/>
    <w:rsid w:val="005E12B8"/>
    <w:rsid w:val="005E1681"/>
    <w:rsid w:val="005E17F7"/>
    <w:rsid w:val="005E185D"/>
    <w:rsid w:val="005E1A17"/>
    <w:rsid w:val="005E1CAD"/>
    <w:rsid w:val="005E2104"/>
    <w:rsid w:val="005E2252"/>
    <w:rsid w:val="005E242B"/>
    <w:rsid w:val="005E2575"/>
    <w:rsid w:val="005E27BE"/>
    <w:rsid w:val="005E2CA1"/>
    <w:rsid w:val="005E37CF"/>
    <w:rsid w:val="005E3CC4"/>
    <w:rsid w:val="005E3CCD"/>
    <w:rsid w:val="005E3E27"/>
    <w:rsid w:val="005E407A"/>
    <w:rsid w:val="005E4080"/>
    <w:rsid w:val="005E415B"/>
    <w:rsid w:val="005E433C"/>
    <w:rsid w:val="005E44E5"/>
    <w:rsid w:val="005E4524"/>
    <w:rsid w:val="005E4608"/>
    <w:rsid w:val="005E4818"/>
    <w:rsid w:val="005E4AD3"/>
    <w:rsid w:val="005E4C22"/>
    <w:rsid w:val="005E4DD8"/>
    <w:rsid w:val="005E5893"/>
    <w:rsid w:val="005E5A12"/>
    <w:rsid w:val="005E5D52"/>
    <w:rsid w:val="005E60E8"/>
    <w:rsid w:val="005E62CB"/>
    <w:rsid w:val="005E6368"/>
    <w:rsid w:val="005E6539"/>
    <w:rsid w:val="005E6CCE"/>
    <w:rsid w:val="005E6DF0"/>
    <w:rsid w:val="005E702B"/>
    <w:rsid w:val="005E78D3"/>
    <w:rsid w:val="005E7951"/>
    <w:rsid w:val="005E79FD"/>
    <w:rsid w:val="005E7C63"/>
    <w:rsid w:val="005E7CA4"/>
    <w:rsid w:val="005E7DA9"/>
    <w:rsid w:val="005E7E52"/>
    <w:rsid w:val="005F03C4"/>
    <w:rsid w:val="005F0960"/>
    <w:rsid w:val="005F0ABF"/>
    <w:rsid w:val="005F13C8"/>
    <w:rsid w:val="005F1613"/>
    <w:rsid w:val="005F190D"/>
    <w:rsid w:val="005F1B77"/>
    <w:rsid w:val="005F1D36"/>
    <w:rsid w:val="005F2080"/>
    <w:rsid w:val="005F27AD"/>
    <w:rsid w:val="005F2B9B"/>
    <w:rsid w:val="005F2CAE"/>
    <w:rsid w:val="005F2DB1"/>
    <w:rsid w:val="005F31E0"/>
    <w:rsid w:val="005F31FF"/>
    <w:rsid w:val="005F3362"/>
    <w:rsid w:val="005F356A"/>
    <w:rsid w:val="005F39C7"/>
    <w:rsid w:val="005F3D18"/>
    <w:rsid w:val="005F45D4"/>
    <w:rsid w:val="005F53C6"/>
    <w:rsid w:val="005F65EF"/>
    <w:rsid w:val="005F691A"/>
    <w:rsid w:val="005F6E18"/>
    <w:rsid w:val="005F6E52"/>
    <w:rsid w:val="005F703A"/>
    <w:rsid w:val="005F70EA"/>
    <w:rsid w:val="005F7558"/>
    <w:rsid w:val="005F775E"/>
    <w:rsid w:val="005F7B8E"/>
    <w:rsid w:val="00600167"/>
    <w:rsid w:val="00600255"/>
    <w:rsid w:val="006003F2"/>
    <w:rsid w:val="00600806"/>
    <w:rsid w:val="00600F36"/>
    <w:rsid w:val="0060123D"/>
    <w:rsid w:val="00601553"/>
    <w:rsid w:val="006015B1"/>
    <w:rsid w:val="0060164B"/>
    <w:rsid w:val="00601AC1"/>
    <w:rsid w:val="00601BB8"/>
    <w:rsid w:val="00601EEF"/>
    <w:rsid w:val="00602507"/>
    <w:rsid w:val="006027E4"/>
    <w:rsid w:val="00602AB7"/>
    <w:rsid w:val="00603586"/>
    <w:rsid w:val="00603983"/>
    <w:rsid w:val="006039F1"/>
    <w:rsid w:val="00603E58"/>
    <w:rsid w:val="00604185"/>
    <w:rsid w:val="006049D4"/>
    <w:rsid w:val="00604E63"/>
    <w:rsid w:val="00604FBC"/>
    <w:rsid w:val="0060519A"/>
    <w:rsid w:val="00605284"/>
    <w:rsid w:val="00605757"/>
    <w:rsid w:val="00605CF4"/>
    <w:rsid w:val="00605F58"/>
    <w:rsid w:val="00606196"/>
    <w:rsid w:val="006069D9"/>
    <w:rsid w:val="00606E8B"/>
    <w:rsid w:val="00606EDD"/>
    <w:rsid w:val="0060716F"/>
    <w:rsid w:val="006074D9"/>
    <w:rsid w:val="00607E31"/>
    <w:rsid w:val="00607E96"/>
    <w:rsid w:val="00607FF0"/>
    <w:rsid w:val="006100C4"/>
    <w:rsid w:val="006104CD"/>
    <w:rsid w:val="00610A3B"/>
    <w:rsid w:val="00610AE5"/>
    <w:rsid w:val="00610BBB"/>
    <w:rsid w:val="00611044"/>
    <w:rsid w:val="006111CD"/>
    <w:rsid w:val="00611B6C"/>
    <w:rsid w:val="006122B6"/>
    <w:rsid w:val="0061252E"/>
    <w:rsid w:val="0061267F"/>
    <w:rsid w:val="006126E1"/>
    <w:rsid w:val="00612C3D"/>
    <w:rsid w:val="00612C5A"/>
    <w:rsid w:val="00612C71"/>
    <w:rsid w:val="00612F3A"/>
    <w:rsid w:val="00613017"/>
    <w:rsid w:val="00613252"/>
    <w:rsid w:val="00613BFC"/>
    <w:rsid w:val="00614464"/>
    <w:rsid w:val="00614651"/>
    <w:rsid w:val="00614968"/>
    <w:rsid w:val="006152AD"/>
    <w:rsid w:val="00615EDD"/>
    <w:rsid w:val="0061610C"/>
    <w:rsid w:val="006163EA"/>
    <w:rsid w:val="0061651D"/>
    <w:rsid w:val="00616659"/>
    <w:rsid w:val="00616797"/>
    <w:rsid w:val="0061713E"/>
    <w:rsid w:val="006171A1"/>
    <w:rsid w:val="0061742A"/>
    <w:rsid w:val="00617486"/>
    <w:rsid w:val="006177F6"/>
    <w:rsid w:val="00617ABF"/>
    <w:rsid w:val="00620141"/>
    <w:rsid w:val="00621093"/>
    <w:rsid w:val="00621136"/>
    <w:rsid w:val="00621C80"/>
    <w:rsid w:val="00621F95"/>
    <w:rsid w:val="0062237F"/>
    <w:rsid w:val="00624433"/>
    <w:rsid w:val="00624C28"/>
    <w:rsid w:val="00624E41"/>
    <w:rsid w:val="00625078"/>
    <w:rsid w:val="006250C9"/>
    <w:rsid w:val="00625209"/>
    <w:rsid w:val="00625378"/>
    <w:rsid w:val="0062590E"/>
    <w:rsid w:val="00625ADD"/>
    <w:rsid w:val="00625EF5"/>
    <w:rsid w:val="006260DE"/>
    <w:rsid w:val="006261B8"/>
    <w:rsid w:val="00626213"/>
    <w:rsid w:val="0062694C"/>
    <w:rsid w:val="006272A7"/>
    <w:rsid w:val="00627478"/>
    <w:rsid w:val="006274F6"/>
    <w:rsid w:val="00627653"/>
    <w:rsid w:val="00627F24"/>
    <w:rsid w:val="00630020"/>
    <w:rsid w:val="00630193"/>
    <w:rsid w:val="00630391"/>
    <w:rsid w:val="00630521"/>
    <w:rsid w:val="00630633"/>
    <w:rsid w:val="006306A5"/>
    <w:rsid w:val="0063079C"/>
    <w:rsid w:val="00630A0B"/>
    <w:rsid w:val="00630F84"/>
    <w:rsid w:val="0063157B"/>
    <w:rsid w:val="00631592"/>
    <w:rsid w:val="00631681"/>
    <w:rsid w:val="006316C1"/>
    <w:rsid w:val="00631924"/>
    <w:rsid w:val="00631A80"/>
    <w:rsid w:val="00631C08"/>
    <w:rsid w:val="00632660"/>
    <w:rsid w:val="0063297D"/>
    <w:rsid w:val="00632A09"/>
    <w:rsid w:val="00633137"/>
    <w:rsid w:val="006331A3"/>
    <w:rsid w:val="00633315"/>
    <w:rsid w:val="006334F8"/>
    <w:rsid w:val="0063351E"/>
    <w:rsid w:val="006336FE"/>
    <w:rsid w:val="006338A1"/>
    <w:rsid w:val="006339A6"/>
    <w:rsid w:val="00633CC7"/>
    <w:rsid w:val="00633DE7"/>
    <w:rsid w:val="00633F03"/>
    <w:rsid w:val="00633F9F"/>
    <w:rsid w:val="0063416F"/>
    <w:rsid w:val="0063426F"/>
    <w:rsid w:val="00635F87"/>
    <w:rsid w:val="00636005"/>
    <w:rsid w:val="00636014"/>
    <w:rsid w:val="006365E6"/>
    <w:rsid w:val="00636749"/>
    <w:rsid w:val="006367B0"/>
    <w:rsid w:val="006367BB"/>
    <w:rsid w:val="00637E3E"/>
    <w:rsid w:val="006405D0"/>
    <w:rsid w:val="0064120D"/>
    <w:rsid w:val="0064141F"/>
    <w:rsid w:val="00641E29"/>
    <w:rsid w:val="00641E80"/>
    <w:rsid w:val="00642038"/>
    <w:rsid w:val="00642082"/>
    <w:rsid w:val="0064235A"/>
    <w:rsid w:val="0064235F"/>
    <w:rsid w:val="006429E0"/>
    <w:rsid w:val="00642C1C"/>
    <w:rsid w:val="00642DE5"/>
    <w:rsid w:val="00642FE1"/>
    <w:rsid w:val="0064398F"/>
    <w:rsid w:val="006439A4"/>
    <w:rsid w:val="00643C95"/>
    <w:rsid w:val="00644090"/>
    <w:rsid w:val="00644DA7"/>
    <w:rsid w:val="00644E3D"/>
    <w:rsid w:val="00644E5B"/>
    <w:rsid w:val="00645301"/>
    <w:rsid w:val="006455F9"/>
    <w:rsid w:val="0064623B"/>
    <w:rsid w:val="00646DD6"/>
    <w:rsid w:val="006470B1"/>
    <w:rsid w:val="006472E5"/>
    <w:rsid w:val="0064759D"/>
    <w:rsid w:val="0064777B"/>
    <w:rsid w:val="0064799D"/>
    <w:rsid w:val="00647B47"/>
    <w:rsid w:val="0065083D"/>
    <w:rsid w:val="0065095D"/>
    <w:rsid w:val="00650C20"/>
    <w:rsid w:val="00650D69"/>
    <w:rsid w:val="006511A1"/>
    <w:rsid w:val="006513B3"/>
    <w:rsid w:val="0065177C"/>
    <w:rsid w:val="00651E78"/>
    <w:rsid w:val="00652076"/>
    <w:rsid w:val="00652A95"/>
    <w:rsid w:val="00652BD6"/>
    <w:rsid w:val="00653B79"/>
    <w:rsid w:val="00653B8B"/>
    <w:rsid w:val="00654351"/>
    <w:rsid w:val="00654C4E"/>
    <w:rsid w:val="00654C51"/>
    <w:rsid w:val="00654E31"/>
    <w:rsid w:val="00655519"/>
    <w:rsid w:val="0065567E"/>
    <w:rsid w:val="0065580A"/>
    <w:rsid w:val="0065619C"/>
    <w:rsid w:val="0065674B"/>
    <w:rsid w:val="0065681C"/>
    <w:rsid w:val="00656A5B"/>
    <w:rsid w:val="00656A81"/>
    <w:rsid w:val="00656D3C"/>
    <w:rsid w:val="0065719E"/>
    <w:rsid w:val="00657321"/>
    <w:rsid w:val="00657C36"/>
    <w:rsid w:val="00657C4F"/>
    <w:rsid w:val="00660489"/>
    <w:rsid w:val="006607AD"/>
    <w:rsid w:val="00660E6E"/>
    <w:rsid w:val="006618AD"/>
    <w:rsid w:val="006619FA"/>
    <w:rsid w:val="00661A21"/>
    <w:rsid w:val="00662737"/>
    <w:rsid w:val="006628B7"/>
    <w:rsid w:val="00662DD0"/>
    <w:rsid w:val="0066319F"/>
    <w:rsid w:val="006637FD"/>
    <w:rsid w:val="00663C7B"/>
    <w:rsid w:val="006641ED"/>
    <w:rsid w:val="00664316"/>
    <w:rsid w:val="006644E2"/>
    <w:rsid w:val="00664521"/>
    <w:rsid w:val="00664A1E"/>
    <w:rsid w:val="00664DF0"/>
    <w:rsid w:val="00664E3A"/>
    <w:rsid w:val="006652CC"/>
    <w:rsid w:val="00665F12"/>
    <w:rsid w:val="006666C1"/>
    <w:rsid w:val="006667A1"/>
    <w:rsid w:val="00666B5B"/>
    <w:rsid w:val="00666C70"/>
    <w:rsid w:val="00667DDA"/>
    <w:rsid w:val="00670095"/>
    <w:rsid w:val="0067015F"/>
    <w:rsid w:val="006704C6"/>
    <w:rsid w:val="006709D3"/>
    <w:rsid w:val="006709D7"/>
    <w:rsid w:val="00670D06"/>
    <w:rsid w:val="00670D66"/>
    <w:rsid w:val="00670D89"/>
    <w:rsid w:val="00671A2F"/>
    <w:rsid w:val="00671F51"/>
    <w:rsid w:val="006723E7"/>
    <w:rsid w:val="006724AE"/>
    <w:rsid w:val="006728C9"/>
    <w:rsid w:val="006729FB"/>
    <w:rsid w:val="00673667"/>
    <w:rsid w:val="00673DCD"/>
    <w:rsid w:val="00673E2C"/>
    <w:rsid w:val="00674070"/>
    <w:rsid w:val="00674560"/>
    <w:rsid w:val="006746B1"/>
    <w:rsid w:val="00674E9F"/>
    <w:rsid w:val="00674F53"/>
    <w:rsid w:val="00675D2C"/>
    <w:rsid w:val="00675E30"/>
    <w:rsid w:val="00675FB5"/>
    <w:rsid w:val="006769F2"/>
    <w:rsid w:val="00676ACC"/>
    <w:rsid w:val="00676B34"/>
    <w:rsid w:val="00676D6C"/>
    <w:rsid w:val="00677157"/>
    <w:rsid w:val="006774B4"/>
    <w:rsid w:val="0067775E"/>
    <w:rsid w:val="006777C9"/>
    <w:rsid w:val="00677825"/>
    <w:rsid w:val="00680D07"/>
    <w:rsid w:val="00680D46"/>
    <w:rsid w:val="0068113B"/>
    <w:rsid w:val="006814F9"/>
    <w:rsid w:val="00681677"/>
    <w:rsid w:val="006816F8"/>
    <w:rsid w:val="006825B9"/>
    <w:rsid w:val="00682A8B"/>
    <w:rsid w:val="00682F58"/>
    <w:rsid w:val="00683067"/>
    <w:rsid w:val="00683078"/>
    <w:rsid w:val="006838A6"/>
    <w:rsid w:val="00684113"/>
    <w:rsid w:val="006845C4"/>
    <w:rsid w:val="00684718"/>
    <w:rsid w:val="00684797"/>
    <w:rsid w:val="00684B79"/>
    <w:rsid w:val="006851B3"/>
    <w:rsid w:val="00685275"/>
    <w:rsid w:val="00685AC8"/>
    <w:rsid w:val="00685E13"/>
    <w:rsid w:val="00685F2E"/>
    <w:rsid w:val="00686259"/>
    <w:rsid w:val="006864AE"/>
    <w:rsid w:val="006867AF"/>
    <w:rsid w:val="00686A49"/>
    <w:rsid w:val="00686B80"/>
    <w:rsid w:val="00687862"/>
    <w:rsid w:val="00687A66"/>
    <w:rsid w:val="00687D25"/>
    <w:rsid w:val="00687D73"/>
    <w:rsid w:val="00687E0E"/>
    <w:rsid w:val="00687EA1"/>
    <w:rsid w:val="0069039E"/>
    <w:rsid w:val="006908C0"/>
    <w:rsid w:val="00690B0D"/>
    <w:rsid w:val="00691673"/>
    <w:rsid w:val="00691695"/>
    <w:rsid w:val="00691C8F"/>
    <w:rsid w:val="00691DEF"/>
    <w:rsid w:val="00691F55"/>
    <w:rsid w:val="00691F7D"/>
    <w:rsid w:val="00692166"/>
    <w:rsid w:val="006927AB"/>
    <w:rsid w:val="0069283D"/>
    <w:rsid w:val="0069328A"/>
    <w:rsid w:val="0069331C"/>
    <w:rsid w:val="00693B8A"/>
    <w:rsid w:val="00693E57"/>
    <w:rsid w:val="00693E81"/>
    <w:rsid w:val="0069447A"/>
    <w:rsid w:val="00694583"/>
    <w:rsid w:val="0069473D"/>
    <w:rsid w:val="00694914"/>
    <w:rsid w:val="00694CA9"/>
    <w:rsid w:val="0069524D"/>
    <w:rsid w:val="0069556D"/>
    <w:rsid w:val="00695AFA"/>
    <w:rsid w:val="00695D4D"/>
    <w:rsid w:val="00695EF1"/>
    <w:rsid w:val="00695F9F"/>
    <w:rsid w:val="006960BC"/>
    <w:rsid w:val="006962D4"/>
    <w:rsid w:val="006963C3"/>
    <w:rsid w:val="006967BC"/>
    <w:rsid w:val="006967C5"/>
    <w:rsid w:val="00696BD2"/>
    <w:rsid w:val="006973C0"/>
    <w:rsid w:val="00697A4D"/>
    <w:rsid w:val="00697E77"/>
    <w:rsid w:val="00697F08"/>
    <w:rsid w:val="006A0077"/>
    <w:rsid w:val="006A031B"/>
    <w:rsid w:val="006A0320"/>
    <w:rsid w:val="006A073B"/>
    <w:rsid w:val="006A07AB"/>
    <w:rsid w:val="006A0C60"/>
    <w:rsid w:val="006A0D67"/>
    <w:rsid w:val="006A2227"/>
    <w:rsid w:val="006A2587"/>
    <w:rsid w:val="006A2D09"/>
    <w:rsid w:val="006A2F9B"/>
    <w:rsid w:val="006A3364"/>
    <w:rsid w:val="006A3CB9"/>
    <w:rsid w:val="006A3D7A"/>
    <w:rsid w:val="006A3EE4"/>
    <w:rsid w:val="006A3EF4"/>
    <w:rsid w:val="006A3F40"/>
    <w:rsid w:val="006A45B7"/>
    <w:rsid w:val="006A49F0"/>
    <w:rsid w:val="006A4B2B"/>
    <w:rsid w:val="006A4BA5"/>
    <w:rsid w:val="006A5563"/>
    <w:rsid w:val="006A55BE"/>
    <w:rsid w:val="006A5C37"/>
    <w:rsid w:val="006A5CE2"/>
    <w:rsid w:val="006A5DD0"/>
    <w:rsid w:val="006A66CF"/>
    <w:rsid w:val="006A6BCB"/>
    <w:rsid w:val="006A6BD6"/>
    <w:rsid w:val="006A6FAC"/>
    <w:rsid w:val="006A7062"/>
    <w:rsid w:val="006A75A6"/>
    <w:rsid w:val="006B050E"/>
    <w:rsid w:val="006B0740"/>
    <w:rsid w:val="006B0A86"/>
    <w:rsid w:val="006B0C5C"/>
    <w:rsid w:val="006B0D96"/>
    <w:rsid w:val="006B0E30"/>
    <w:rsid w:val="006B111F"/>
    <w:rsid w:val="006B130F"/>
    <w:rsid w:val="006B1524"/>
    <w:rsid w:val="006B159B"/>
    <w:rsid w:val="006B1A4A"/>
    <w:rsid w:val="006B2CBF"/>
    <w:rsid w:val="006B312F"/>
    <w:rsid w:val="006B3614"/>
    <w:rsid w:val="006B373C"/>
    <w:rsid w:val="006B398F"/>
    <w:rsid w:val="006B3E42"/>
    <w:rsid w:val="006B400C"/>
    <w:rsid w:val="006B4BE2"/>
    <w:rsid w:val="006B4E6E"/>
    <w:rsid w:val="006B4EF5"/>
    <w:rsid w:val="006B5202"/>
    <w:rsid w:val="006B54CA"/>
    <w:rsid w:val="006B55B9"/>
    <w:rsid w:val="006B5EF9"/>
    <w:rsid w:val="006B6070"/>
    <w:rsid w:val="006B6077"/>
    <w:rsid w:val="006B6087"/>
    <w:rsid w:val="006B61A8"/>
    <w:rsid w:val="006B68EF"/>
    <w:rsid w:val="006B696D"/>
    <w:rsid w:val="006B6A48"/>
    <w:rsid w:val="006B6F90"/>
    <w:rsid w:val="006B6FAE"/>
    <w:rsid w:val="006B70F9"/>
    <w:rsid w:val="006B77C0"/>
    <w:rsid w:val="006C05C9"/>
    <w:rsid w:val="006C096D"/>
    <w:rsid w:val="006C192D"/>
    <w:rsid w:val="006C22CB"/>
    <w:rsid w:val="006C2354"/>
    <w:rsid w:val="006C290B"/>
    <w:rsid w:val="006C2D09"/>
    <w:rsid w:val="006C2DB8"/>
    <w:rsid w:val="006C2EDC"/>
    <w:rsid w:val="006C300F"/>
    <w:rsid w:val="006C37B9"/>
    <w:rsid w:val="006C3E0E"/>
    <w:rsid w:val="006C418A"/>
    <w:rsid w:val="006C4212"/>
    <w:rsid w:val="006C4303"/>
    <w:rsid w:val="006C4350"/>
    <w:rsid w:val="006C44D6"/>
    <w:rsid w:val="006C4E2D"/>
    <w:rsid w:val="006C5193"/>
    <w:rsid w:val="006C5726"/>
    <w:rsid w:val="006C57A6"/>
    <w:rsid w:val="006C5877"/>
    <w:rsid w:val="006C5AF8"/>
    <w:rsid w:val="006C5C88"/>
    <w:rsid w:val="006C5DA0"/>
    <w:rsid w:val="006C61AD"/>
    <w:rsid w:val="006C6285"/>
    <w:rsid w:val="006C62A1"/>
    <w:rsid w:val="006C6627"/>
    <w:rsid w:val="006C6C94"/>
    <w:rsid w:val="006C7211"/>
    <w:rsid w:val="006C77DB"/>
    <w:rsid w:val="006C79EA"/>
    <w:rsid w:val="006C7A08"/>
    <w:rsid w:val="006D044D"/>
    <w:rsid w:val="006D0AE4"/>
    <w:rsid w:val="006D10EF"/>
    <w:rsid w:val="006D14AB"/>
    <w:rsid w:val="006D1585"/>
    <w:rsid w:val="006D1966"/>
    <w:rsid w:val="006D1E0E"/>
    <w:rsid w:val="006D23CB"/>
    <w:rsid w:val="006D2417"/>
    <w:rsid w:val="006D2FAD"/>
    <w:rsid w:val="006D3BDF"/>
    <w:rsid w:val="006D4465"/>
    <w:rsid w:val="006D459C"/>
    <w:rsid w:val="006D4793"/>
    <w:rsid w:val="006D4DF2"/>
    <w:rsid w:val="006D5017"/>
    <w:rsid w:val="006D5255"/>
    <w:rsid w:val="006D564E"/>
    <w:rsid w:val="006D5907"/>
    <w:rsid w:val="006D5AFF"/>
    <w:rsid w:val="006D5D08"/>
    <w:rsid w:val="006D66B9"/>
    <w:rsid w:val="006D6BC3"/>
    <w:rsid w:val="006D6E4E"/>
    <w:rsid w:val="006D7B5B"/>
    <w:rsid w:val="006D7BB3"/>
    <w:rsid w:val="006D7F40"/>
    <w:rsid w:val="006E06CE"/>
    <w:rsid w:val="006E1F3D"/>
    <w:rsid w:val="006E20E1"/>
    <w:rsid w:val="006E2128"/>
    <w:rsid w:val="006E2160"/>
    <w:rsid w:val="006E2329"/>
    <w:rsid w:val="006E2F3C"/>
    <w:rsid w:val="006E30E7"/>
    <w:rsid w:val="006E336B"/>
    <w:rsid w:val="006E3407"/>
    <w:rsid w:val="006E35D9"/>
    <w:rsid w:val="006E369A"/>
    <w:rsid w:val="006E3913"/>
    <w:rsid w:val="006E3929"/>
    <w:rsid w:val="006E3F2A"/>
    <w:rsid w:val="006E418C"/>
    <w:rsid w:val="006E444C"/>
    <w:rsid w:val="006E44EE"/>
    <w:rsid w:val="006E471E"/>
    <w:rsid w:val="006E47E9"/>
    <w:rsid w:val="006E4D88"/>
    <w:rsid w:val="006E5352"/>
    <w:rsid w:val="006E55B2"/>
    <w:rsid w:val="006E5782"/>
    <w:rsid w:val="006E5BC5"/>
    <w:rsid w:val="006E5E64"/>
    <w:rsid w:val="006E61D0"/>
    <w:rsid w:val="006E6386"/>
    <w:rsid w:val="006E63A5"/>
    <w:rsid w:val="006E63C7"/>
    <w:rsid w:val="006E642E"/>
    <w:rsid w:val="006E6A88"/>
    <w:rsid w:val="006E6E3D"/>
    <w:rsid w:val="006E6F8B"/>
    <w:rsid w:val="006E733B"/>
    <w:rsid w:val="006E76EB"/>
    <w:rsid w:val="006E7744"/>
    <w:rsid w:val="006E7844"/>
    <w:rsid w:val="006E7A00"/>
    <w:rsid w:val="006E7D0D"/>
    <w:rsid w:val="006F0A40"/>
    <w:rsid w:val="006F0B70"/>
    <w:rsid w:val="006F0C72"/>
    <w:rsid w:val="006F0C98"/>
    <w:rsid w:val="006F17D2"/>
    <w:rsid w:val="006F18A6"/>
    <w:rsid w:val="006F21FA"/>
    <w:rsid w:val="006F22BD"/>
    <w:rsid w:val="006F2448"/>
    <w:rsid w:val="006F26A8"/>
    <w:rsid w:val="006F2846"/>
    <w:rsid w:val="006F2851"/>
    <w:rsid w:val="006F2A27"/>
    <w:rsid w:val="006F2C2E"/>
    <w:rsid w:val="006F2D5D"/>
    <w:rsid w:val="006F323C"/>
    <w:rsid w:val="006F3531"/>
    <w:rsid w:val="006F3655"/>
    <w:rsid w:val="006F3810"/>
    <w:rsid w:val="006F3E9F"/>
    <w:rsid w:val="006F3EFD"/>
    <w:rsid w:val="006F4206"/>
    <w:rsid w:val="006F4251"/>
    <w:rsid w:val="006F43AF"/>
    <w:rsid w:val="006F4411"/>
    <w:rsid w:val="006F4454"/>
    <w:rsid w:val="006F46E3"/>
    <w:rsid w:val="006F5823"/>
    <w:rsid w:val="006F5A15"/>
    <w:rsid w:val="006F634F"/>
    <w:rsid w:val="006F69A5"/>
    <w:rsid w:val="006F6AB6"/>
    <w:rsid w:val="006F7290"/>
    <w:rsid w:val="006F75F7"/>
    <w:rsid w:val="007009EA"/>
    <w:rsid w:val="00700A19"/>
    <w:rsid w:val="00700EFF"/>
    <w:rsid w:val="00701032"/>
    <w:rsid w:val="0070131E"/>
    <w:rsid w:val="00701690"/>
    <w:rsid w:val="0070188D"/>
    <w:rsid w:val="00701CE9"/>
    <w:rsid w:val="00701F2E"/>
    <w:rsid w:val="00701F4D"/>
    <w:rsid w:val="00702465"/>
    <w:rsid w:val="00702C39"/>
    <w:rsid w:val="00702D56"/>
    <w:rsid w:val="00702E22"/>
    <w:rsid w:val="0070363F"/>
    <w:rsid w:val="007037FD"/>
    <w:rsid w:val="00704075"/>
    <w:rsid w:val="007041D7"/>
    <w:rsid w:val="007043AC"/>
    <w:rsid w:val="0070456C"/>
    <w:rsid w:val="00704715"/>
    <w:rsid w:val="0070479E"/>
    <w:rsid w:val="007047FE"/>
    <w:rsid w:val="0070535D"/>
    <w:rsid w:val="00705997"/>
    <w:rsid w:val="00706531"/>
    <w:rsid w:val="007065B6"/>
    <w:rsid w:val="00706611"/>
    <w:rsid w:val="00706637"/>
    <w:rsid w:val="00706841"/>
    <w:rsid w:val="00706AF9"/>
    <w:rsid w:val="00706B7E"/>
    <w:rsid w:val="00707F1A"/>
    <w:rsid w:val="00707F32"/>
    <w:rsid w:val="00710A8B"/>
    <w:rsid w:val="00710B08"/>
    <w:rsid w:val="00710E12"/>
    <w:rsid w:val="007110BB"/>
    <w:rsid w:val="007112F6"/>
    <w:rsid w:val="0071157E"/>
    <w:rsid w:val="007115CF"/>
    <w:rsid w:val="007118AB"/>
    <w:rsid w:val="00711A10"/>
    <w:rsid w:val="00711DCC"/>
    <w:rsid w:val="0071225B"/>
    <w:rsid w:val="00712446"/>
    <w:rsid w:val="007126AD"/>
    <w:rsid w:val="00713954"/>
    <w:rsid w:val="00713B89"/>
    <w:rsid w:val="00713E0D"/>
    <w:rsid w:val="00714211"/>
    <w:rsid w:val="00714284"/>
    <w:rsid w:val="007143FA"/>
    <w:rsid w:val="007146E4"/>
    <w:rsid w:val="00714F10"/>
    <w:rsid w:val="00715820"/>
    <w:rsid w:val="00715867"/>
    <w:rsid w:val="00715A1E"/>
    <w:rsid w:val="00715B46"/>
    <w:rsid w:val="00715CDF"/>
    <w:rsid w:val="00715ED7"/>
    <w:rsid w:val="00715F05"/>
    <w:rsid w:val="007164B3"/>
    <w:rsid w:val="00716D6E"/>
    <w:rsid w:val="0071729A"/>
    <w:rsid w:val="007175AA"/>
    <w:rsid w:val="007175C3"/>
    <w:rsid w:val="00717709"/>
    <w:rsid w:val="007177BC"/>
    <w:rsid w:val="007177EA"/>
    <w:rsid w:val="00717A1C"/>
    <w:rsid w:val="00717C6F"/>
    <w:rsid w:val="0072012A"/>
    <w:rsid w:val="0072016D"/>
    <w:rsid w:val="00720295"/>
    <w:rsid w:val="007202F2"/>
    <w:rsid w:val="00720407"/>
    <w:rsid w:val="00720B57"/>
    <w:rsid w:val="00720BC2"/>
    <w:rsid w:val="00720F9A"/>
    <w:rsid w:val="007210AB"/>
    <w:rsid w:val="007223A7"/>
    <w:rsid w:val="007228D2"/>
    <w:rsid w:val="00722A8D"/>
    <w:rsid w:val="00722DBF"/>
    <w:rsid w:val="007234E3"/>
    <w:rsid w:val="00723830"/>
    <w:rsid w:val="00723BC2"/>
    <w:rsid w:val="00723D11"/>
    <w:rsid w:val="0072429E"/>
    <w:rsid w:val="00724731"/>
    <w:rsid w:val="00724C70"/>
    <w:rsid w:val="00724D5F"/>
    <w:rsid w:val="00724D79"/>
    <w:rsid w:val="00724DDA"/>
    <w:rsid w:val="0072520B"/>
    <w:rsid w:val="00725247"/>
    <w:rsid w:val="007252D5"/>
    <w:rsid w:val="007256DB"/>
    <w:rsid w:val="007259F8"/>
    <w:rsid w:val="00726094"/>
    <w:rsid w:val="00726121"/>
    <w:rsid w:val="0072654A"/>
    <w:rsid w:val="00726A64"/>
    <w:rsid w:val="00726D7E"/>
    <w:rsid w:val="00726DA3"/>
    <w:rsid w:val="00726E9B"/>
    <w:rsid w:val="007270BA"/>
    <w:rsid w:val="00727AE8"/>
    <w:rsid w:val="00727F8B"/>
    <w:rsid w:val="00730656"/>
    <w:rsid w:val="0073106F"/>
    <w:rsid w:val="007312DB"/>
    <w:rsid w:val="0073130D"/>
    <w:rsid w:val="00731387"/>
    <w:rsid w:val="00731FFB"/>
    <w:rsid w:val="00732097"/>
    <w:rsid w:val="007323E1"/>
    <w:rsid w:val="00732B1B"/>
    <w:rsid w:val="007336A9"/>
    <w:rsid w:val="007338BA"/>
    <w:rsid w:val="00733939"/>
    <w:rsid w:val="00733DB9"/>
    <w:rsid w:val="0073414D"/>
    <w:rsid w:val="0073450D"/>
    <w:rsid w:val="0073456B"/>
    <w:rsid w:val="007346AF"/>
    <w:rsid w:val="0073481A"/>
    <w:rsid w:val="007349D0"/>
    <w:rsid w:val="00734B21"/>
    <w:rsid w:val="00734E65"/>
    <w:rsid w:val="00734FBF"/>
    <w:rsid w:val="0073585F"/>
    <w:rsid w:val="007358E5"/>
    <w:rsid w:val="00735A51"/>
    <w:rsid w:val="00735D3A"/>
    <w:rsid w:val="00735E7B"/>
    <w:rsid w:val="0073651A"/>
    <w:rsid w:val="00736A07"/>
    <w:rsid w:val="00736B61"/>
    <w:rsid w:val="00737496"/>
    <w:rsid w:val="00737ADA"/>
    <w:rsid w:val="00737BB4"/>
    <w:rsid w:val="007408C6"/>
    <w:rsid w:val="00740D8F"/>
    <w:rsid w:val="00740D93"/>
    <w:rsid w:val="0074128E"/>
    <w:rsid w:val="007412BA"/>
    <w:rsid w:val="00741423"/>
    <w:rsid w:val="00741577"/>
    <w:rsid w:val="00741923"/>
    <w:rsid w:val="00741EEA"/>
    <w:rsid w:val="007421AE"/>
    <w:rsid w:val="007422E7"/>
    <w:rsid w:val="007426F1"/>
    <w:rsid w:val="00742748"/>
    <w:rsid w:val="0074322B"/>
    <w:rsid w:val="007433B8"/>
    <w:rsid w:val="007434F6"/>
    <w:rsid w:val="00743679"/>
    <w:rsid w:val="00743922"/>
    <w:rsid w:val="007445E0"/>
    <w:rsid w:val="00744C43"/>
    <w:rsid w:val="00744C94"/>
    <w:rsid w:val="0074511B"/>
    <w:rsid w:val="00745192"/>
    <w:rsid w:val="00745387"/>
    <w:rsid w:val="00745D63"/>
    <w:rsid w:val="00745EBF"/>
    <w:rsid w:val="00746073"/>
    <w:rsid w:val="00746609"/>
    <w:rsid w:val="00746ACF"/>
    <w:rsid w:val="00746D51"/>
    <w:rsid w:val="00747C44"/>
    <w:rsid w:val="00747D33"/>
    <w:rsid w:val="00750257"/>
    <w:rsid w:val="007503DA"/>
    <w:rsid w:val="00751579"/>
    <w:rsid w:val="00751A76"/>
    <w:rsid w:val="007523EF"/>
    <w:rsid w:val="007524C5"/>
    <w:rsid w:val="007525D6"/>
    <w:rsid w:val="00752E14"/>
    <w:rsid w:val="0075325E"/>
    <w:rsid w:val="007534DC"/>
    <w:rsid w:val="007535E6"/>
    <w:rsid w:val="00753A12"/>
    <w:rsid w:val="007541D8"/>
    <w:rsid w:val="00754225"/>
    <w:rsid w:val="00754268"/>
    <w:rsid w:val="007546B6"/>
    <w:rsid w:val="007552EB"/>
    <w:rsid w:val="00755699"/>
    <w:rsid w:val="007556E8"/>
    <w:rsid w:val="0075577A"/>
    <w:rsid w:val="00755E57"/>
    <w:rsid w:val="007564B2"/>
    <w:rsid w:val="00756615"/>
    <w:rsid w:val="0075664B"/>
    <w:rsid w:val="007567E5"/>
    <w:rsid w:val="00756CB2"/>
    <w:rsid w:val="00756D08"/>
    <w:rsid w:val="00756D22"/>
    <w:rsid w:val="00756DDD"/>
    <w:rsid w:val="00757EE1"/>
    <w:rsid w:val="007600F8"/>
    <w:rsid w:val="00760E66"/>
    <w:rsid w:val="0076111B"/>
    <w:rsid w:val="00761608"/>
    <w:rsid w:val="007617D8"/>
    <w:rsid w:val="00761AE6"/>
    <w:rsid w:val="00761B0F"/>
    <w:rsid w:val="0076200D"/>
    <w:rsid w:val="00762320"/>
    <w:rsid w:val="007625B2"/>
    <w:rsid w:val="00762809"/>
    <w:rsid w:val="00762961"/>
    <w:rsid w:val="00762993"/>
    <w:rsid w:val="00762EA0"/>
    <w:rsid w:val="007633AE"/>
    <w:rsid w:val="00763643"/>
    <w:rsid w:val="00763BD6"/>
    <w:rsid w:val="00763F28"/>
    <w:rsid w:val="007640B1"/>
    <w:rsid w:val="007646EA"/>
    <w:rsid w:val="007648BC"/>
    <w:rsid w:val="00764A1F"/>
    <w:rsid w:val="00764C94"/>
    <w:rsid w:val="00765B06"/>
    <w:rsid w:val="00765B6A"/>
    <w:rsid w:val="00766682"/>
    <w:rsid w:val="007666B1"/>
    <w:rsid w:val="007667CE"/>
    <w:rsid w:val="00766806"/>
    <w:rsid w:val="00766B34"/>
    <w:rsid w:val="00767022"/>
    <w:rsid w:val="00767A6C"/>
    <w:rsid w:val="00767EB3"/>
    <w:rsid w:val="00767F8A"/>
    <w:rsid w:val="007708B6"/>
    <w:rsid w:val="00770954"/>
    <w:rsid w:val="007709E3"/>
    <w:rsid w:val="00770B62"/>
    <w:rsid w:val="00770D76"/>
    <w:rsid w:val="00770E01"/>
    <w:rsid w:val="00770E7B"/>
    <w:rsid w:val="00771464"/>
    <w:rsid w:val="00771A82"/>
    <w:rsid w:val="00772547"/>
    <w:rsid w:val="0077292A"/>
    <w:rsid w:val="00772C1A"/>
    <w:rsid w:val="00772F78"/>
    <w:rsid w:val="007739A8"/>
    <w:rsid w:val="00773A8B"/>
    <w:rsid w:val="00773A8C"/>
    <w:rsid w:val="00774016"/>
    <w:rsid w:val="00774DBF"/>
    <w:rsid w:val="00774EB7"/>
    <w:rsid w:val="00774F20"/>
    <w:rsid w:val="00774FE5"/>
    <w:rsid w:val="00775C8F"/>
    <w:rsid w:val="00775F5B"/>
    <w:rsid w:val="00776BE9"/>
    <w:rsid w:val="00777034"/>
    <w:rsid w:val="00777193"/>
    <w:rsid w:val="00777362"/>
    <w:rsid w:val="007775B1"/>
    <w:rsid w:val="007775ED"/>
    <w:rsid w:val="00777852"/>
    <w:rsid w:val="00777C29"/>
    <w:rsid w:val="00777C93"/>
    <w:rsid w:val="0078001D"/>
    <w:rsid w:val="00780AED"/>
    <w:rsid w:val="007813C6"/>
    <w:rsid w:val="00781521"/>
    <w:rsid w:val="007815B6"/>
    <w:rsid w:val="00781C41"/>
    <w:rsid w:val="00781D2E"/>
    <w:rsid w:val="00782014"/>
    <w:rsid w:val="007820AE"/>
    <w:rsid w:val="00782285"/>
    <w:rsid w:val="00782351"/>
    <w:rsid w:val="007823E1"/>
    <w:rsid w:val="00782BB6"/>
    <w:rsid w:val="00782C4D"/>
    <w:rsid w:val="00783049"/>
    <w:rsid w:val="007833AE"/>
    <w:rsid w:val="00783802"/>
    <w:rsid w:val="00783862"/>
    <w:rsid w:val="00783893"/>
    <w:rsid w:val="00783F27"/>
    <w:rsid w:val="00783FD1"/>
    <w:rsid w:val="0078440D"/>
    <w:rsid w:val="0078468C"/>
    <w:rsid w:val="007849A3"/>
    <w:rsid w:val="00784A55"/>
    <w:rsid w:val="00784D1A"/>
    <w:rsid w:val="00785150"/>
    <w:rsid w:val="0078538D"/>
    <w:rsid w:val="00785582"/>
    <w:rsid w:val="00785BE6"/>
    <w:rsid w:val="00785C30"/>
    <w:rsid w:val="00785E44"/>
    <w:rsid w:val="00785E75"/>
    <w:rsid w:val="00786030"/>
    <w:rsid w:val="007864CE"/>
    <w:rsid w:val="0078687D"/>
    <w:rsid w:val="007868B2"/>
    <w:rsid w:val="00786C74"/>
    <w:rsid w:val="00786D2E"/>
    <w:rsid w:val="00786DF1"/>
    <w:rsid w:val="0078704F"/>
    <w:rsid w:val="0078767F"/>
    <w:rsid w:val="007878F1"/>
    <w:rsid w:val="00787902"/>
    <w:rsid w:val="00787F1D"/>
    <w:rsid w:val="00787FDF"/>
    <w:rsid w:val="0079027B"/>
    <w:rsid w:val="00790372"/>
    <w:rsid w:val="00790522"/>
    <w:rsid w:val="007906D2"/>
    <w:rsid w:val="00790766"/>
    <w:rsid w:val="007907DC"/>
    <w:rsid w:val="00790A2E"/>
    <w:rsid w:val="00790F78"/>
    <w:rsid w:val="007914B2"/>
    <w:rsid w:val="0079183C"/>
    <w:rsid w:val="00791881"/>
    <w:rsid w:val="00791A0D"/>
    <w:rsid w:val="00791FB9"/>
    <w:rsid w:val="00791FE2"/>
    <w:rsid w:val="00792136"/>
    <w:rsid w:val="007922C6"/>
    <w:rsid w:val="00792657"/>
    <w:rsid w:val="00792E4E"/>
    <w:rsid w:val="00792EE5"/>
    <w:rsid w:val="007930BD"/>
    <w:rsid w:val="00793242"/>
    <w:rsid w:val="00793AB2"/>
    <w:rsid w:val="00794750"/>
    <w:rsid w:val="00794923"/>
    <w:rsid w:val="00795000"/>
    <w:rsid w:val="007955F2"/>
    <w:rsid w:val="007958BF"/>
    <w:rsid w:val="00796031"/>
    <w:rsid w:val="00796195"/>
    <w:rsid w:val="007962FB"/>
    <w:rsid w:val="00796819"/>
    <w:rsid w:val="00796882"/>
    <w:rsid w:val="00796A1D"/>
    <w:rsid w:val="00796C28"/>
    <w:rsid w:val="00796D70"/>
    <w:rsid w:val="00797155"/>
    <w:rsid w:val="007976BD"/>
    <w:rsid w:val="00797B48"/>
    <w:rsid w:val="00797CB4"/>
    <w:rsid w:val="007A0337"/>
    <w:rsid w:val="007A03BE"/>
    <w:rsid w:val="007A03DF"/>
    <w:rsid w:val="007A0694"/>
    <w:rsid w:val="007A082C"/>
    <w:rsid w:val="007A0A7D"/>
    <w:rsid w:val="007A0FE5"/>
    <w:rsid w:val="007A1A7B"/>
    <w:rsid w:val="007A205B"/>
    <w:rsid w:val="007A2296"/>
    <w:rsid w:val="007A25C6"/>
    <w:rsid w:val="007A2623"/>
    <w:rsid w:val="007A2732"/>
    <w:rsid w:val="007A277E"/>
    <w:rsid w:val="007A2DF1"/>
    <w:rsid w:val="007A32FA"/>
    <w:rsid w:val="007A376D"/>
    <w:rsid w:val="007A3F5D"/>
    <w:rsid w:val="007A4196"/>
    <w:rsid w:val="007A4267"/>
    <w:rsid w:val="007A4889"/>
    <w:rsid w:val="007A4C49"/>
    <w:rsid w:val="007A50D6"/>
    <w:rsid w:val="007A558D"/>
    <w:rsid w:val="007A57B0"/>
    <w:rsid w:val="007A57E8"/>
    <w:rsid w:val="007A5987"/>
    <w:rsid w:val="007A5B79"/>
    <w:rsid w:val="007A67A5"/>
    <w:rsid w:val="007A6CFC"/>
    <w:rsid w:val="007A71A1"/>
    <w:rsid w:val="007A71E0"/>
    <w:rsid w:val="007A76AC"/>
    <w:rsid w:val="007A7AB4"/>
    <w:rsid w:val="007B054F"/>
    <w:rsid w:val="007B0F1A"/>
    <w:rsid w:val="007B1328"/>
    <w:rsid w:val="007B2865"/>
    <w:rsid w:val="007B3068"/>
    <w:rsid w:val="007B30A3"/>
    <w:rsid w:val="007B3595"/>
    <w:rsid w:val="007B35F4"/>
    <w:rsid w:val="007B3662"/>
    <w:rsid w:val="007B36A1"/>
    <w:rsid w:val="007B3CDB"/>
    <w:rsid w:val="007B3F3E"/>
    <w:rsid w:val="007B4271"/>
    <w:rsid w:val="007B43A1"/>
    <w:rsid w:val="007B46C1"/>
    <w:rsid w:val="007B49ED"/>
    <w:rsid w:val="007B562D"/>
    <w:rsid w:val="007B576D"/>
    <w:rsid w:val="007B5771"/>
    <w:rsid w:val="007B586C"/>
    <w:rsid w:val="007B5912"/>
    <w:rsid w:val="007B5D1B"/>
    <w:rsid w:val="007B6175"/>
    <w:rsid w:val="007B6765"/>
    <w:rsid w:val="007B676C"/>
    <w:rsid w:val="007B6A46"/>
    <w:rsid w:val="007B6AF6"/>
    <w:rsid w:val="007B7309"/>
    <w:rsid w:val="007B7317"/>
    <w:rsid w:val="007B76F5"/>
    <w:rsid w:val="007B7D3A"/>
    <w:rsid w:val="007C017D"/>
    <w:rsid w:val="007C0187"/>
    <w:rsid w:val="007C02DC"/>
    <w:rsid w:val="007C0474"/>
    <w:rsid w:val="007C061F"/>
    <w:rsid w:val="007C0A3E"/>
    <w:rsid w:val="007C0DCB"/>
    <w:rsid w:val="007C0EEC"/>
    <w:rsid w:val="007C0F9B"/>
    <w:rsid w:val="007C144C"/>
    <w:rsid w:val="007C15E5"/>
    <w:rsid w:val="007C19B3"/>
    <w:rsid w:val="007C1CE1"/>
    <w:rsid w:val="007C1D75"/>
    <w:rsid w:val="007C1FA7"/>
    <w:rsid w:val="007C237B"/>
    <w:rsid w:val="007C24F1"/>
    <w:rsid w:val="007C27A8"/>
    <w:rsid w:val="007C28C4"/>
    <w:rsid w:val="007C2B39"/>
    <w:rsid w:val="007C325E"/>
    <w:rsid w:val="007C34BB"/>
    <w:rsid w:val="007C3E9E"/>
    <w:rsid w:val="007C4053"/>
    <w:rsid w:val="007C463D"/>
    <w:rsid w:val="007C4736"/>
    <w:rsid w:val="007C4C0F"/>
    <w:rsid w:val="007C4D38"/>
    <w:rsid w:val="007C4E53"/>
    <w:rsid w:val="007C5A44"/>
    <w:rsid w:val="007C5B8E"/>
    <w:rsid w:val="007C5C56"/>
    <w:rsid w:val="007C62C4"/>
    <w:rsid w:val="007C6854"/>
    <w:rsid w:val="007C7438"/>
    <w:rsid w:val="007C744B"/>
    <w:rsid w:val="007C74FB"/>
    <w:rsid w:val="007C7511"/>
    <w:rsid w:val="007C7FC1"/>
    <w:rsid w:val="007D04C6"/>
    <w:rsid w:val="007D0F50"/>
    <w:rsid w:val="007D1492"/>
    <w:rsid w:val="007D27C3"/>
    <w:rsid w:val="007D2958"/>
    <w:rsid w:val="007D2BE2"/>
    <w:rsid w:val="007D2C05"/>
    <w:rsid w:val="007D2EC8"/>
    <w:rsid w:val="007D38E3"/>
    <w:rsid w:val="007D3905"/>
    <w:rsid w:val="007D4624"/>
    <w:rsid w:val="007D476C"/>
    <w:rsid w:val="007D4A92"/>
    <w:rsid w:val="007D4D86"/>
    <w:rsid w:val="007D56C6"/>
    <w:rsid w:val="007D582E"/>
    <w:rsid w:val="007D5AB1"/>
    <w:rsid w:val="007D6094"/>
    <w:rsid w:val="007D64B7"/>
    <w:rsid w:val="007D6670"/>
    <w:rsid w:val="007D6788"/>
    <w:rsid w:val="007D6F10"/>
    <w:rsid w:val="007D70B9"/>
    <w:rsid w:val="007D7763"/>
    <w:rsid w:val="007D77D8"/>
    <w:rsid w:val="007E0115"/>
    <w:rsid w:val="007E01A0"/>
    <w:rsid w:val="007E0328"/>
    <w:rsid w:val="007E046B"/>
    <w:rsid w:val="007E0B4C"/>
    <w:rsid w:val="007E0D37"/>
    <w:rsid w:val="007E1500"/>
    <w:rsid w:val="007E17AF"/>
    <w:rsid w:val="007E1E3D"/>
    <w:rsid w:val="007E1F41"/>
    <w:rsid w:val="007E2186"/>
    <w:rsid w:val="007E23C3"/>
    <w:rsid w:val="007E24F5"/>
    <w:rsid w:val="007E2A2F"/>
    <w:rsid w:val="007E2DC6"/>
    <w:rsid w:val="007E3278"/>
    <w:rsid w:val="007E35A8"/>
    <w:rsid w:val="007E3641"/>
    <w:rsid w:val="007E3939"/>
    <w:rsid w:val="007E4528"/>
    <w:rsid w:val="007E456B"/>
    <w:rsid w:val="007E48AF"/>
    <w:rsid w:val="007E48C8"/>
    <w:rsid w:val="007E4B3C"/>
    <w:rsid w:val="007E5516"/>
    <w:rsid w:val="007E5ABC"/>
    <w:rsid w:val="007E6304"/>
    <w:rsid w:val="007E64D8"/>
    <w:rsid w:val="007E6DA3"/>
    <w:rsid w:val="007E6FF1"/>
    <w:rsid w:val="007E754A"/>
    <w:rsid w:val="007E7673"/>
    <w:rsid w:val="007E78BC"/>
    <w:rsid w:val="007E7C2F"/>
    <w:rsid w:val="007E7DB8"/>
    <w:rsid w:val="007E7EFB"/>
    <w:rsid w:val="007F0205"/>
    <w:rsid w:val="007F0B54"/>
    <w:rsid w:val="007F0CD8"/>
    <w:rsid w:val="007F0E8A"/>
    <w:rsid w:val="007F13C9"/>
    <w:rsid w:val="007F13EB"/>
    <w:rsid w:val="007F1406"/>
    <w:rsid w:val="007F14BC"/>
    <w:rsid w:val="007F1CB9"/>
    <w:rsid w:val="007F1E60"/>
    <w:rsid w:val="007F1FA0"/>
    <w:rsid w:val="007F2C31"/>
    <w:rsid w:val="007F2C67"/>
    <w:rsid w:val="007F2D0B"/>
    <w:rsid w:val="007F2F4C"/>
    <w:rsid w:val="007F35F0"/>
    <w:rsid w:val="007F3664"/>
    <w:rsid w:val="007F396A"/>
    <w:rsid w:val="007F3A48"/>
    <w:rsid w:val="007F3CF3"/>
    <w:rsid w:val="007F4035"/>
    <w:rsid w:val="007F53E1"/>
    <w:rsid w:val="007F558E"/>
    <w:rsid w:val="007F5607"/>
    <w:rsid w:val="007F5C35"/>
    <w:rsid w:val="007F5DBC"/>
    <w:rsid w:val="007F6213"/>
    <w:rsid w:val="007F6B2E"/>
    <w:rsid w:val="007F6B8D"/>
    <w:rsid w:val="007F6C5D"/>
    <w:rsid w:val="007F6F45"/>
    <w:rsid w:val="007F6FE0"/>
    <w:rsid w:val="007F7EE7"/>
    <w:rsid w:val="007F7FF0"/>
    <w:rsid w:val="008001D8"/>
    <w:rsid w:val="00800856"/>
    <w:rsid w:val="00800BCB"/>
    <w:rsid w:val="00800D08"/>
    <w:rsid w:val="00800D0A"/>
    <w:rsid w:val="00800EE3"/>
    <w:rsid w:val="008010A9"/>
    <w:rsid w:val="0080120A"/>
    <w:rsid w:val="00801DA7"/>
    <w:rsid w:val="0080205B"/>
    <w:rsid w:val="00802241"/>
    <w:rsid w:val="008025F1"/>
    <w:rsid w:val="008029C9"/>
    <w:rsid w:val="00803BC6"/>
    <w:rsid w:val="00803C48"/>
    <w:rsid w:val="00803E7B"/>
    <w:rsid w:val="008040F5"/>
    <w:rsid w:val="008041A1"/>
    <w:rsid w:val="0080421B"/>
    <w:rsid w:val="0080439A"/>
    <w:rsid w:val="0080445B"/>
    <w:rsid w:val="00804472"/>
    <w:rsid w:val="00804AB5"/>
    <w:rsid w:val="00805076"/>
    <w:rsid w:val="00805830"/>
    <w:rsid w:val="00805B47"/>
    <w:rsid w:val="00805DF0"/>
    <w:rsid w:val="008063CA"/>
    <w:rsid w:val="0080647B"/>
    <w:rsid w:val="008068FC"/>
    <w:rsid w:val="0080697B"/>
    <w:rsid w:val="00806AD5"/>
    <w:rsid w:val="008078C9"/>
    <w:rsid w:val="00807CBD"/>
    <w:rsid w:val="00807D36"/>
    <w:rsid w:val="00807F51"/>
    <w:rsid w:val="0081025D"/>
    <w:rsid w:val="00810584"/>
    <w:rsid w:val="00810754"/>
    <w:rsid w:val="0081111B"/>
    <w:rsid w:val="008111B9"/>
    <w:rsid w:val="00811E0E"/>
    <w:rsid w:val="008123A2"/>
    <w:rsid w:val="008123B6"/>
    <w:rsid w:val="00812470"/>
    <w:rsid w:val="00812762"/>
    <w:rsid w:val="00812DFA"/>
    <w:rsid w:val="00813501"/>
    <w:rsid w:val="0081388C"/>
    <w:rsid w:val="00813C12"/>
    <w:rsid w:val="00813EFA"/>
    <w:rsid w:val="00813FAE"/>
    <w:rsid w:val="008144BF"/>
    <w:rsid w:val="00814A4E"/>
    <w:rsid w:val="00815617"/>
    <w:rsid w:val="008156C9"/>
    <w:rsid w:val="00815A65"/>
    <w:rsid w:val="00815B54"/>
    <w:rsid w:val="00815B80"/>
    <w:rsid w:val="00815C1B"/>
    <w:rsid w:val="00815C60"/>
    <w:rsid w:val="00815F66"/>
    <w:rsid w:val="00815F8C"/>
    <w:rsid w:val="008160EC"/>
    <w:rsid w:val="008161C7"/>
    <w:rsid w:val="0081667E"/>
    <w:rsid w:val="00816707"/>
    <w:rsid w:val="00816CE8"/>
    <w:rsid w:val="00816FA6"/>
    <w:rsid w:val="00817094"/>
    <w:rsid w:val="008170E7"/>
    <w:rsid w:val="00817589"/>
    <w:rsid w:val="00817DBD"/>
    <w:rsid w:val="008210AB"/>
    <w:rsid w:val="008211C6"/>
    <w:rsid w:val="00821888"/>
    <w:rsid w:val="008229E2"/>
    <w:rsid w:val="008234DF"/>
    <w:rsid w:val="00824389"/>
    <w:rsid w:val="00824432"/>
    <w:rsid w:val="00824985"/>
    <w:rsid w:val="008249EA"/>
    <w:rsid w:val="00824AF7"/>
    <w:rsid w:val="00824DCA"/>
    <w:rsid w:val="0082512F"/>
    <w:rsid w:val="008251BE"/>
    <w:rsid w:val="008252AA"/>
    <w:rsid w:val="00825453"/>
    <w:rsid w:val="00825791"/>
    <w:rsid w:val="00825B47"/>
    <w:rsid w:val="008264DD"/>
    <w:rsid w:val="00826C54"/>
    <w:rsid w:val="00827060"/>
    <w:rsid w:val="00827523"/>
    <w:rsid w:val="00827568"/>
    <w:rsid w:val="0082784B"/>
    <w:rsid w:val="008279ED"/>
    <w:rsid w:val="008303FB"/>
    <w:rsid w:val="00830BFC"/>
    <w:rsid w:val="00831209"/>
    <w:rsid w:val="00831308"/>
    <w:rsid w:val="00831721"/>
    <w:rsid w:val="0083201F"/>
    <w:rsid w:val="008326FC"/>
    <w:rsid w:val="00832773"/>
    <w:rsid w:val="00832E50"/>
    <w:rsid w:val="008332B9"/>
    <w:rsid w:val="008336BA"/>
    <w:rsid w:val="00833B03"/>
    <w:rsid w:val="00833BBE"/>
    <w:rsid w:val="008348BF"/>
    <w:rsid w:val="00834C09"/>
    <w:rsid w:val="00835134"/>
    <w:rsid w:val="00835874"/>
    <w:rsid w:val="00835F4C"/>
    <w:rsid w:val="00836041"/>
    <w:rsid w:val="008371ED"/>
    <w:rsid w:val="0083726F"/>
    <w:rsid w:val="0083737F"/>
    <w:rsid w:val="00837BCB"/>
    <w:rsid w:val="00837FCE"/>
    <w:rsid w:val="008403AE"/>
    <w:rsid w:val="00840677"/>
    <w:rsid w:val="00840A69"/>
    <w:rsid w:val="00840A9E"/>
    <w:rsid w:val="00840BAF"/>
    <w:rsid w:val="00841349"/>
    <w:rsid w:val="008413B0"/>
    <w:rsid w:val="008414EB"/>
    <w:rsid w:val="00841793"/>
    <w:rsid w:val="00841D0B"/>
    <w:rsid w:val="00841EA9"/>
    <w:rsid w:val="00842605"/>
    <w:rsid w:val="00842871"/>
    <w:rsid w:val="00842989"/>
    <w:rsid w:val="00842D93"/>
    <w:rsid w:val="008430FA"/>
    <w:rsid w:val="00843485"/>
    <w:rsid w:val="008438DD"/>
    <w:rsid w:val="00843C83"/>
    <w:rsid w:val="00843EDD"/>
    <w:rsid w:val="0084416D"/>
    <w:rsid w:val="00844C4D"/>
    <w:rsid w:val="00844C7E"/>
    <w:rsid w:val="00844CC2"/>
    <w:rsid w:val="00845516"/>
    <w:rsid w:val="00845986"/>
    <w:rsid w:val="00845DFF"/>
    <w:rsid w:val="00846484"/>
    <w:rsid w:val="00847220"/>
    <w:rsid w:val="008501DC"/>
    <w:rsid w:val="008508D8"/>
    <w:rsid w:val="00850A24"/>
    <w:rsid w:val="00850A64"/>
    <w:rsid w:val="0085179E"/>
    <w:rsid w:val="008519BF"/>
    <w:rsid w:val="00853020"/>
    <w:rsid w:val="00853053"/>
    <w:rsid w:val="00853263"/>
    <w:rsid w:val="00853555"/>
    <w:rsid w:val="0085356F"/>
    <w:rsid w:val="00854142"/>
    <w:rsid w:val="008549EB"/>
    <w:rsid w:val="00854B98"/>
    <w:rsid w:val="00854E3B"/>
    <w:rsid w:val="00855143"/>
    <w:rsid w:val="00855423"/>
    <w:rsid w:val="00855CEE"/>
    <w:rsid w:val="00856495"/>
    <w:rsid w:val="008564D5"/>
    <w:rsid w:val="00856E5F"/>
    <w:rsid w:val="008570D5"/>
    <w:rsid w:val="008571C0"/>
    <w:rsid w:val="0085723F"/>
    <w:rsid w:val="008575F3"/>
    <w:rsid w:val="0085788B"/>
    <w:rsid w:val="00857DCA"/>
    <w:rsid w:val="0086011A"/>
    <w:rsid w:val="0086015F"/>
    <w:rsid w:val="00860393"/>
    <w:rsid w:val="00860911"/>
    <w:rsid w:val="00860B16"/>
    <w:rsid w:val="00860BBD"/>
    <w:rsid w:val="00860D4D"/>
    <w:rsid w:val="00860F40"/>
    <w:rsid w:val="00861AC0"/>
    <w:rsid w:val="00861AC5"/>
    <w:rsid w:val="00861C4D"/>
    <w:rsid w:val="00861CE0"/>
    <w:rsid w:val="00861F4E"/>
    <w:rsid w:val="008623BD"/>
    <w:rsid w:val="0086286E"/>
    <w:rsid w:val="008628EF"/>
    <w:rsid w:val="00862B1E"/>
    <w:rsid w:val="00862BE9"/>
    <w:rsid w:val="00862C96"/>
    <w:rsid w:val="00862D5E"/>
    <w:rsid w:val="00862D68"/>
    <w:rsid w:val="00862D93"/>
    <w:rsid w:val="00862DAC"/>
    <w:rsid w:val="008631F1"/>
    <w:rsid w:val="008635D5"/>
    <w:rsid w:val="0086377D"/>
    <w:rsid w:val="00863A70"/>
    <w:rsid w:val="00863E65"/>
    <w:rsid w:val="00864298"/>
    <w:rsid w:val="00864358"/>
    <w:rsid w:val="0086469A"/>
    <w:rsid w:val="0086484D"/>
    <w:rsid w:val="00864B03"/>
    <w:rsid w:val="00864F80"/>
    <w:rsid w:val="008651E2"/>
    <w:rsid w:val="0086531F"/>
    <w:rsid w:val="00865731"/>
    <w:rsid w:val="00865A4C"/>
    <w:rsid w:val="00865DBC"/>
    <w:rsid w:val="008661B5"/>
    <w:rsid w:val="0086635A"/>
    <w:rsid w:val="00866429"/>
    <w:rsid w:val="008667FF"/>
    <w:rsid w:val="0086692F"/>
    <w:rsid w:val="00866D02"/>
    <w:rsid w:val="00867025"/>
    <w:rsid w:val="00867323"/>
    <w:rsid w:val="00867384"/>
    <w:rsid w:val="00867455"/>
    <w:rsid w:val="00867D33"/>
    <w:rsid w:val="00867DB0"/>
    <w:rsid w:val="00867FE2"/>
    <w:rsid w:val="008700FA"/>
    <w:rsid w:val="0087092C"/>
    <w:rsid w:val="008709B1"/>
    <w:rsid w:val="00870D54"/>
    <w:rsid w:val="00870E50"/>
    <w:rsid w:val="00871563"/>
    <w:rsid w:val="008720F3"/>
    <w:rsid w:val="008720FB"/>
    <w:rsid w:val="008723B6"/>
    <w:rsid w:val="008723BA"/>
    <w:rsid w:val="0087280E"/>
    <w:rsid w:val="00872892"/>
    <w:rsid w:val="008728EC"/>
    <w:rsid w:val="00872CDE"/>
    <w:rsid w:val="00873CD5"/>
    <w:rsid w:val="00873D6F"/>
    <w:rsid w:val="00873F19"/>
    <w:rsid w:val="008740E9"/>
    <w:rsid w:val="0087479E"/>
    <w:rsid w:val="008750D2"/>
    <w:rsid w:val="00875158"/>
    <w:rsid w:val="00875745"/>
    <w:rsid w:val="0087575D"/>
    <w:rsid w:val="008758DE"/>
    <w:rsid w:val="00875EF7"/>
    <w:rsid w:val="0087609F"/>
    <w:rsid w:val="00876258"/>
    <w:rsid w:val="008762B6"/>
    <w:rsid w:val="008765B4"/>
    <w:rsid w:val="00876A5F"/>
    <w:rsid w:val="00876EA9"/>
    <w:rsid w:val="00876ECD"/>
    <w:rsid w:val="008770D9"/>
    <w:rsid w:val="00877B57"/>
    <w:rsid w:val="00877C5C"/>
    <w:rsid w:val="00877CED"/>
    <w:rsid w:val="008801F0"/>
    <w:rsid w:val="00880222"/>
    <w:rsid w:val="008805B5"/>
    <w:rsid w:val="008805D6"/>
    <w:rsid w:val="008812A0"/>
    <w:rsid w:val="0088163E"/>
    <w:rsid w:val="00881B4C"/>
    <w:rsid w:val="00881E0A"/>
    <w:rsid w:val="0088238C"/>
    <w:rsid w:val="00882579"/>
    <w:rsid w:val="008825AE"/>
    <w:rsid w:val="00882A7A"/>
    <w:rsid w:val="00882B2F"/>
    <w:rsid w:val="00882B76"/>
    <w:rsid w:val="00883187"/>
    <w:rsid w:val="00883267"/>
    <w:rsid w:val="00883926"/>
    <w:rsid w:val="00883E83"/>
    <w:rsid w:val="00884821"/>
    <w:rsid w:val="008850D0"/>
    <w:rsid w:val="00885164"/>
    <w:rsid w:val="0088534C"/>
    <w:rsid w:val="00885741"/>
    <w:rsid w:val="008859C5"/>
    <w:rsid w:val="00885A65"/>
    <w:rsid w:val="00885E8A"/>
    <w:rsid w:val="00885F58"/>
    <w:rsid w:val="00886252"/>
    <w:rsid w:val="00886522"/>
    <w:rsid w:val="008865AF"/>
    <w:rsid w:val="00886BCF"/>
    <w:rsid w:val="00887715"/>
    <w:rsid w:val="00887A65"/>
    <w:rsid w:val="0089002A"/>
    <w:rsid w:val="008905F3"/>
    <w:rsid w:val="00890663"/>
    <w:rsid w:val="00891047"/>
    <w:rsid w:val="00891683"/>
    <w:rsid w:val="0089177F"/>
    <w:rsid w:val="00891946"/>
    <w:rsid w:val="00891A93"/>
    <w:rsid w:val="00891E28"/>
    <w:rsid w:val="0089216D"/>
    <w:rsid w:val="00892204"/>
    <w:rsid w:val="00892262"/>
    <w:rsid w:val="0089296B"/>
    <w:rsid w:val="008929FD"/>
    <w:rsid w:val="00892EBD"/>
    <w:rsid w:val="00893015"/>
    <w:rsid w:val="0089335E"/>
    <w:rsid w:val="008935ED"/>
    <w:rsid w:val="00893744"/>
    <w:rsid w:val="00893A73"/>
    <w:rsid w:val="00893D39"/>
    <w:rsid w:val="008946D8"/>
    <w:rsid w:val="008947F0"/>
    <w:rsid w:val="00894923"/>
    <w:rsid w:val="0089495D"/>
    <w:rsid w:val="00895084"/>
    <w:rsid w:val="0089564B"/>
    <w:rsid w:val="008959C6"/>
    <w:rsid w:val="00895FCC"/>
    <w:rsid w:val="00896430"/>
    <w:rsid w:val="00897018"/>
    <w:rsid w:val="00897107"/>
    <w:rsid w:val="00897233"/>
    <w:rsid w:val="00897350"/>
    <w:rsid w:val="00897477"/>
    <w:rsid w:val="008975C3"/>
    <w:rsid w:val="0089768A"/>
    <w:rsid w:val="00897860"/>
    <w:rsid w:val="008A0ACF"/>
    <w:rsid w:val="008A1490"/>
    <w:rsid w:val="008A1D98"/>
    <w:rsid w:val="008A2CED"/>
    <w:rsid w:val="008A2F57"/>
    <w:rsid w:val="008A3053"/>
    <w:rsid w:val="008A32E6"/>
    <w:rsid w:val="008A34E0"/>
    <w:rsid w:val="008A395D"/>
    <w:rsid w:val="008A4769"/>
    <w:rsid w:val="008A47C3"/>
    <w:rsid w:val="008A4ACE"/>
    <w:rsid w:val="008A51C4"/>
    <w:rsid w:val="008A524E"/>
    <w:rsid w:val="008A54C9"/>
    <w:rsid w:val="008A6246"/>
    <w:rsid w:val="008A672E"/>
    <w:rsid w:val="008A68D7"/>
    <w:rsid w:val="008A6F26"/>
    <w:rsid w:val="008A7306"/>
    <w:rsid w:val="008A751D"/>
    <w:rsid w:val="008A77A6"/>
    <w:rsid w:val="008A7DC8"/>
    <w:rsid w:val="008A7F83"/>
    <w:rsid w:val="008B005F"/>
    <w:rsid w:val="008B02D5"/>
    <w:rsid w:val="008B0835"/>
    <w:rsid w:val="008B0D88"/>
    <w:rsid w:val="008B0EA7"/>
    <w:rsid w:val="008B1005"/>
    <w:rsid w:val="008B12F1"/>
    <w:rsid w:val="008B13C2"/>
    <w:rsid w:val="008B14D9"/>
    <w:rsid w:val="008B2809"/>
    <w:rsid w:val="008B2D61"/>
    <w:rsid w:val="008B2EAB"/>
    <w:rsid w:val="008B35CE"/>
    <w:rsid w:val="008B3ACA"/>
    <w:rsid w:val="008B3BD3"/>
    <w:rsid w:val="008B3CB2"/>
    <w:rsid w:val="008B452D"/>
    <w:rsid w:val="008B4A88"/>
    <w:rsid w:val="008B4D74"/>
    <w:rsid w:val="008B4E2E"/>
    <w:rsid w:val="008B508B"/>
    <w:rsid w:val="008B530A"/>
    <w:rsid w:val="008B5487"/>
    <w:rsid w:val="008B560C"/>
    <w:rsid w:val="008B573C"/>
    <w:rsid w:val="008B57F4"/>
    <w:rsid w:val="008B5B12"/>
    <w:rsid w:val="008B5BCE"/>
    <w:rsid w:val="008B609D"/>
    <w:rsid w:val="008B65E5"/>
    <w:rsid w:val="008B695D"/>
    <w:rsid w:val="008B6996"/>
    <w:rsid w:val="008B6A0F"/>
    <w:rsid w:val="008B6A69"/>
    <w:rsid w:val="008B6C5D"/>
    <w:rsid w:val="008B6C85"/>
    <w:rsid w:val="008B6FCF"/>
    <w:rsid w:val="008B70FB"/>
    <w:rsid w:val="008B722C"/>
    <w:rsid w:val="008B7243"/>
    <w:rsid w:val="008B747A"/>
    <w:rsid w:val="008B7B7E"/>
    <w:rsid w:val="008B7BF5"/>
    <w:rsid w:val="008C0075"/>
    <w:rsid w:val="008C01C1"/>
    <w:rsid w:val="008C04A5"/>
    <w:rsid w:val="008C0C96"/>
    <w:rsid w:val="008C0F19"/>
    <w:rsid w:val="008C1294"/>
    <w:rsid w:val="008C163F"/>
    <w:rsid w:val="008C1890"/>
    <w:rsid w:val="008C191E"/>
    <w:rsid w:val="008C200E"/>
    <w:rsid w:val="008C2610"/>
    <w:rsid w:val="008C2717"/>
    <w:rsid w:val="008C30E6"/>
    <w:rsid w:val="008C3694"/>
    <w:rsid w:val="008C39CB"/>
    <w:rsid w:val="008C3B50"/>
    <w:rsid w:val="008C3ED9"/>
    <w:rsid w:val="008C4264"/>
    <w:rsid w:val="008C4474"/>
    <w:rsid w:val="008C4627"/>
    <w:rsid w:val="008C4729"/>
    <w:rsid w:val="008C4C94"/>
    <w:rsid w:val="008C4EF2"/>
    <w:rsid w:val="008C54F4"/>
    <w:rsid w:val="008C552F"/>
    <w:rsid w:val="008C5926"/>
    <w:rsid w:val="008C6118"/>
    <w:rsid w:val="008C68A7"/>
    <w:rsid w:val="008C6AD7"/>
    <w:rsid w:val="008C7424"/>
    <w:rsid w:val="008C78F3"/>
    <w:rsid w:val="008C796B"/>
    <w:rsid w:val="008C7ABE"/>
    <w:rsid w:val="008D00E2"/>
    <w:rsid w:val="008D0739"/>
    <w:rsid w:val="008D0B78"/>
    <w:rsid w:val="008D0D06"/>
    <w:rsid w:val="008D12BF"/>
    <w:rsid w:val="008D13CC"/>
    <w:rsid w:val="008D1D94"/>
    <w:rsid w:val="008D20D5"/>
    <w:rsid w:val="008D21BE"/>
    <w:rsid w:val="008D2290"/>
    <w:rsid w:val="008D238C"/>
    <w:rsid w:val="008D2A8D"/>
    <w:rsid w:val="008D3828"/>
    <w:rsid w:val="008D419C"/>
    <w:rsid w:val="008D41CE"/>
    <w:rsid w:val="008D44F5"/>
    <w:rsid w:val="008D46B5"/>
    <w:rsid w:val="008D4990"/>
    <w:rsid w:val="008D4C18"/>
    <w:rsid w:val="008D4CE8"/>
    <w:rsid w:val="008D52F4"/>
    <w:rsid w:val="008D5386"/>
    <w:rsid w:val="008D538E"/>
    <w:rsid w:val="008D554F"/>
    <w:rsid w:val="008D56B3"/>
    <w:rsid w:val="008D5A22"/>
    <w:rsid w:val="008D5A2C"/>
    <w:rsid w:val="008D5A30"/>
    <w:rsid w:val="008D5D6D"/>
    <w:rsid w:val="008D5E17"/>
    <w:rsid w:val="008D622A"/>
    <w:rsid w:val="008D62EA"/>
    <w:rsid w:val="008D63AA"/>
    <w:rsid w:val="008D6E63"/>
    <w:rsid w:val="008D70DF"/>
    <w:rsid w:val="008D762B"/>
    <w:rsid w:val="008D795D"/>
    <w:rsid w:val="008D7A14"/>
    <w:rsid w:val="008D7BD6"/>
    <w:rsid w:val="008E008A"/>
    <w:rsid w:val="008E13B0"/>
    <w:rsid w:val="008E1833"/>
    <w:rsid w:val="008E1B12"/>
    <w:rsid w:val="008E1C14"/>
    <w:rsid w:val="008E1D23"/>
    <w:rsid w:val="008E1D68"/>
    <w:rsid w:val="008E1E90"/>
    <w:rsid w:val="008E211F"/>
    <w:rsid w:val="008E219A"/>
    <w:rsid w:val="008E2714"/>
    <w:rsid w:val="008E3467"/>
    <w:rsid w:val="008E388C"/>
    <w:rsid w:val="008E38B4"/>
    <w:rsid w:val="008E3947"/>
    <w:rsid w:val="008E3F05"/>
    <w:rsid w:val="008E4163"/>
    <w:rsid w:val="008E4CEC"/>
    <w:rsid w:val="008E511A"/>
    <w:rsid w:val="008E5708"/>
    <w:rsid w:val="008E604B"/>
    <w:rsid w:val="008E6A29"/>
    <w:rsid w:val="008E6A86"/>
    <w:rsid w:val="008E6D52"/>
    <w:rsid w:val="008E71A8"/>
    <w:rsid w:val="008E73F0"/>
    <w:rsid w:val="008E7527"/>
    <w:rsid w:val="008E7709"/>
    <w:rsid w:val="008E7722"/>
    <w:rsid w:val="008E7B7E"/>
    <w:rsid w:val="008E7EB7"/>
    <w:rsid w:val="008E7F83"/>
    <w:rsid w:val="008F0234"/>
    <w:rsid w:val="008F0246"/>
    <w:rsid w:val="008F072C"/>
    <w:rsid w:val="008F125D"/>
    <w:rsid w:val="008F14F2"/>
    <w:rsid w:val="008F1DAC"/>
    <w:rsid w:val="008F252E"/>
    <w:rsid w:val="008F2563"/>
    <w:rsid w:val="008F2690"/>
    <w:rsid w:val="008F2847"/>
    <w:rsid w:val="008F2DA2"/>
    <w:rsid w:val="008F2E74"/>
    <w:rsid w:val="008F3043"/>
    <w:rsid w:val="008F3683"/>
    <w:rsid w:val="008F3742"/>
    <w:rsid w:val="008F3748"/>
    <w:rsid w:val="008F3A16"/>
    <w:rsid w:val="008F4195"/>
    <w:rsid w:val="008F4921"/>
    <w:rsid w:val="008F4B58"/>
    <w:rsid w:val="008F4B7D"/>
    <w:rsid w:val="008F4CF6"/>
    <w:rsid w:val="008F4CF7"/>
    <w:rsid w:val="008F5462"/>
    <w:rsid w:val="008F56AB"/>
    <w:rsid w:val="008F5892"/>
    <w:rsid w:val="008F658C"/>
    <w:rsid w:val="008F6E81"/>
    <w:rsid w:val="008F6F38"/>
    <w:rsid w:val="008F75AD"/>
    <w:rsid w:val="008F7658"/>
    <w:rsid w:val="0090044B"/>
    <w:rsid w:val="0090065C"/>
    <w:rsid w:val="009007AE"/>
    <w:rsid w:val="00900A6E"/>
    <w:rsid w:val="00900D4F"/>
    <w:rsid w:val="00900DC5"/>
    <w:rsid w:val="00901143"/>
    <w:rsid w:val="00901336"/>
    <w:rsid w:val="00901570"/>
    <w:rsid w:val="00901695"/>
    <w:rsid w:val="00901D74"/>
    <w:rsid w:val="00901F9E"/>
    <w:rsid w:val="0090207D"/>
    <w:rsid w:val="0090244F"/>
    <w:rsid w:val="00902570"/>
    <w:rsid w:val="00902708"/>
    <w:rsid w:val="009027EE"/>
    <w:rsid w:val="00902C43"/>
    <w:rsid w:val="00903582"/>
    <w:rsid w:val="0090384C"/>
    <w:rsid w:val="00903FF6"/>
    <w:rsid w:val="0090444C"/>
    <w:rsid w:val="009047CF"/>
    <w:rsid w:val="009047DA"/>
    <w:rsid w:val="00904D3A"/>
    <w:rsid w:val="00904E37"/>
    <w:rsid w:val="009050F3"/>
    <w:rsid w:val="00905367"/>
    <w:rsid w:val="00906687"/>
    <w:rsid w:val="00906744"/>
    <w:rsid w:val="009069DD"/>
    <w:rsid w:val="00906F1B"/>
    <w:rsid w:val="00907187"/>
    <w:rsid w:val="00907255"/>
    <w:rsid w:val="00910000"/>
    <w:rsid w:val="00910890"/>
    <w:rsid w:val="00910E74"/>
    <w:rsid w:val="00911CBA"/>
    <w:rsid w:val="00912071"/>
    <w:rsid w:val="00912356"/>
    <w:rsid w:val="00912A09"/>
    <w:rsid w:val="00912AEF"/>
    <w:rsid w:val="00912CFA"/>
    <w:rsid w:val="00912D3F"/>
    <w:rsid w:val="0091334D"/>
    <w:rsid w:val="00913370"/>
    <w:rsid w:val="009136F4"/>
    <w:rsid w:val="00913F8E"/>
    <w:rsid w:val="009142CD"/>
    <w:rsid w:val="009145CE"/>
    <w:rsid w:val="00914891"/>
    <w:rsid w:val="0091495B"/>
    <w:rsid w:val="00914C22"/>
    <w:rsid w:val="00914FC9"/>
    <w:rsid w:val="009154F1"/>
    <w:rsid w:val="00915CFE"/>
    <w:rsid w:val="00915FE2"/>
    <w:rsid w:val="0091642F"/>
    <w:rsid w:val="00916559"/>
    <w:rsid w:val="00916839"/>
    <w:rsid w:val="009169EC"/>
    <w:rsid w:val="00916A2B"/>
    <w:rsid w:val="00916AF7"/>
    <w:rsid w:val="00916B79"/>
    <w:rsid w:val="00916BB7"/>
    <w:rsid w:val="00916BD6"/>
    <w:rsid w:val="00917076"/>
    <w:rsid w:val="00917172"/>
    <w:rsid w:val="00917321"/>
    <w:rsid w:val="009173F4"/>
    <w:rsid w:val="0091742D"/>
    <w:rsid w:val="009178B8"/>
    <w:rsid w:val="00917F52"/>
    <w:rsid w:val="0092034F"/>
    <w:rsid w:val="00920552"/>
    <w:rsid w:val="00920B63"/>
    <w:rsid w:val="00920ED5"/>
    <w:rsid w:val="009211E0"/>
    <w:rsid w:val="009217B4"/>
    <w:rsid w:val="00921959"/>
    <w:rsid w:val="00921A66"/>
    <w:rsid w:val="00921F5C"/>
    <w:rsid w:val="00922453"/>
    <w:rsid w:val="009226F6"/>
    <w:rsid w:val="009230C6"/>
    <w:rsid w:val="009230FB"/>
    <w:rsid w:val="009231F2"/>
    <w:rsid w:val="009232CA"/>
    <w:rsid w:val="00923430"/>
    <w:rsid w:val="00923539"/>
    <w:rsid w:val="00923964"/>
    <w:rsid w:val="00923B0E"/>
    <w:rsid w:val="00923C9B"/>
    <w:rsid w:val="00924090"/>
    <w:rsid w:val="00924622"/>
    <w:rsid w:val="009247FF"/>
    <w:rsid w:val="00924AEC"/>
    <w:rsid w:val="00924B5B"/>
    <w:rsid w:val="00924B71"/>
    <w:rsid w:val="00924DED"/>
    <w:rsid w:val="00924EB1"/>
    <w:rsid w:val="009250AF"/>
    <w:rsid w:val="009250C4"/>
    <w:rsid w:val="009259D5"/>
    <w:rsid w:val="00925C31"/>
    <w:rsid w:val="00926384"/>
    <w:rsid w:val="00927116"/>
    <w:rsid w:val="00927F6C"/>
    <w:rsid w:val="00930970"/>
    <w:rsid w:val="00930BDC"/>
    <w:rsid w:val="00931D84"/>
    <w:rsid w:val="00932647"/>
    <w:rsid w:val="0093269B"/>
    <w:rsid w:val="009332F5"/>
    <w:rsid w:val="0093362B"/>
    <w:rsid w:val="00933D43"/>
    <w:rsid w:val="009346FD"/>
    <w:rsid w:val="00934AE1"/>
    <w:rsid w:val="00934BDE"/>
    <w:rsid w:val="00934C34"/>
    <w:rsid w:val="00935B35"/>
    <w:rsid w:val="00935C09"/>
    <w:rsid w:val="00935C8B"/>
    <w:rsid w:val="009360BD"/>
    <w:rsid w:val="00936707"/>
    <w:rsid w:val="00936803"/>
    <w:rsid w:val="00936A9B"/>
    <w:rsid w:val="00936F70"/>
    <w:rsid w:val="0093711D"/>
    <w:rsid w:val="00937284"/>
    <w:rsid w:val="009376DF"/>
    <w:rsid w:val="00937D60"/>
    <w:rsid w:val="00940171"/>
    <w:rsid w:val="00940AE6"/>
    <w:rsid w:val="00940BDE"/>
    <w:rsid w:val="00940F17"/>
    <w:rsid w:val="0094144C"/>
    <w:rsid w:val="009420ED"/>
    <w:rsid w:val="009421CA"/>
    <w:rsid w:val="009422DE"/>
    <w:rsid w:val="00942803"/>
    <w:rsid w:val="00942917"/>
    <w:rsid w:val="00942C6D"/>
    <w:rsid w:val="00942D78"/>
    <w:rsid w:val="00942F3D"/>
    <w:rsid w:val="0094319C"/>
    <w:rsid w:val="00943692"/>
    <w:rsid w:val="00943868"/>
    <w:rsid w:val="00943B5F"/>
    <w:rsid w:val="00943F85"/>
    <w:rsid w:val="009440BE"/>
    <w:rsid w:val="009441DF"/>
    <w:rsid w:val="0094438A"/>
    <w:rsid w:val="00944958"/>
    <w:rsid w:val="00944AF9"/>
    <w:rsid w:val="00944D5D"/>
    <w:rsid w:val="00945C3B"/>
    <w:rsid w:val="00945EC6"/>
    <w:rsid w:val="00946D66"/>
    <w:rsid w:val="00946E8B"/>
    <w:rsid w:val="009476CC"/>
    <w:rsid w:val="00947CCA"/>
    <w:rsid w:val="00947EC3"/>
    <w:rsid w:val="00947F95"/>
    <w:rsid w:val="00950456"/>
    <w:rsid w:val="00950762"/>
    <w:rsid w:val="009509ED"/>
    <w:rsid w:val="00950FC9"/>
    <w:rsid w:val="0095107D"/>
    <w:rsid w:val="009510CE"/>
    <w:rsid w:val="009510EA"/>
    <w:rsid w:val="009521FB"/>
    <w:rsid w:val="009523C2"/>
    <w:rsid w:val="0095293B"/>
    <w:rsid w:val="00952F21"/>
    <w:rsid w:val="00952FA2"/>
    <w:rsid w:val="009536F5"/>
    <w:rsid w:val="00954084"/>
    <w:rsid w:val="0095412A"/>
    <w:rsid w:val="009543B9"/>
    <w:rsid w:val="00954701"/>
    <w:rsid w:val="00954EFA"/>
    <w:rsid w:val="00954EFE"/>
    <w:rsid w:val="00954F57"/>
    <w:rsid w:val="009550EC"/>
    <w:rsid w:val="009556AB"/>
    <w:rsid w:val="009556FB"/>
    <w:rsid w:val="00955894"/>
    <w:rsid w:val="00955902"/>
    <w:rsid w:val="009562C2"/>
    <w:rsid w:val="009564EB"/>
    <w:rsid w:val="009565BE"/>
    <w:rsid w:val="00956BC4"/>
    <w:rsid w:val="00956E96"/>
    <w:rsid w:val="00956ED4"/>
    <w:rsid w:val="009573AE"/>
    <w:rsid w:val="00957672"/>
    <w:rsid w:val="00957A9C"/>
    <w:rsid w:val="00957D73"/>
    <w:rsid w:val="00957DA9"/>
    <w:rsid w:val="0096088C"/>
    <w:rsid w:val="00960907"/>
    <w:rsid w:val="00960B81"/>
    <w:rsid w:val="009614C5"/>
    <w:rsid w:val="00961653"/>
    <w:rsid w:val="009616C7"/>
    <w:rsid w:val="0096218E"/>
    <w:rsid w:val="0096234F"/>
    <w:rsid w:val="0096264C"/>
    <w:rsid w:val="00962770"/>
    <w:rsid w:val="009628BD"/>
    <w:rsid w:val="00962B17"/>
    <w:rsid w:val="00962B34"/>
    <w:rsid w:val="00962B6F"/>
    <w:rsid w:val="00962D15"/>
    <w:rsid w:val="00962DC8"/>
    <w:rsid w:val="00962E15"/>
    <w:rsid w:val="0096304F"/>
    <w:rsid w:val="009635FE"/>
    <w:rsid w:val="00963B30"/>
    <w:rsid w:val="00964123"/>
    <w:rsid w:val="00964176"/>
    <w:rsid w:val="009643D9"/>
    <w:rsid w:val="00964590"/>
    <w:rsid w:val="00964BB1"/>
    <w:rsid w:val="00964C88"/>
    <w:rsid w:val="00964E29"/>
    <w:rsid w:val="00964EF4"/>
    <w:rsid w:val="00964F57"/>
    <w:rsid w:val="00964F71"/>
    <w:rsid w:val="00964F8E"/>
    <w:rsid w:val="00964FE9"/>
    <w:rsid w:val="009655C8"/>
    <w:rsid w:val="009658BE"/>
    <w:rsid w:val="00965A33"/>
    <w:rsid w:val="00965C9F"/>
    <w:rsid w:val="00965E7D"/>
    <w:rsid w:val="009665BD"/>
    <w:rsid w:val="00966885"/>
    <w:rsid w:val="00967174"/>
    <w:rsid w:val="00967188"/>
    <w:rsid w:val="009679D0"/>
    <w:rsid w:val="00967DA1"/>
    <w:rsid w:val="00967FF6"/>
    <w:rsid w:val="009703D9"/>
    <w:rsid w:val="009712EF"/>
    <w:rsid w:val="00971884"/>
    <w:rsid w:val="00971D7D"/>
    <w:rsid w:val="00971DA8"/>
    <w:rsid w:val="00971E51"/>
    <w:rsid w:val="00972182"/>
    <w:rsid w:val="009722EE"/>
    <w:rsid w:val="00972488"/>
    <w:rsid w:val="0097273E"/>
    <w:rsid w:val="00972A26"/>
    <w:rsid w:val="00972A98"/>
    <w:rsid w:val="00972B98"/>
    <w:rsid w:val="00972D6C"/>
    <w:rsid w:val="00973257"/>
    <w:rsid w:val="00973471"/>
    <w:rsid w:val="0097347F"/>
    <w:rsid w:val="0097387E"/>
    <w:rsid w:val="00973CD2"/>
    <w:rsid w:val="00973D13"/>
    <w:rsid w:val="00973DAB"/>
    <w:rsid w:val="0097433A"/>
    <w:rsid w:val="00974AC2"/>
    <w:rsid w:val="00974E58"/>
    <w:rsid w:val="00974F98"/>
    <w:rsid w:val="00974FC0"/>
    <w:rsid w:val="009751A1"/>
    <w:rsid w:val="009752DE"/>
    <w:rsid w:val="00975376"/>
    <w:rsid w:val="00975533"/>
    <w:rsid w:val="00975AE7"/>
    <w:rsid w:val="00975D17"/>
    <w:rsid w:val="00975E72"/>
    <w:rsid w:val="00975F30"/>
    <w:rsid w:val="0097624B"/>
    <w:rsid w:val="00976338"/>
    <w:rsid w:val="009768A4"/>
    <w:rsid w:val="00976A00"/>
    <w:rsid w:val="00976CD3"/>
    <w:rsid w:val="0097706B"/>
    <w:rsid w:val="00977075"/>
    <w:rsid w:val="00977144"/>
    <w:rsid w:val="00977645"/>
    <w:rsid w:val="009776EC"/>
    <w:rsid w:val="00977787"/>
    <w:rsid w:val="009777C6"/>
    <w:rsid w:val="0098011C"/>
    <w:rsid w:val="009802E0"/>
    <w:rsid w:val="0098121B"/>
    <w:rsid w:val="00981D6D"/>
    <w:rsid w:val="009821F0"/>
    <w:rsid w:val="0098246B"/>
    <w:rsid w:val="009827EE"/>
    <w:rsid w:val="00982B2D"/>
    <w:rsid w:val="00982B48"/>
    <w:rsid w:val="00982EC1"/>
    <w:rsid w:val="00982F18"/>
    <w:rsid w:val="009836B3"/>
    <w:rsid w:val="009837B0"/>
    <w:rsid w:val="009839A0"/>
    <w:rsid w:val="00983C4E"/>
    <w:rsid w:val="00983E63"/>
    <w:rsid w:val="009844BE"/>
    <w:rsid w:val="00984588"/>
    <w:rsid w:val="009848E7"/>
    <w:rsid w:val="009849EF"/>
    <w:rsid w:val="00985469"/>
    <w:rsid w:val="0098581C"/>
    <w:rsid w:val="00985B38"/>
    <w:rsid w:val="00986427"/>
    <w:rsid w:val="00986695"/>
    <w:rsid w:val="0098680C"/>
    <w:rsid w:val="00986886"/>
    <w:rsid w:val="009869E9"/>
    <w:rsid w:val="00986AF4"/>
    <w:rsid w:val="00986B3D"/>
    <w:rsid w:val="00986FB4"/>
    <w:rsid w:val="00987246"/>
    <w:rsid w:val="0098729F"/>
    <w:rsid w:val="0098765C"/>
    <w:rsid w:val="00987960"/>
    <w:rsid w:val="00987C31"/>
    <w:rsid w:val="00990236"/>
    <w:rsid w:val="0099063B"/>
    <w:rsid w:val="00990A48"/>
    <w:rsid w:val="00990C72"/>
    <w:rsid w:val="00990DFD"/>
    <w:rsid w:val="009917AC"/>
    <w:rsid w:val="00991A00"/>
    <w:rsid w:val="00991FE3"/>
    <w:rsid w:val="0099247C"/>
    <w:rsid w:val="0099259D"/>
    <w:rsid w:val="009933E0"/>
    <w:rsid w:val="00993DE4"/>
    <w:rsid w:val="0099471B"/>
    <w:rsid w:val="009948B8"/>
    <w:rsid w:val="00994918"/>
    <w:rsid w:val="00994E84"/>
    <w:rsid w:val="00995105"/>
    <w:rsid w:val="00995664"/>
    <w:rsid w:val="00995822"/>
    <w:rsid w:val="00995AB8"/>
    <w:rsid w:val="00995E36"/>
    <w:rsid w:val="0099619A"/>
    <w:rsid w:val="00996671"/>
    <w:rsid w:val="009966A9"/>
    <w:rsid w:val="00996784"/>
    <w:rsid w:val="00996942"/>
    <w:rsid w:val="009969C4"/>
    <w:rsid w:val="00996F8A"/>
    <w:rsid w:val="00997267"/>
    <w:rsid w:val="0099730B"/>
    <w:rsid w:val="0099757C"/>
    <w:rsid w:val="0099772A"/>
    <w:rsid w:val="00997AF4"/>
    <w:rsid w:val="00997BFD"/>
    <w:rsid w:val="00997C1E"/>
    <w:rsid w:val="00997C62"/>
    <w:rsid w:val="00997CF3"/>
    <w:rsid w:val="00997D1B"/>
    <w:rsid w:val="009A0061"/>
    <w:rsid w:val="009A0EF9"/>
    <w:rsid w:val="009A11BA"/>
    <w:rsid w:val="009A1596"/>
    <w:rsid w:val="009A1B8B"/>
    <w:rsid w:val="009A2144"/>
    <w:rsid w:val="009A22F7"/>
    <w:rsid w:val="009A2840"/>
    <w:rsid w:val="009A2971"/>
    <w:rsid w:val="009A2B68"/>
    <w:rsid w:val="009A2BF1"/>
    <w:rsid w:val="009A2DEB"/>
    <w:rsid w:val="009A2E78"/>
    <w:rsid w:val="009A3034"/>
    <w:rsid w:val="009A329C"/>
    <w:rsid w:val="009A3E11"/>
    <w:rsid w:val="009A3E4D"/>
    <w:rsid w:val="009A44F5"/>
    <w:rsid w:val="009A4717"/>
    <w:rsid w:val="009A474A"/>
    <w:rsid w:val="009A4C8B"/>
    <w:rsid w:val="009A4EE9"/>
    <w:rsid w:val="009A51CD"/>
    <w:rsid w:val="009A539E"/>
    <w:rsid w:val="009A5850"/>
    <w:rsid w:val="009A608D"/>
    <w:rsid w:val="009A693D"/>
    <w:rsid w:val="009A6B63"/>
    <w:rsid w:val="009A7246"/>
    <w:rsid w:val="009A7722"/>
    <w:rsid w:val="009A7F8A"/>
    <w:rsid w:val="009B01CE"/>
    <w:rsid w:val="009B027C"/>
    <w:rsid w:val="009B06C2"/>
    <w:rsid w:val="009B0CEE"/>
    <w:rsid w:val="009B0D1B"/>
    <w:rsid w:val="009B125B"/>
    <w:rsid w:val="009B14B7"/>
    <w:rsid w:val="009B1543"/>
    <w:rsid w:val="009B1708"/>
    <w:rsid w:val="009B19C4"/>
    <w:rsid w:val="009B1B96"/>
    <w:rsid w:val="009B1EC7"/>
    <w:rsid w:val="009B1F2C"/>
    <w:rsid w:val="009B26D4"/>
    <w:rsid w:val="009B2E7A"/>
    <w:rsid w:val="009B37EC"/>
    <w:rsid w:val="009B3EA5"/>
    <w:rsid w:val="009B3FD1"/>
    <w:rsid w:val="009B5064"/>
    <w:rsid w:val="009B52AC"/>
    <w:rsid w:val="009B574F"/>
    <w:rsid w:val="009B5A26"/>
    <w:rsid w:val="009B5C63"/>
    <w:rsid w:val="009B5F58"/>
    <w:rsid w:val="009B6210"/>
    <w:rsid w:val="009B6261"/>
    <w:rsid w:val="009B67F2"/>
    <w:rsid w:val="009B68EC"/>
    <w:rsid w:val="009B6BB3"/>
    <w:rsid w:val="009B7201"/>
    <w:rsid w:val="009B73D8"/>
    <w:rsid w:val="009B754C"/>
    <w:rsid w:val="009B7644"/>
    <w:rsid w:val="009B76C5"/>
    <w:rsid w:val="009C0299"/>
    <w:rsid w:val="009C0445"/>
    <w:rsid w:val="009C05F0"/>
    <w:rsid w:val="009C08A0"/>
    <w:rsid w:val="009C0CD4"/>
    <w:rsid w:val="009C1557"/>
    <w:rsid w:val="009C16CE"/>
    <w:rsid w:val="009C17F4"/>
    <w:rsid w:val="009C1B2F"/>
    <w:rsid w:val="009C1E68"/>
    <w:rsid w:val="009C20AD"/>
    <w:rsid w:val="009C2668"/>
    <w:rsid w:val="009C276B"/>
    <w:rsid w:val="009C2817"/>
    <w:rsid w:val="009C2942"/>
    <w:rsid w:val="009C2A4D"/>
    <w:rsid w:val="009C43A3"/>
    <w:rsid w:val="009C4404"/>
    <w:rsid w:val="009C4896"/>
    <w:rsid w:val="009C51E7"/>
    <w:rsid w:val="009C5751"/>
    <w:rsid w:val="009C5974"/>
    <w:rsid w:val="009C5C52"/>
    <w:rsid w:val="009C5EEF"/>
    <w:rsid w:val="009C62F6"/>
    <w:rsid w:val="009C62FD"/>
    <w:rsid w:val="009C65B6"/>
    <w:rsid w:val="009C67EF"/>
    <w:rsid w:val="009C6B3D"/>
    <w:rsid w:val="009C6F09"/>
    <w:rsid w:val="009C7070"/>
    <w:rsid w:val="009C7513"/>
    <w:rsid w:val="009C75FF"/>
    <w:rsid w:val="009C77C6"/>
    <w:rsid w:val="009C7A6B"/>
    <w:rsid w:val="009C7C78"/>
    <w:rsid w:val="009D07AD"/>
    <w:rsid w:val="009D0866"/>
    <w:rsid w:val="009D0ACE"/>
    <w:rsid w:val="009D105A"/>
    <w:rsid w:val="009D1112"/>
    <w:rsid w:val="009D1462"/>
    <w:rsid w:val="009D15B7"/>
    <w:rsid w:val="009D1738"/>
    <w:rsid w:val="009D18C1"/>
    <w:rsid w:val="009D1AAF"/>
    <w:rsid w:val="009D25F6"/>
    <w:rsid w:val="009D279F"/>
    <w:rsid w:val="009D2A08"/>
    <w:rsid w:val="009D2B8E"/>
    <w:rsid w:val="009D3118"/>
    <w:rsid w:val="009D3819"/>
    <w:rsid w:val="009D39AB"/>
    <w:rsid w:val="009D3D05"/>
    <w:rsid w:val="009D40D9"/>
    <w:rsid w:val="009D42F3"/>
    <w:rsid w:val="009D45C1"/>
    <w:rsid w:val="009D4819"/>
    <w:rsid w:val="009D48E3"/>
    <w:rsid w:val="009D4924"/>
    <w:rsid w:val="009D49F4"/>
    <w:rsid w:val="009D57CD"/>
    <w:rsid w:val="009D5DC9"/>
    <w:rsid w:val="009D5F6F"/>
    <w:rsid w:val="009D63E6"/>
    <w:rsid w:val="009D6714"/>
    <w:rsid w:val="009D68DA"/>
    <w:rsid w:val="009D69A0"/>
    <w:rsid w:val="009D69A1"/>
    <w:rsid w:val="009D6EC0"/>
    <w:rsid w:val="009D722B"/>
    <w:rsid w:val="009D742C"/>
    <w:rsid w:val="009D7735"/>
    <w:rsid w:val="009D779B"/>
    <w:rsid w:val="009D7CEB"/>
    <w:rsid w:val="009E007F"/>
    <w:rsid w:val="009E04CB"/>
    <w:rsid w:val="009E05D7"/>
    <w:rsid w:val="009E0754"/>
    <w:rsid w:val="009E0A0A"/>
    <w:rsid w:val="009E0C05"/>
    <w:rsid w:val="009E1034"/>
    <w:rsid w:val="009E1097"/>
    <w:rsid w:val="009E10AE"/>
    <w:rsid w:val="009E1759"/>
    <w:rsid w:val="009E1871"/>
    <w:rsid w:val="009E1895"/>
    <w:rsid w:val="009E1A8F"/>
    <w:rsid w:val="009E1FCC"/>
    <w:rsid w:val="009E2313"/>
    <w:rsid w:val="009E29C6"/>
    <w:rsid w:val="009E2A27"/>
    <w:rsid w:val="009E2C06"/>
    <w:rsid w:val="009E2D1A"/>
    <w:rsid w:val="009E2E4A"/>
    <w:rsid w:val="009E2F02"/>
    <w:rsid w:val="009E31A4"/>
    <w:rsid w:val="009E341C"/>
    <w:rsid w:val="009E37DE"/>
    <w:rsid w:val="009E3FF1"/>
    <w:rsid w:val="009E43B6"/>
    <w:rsid w:val="009E48C9"/>
    <w:rsid w:val="009E4971"/>
    <w:rsid w:val="009E4E85"/>
    <w:rsid w:val="009E4F56"/>
    <w:rsid w:val="009E5D51"/>
    <w:rsid w:val="009E5D6A"/>
    <w:rsid w:val="009E6267"/>
    <w:rsid w:val="009E664F"/>
    <w:rsid w:val="009E6994"/>
    <w:rsid w:val="009E6E58"/>
    <w:rsid w:val="009E729D"/>
    <w:rsid w:val="009E768B"/>
    <w:rsid w:val="009E7E0B"/>
    <w:rsid w:val="009F00F9"/>
    <w:rsid w:val="009F02C5"/>
    <w:rsid w:val="009F0AF5"/>
    <w:rsid w:val="009F0B73"/>
    <w:rsid w:val="009F0BA1"/>
    <w:rsid w:val="009F0C6E"/>
    <w:rsid w:val="009F0E0F"/>
    <w:rsid w:val="009F0E6D"/>
    <w:rsid w:val="009F0EA6"/>
    <w:rsid w:val="009F11D5"/>
    <w:rsid w:val="009F1447"/>
    <w:rsid w:val="009F14A1"/>
    <w:rsid w:val="009F17BC"/>
    <w:rsid w:val="009F1E51"/>
    <w:rsid w:val="009F242F"/>
    <w:rsid w:val="009F2666"/>
    <w:rsid w:val="009F2E5B"/>
    <w:rsid w:val="009F3385"/>
    <w:rsid w:val="009F3803"/>
    <w:rsid w:val="009F3CF9"/>
    <w:rsid w:val="009F3ED0"/>
    <w:rsid w:val="009F4172"/>
    <w:rsid w:val="009F4696"/>
    <w:rsid w:val="009F46CF"/>
    <w:rsid w:val="009F481A"/>
    <w:rsid w:val="009F4BB8"/>
    <w:rsid w:val="009F520A"/>
    <w:rsid w:val="009F5273"/>
    <w:rsid w:val="009F53FB"/>
    <w:rsid w:val="009F5C04"/>
    <w:rsid w:val="009F5DD1"/>
    <w:rsid w:val="009F5E1B"/>
    <w:rsid w:val="009F65C1"/>
    <w:rsid w:val="009F66F1"/>
    <w:rsid w:val="009F6B1C"/>
    <w:rsid w:val="009F6BCE"/>
    <w:rsid w:val="009F7374"/>
    <w:rsid w:val="009F7677"/>
    <w:rsid w:val="009F7ACA"/>
    <w:rsid w:val="009F7B69"/>
    <w:rsid w:val="009F7C44"/>
    <w:rsid w:val="009F7E76"/>
    <w:rsid w:val="00A0025B"/>
    <w:rsid w:val="00A007BD"/>
    <w:rsid w:val="00A00C03"/>
    <w:rsid w:val="00A00C79"/>
    <w:rsid w:val="00A00E2B"/>
    <w:rsid w:val="00A00EB0"/>
    <w:rsid w:val="00A00EE6"/>
    <w:rsid w:val="00A00FAB"/>
    <w:rsid w:val="00A00FED"/>
    <w:rsid w:val="00A010AD"/>
    <w:rsid w:val="00A01539"/>
    <w:rsid w:val="00A019A4"/>
    <w:rsid w:val="00A01AC3"/>
    <w:rsid w:val="00A01D4F"/>
    <w:rsid w:val="00A01EB5"/>
    <w:rsid w:val="00A023F0"/>
    <w:rsid w:val="00A024C8"/>
    <w:rsid w:val="00A02644"/>
    <w:rsid w:val="00A026AA"/>
    <w:rsid w:val="00A02AD1"/>
    <w:rsid w:val="00A030A5"/>
    <w:rsid w:val="00A030F4"/>
    <w:rsid w:val="00A033CD"/>
    <w:rsid w:val="00A034A2"/>
    <w:rsid w:val="00A03715"/>
    <w:rsid w:val="00A03877"/>
    <w:rsid w:val="00A039A5"/>
    <w:rsid w:val="00A03C32"/>
    <w:rsid w:val="00A03D1D"/>
    <w:rsid w:val="00A043A8"/>
    <w:rsid w:val="00A045B1"/>
    <w:rsid w:val="00A04622"/>
    <w:rsid w:val="00A0498B"/>
    <w:rsid w:val="00A04CD6"/>
    <w:rsid w:val="00A04EA6"/>
    <w:rsid w:val="00A05096"/>
    <w:rsid w:val="00A05166"/>
    <w:rsid w:val="00A06105"/>
    <w:rsid w:val="00A062BB"/>
    <w:rsid w:val="00A067B1"/>
    <w:rsid w:val="00A06837"/>
    <w:rsid w:val="00A0683F"/>
    <w:rsid w:val="00A06877"/>
    <w:rsid w:val="00A069FF"/>
    <w:rsid w:val="00A06D02"/>
    <w:rsid w:val="00A06E87"/>
    <w:rsid w:val="00A07073"/>
    <w:rsid w:val="00A07358"/>
    <w:rsid w:val="00A0737F"/>
    <w:rsid w:val="00A073DF"/>
    <w:rsid w:val="00A0760A"/>
    <w:rsid w:val="00A07B9D"/>
    <w:rsid w:val="00A07C42"/>
    <w:rsid w:val="00A10445"/>
    <w:rsid w:val="00A105E5"/>
    <w:rsid w:val="00A10FF2"/>
    <w:rsid w:val="00A1112A"/>
    <w:rsid w:val="00A112D4"/>
    <w:rsid w:val="00A1139D"/>
    <w:rsid w:val="00A11539"/>
    <w:rsid w:val="00A1162F"/>
    <w:rsid w:val="00A11D4A"/>
    <w:rsid w:val="00A11FA1"/>
    <w:rsid w:val="00A123EF"/>
    <w:rsid w:val="00A12734"/>
    <w:rsid w:val="00A12B80"/>
    <w:rsid w:val="00A13117"/>
    <w:rsid w:val="00A13416"/>
    <w:rsid w:val="00A138AC"/>
    <w:rsid w:val="00A13A4E"/>
    <w:rsid w:val="00A13CD6"/>
    <w:rsid w:val="00A14C06"/>
    <w:rsid w:val="00A14CFE"/>
    <w:rsid w:val="00A15DB7"/>
    <w:rsid w:val="00A169E5"/>
    <w:rsid w:val="00A16B58"/>
    <w:rsid w:val="00A16B7C"/>
    <w:rsid w:val="00A16C87"/>
    <w:rsid w:val="00A16D48"/>
    <w:rsid w:val="00A16D9F"/>
    <w:rsid w:val="00A176C7"/>
    <w:rsid w:val="00A17A55"/>
    <w:rsid w:val="00A20214"/>
    <w:rsid w:val="00A2022B"/>
    <w:rsid w:val="00A204E2"/>
    <w:rsid w:val="00A206F8"/>
    <w:rsid w:val="00A20D11"/>
    <w:rsid w:val="00A2119F"/>
    <w:rsid w:val="00A2161D"/>
    <w:rsid w:val="00A21849"/>
    <w:rsid w:val="00A21EF2"/>
    <w:rsid w:val="00A2207C"/>
    <w:rsid w:val="00A2227E"/>
    <w:rsid w:val="00A2268F"/>
    <w:rsid w:val="00A22FEC"/>
    <w:rsid w:val="00A2320F"/>
    <w:rsid w:val="00A237DE"/>
    <w:rsid w:val="00A23AB5"/>
    <w:rsid w:val="00A23BBD"/>
    <w:rsid w:val="00A24080"/>
    <w:rsid w:val="00A24237"/>
    <w:rsid w:val="00A24A11"/>
    <w:rsid w:val="00A24B5E"/>
    <w:rsid w:val="00A24CF7"/>
    <w:rsid w:val="00A25143"/>
    <w:rsid w:val="00A25691"/>
    <w:rsid w:val="00A259D3"/>
    <w:rsid w:val="00A264C4"/>
    <w:rsid w:val="00A2693C"/>
    <w:rsid w:val="00A26ABE"/>
    <w:rsid w:val="00A26B0B"/>
    <w:rsid w:val="00A26B16"/>
    <w:rsid w:val="00A27057"/>
    <w:rsid w:val="00A274F9"/>
    <w:rsid w:val="00A2752F"/>
    <w:rsid w:val="00A27D92"/>
    <w:rsid w:val="00A307B0"/>
    <w:rsid w:val="00A311EE"/>
    <w:rsid w:val="00A31281"/>
    <w:rsid w:val="00A3128E"/>
    <w:rsid w:val="00A31AEA"/>
    <w:rsid w:val="00A31C04"/>
    <w:rsid w:val="00A31F5B"/>
    <w:rsid w:val="00A31F60"/>
    <w:rsid w:val="00A321C5"/>
    <w:rsid w:val="00A32562"/>
    <w:rsid w:val="00A3283E"/>
    <w:rsid w:val="00A33C9F"/>
    <w:rsid w:val="00A33D15"/>
    <w:rsid w:val="00A342C8"/>
    <w:rsid w:val="00A343EB"/>
    <w:rsid w:val="00A349AF"/>
    <w:rsid w:val="00A34AAC"/>
    <w:rsid w:val="00A34BED"/>
    <w:rsid w:val="00A34C69"/>
    <w:rsid w:val="00A34EA6"/>
    <w:rsid w:val="00A351E1"/>
    <w:rsid w:val="00A35428"/>
    <w:rsid w:val="00A35FA9"/>
    <w:rsid w:val="00A362E7"/>
    <w:rsid w:val="00A367F4"/>
    <w:rsid w:val="00A3699D"/>
    <w:rsid w:val="00A369F6"/>
    <w:rsid w:val="00A36BDD"/>
    <w:rsid w:val="00A373AA"/>
    <w:rsid w:val="00A37493"/>
    <w:rsid w:val="00A378A2"/>
    <w:rsid w:val="00A37C8F"/>
    <w:rsid w:val="00A37DC6"/>
    <w:rsid w:val="00A37F04"/>
    <w:rsid w:val="00A4023E"/>
    <w:rsid w:val="00A4035B"/>
    <w:rsid w:val="00A40495"/>
    <w:rsid w:val="00A40BAE"/>
    <w:rsid w:val="00A413F6"/>
    <w:rsid w:val="00A41F0D"/>
    <w:rsid w:val="00A4247F"/>
    <w:rsid w:val="00A429ED"/>
    <w:rsid w:val="00A42A6C"/>
    <w:rsid w:val="00A42CF5"/>
    <w:rsid w:val="00A42DA9"/>
    <w:rsid w:val="00A42E04"/>
    <w:rsid w:val="00A42FF2"/>
    <w:rsid w:val="00A43860"/>
    <w:rsid w:val="00A441CE"/>
    <w:rsid w:val="00A44631"/>
    <w:rsid w:val="00A44B26"/>
    <w:rsid w:val="00A44C70"/>
    <w:rsid w:val="00A45232"/>
    <w:rsid w:val="00A45441"/>
    <w:rsid w:val="00A45567"/>
    <w:rsid w:val="00A45571"/>
    <w:rsid w:val="00A46024"/>
    <w:rsid w:val="00A4609B"/>
    <w:rsid w:val="00A4626E"/>
    <w:rsid w:val="00A463C2"/>
    <w:rsid w:val="00A463C9"/>
    <w:rsid w:val="00A46860"/>
    <w:rsid w:val="00A4698D"/>
    <w:rsid w:val="00A46A2D"/>
    <w:rsid w:val="00A46E2A"/>
    <w:rsid w:val="00A47085"/>
    <w:rsid w:val="00A47196"/>
    <w:rsid w:val="00A47515"/>
    <w:rsid w:val="00A4760A"/>
    <w:rsid w:val="00A47A85"/>
    <w:rsid w:val="00A5014D"/>
    <w:rsid w:val="00A5015D"/>
    <w:rsid w:val="00A50448"/>
    <w:rsid w:val="00A504BA"/>
    <w:rsid w:val="00A50CD2"/>
    <w:rsid w:val="00A50CF7"/>
    <w:rsid w:val="00A50E38"/>
    <w:rsid w:val="00A5114B"/>
    <w:rsid w:val="00A514E7"/>
    <w:rsid w:val="00A51904"/>
    <w:rsid w:val="00A51D9F"/>
    <w:rsid w:val="00A52739"/>
    <w:rsid w:val="00A529CE"/>
    <w:rsid w:val="00A52C4D"/>
    <w:rsid w:val="00A53AFE"/>
    <w:rsid w:val="00A5452D"/>
    <w:rsid w:val="00A546FE"/>
    <w:rsid w:val="00A54A56"/>
    <w:rsid w:val="00A54A7E"/>
    <w:rsid w:val="00A54C0A"/>
    <w:rsid w:val="00A54DD0"/>
    <w:rsid w:val="00A54E61"/>
    <w:rsid w:val="00A55429"/>
    <w:rsid w:val="00A55801"/>
    <w:rsid w:val="00A558BC"/>
    <w:rsid w:val="00A55E69"/>
    <w:rsid w:val="00A567DA"/>
    <w:rsid w:val="00A568DF"/>
    <w:rsid w:val="00A57627"/>
    <w:rsid w:val="00A57D19"/>
    <w:rsid w:val="00A57EE9"/>
    <w:rsid w:val="00A57FF6"/>
    <w:rsid w:val="00A607E3"/>
    <w:rsid w:val="00A60817"/>
    <w:rsid w:val="00A6146A"/>
    <w:rsid w:val="00A61D2A"/>
    <w:rsid w:val="00A61D99"/>
    <w:rsid w:val="00A61DED"/>
    <w:rsid w:val="00A61F37"/>
    <w:rsid w:val="00A6256A"/>
    <w:rsid w:val="00A625F8"/>
    <w:rsid w:val="00A630FF"/>
    <w:rsid w:val="00A63CB6"/>
    <w:rsid w:val="00A63D6A"/>
    <w:rsid w:val="00A63F99"/>
    <w:rsid w:val="00A64037"/>
    <w:rsid w:val="00A641D4"/>
    <w:rsid w:val="00A64427"/>
    <w:rsid w:val="00A646F3"/>
    <w:rsid w:val="00A64F8A"/>
    <w:rsid w:val="00A650DC"/>
    <w:rsid w:val="00A653DB"/>
    <w:rsid w:val="00A655D4"/>
    <w:rsid w:val="00A659B7"/>
    <w:rsid w:val="00A65C0D"/>
    <w:rsid w:val="00A660F0"/>
    <w:rsid w:val="00A66A53"/>
    <w:rsid w:val="00A66B8E"/>
    <w:rsid w:val="00A6738F"/>
    <w:rsid w:val="00A67713"/>
    <w:rsid w:val="00A67E61"/>
    <w:rsid w:val="00A70350"/>
    <w:rsid w:val="00A704AC"/>
    <w:rsid w:val="00A708ED"/>
    <w:rsid w:val="00A70942"/>
    <w:rsid w:val="00A70968"/>
    <w:rsid w:val="00A70EBE"/>
    <w:rsid w:val="00A71900"/>
    <w:rsid w:val="00A71C82"/>
    <w:rsid w:val="00A725E4"/>
    <w:rsid w:val="00A73946"/>
    <w:rsid w:val="00A73A7B"/>
    <w:rsid w:val="00A740AC"/>
    <w:rsid w:val="00A740CA"/>
    <w:rsid w:val="00A74280"/>
    <w:rsid w:val="00A743F5"/>
    <w:rsid w:val="00A74555"/>
    <w:rsid w:val="00A75DF6"/>
    <w:rsid w:val="00A75F20"/>
    <w:rsid w:val="00A76315"/>
    <w:rsid w:val="00A76A8C"/>
    <w:rsid w:val="00A76EBB"/>
    <w:rsid w:val="00A774FF"/>
    <w:rsid w:val="00A77BE5"/>
    <w:rsid w:val="00A77DA7"/>
    <w:rsid w:val="00A77E59"/>
    <w:rsid w:val="00A77F5F"/>
    <w:rsid w:val="00A77F63"/>
    <w:rsid w:val="00A81415"/>
    <w:rsid w:val="00A81547"/>
    <w:rsid w:val="00A81765"/>
    <w:rsid w:val="00A817FD"/>
    <w:rsid w:val="00A819F4"/>
    <w:rsid w:val="00A81A3F"/>
    <w:rsid w:val="00A81EB6"/>
    <w:rsid w:val="00A8247A"/>
    <w:rsid w:val="00A829BB"/>
    <w:rsid w:val="00A82D3F"/>
    <w:rsid w:val="00A82D65"/>
    <w:rsid w:val="00A8338C"/>
    <w:rsid w:val="00A84440"/>
    <w:rsid w:val="00A8447E"/>
    <w:rsid w:val="00A84764"/>
    <w:rsid w:val="00A847A2"/>
    <w:rsid w:val="00A848F6"/>
    <w:rsid w:val="00A84AF9"/>
    <w:rsid w:val="00A850E8"/>
    <w:rsid w:val="00A85BA4"/>
    <w:rsid w:val="00A85EB2"/>
    <w:rsid w:val="00A86AD7"/>
    <w:rsid w:val="00A86ECA"/>
    <w:rsid w:val="00A871B4"/>
    <w:rsid w:val="00A8746A"/>
    <w:rsid w:val="00A874ED"/>
    <w:rsid w:val="00A87691"/>
    <w:rsid w:val="00A87767"/>
    <w:rsid w:val="00A87A00"/>
    <w:rsid w:val="00A87E47"/>
    <w:rsid w:val="00A87E5C"/>
    <w:rsid w:val="00A87EFC"/>
    <w:rsid w:val="00A9024C"/>
    <w:rsid w:val="00A90369"/>
    <w:rsid w:val="00A9060D"/>
    <w:rsid w:val="00A91134"/>
    <w:rsid w:val="00A91379"/>
    <w:rsid w:val="00A914EE"/>
    <w:rsid w:val="00A92125"/>
    <w:rsid w:val="00A92185"/>
    <w:rsid w:val="00A92700"/>
    <w:rsid w:val="00A92766"/>
    <w:rsid w:val="00A933A7"/>
    <w:rsid w:val="00A93680"/>
    <w:rsid w:val="00A938A3"/>
    <w:rsid w:val="00A94244"/>
    <w:rsid w:val="00A953F2"/>
    <w:rsid w:val="00A95560"/>
    <w:rsid w:val="00A955B1"/>
    <w:rsid w:val="00A9577B"/>
    <w:rsid w:val="00A966CC"/>
    <w:rsid w:val="00A96947"/>
    <w:rsid w:val="00A96B63"/>
    <w:rsid w:val="00A96C39"/>
    <w:rsid w:val="00A97994"/>
    <w:rsid w:val="00A97AED"/>
    <w:rsid w:val="00A97EB0"/>
    <w:rsid w:val="00A97F09"/>
    <w:rsid w:val="00AA000B"/>
    <w:rsid w:val="00AA0144"/>
    <w:rsid w:val="00AA04DE"/>
    <w:rsid w:val="00AA08C5"/>
    <w:rsid w:val="00AA09B9"/>
    <w:rsid w:val="00AA0AA8"/>
    <w:rsid w:val="00AA0AD6"/>
    <w:rsid w:val="00AA1088"/>
    <w:rsid w:val="00AA1239"/>
    <w:rsid w:val="00AA14B4"/>
    <w:rsid w:val="00AA1786"/>
    <w:rsid w:val="00AA181F"/>
    <w:rsid w:val="00AA1975"/>
    <w:rsid w:val="00AA1B2E"/>
    <w:rsid w:val="00AA1B4F"/>
    <w:rsid w:val="00AA1E38"/>
    <w:rsid w:val="00AA2071"/>
    <w:rsid w:val="00AA20D7"/>
    <w:rsid w:val="00AA25AD"/>
    <w:rsid w:val="00AA2628"/>
    <w:rsid w:val="00AA294E"/>
    <w:rsid w:val="00AA2EF6"/>
    <w:rsid w:val="00AA3AC3"/>
    <w:rsid w:val="00AA3EA4"/>
    <w:rsid w:val="00AA426E"/>
    <w:rsid w:val="00AA4767"/>
    <w:rsid w:val="00AA4D26"/>
    <w:rsid w:val="00AA5207"/>
    <w:rsid w:val="00AA5235"/>
    <w:rsid w:val="00AA5439"/>
    <w:rsid w:val="00AA5573"/>
    <w:rsid w:val="00AA5A67"/>
    <w:rsid w:val="00AA5BCE"/>
    <w:rsid w:val="00AA5C6A"/>
    <w:rsid w:val="00AA63C4"/>
    <w:rsid w:val="00AA644B"/>
    <w:rsid w:val="00AA6738"/>
    <w:rsid w:val="00AA675B"/>
    <w:rsid w:val="00AA6947"/>
    <w:rsid w:val="00AA69BE"/>
    <w:rsid w:val="00AA6BCF"/>
    <w:rsid w:val="00AA6C27"/>
    <w:rsid w:val="00AA70B3"/>
    <w:rsid w:val="00AA72A3"/>
    <w:rsid w:val="00AA7658"/>
    <w:rsid w:val="00AA7B2E"/>
    <w:rsid w:val="00AB06D4"/>
    <w:rsid w:val="00AB0798"/>
    <w:rsid w:val="00AB0831"/>
    <w:rsid w:val="00AB0974"/>
    <w:rsid w:val="00AB0A8E"/>
    <w:rsid w:val="00AB0EAB"/>
    <w:rsid w:val="00AB11BC"/>
    <w:rsid w:val="00AB1394"/>
    <w:rsid w:val="00AB14BE"/>
    <w:rsid w:val="00AB14EC"/>
    <w:rsid w:val="00AB1846"/>
    <w:rsid w:val="00AB1B0E"/>
    <w:rsid w:val="00AB1DC1"/>
    <w:rsid w:val="00AB2293"/>
    <w:rsid w:val="00AB237B"/>
    <w:rsid w:val="00AB27E4"/>
    <w:rsid w:val="00AB2832"/>
    <w:rsid w:val="00AB2F60"/>
    <w:rsid w:val="00AB2F64"/>
    <w:rsid w:val="00AB3415"/>
    <w:rsid w:val="00AB35D9"/>
    <w:rsid w:val="00AB3AE0"/>
    <w:rsid w:val="00AB3E86"/>
    <w:rsid w:val="00AB3EBE"/>
    <w:rsid w:val="00AB46FA"/>
    <w:rsid w:val="00AB5412"/>
    <w:rsid w:val="00AB59F3"/>
    <w:rsid w:val="00AB5C26"/>
    <w:rsid w:val="00AB5CA8"/>
    <w:rsid w:val="00AB5DBD"/>
    <w:rsid w:val="00AB5E22"/>
    <w:rsid w:val="00AB5E73"/>
    <w:rsid w:val="00AB6933"/>
    <w:rsid w:val="00AB6D6C"/>
    <w:rsid w:val="00AB739F"/>
    <w:rsid w:val="00AB7625"/>
    <w:rsid w:val="00AB7874"/>
    <w:rsid w:val="00AC00E3"/>
    <w:rsid w:val="00AC02E5"/>
    <w:rsid w:val="00AC081E"/>
    <w:rsid w:val="00AC0C80"/>
    <w:rsid w:val="00AC117C"/>
    <w:rsid w:val="00AC118F"/>
    <w:rsid w:val="00AC19DC"/>
    <w:rsid w:val="00AC1A45"/>
    <w:rsid w:val="00AC1BFF"/>
    <w:rsid w:val="00AC1E44"/>
    <w:rsid w:val="00AC211C"/>
    <w:rsid w:val="00AC226D"/>
    <w:rsid w:val="00AC2274"/>
    <w:rsid w:val="00AC2407"/>
    <w:rsid w:val="00AC26A9"/>
    <w:rsid w:val="00AC2933"/>
    <w:rsid w:val="00AC2C22"/>
    <w:rsid w:val="00AC2E0D"/>
    <w:rsid w:val="00AC2E20"/>
    <w:rsid w:val="00AC338C"/>
    <w:rsid w:val="00AC3780"/>
    <w:rsid w:val="00AC3859"/>
    <w:rsid w:val="00AC3879"/>
    <w:rsid w:val="00AC38DC"/>
    <w:rsid w:val="00AC3F51"/>
    <w:rsid w:val="00AC473E"/>
    <w:rsid w:val="00AC47D6"/>
    <w:rsid w:val="00AC48C8"/>
    <w:rsid w:val="00AC4E12"/>
    <w:rsid w:val="00AC5316"/>
    <w:rsid w:val="00AC5699"/>
    <w:rsid w:val="00AC5977"/>
    <w:rsid w:val="00AC5C4E"/>
    <w:rsid w:val="00AC5D94"/>
    <w:rsid w:val="00AC62E9"/>
    <w:rsid w:val="00AC655C"/>
    <w:rsid w:val="00AC6ABB"/>
    <w:rsid w:val="00AC6CC8"/>
    <w:rsid w:val="00AC6FDB"/>
    <w:rsid w:val="00AC71CE"/>
    <w:rsid w:val="00AC739D"/>
    <w:rsid w:val="00AC76CB"/>
    <w:rsid w:val="00AC76E1"/>
    <w:rsid w:val="00AC7734"/>
    <w:rsid w:val="00AC78A5"/>
    <w:rsid w:val="00AC79A4"/>
    <w:rsid w:val="00AD075A"/>
    <w:rsid w:val="00AD0DDC"/>
    <w:rsid w:val="00AD1082"/>
    <w:rsid w:val="00AD108B"/>
    <w:rsid w:val="00AD171C"/>
    <w:rsid w:val="00AD1E36"/>
    <w:rsid w:val="00AD2063"/>
    <w:rsid w:val="00AD2323"/>
    <w:rsid w:val="00AD255A"/>
    <w:rsid w:val="00AD307F"/>
    <w:rsid w:val="00AD332C"/>
    <w:rsid w:val="00AD355E"/>
    <w:rsid w:val="00AD384F"/>
    <w:rsid w:val="00AD39F3"/>
    <w:rsid w:val="00AD3A01"/>
    <w:rsid w:val="00AD4289"/>
    <w:rsid w:val="00AD468D"/>
    <w:rsid w:val="00AD4945"/>
    <w:rsid w:val="00AD4D42"/>
    <w:rsid w:val="00AD5274"/>
    <w:rsid w:val="00AD56F6"/>
    <w:rsid w:val="00AD5ECE"/>
    <w:rsid w:val="00AD6219"/>
    <w:rsid w:val="00AD656A"/>
    <w:rsid w:val="00AD6782"/>
    <w:rsid w:val="00AD69A8"/>
    <w:rsid w:val="00AD6A56"/>
    <w:rsid w:val="00AD6D30"/>
    <w:rsid w:val="00AD6DD7"/>
    <w:rsid w:val="00AD72A8"/>
    <w:rsid w:val="00AD7465"/>
    <w:rsid w:val="00AD7724"/>
    <w:rsid w:val="00AD77F3"/>
    <w:rsid w:val="00AD7C4E"/>
    <w:rsid w:val="00AE0853"/>
    <w:rsid w:val="00AE0C45"/>
    <w:rsid w:val="00AE10BA"/>
    <w:rsid w:val="00AE1E7F"/>
    <w:rsid w:val="00AE2010"/>
    <w:rsid w:val="00AE20DE"/>
    <w:rsid w:val="00AE275F"/>
    <w:rsid w:val="00AE289B"/>
    <w:rsid w:val="00AE2C06"/>
    <w:rsid w:val="00AE303B"/>
    <w:rsid w:val="00AE35D4"/>
    <w:rsid w:val="00AE369A"/>
    <w:rsid w:val="00AE3ED2"/>
    <w:rsid w:val="00AE4225"/>
    <w:rsid w:val="00AE4325"/>
    <w:rsid w:val="00AE44DB"/>
    <w:rsid w:val="00AE49A6"/>
    <w:rsid w:val="00AE4BE0"/>
    <w:rsid w:val="00AE4C21"/>
    <w:rsid w:val="00AE59B2"/>
    <w:rsid w:val="00AE5A84"/>
    <w:rsid w:val="00AE5D5F"/>
    <w:rsid w:val="00AE5FD0"/>
    <w:rsid w:val="00AE604E"/>
    <w:rsid w:val="00AE608A"/>
    <w:rsid w:val="00AE641C"/>
    <w:rsid w:val="00AE6440"/>
    <w:rsid w:val="00AE664C"/>
    <w:rsid w:val="00AE6AD4"/>
    <w:rsid w:val="00AE6B19"/>
    <w:rsid w:val="00AE77BD"/>
    <w:rsid w:val="00AE7AAA"/>
    <w:rsid w:val="00AE7F8D"/>
    <w:rsid w:val="00AF06DD"/>
    <w:rsid w:val="00AF12C7"/>
    <w:rsid w:val="00AF1945"/>
    <w:rsid w:val="00AF1A48"/>
    <w:rsid w:val="00AF2059"/>
    <w:rsid w:val="00AF2279"/>
    <w:rsid w:val="00AF2933"/>
    <w:rsid w:val="00AF2BB2"/>
    <w:rsid w:val="00AF2D17"/>
    <w:rsid w:val="00AF2F6F"/>
    <w:rsid w:val="00AF2FEF"/>
    <w:rsid w:val="00AF332E"/>
    <w:rsid w:val="00AF36F3"/>
    <w:rsid w:val="00AF3B33"/>
    <w:rsid w:val="00AF4314"/>
    <w:rsid w:val="00AF4674"/>
    <w:rsid w:val="00AF47B4"/>
    <w:rsid w:val="00AF4868"/>
    <w:rsid w:val="00AF4AD7"/>
    <w:rsid w:val="00AF4B5C"/>
    <w:rsid w:val="00AF59C4"/>
    <w:rsid w:val="00AF603A"/>
    <w:rsid w:val="00AF610B"/>
    <w:rsid w:val="00AF671D"/>
    <w:rsid w:val="00AF6C6F"/>
    <w:rsid w:val="00AF72DD"/>
    <w:rsid w:val="00AF7940"/>
    <w:rsid w:val="00B0021B"/>
    <w:rsid w:val="00B00244"/>
    <w:rsid w:val="00B012FE"/>
    <w:rsid w:val="00B0135B"/>
    <w:rsid w:val="00B01585"/>
    <w:rsid w:val="00B0177A"/>
    <w:rsid w:val="00B01A34"/>
    <w:rsid w:val="00B01A6C"/>
    <w:rsid w:val="00B01B43"/>
    <w:rsid w:val="00B01D8A"/>
    <w:rsid w:val="00B01F23"/>
    <w:rsid w:val="00B02023"/>
    <w:rsid w:val="00B02109"/>
    <w:rsid w:val="00B02445"/>
    <w:rsid w:val="00B03560"/>
    <w:rsid w:val="00B03885"/>
    <w:rsid w:val="00B03BB0"/>
    <w:rsid w:val="00B04665"/>
    <w:rsid w:val="00B04A0B"/>
    <w:rsid w:val="00B04AD0"/>
    <w:rsid w:val="00B04C73"/>
    <w:rsid w:val="00B0587B"/>
    <w:rsid w:val="00B05944"/>
    <w:rsid w:val="00B05A5C"/>
    <w:rsid w:val="00B06EC0"/>
    <w:rsid w:val="00B0779D"/>
    <w:rsid w:val="00B1037F"/>
    <w:rsid w:val="00B103BB"/>
    <w:rsid w:val="00B10541"/>
    <w:rsid w:val="00B10780"/>
    <w:rsid w:val="00B10832"/>
    <w:rsid w:val="00B10BA1"/>
    <w:rsid w:val="00B11055"/>
    <w:rsid w:val="00B110EE"/>
    <w:rsid w:val="00B1115D"/>
    <w:rsid w:val="00B11695"/>
    <w:rsid w:val="00B119C3"/>
    <w:rsid w:val="00B11BD5"/>
    <w:rsid w:val="00B11EB1"/>
    <w:rsid w:val="00B120B5"/>
    <w:rsid w:val="00B12676"/>
    <w:rsid w:val="00B129A3"/>
    <w:rsid w:val="00B12ABE"/>
    <w:rsid w:val="00B1317E"/>
    <w:rsid w:val="00B1336C"/>
    <w:rsid w:val="00B1350A"/>
    <w:rsid w:val="00B13531"/>
    <w:rsid w:val="00B13E5A"/>
    <w:rsid w:val="00B13E8B"/>
    <w:rsid w:val="00B14024"/>
    <w:rsid w:val="00B1404A"/>
    <w:rsid w:val="00B14099"/>
    <w:rsid w:val="00B14679"/>
    <w:rsid w:val="00B14C74"/>
    <w:rsid w:val="00B14DC0"/>
    <w:rsid w:val="00B14EAF"/>
    <w:rsid w:val="00B15613"/>
    <w:rsid w:val="00B156F6"/>
    <w:rsid w:val="00B158F4"/>
    <w:rsid w:val="00B15CD6"/>
    <w:rsid w:val="00B15F20"/>
    <w:rsid w:val="00B164E5"/>
    <w:rsid w:val="00B1697F"/>
    <w:rsid w:val="00B172C6"/>
    <w:rsid w:val="00B174BD"/>
    <w:rsid w:val="00B17A15"/>
    <w:rsid w:val="00B17DBB"/>
    <w:rsid w:val="00B20390"/>
    <w:rsid w:val="00B2052D"/>
    <w:rsid w:val="00B210EB"/>
    <w:rsid w:val="00B21185"/>
    <w:rsid w:val="00B215D1"/>
    <w:rsid w:val="00B2259A"/>
    <w:rsid w:val="00B228D5"/>
    <w:rsid w:val="00B22981"/>
    <w:rsid w:val="00B22B11"/>
    <w:rsid w:val="00B2309D"/>
    <w:rsid w:val="00B231AC"/>
    <w:rsid w:val="00B23C58"/>
    <w:rsid w:val="00B23DC7"/>
    <w:rsid w:val="00B23E2D"/>
    <w:rsid w:val="00B23F7E"/>
    <w:rsid w:val="00B240B4"/>
    <w:rsid w:val="00B246CE"/>
    <w:rsid w:val="00B247C5"/>
    <w:rsid w:val="00B251F9"/>
    <w:rsid w:val="00B254F9"/>
    <w:rsid w:val="00B25742"/>
    <w:rsid w:val="00B25A85"/>
    <w:rsid w:val="00B25BA2"/>
    <w:rsid w:val="00B25E1F"/>
    <w:rsid w:val="00B25FD8"/>
    <w:rsid w:val="00B266A2"/>
    <w:rsid w:val="00B266EF"/>
    <w:rsid w:val="00B26726"/>
    <w:rsid w:val="00B267A3"/>
    <w:rsid w:val="00B26F1C"/>
    <w:rsid w:val="00B27235"/>
    <w:rsid w:val="00B27F2F"/>
    <w:rsid w:val="00B302F3"/>
    <w:rsid w:val="00B3082E"/>
    <w:rsid w:val="00B3089B"/>
    <w:rsid w:val="00B30A84"/>
    <w:rsid w:val="00B30BA5"/>
    <w:rsid w:val="00B31621"/>
    <w:rsid w:val="00B31A5F"/>
    <w:rsid w:val="00B31BAE"/>
    <w:rsid w:val="00B31C77"/>
    <w:rsid w:val="00B3222C"/>
    <w:rsid w:val="00B3232B"/>
    <w:rsid w:val="00B32665"/>
    <w:rsid w:val="00B327CB"/>
    <w:rsid w:val="00B32801"/>
    <w:rsid w:val="00B32AC2"/>
    <w:rsid w:val="00B32B7F"/>
    <w:rsid w:val="00B32DDB"/>
    <w:rsid w:val="00B33D04"/>
    <w:rsid w:val="00B33DA3"/>
    <w:rsid w:val="00B33E2F"/>
    <w:rsid w:val="00B33FFA"/>
    <w:rsid w:val="00B3489E"/>
    <w:rsid w:val="00B358C4"/>
    <w:rsid w:val="00B35A51"/>
    <w:rsid w:val="00B35D8F"/>
    <w:rsid w:val="00B360BC"/>
    <w:rsid w:val="00B364C4"/>
    <w:rsid w:val="00B368C6"/>
    <w:rsid w:val="00B36BFA"/>
    <w:rsid w:val="00B36DAF"/>
    <w:rsid w:val="00B37589"/>
    <w:rsid w:val="00B376C2"/>
    <w:rsid w:val="00B377D8"/>
    <w:rsid w:val="00B37BA8"/>
    <w:rsid w:val="00B37BBC"/>
    <w:rsid w:val="00B37E0D"/>
    <w:rsid w:val="00B402A7"/>
    <w:rsid w:val="00B4037C"/>
    <w:rsid w:val="00B4055D"/>
    <w:rsid w:val="00B40881"/>
    <w:rsid w:val="00B4155E"/>
    <w:rsid w:val="00B41DD4"/>
    <w:rsid w:val="00B41E65"/>
    <w:rsid w:val="00B4248B"/>
    <w:rsid w:val="00B4257E"/>
    <w:rsid w:val="00B428E0"/>
    <w:rsid w:val="00B42DFF"/>
    <w:rsid w:val="00B42E3E"/>
    <w:rsid w:val="00B43703"/>
    <w:rsid w:val="00B43763"/>
    <w:rsid w:val="00B438B8"/>
    <w:rsid w:val="00B43C1E"/>
    <w:rsid w:val="00B43C39"/>
    <w:rsid w:val="00B43DE3"/>
    <w:rsid w:val="00B43E4E"/>
    <w:rsid w:val="00B441F7"/>
    <w:rsid w:val="00B44247"/>
    <w:rsid w:val="00B444DD"/>
    <w:rsid w:val="00B4461A"/>
    <w:rsid w:val="00B44726"/>
    <w:rsid w:val="00B449DE"/>
    <w:rsid w:val="00B44A35"/>
    <w:rsid w:val="00B44ACD"/>
    <w:rsid w:val="00B44FA2"/>
    <w:rsid w:val="00B45B25"/>
    <w:rsid w:val="00B470BF"/>
    <w:rsid w:val="00B472E5"/>
    <w:rsid w:val="00B473CA"/>
    <w:rsid w:val="00B47A78"/>
    <w:rsid w:val="00B47B1A"/>
    <w:rsid w:val="00B5044A"/>
    <w:rsid w:val="00B5087E"/>
    <w:rsid w:val="00B50CB2"/>
    <w:rsid w:val="00B50D9C"/>
    <w:rsid w:val="00B512A5"/>
    <w:rsid w:val="00B52587"/>
    <w:rsid w:val="00B5297D"/>
    <w:rsid w:val="00B52ACB"/>
    <w:rsid w:val="00B52AE2"/>
    <w:rsid w:val="00B52B84"/>
    <w:rsid w:val="00B532B0"/>
    <w:rsid w:val="00B5388F"/>
    <w:rsid w:val="00B538A1"/>
    <w:rsid w:val="00B53C14"/>
    <w:rsid w:val="00B53DC3"/>
    <w:rsid w:val="00B53DFD"/>
    <w:rsid w:val="00B54538"/>
    <w:rsid w:val="00B54920"/>
    <w:rsid w:val="00B54B1E"/>
    <w:rsid w:val="00B54D7B"/>
    <w:rsid w:val="00B54FBB"/>
    <w:rsid w:val="00B55332"/>
    <w:rsid w:val="00B5536D"/>
    <w:rsid w:val="00B55388"/>
    <w:rsid w:val="00B55A55"/>
    <w:rsid w:val="00B5628C"/>
    <w:rsid w:val="00B568B4"/>
    <w:rsid w:val="00B57483"/>
    <w:rsid w:val="00B57A17"/>
    <w:rsid w:val="00B57B76"/>
    <w:rsid w:val="00B6035F"/>
    <w:rsid w:val="00B606CD"/>
    <w:rsid w:val="00B60FDE"/>
    <w:rsid w:val="00B611F9"/>
    <w:rsid w:val="00B61544"/>
    <w:rsid w:val="00B61A18"/>
    <w:rsid w:val="00B61AFA"/>
    <w:rsid w:val="00B61D26"/>
    <w:rsid w:val="00B62226"/>
    <w:rsid w:val="00B62611"/>
    <w:rsid w:val="00B627E7"/>
    <w:rsid w:val="00B628ED"/>
    <w:rsid w:val="00B62B33"/>
    <w:rsid w:val="00B62B8B"/>
    <w:rsid w:val="00B62C7F"/>
    <w:rsid w:val="00B62D4F"/>
    <w:rsid w:val="00B62F7B"/>
    <w:rsid w:val="00B62FEE"/>
    <w:rsid w:val="00B633D6"/>
    <w:rsid w:val="00B63654"/>
    <w:rsid w:val="00B63739"/>
    <w:rsid w:val="00B63EF8"/>
    <w:rsid w:val="00B64625"/>
    <w:rsid w:val="00B64B83"/>
    <w:rsid w:val="00B64E63"/>
    <w:rsid w:val="00B653D4"/>
    <w:rsid w:val="00B65994"/>
    <w:rsid w:val="00B65D7C"/>
    <w:rsid w:val="00B65E51"/>
    <w:rsid w:val="00B65EA5"/>
    <w:rsid w:val="00B661F3"/>
    <w:rsid w:val="00B662AF"/>
    <w:rsid w:val="00B66567"/>
    <w:rsid w:val="00B66E1A"/>
    <w:rsid w:val="00B66E4C"/>
    <w:rsid w:val="00B6704B"/>
    <w:rsid w:val="00B67450"/>
    <w:rsid w:val="00B67ADC"/>
    <w:rsid w:val="00B67AEF"/>
    <w:rsid w:val="00B67C1D"/>
    <w:rsid w:val="00B701F4"/>
    <w:rsid w:val="00B70459"/>
    <w:rsid w:val="00B70692"/>
    <w:rsid w:val="00B70912"/>
    <w:rsid w:val="00B70A31"/>
    <w:rsid w:val="00B70D91"/>
    <w:rsid w:val="00B711D8"/>
    <w:rsid w:val="00B71408"/>
    <w:rsid w:val="00B71686"/>
    <w:rsid w:val="00B71978"/>
    <w:rsid w:val="00B71EA7"/>
    <w:rsid w:val="00B72112"/>
    <w:rsid w:val="00B7234D"/>
    <w:rsid w:val="00B723BD"/>
    <w:rsid w:val="00B7277F"/>
    <w:rsid w:val="00B72A54"/>
    <w:rsid w:val="00B72C45"/>
    <w:rsid w:val="00B72E2E"/>
    <w:rsid w:val="00B73104"/>
    <w:rsid w:val="00B73386"/>
    <w:rsid w:val="00B7352B"/>
    <w:rsid w:val="00B73689"/>
    <w:rsid w:val="00B738E5"/>
    <w:rsid w:val="00B74559"/>
    <w:rsid w:val="00B7479C"/>
    <w:rsid w:val="00B74822"/>
    <w:rsid w:val="00B74E25"/>
    <w:rsid w:val="00B757D7"/>
    <w:rsid w:val="00B75F82"/>
    <w:rsid w:val="00B76182"/>
    <w:rsid w:val="00B762F6"/>
    <w:rsid w:val="00B76350"/>
    <w:rsid w:val="00B764EF"/>
    <w:rsid w:val="00B769F5"/>
    <w:rsid w:val="00B76A27"/>
    <w:rsid w:val="00B76FB2"/>
    <w:rsid w:val="00B771BC"/>
    <w:rsid w:val="00B777E2"/>
    <w:rsid w:val="00B77B9F"/>
    <w:rsid w:val="00B802EE"/>
    <w:rsid w:val="00B805BE"/>
    <w:rsid w:val="00B8066E"/>
    <w:rsid w:val="00B8087A"/>
    <w:rsid w:val="00B80CA2"/>
    <w:rsid w:val="00B81773"/>
    <w:rsid w:val="00B81CD2"/>
    <w:rsid w:val="00B81D9F"/>
    <w:rsid w:val="00B825A2"/>
    <w:rsid w:val="00B82D14"/>
    <w:rsid w:val="00B83277"/>
    <w:rsid w:val="00B83C73"/>
    <w:rsid w:val="00B8492E"/>
    <w:rsid w:val="00B84F38"/>
    <w:rsid w:val="00B853BF"/>
    <w:rsid w:val="00B858B1"/>
    <w:rsid w:val="00B85B08"/>
    <w:rsid w:val="00B8656B"/>
    <w:rsid w:val="00B86885"/>
    <w:rsid w:val="00B86BD3"/>
    <w:rsid w:val="00B8743B"/>
    <w:rsid w:val="00B87801"/>
    <w:rsid w:val="00B87CDD"/>
    <w:rsid w:val="00B87CF5"/>
    <w:rsid w:val="00B87D29"/>
    <w:rsid w:val="00B87F7B"/>
    <w:rsid w:val="00B87FE0"/>
    <w:rsid w:val="00B9019A"/>
    <w:rsid w:val="00B901E9"/>
    <w:rsid w:val="00B90330"/>
    <w:rsid w:val="00B907BE"/>
    <w:rsid w:val="00B9093A"/>
    <w:rsid w:val="00B90B10"/>
    <w:rsid w:val="00B910AA"/>
    <w:rsid w:val="00B91353"/>
    <w:rsid w:val="00B913DA"/>
    <w:rsid w:val="00B915F7"/>
    <w:rsid w:val="00B9192A"/>
    <w:rsid w:val="00B91A8D"/>
    <w:rsid w:val="00B91F05"/>
    <w:rsid w:val="00B9230D"/>
    <w:rsid w:val="00B92794"/>
    <w:rsid w:val="00B9284F"/>
    <w:rsid w:val="00B929A5"/>
    <w:rsid w:val="00B92E44"/>
    <w:rsid w:val="00B93636"/>
    <w:rsid w:val="00B93D1B"/>
    <w:rsid w:val="00B93F3E"/>
    <w:rsid w:val="00B94149"/>
    <w:rsid w:val="00B942ED"/>
    <w:rsid w:val="00B9444D"/>
    <w:rsid w:val="00B94A60"/>
    <w:rsid w:val="00B94BA9"/>
    <w:rsid w:val="00B95929"/>
    <w:rsid w:val="00B95DE1"/>
    <w:rsid w:val="00B962FD"/>
    <w:rsid w:val="00B96CA0"/>
    <w:rsid w:val="00B97C32"/>
    <w:rsid w:val="00BA0147"/>
    <w:rsid w:val="00BA0591"/>
    <w:rsid w:val="00BA0BD1"/>
    <w:rsid w:val="00BA0C31"/>
    <w:rsid w:val="00BA10BA"/>
    <w:rsid w:val="00BA11FB"/>
    <w:rsid w:val="00BA1437"/>
    <w:rsid w:val="00BA14AA"/>
    <w:rsid w:val="00BA15D7"/>
    <w:rsid w:val="00BA183A"/>
    <w:rsid w:val="00BA1989"/>
    <w:rsid w:val="00BA1B07"/>
    <w:rsid w:val="00BA1E69"/>
    <w:rsid w:val="00BA2273"/>
    <w:rsid w:val="00BA22B2"/>
    <w:rsid w:val="00BA2383"/>
    <w:rsid w:val="00BA2DF1"/>
    <w:rsid w:val="00BA38FE"/>
    <w:rsid w:val="00BA3988"/>
    <w:rsid w:val="00BA39BF"/>
    <w:rsid w:val="00BA3A87"/>
    <w:rsid w:val="00BA3CB9"/>
    <w:rsid w:val="00BA3CF3"/>
    <w:rsid w:val="00BA3DF8"/>
    <w:rsid w:val="00BA3F21"/>
    <w:rsid w:val="00BA438C"/>
    <w:rsid w:val="00BA47FC"/>
    <w:rsid w:val="00BA4CFF"/>
    <w:rsid w:val="00BA520B"/>
    <w:rsid w:val="00BA547A"/>
    <w:rsid w:val="00BA5A12"/>
    <w:rsid w:val="00BA5D7D"/>
    <w:rsid w:val="00BA605A"/>
    <w:rsid w:val="00BA6283"/>
    <w:rsid w:val="00BA66D3"/>
    <w:rsid w:val="00BA671E"/>
    <w:rsid w:val="00BA6855"/>
    <w:rsid w:val="00BA7216"/>
    <w:rsid w:val="00BA741C"/>
    <w:rsid w:val="00BA7584"/>
    <w:rsid w:val="00BA76C7"/>
    <w:rsid w:val="00BA77FA"/>
    <w:rsid w:val="00BA780A"/>
    <w:rsid w:val="00BB0129"/>
    <w:rsid w:val="00BB0238"/>
    <w:rsid w:val="00BB03C0"/>
    <w:rsid w:val="00BB0564"/>
    <w:rsid w:val="00BB08D2"/>
    <w:rsid w:val="00BB0BB1"/>
    <w:rsid w:val="00BB0D8D"/>
    <w:rsid w:val="00BB0F99"/>
    <w:rsid w:val="00BB1105"/>
    <w:rsid w:val="00BB1438"/>
    <w:rsid w:val="00BB14AE"/>
    <w:rsid w:val="00BB1771"/>
    <w:rsid w:val="00BB1799"/>
    <w:rsid w:val="00BB1914"/>
    <w:rsid w:val="00BB19C1"/>
    <w:rsid w:val="00BB1B83"/>
    <w:rsid w:val="00BB1D6A"/>
    <w:rsid w:val="00BB335F"/>
    <w:rsid w:val="00BB350F"/>
    <w:rsid w:val="00BB3F96"/>
    <w:rsid w:val="00BB44B3"/>
    <w:rsid w:val="00BB4B67"/>
    <w:rsid w:val="00BB4E09"/>
    <w:rsid w:val="00BB4E96"/>
    <w:rsid w:val="00BB534C"/>
    <w:rsid w:val="00BB558E"/>
    <w:rsid w:val="00BB56EC"/>
    <w:rsid w:val="00BB5708"/>
    <w:rsid w:val="00BB5C4D"/>
    <w:rsid w:val="00BB5EB9"/>
    <w:rsid w:val="00BB64A3"/>
    <w:rsid w:val="00BB6C6B"/>
    <w:rsid w:val="00BB6E67"/>
    <w:rsid w:val="00BB704B"/>
    <w:rsid w:val="00BB7244"/>
    <w:rsid w:val="00BC0373"/>
    <w:rsid w:val="00BC0868"/>
    <w:rsid w:val="00BC0D67"/>
    <w:rsid w:val="00BC0E74"/>
    <w:rsid w:val="00BC0F24"/>
    <w:rsid w:val="00BC1148"/>
    <w:rsid w:val="00BC1936"/>
    <w:rsid w:val="00BC2470"/>
    <w:rsid w:val="00BC2496"/>
    <w:rsid w:val="00BC24D4"/>
    <w:rsid w:val="00BC2879"/>
    <w:rsid w:val="00BC2946"/>
    <w:rsid w:val="00BC2D90"/>
    <w:rsid w:val="00BC31B1"/>
    <w:rsid w:val="00BC36C4"/>
    <w:rsid w:val="00BC3BF4"/>
    <w:rsid w:val="00BC3D69"/>
    <w:rsid w:val="00BC4070"/>
    <w:rsid w:val="00BC4348"/>
    <w:rsid w:val="00BC454F"/>
    <w:rsid w:val="00BC5436"/>
    <w:rsid w:val="00BC54D8"/>
    <w:rsid w:val="00BC55F8"/>
    <w:rsid w:val="00BC57F9"/>
    <w:rsid w:val="00BC5C5A"/>
    <w:rsid w:val="00BC5E00"/>
    <w:rsid w:val="00BC643E"/>
    <w:rsid w:val="00BC662F"/>
    <w:rsid w:val="00BC67A5"/>
    <w:rsid w:val="00BC6B72"/>
    <w:rsid w:val="00BC6E6B"/>
    <w:rsid w:val="00BC6FE1"/>
    <w:rsid w:val="00BD01A9"/>
    <w:rsid w:val="00BD01BB"/>
    <w:rsid w:val="00BD021C"/>
    <w:rsid w:val="00BD0732"/>
    <w:rsid w:val="00BD0BE8"/>
    <w:rsid w:val="00BD0CD9"/>
    <w:rsid w:val="00BD14F5"/>
    <w:rsid w:val="00BD1632"/>
    <w:rsid w:val="00BD166B"/>
    <w:rsid w:val="00BD1ECD"/>
    <w:rsid w:val="00BD287F"/>
    <w:rsid w:val="00BD2AE2"/>
    <w:rsid w:val="00BD30CE"/>
    <w:rsid w:val="00BD3341"/>
    <w:rsid w:val="00BD3451"/>
    <w:rsid w:val="00BD364A"/>
    <w:rsid w:val="00BD3BB0"/>
    <w:rsid w:val="00BD3BE9"/>
    <w:rsid w:val="00BD416C"/>
    <w:rsid w:val="00BD446D"/>
    <w:rsid w:val="00BD44E6"/>
    <w:rsid w:val="00BD4572"/>
    <w:rsid w:val="00BD4737"/>
    <w:rsid w:val="00BD4997"/>
    <w:rsid w:val="00BD49F6"/>
    <w:rsid w:val="00BD4A6F"/>
    <w:rsid w:val="00BD4EC1"/>
    <w:rsid w:val="00BD4F57"/>
    <w:rsid w:val="00BD52E3"/>
    <w:rsid w:val="00BD568B"/>
    <w:rsid w:val="00BD5C71"/>
    <w:rsid w:val="00BD62E2"/>
    <w:rsid w:val="00BD6435"/>
    <w:rsid w:val="00BD67D7"/>
    <w:rsid w:val="00BD68DA"/>
    <w:rsid w:val="00BD692C"/>
    <w:rsid w:val="00BD6E12"/>
    <w:rsid w:val="00BD7195"/>
    <w:rsid w:val="00BD71BB"/>
    <w:rsid w:val="00BD7650"/>
    <w:rsid w:val="00BD774D"/>
    <w:rsid w:val="00BE005C"/>
    <w:rsid w:val="00BE029C"/>
    <w:rsid w:val="00BE0418"/>
    <w:rsid w:val="00BE0842"/>
    <w:rsid w:val="00BE0BE9"/>
    <w:rsid w:val="00BE0DA2"/>
    <w:rsid w:val="00BE1017"/>
    <w:rsid w:val="00BE1064"/>
    <w:rsid w:val="00BE10E9"/>
    <w:rsid w:val="00BE17A3"/>
    <w:rsid w:val="00BE207A"/>
    <w:rsid w:val="00BE23B6"/>
    <w:rsid w:val="00BE26DF"/>
    <w:rsid w:val="00BE29E4"/>
    <w:rsid w:val="00BE2EE7"/>
    <w:rsid w:val="00BE2EFA"/>
    <w:rsid w:val="00BE36F6"/>
    <w:rsid w:val="00BE3ABB"/>
    <w:rsid w:val="00BE4112"/>
    <w:rsid w:val="00BE4504"/>
    <w:rsid w:val="00BE4CEE"/>
    <w:rsid w:val="00BE4EC5"/>
    <w:rsid w:val="00BE4F0D"/>
    <w:rsid w:val="00BE5160"/>
    <w:rsid w:val="00BE522D"/>
    <w:rsid w:val="00BE52B9"/>
    <w:rsid w:val="00BE5548"/>
    <w:rsid w:val="00BE55ED"/>
    <w:rsid w:val="00BE57A6"/>
    <w:rsid w:val="00BE5A4B"/>
    <w:rsid w:val="00BE5D7E"/>
    <w:rsid w:val="00BE63D2"/>
    <w:rsid w:val="00BE65A5"/>
    <w:rsid w:val="00BE6A66"/>
    <w:rsid w:val="00BE716A"/>
    <w:rsid w:val="00BE7465"/>
    <w:rsid w:val="00BE74B5"/>
    <w:rsid w:val="00BE7A4C"/>
    <w:rsid w:val="00BE7D2D"/>
    <w:rsid w:val="00BF00A2"/>
    <w:rsid w:val="00BF0100"/>
    <w:rsid w:val="00BF0492"/>
    <w:rsid w:val="00BF0621"/>
    <w:rsid w:val="00BF06FD"/>
    <w:rsid w:val="00BF07F9"/>
    <w:rsid w:val="00BF0D51"/>
    <w:rsid w:val="00BF1203"/>
    <w:rsid w:val="00BF18E7"/>
    <w:rsid w:val="00BF1E90"/>
    <w:rsid w:val="00BF1E9C"/>
    <w:rsid w:val="00BF2528"/>
    <w:rsid w:val="00BF26B0"/>
    <w:rsid w:val="00BF2716"/>
    <w:rsid w:val="00BF31B1"/>
    <w:rsid w:val="00BF327D"/>
    <w:rsid w:val="00BF32CF"/>
    <w:rsid w:val="00BF3479"/>
    <w:rsid w:val="00BF37DF"/>
    <w:rsid w:val="00BF3F58"/>
    <w:rsid w:val="00BF3F86"/>
    <w:rsid w:val="00BF448A"/>
    <w:rsid w:val="00BF44DE"/>
    <w:rsid w:val="00BF4584"/>
    <w:rsid w:val="00BF4C4F"/>
    <w:rsid w:val="00BF4C74"/>
    <w:rsid w:val="00BF4CA3"/>
    <w:rsid w:val="00BF4D79"/>
    <w:rsid w:val="00BF511F"/>
    <w:rsid w:val="00BF5DF3"/>
    <w:rsid w:val="00BF6112"/>
    <w:rsid w:val="00BF637D"/>
    <w:rsid w:val="00BF6E13"/>
    <w:rsid w:val="00BF6F38"/>
    <w:rsid w:val="00BF744A"/>
    <w:rsid w:val="00BF7D51"/>
    <w:rsid w:val="00BF7DED"/>
    <w:rsid w:val="00BF7E1F"/>
    <w:rsid w:val="00C0010E"/>
    <w:rsid w:val="00C0019D"/>
    <w:rsid w:val="00C001E1"/>
    <w:rsid w:val="00C00201"/>
    <w:rsid w:val="00C00248"/>
    <w:rsid w:val="00C005A2"/>
    <w:rsid w:val="00C005EA"/>
    <w:rsid w:val="00C006F8"/>
    <w:rsid w:val="00C007CB"/>
    <w:rsid w:val="00C007F9"/>
    <w:rsid w:val="00C00A30"/>
    <w:rsid w:val="00C01459"/>
    <w:rsid w:val="00C01926"/>
    <w:rsid w:val="00C01AF6"/>
    <w:rsid w:val="00C01C79"/>
    <w:rsid w:val="00C01CA8"/>
    <w:rsid w:val="00C01E0E"/>
    <w:rsid w:val="00C0202E"/>
    <w:rsid w:val="00C02365"/>
    <w:rsid w:val="00C024AD"/>
    <w:rsid w:val="00C025D1"/>
    <w:rsid w:val="00C027FC"/>
    <w:rsid w:val="00C0297D"/>
    <w:rsid w:val="00C02BF0"/>
    <w:rsid w:val="00C02D94"/>
    <w:rsid w:val="00C03108"/>
    <w:rsid w:val="00C03216"/>
    <w:rsid w:val="00C0441F"/>
    <w:rsid w:val="00C04893"/>
    <w:rsid w:val="00C04E8A"/>
    <w:rsid w:val="00C04FC5"/>
    <w:rsid w:val="00C0502E"/>
    <w:rsid w:val="00C050BB"/>
    <w:rsid w:val="00C0514B"/>
    <w:rsid w:val="00C05854"/>
    <w:rsid w:val="00C059FD"/>
    <w:rsid w:val="00C05A63"/>
    <w:rsid w:val="00C05FDD"/>
    <w:rsid w:val="00C065C0"/>
    <w:rsid w:val="00C067DB"/>
    <w:rsid w:val="00C06A1B"/>
    <w:rsid w:val="00C06A60"/>
    <w:rsid w:val="00C06CAA"/>
    <w:rsid w:val="00C06F77"/>
    <w:rsid w:val="00C07ECC"/>
    <w:rsid w:val="00C10B1D"/>
    <w:rsid w:val="00C10B69"/>
    <w:rsid w:val="00C10D09"/>
    <w:rsid w:val="00C11081"/>
    <w:rsid w:val="00C111DC"/>
    <w:rsid w:val="00C11450"/>
    <w:rsid w:val="00C114F9"/>
    <w:rsid w:val="00C11A74"/>
    <w:rsid w:val="00C11EB3"/>
    <w:rsid w:val="00C1211E"/>
    <w:rsid w:val="00C121DA"/>
    <w:rsid w:val="00C12207"/>
    <w:rsid w:val="00C126EA"/>
    <w:rsid w:val="00C12D83"/>
    <w:rsid w:val="00C1312F"/>
    <w:rsid w:val="00C13212"/>
    <w:rsid w:val="00C133B0"/>
    <w:rsid w:val="00C1415C"/>
    <w:rsid w:val="00C146FC"/>
    <w:rsid w:val="00C14969"/>
    <w:rsid w:val="00C152A1"/>
    <w:rsid w:val="00C15356"/>
    <w:rsid w:val="00C156F6"/>
    <w:rsid w:val="00C159A8"/>
    <w:rsid w:val="00C16215"/>
    <w:rsid w:val="00C168F2"/>
    <w:rsid w:val="00C16A8A"/>
    <w:rsid w:val="00C16BBC"/>
    <w:rsid w:val="00C16DA9"/>
    <w:rsid w:val="00C16E4E"/>
    <w:rsid w:val="00C170AA"/>
    <w:rsid w:val="00C1712D"/>
    <w:rsid w:val="00C2028B"/>
    <w:rsid w:val="00C2084C"/>
    <w:rsid w:val="00C208AC"/>
    <w:rsid w:val="00C21BC5"/>
    <w:rsid w:val="00C21C36"/>
    <w:rsid w:val="00C21DFD"/>
    <w:rsid w:val="00C2211F"/>
    <w:rsid w:val="00C22878"/>
    <w:rsid w:val="00C22BD3"/>
    <w:rsid w:val="00C23FE1"/>
    <w:rsid w:val="00C24033"/>
    <w:rsid w:val="00C24707"/>
    <w:rsid w:val="00C2494A"/>
    <w:rsid w:val="00C24DC3"/>
    <w:rsid w:val="00C2552E"/>
    <w:rsid w:val="00C25676"/>
    <w:rsid w:val="00C2575A"/>
    <w:rsid w:val="00C25CB5"/>
    <w:rsid w:val="00C26323"/>
    <w:rsid w:val="00C26A33"/>
    <w:rsid w:val="00C26BC0"/>
    <w:rsid w:val="00C26BC1"/>
    <w:rsid w:val="00C26EF7"/>
    <w:rsid w:val="00C27A83"/>
    <w:rsid w:val="00C27CA9"/>
    <w:rsid w:val="00C30072"/>
    <w:rsid w:val="00C30256"/>
    <w:rsid w:val="00C30A57"/>
    <w:rsid w:val="00C30C33"/>
    <w:rsid w:val="00C30D23"/>
    <w:rsid w:val="00C30E25"/>
    <w:rsid w:val="00C31131"/>
    <w:rsid w:val="00C31DDA"/>
    <w:rsid w:val="00C320E4"/>
    <w:rsid w:val="00C32473"/>
    <w:rsid w:val="00C32716"/>
    <w:rsid w:val="00C3278C"/>
    <w:rsid w:val="00C328E4"/>
    <w:rsid w:val="00C32FA0"/>
    <w:rsid w:val="00C3376B"/>
    <w:rsid w:val="00C33807"/>
    <w:rsid w:val="00C33A0D"/>
    <w:rsid w:val="00C33DA1"/>
    <w:rsid w:val="00C33EC2"/>
    <w:rsid w:val="00C33F1E"/>
    <w:rsid w:val="00C343C3"/>
    <w:rsid w:val="00C345B6"/>
    <w:rsid w:val="00C347D1"/>
    <w:rsid w:val="00C34B7A"/>
    <w:rsid w:val="00C34C28"/>
    <w:rsid w:val="00C34F5E"/>
    <w:rsid w:val="00C35249"/>
    <w:rsid w:val="00C3569A"/>
    <w:rsid w:val="00C356D8"/>
    <w:rsid w:val="00C356FD"/>
    <w:rsid w:val="00C358A5"/>
    <w:rsid w:val="00C35C95"/>
    <w:rsid w:val="00C360F9"/>
    <w:rsid w:val="00C3612F"/>
    <w:rsid w:val="00C3666E"/>
    <w:rsid w:val="00C366D2"/>
    <w:rsid w:val="00C372A3"/>
    <w:rsid w:val="00C37890"/>
    <w:rsid w:val="00C379AA"/>
    <w:rsid w:val="00C37EF1"/>
    <w:rsid w:val="00C40580"/>
    <w:rsid w:val="00C405C4"/>
    <w:rsid w:val="00C4089E"/>
    <w:rsid w:val="00C408AF"/>
    <w:rsid w:val="00C40B80"/>
    <w:rsid w:val="00C40E5B"/>
    <w:rsid w:val="00C4126F"/>
    <w:rsid w:val="00C41461"/>
    <w:rsid w:val="00C41738"/>
    <w:rsid w:val="00C42C10"/>
    <w:rsid w:val="00C42E3F"/>
    <w:rsid w:val="00C43407"/>
    <w:rsid w:val="00C43530"/>
    <w:rsid w:val="00C43B56"/>
    <w:rsid w:val="00C43C53"/>
    <w:rsid w:val="00C43CF3"/>
    <w:rsid w:val="00C43F27"/>
    <w:rsid w:val="00C4438D"/>
    <w:rsid w:val="00C44548"/>
    <w:rsid w:val="00C445B4"/>
    <w:rsid w:val="00C44AF2"/>
    <w:rsid w:val="00C44BC1"/>
    <w:rsid w:val="00C44BC7"/>
    <w:rsid w:val="00C45034"/>
    <w:rsid w:val="00C452F7"/>
    <w:rsid w:val="00C45A3B"/>
    <w:rsid w:val="00C45FA7"/>
    <w:rsid w:val="00C465DC"/>
    <w:rsid w:val="00C46EB5"/>
    <w:rsid w:val="00C46F53"/>
    <w:rsid w:val="00C47533"/>
    <w:rsid w:val="00C4788F"/>
    <w:rsid w:val="00C47B60"/>
    <w:rsid w:val="00C47CF7"/>
    <w:rsid w:val="00C47D82"/>
    <w:rsid w:val="00C47E23"/>
    <w:rsid w:val="00C50433"/>
    <w:rsid w:val="00C50543"/>
    <w:rsid w:val="00C505F0"/>
    <w:rsid w:val="00C50AEA"/>
    <w:rsid w:val="00C50D18"/>
    <w:rsid w:val="00C50E2F"/>
    <w:rsid w:val="00C511DB"/>
    <w:rsid w:val="00C51263"/>
    <w:rsid w:val="00C518C2"/>
    <w:rsid w:val="00C51B3B"/>
    <w:rsid w:val="00C51B84"/>
    <w:rsid w:val="00C51E3B"/>
    <w:rsid w:val="00C51F0C"/>
    <w:rsid w:val="00C5211F"/>
    <w:rsid w:val="00C5262B"/>
    <w:rsid w:val="00C52722"/>
    <w:rsid w:val="00C528C9"/>
    <w:rsid w:val="00C52A33"/>
    <w:rsid w:val="00C52B7D"/>
    <w:rsid w:val="00C52CFE"/>
    <w:rsid w:val="00C52F80"/>
    <w:rsid w:val="00C5347E"/>
    <w:rsid w:val="00C535EB"/>
    <w:rsid w:val="00C5379E"/>
    <w:rsid w:val="00C538E8"/>
    <w:rsid w:val="00C5393A"/>
    <w:rsid w:val="00C540B9"/>
    <w:rsid w:val="00C5445A"/>
    <w:rsid w:val="00C548F7"/>
    <w:rsid w:val="00C54B75"/>
    <w:rsid w:val="00C55976"/>
    <w:rsid w:val="00C55CD4"/>
    <w:rsid w:val="00C564AF"/>
    <w:rsid w:val="00C565C6"/>
    <w:rsid w:val="00C56791"/>
    <w:rsid w:val="00C568BD"/>
    <w:rsid w:val="00C56ADB"/>
    <w:rsid w:val="00C56C23"/>
    <w:rsid w:val="00C5700D"/>
    <w:rsid w:val="00C57315"/>
    <w:rsid w:val="00C5750A"/>
    <w:rsid w:val="00C5788A"/>
    <w:rsid w:val="00C578F7"/>
    <w:rsid w:val="00C57A74"/>
    <w:rsid w:val="00C57D53"/>
    <w:rsid w:val="00C60186"/>
    <w:rsid w:val="00C60300"/>
    <w:rsid w:val="00C60C87"/>
    <w:rsid w:val="00C61129"/>
    <w:rsid w:val="00C611BF"/>
    <w:rsid w:val="00C61579"/>
    <w:rsid w:val="00C620D3"/>
    <w:rsid w:val="00C6244E"/>
    <w:rsid w:val="00C627A5"/>
    <w:rsid w:val="00C628B3"/>
    <w:rsid w:val="00C62B45"/>
    <w:rsid w:val="00C62BB0"/>
    <w:rsid w:val="00C62C70"/>
    <w:rsid w:val="00C6353B"/>
    <w:rsid w:val="00C6362E"/>
    <w:rsid w:val="00C63675"/>
    <w:rsid w:val="00C636F9"/>
    <w:rsid w:val="00C63B8A"/>
    <w:rsid w:val="00C63B9E"/>
    <w:rsid w:val="00C63F33"/>
    <w:rsid w:val="00C640D4"/>
    <w:rsid w:val="00C6414D"/>
    <w:rsid w:val="00C646E0"/>
    <w:rsid w:val="00C64DF2"/>
    <w:rsid w:val="00C64EE9"/>
    <w:rsid w:val="00C65955"/>
    <w:rsid w:val="00C65980"/>
    <w:rsid w:val="00C66372"/>
    <w:rsid w:val="00C66625"/>
    <w:rsid w:val="00C666C5"/>
    <w:rsid w:val="00C6671F"/>
    <w:rsid w:val="00C66E4A"/>
    <w:rsid w:val="00C6758D"/>
    <w:rsid w:val="00C67E97"/>
    <w:rsid w:val="00C707AA"/>
    <w:rsid w:val="00C7096F"/>
    <w:rsid w:val="00C70B6C"/>
    <w:rsid w:val="00C71020"/>
    <w:rsid w:val="00C71065"/>
    <w:rsid w:val="00C712A6"/>
    <w:rsid w:val="00C71304"/>
    <w:rsid w:val="00C7145D"/>
    <w:rsid w:val="00C7195C"/>
    <w:rsid w:val="00C71A25"/>
    <w:rsid w:val="00C71B2C"/>
    <w:rsid w:val="00C71F71"/>
    <w:rsid w:val="00C72525"/>
    <w:rsid w:val="00C72CCB"/>
    <w:rsid w:val="00C72F33"/>
    <w:rsid w:val="00C737B4"/>
    <w:rsid w:val="00C73AB2"/>
    <w:rsid w:val="00C73E59"/>
    <w:rsid w:val="00C73FA8"/>
    <w:rsid w:val="00C7424E"/>
    <w:rsid w:val="00C742DE"/>
    <w:rsid w:val="00C742F0"/>
    <w:rsid w:val="00C747A1"/>
    <w:rsid w:val="00C7490C"/>
    <w:rsid w:val="00C74A99"/>
    <w:rsid w:val="00C74E04"/>
    <w:rsid w:val="00C75226"/>
    <w:rsid w:val="00C754EE"/>
    <w:rsid w:val="00C757FA"/>
    <w:rsid w:val="00C75835"/>
    <w:rsid w:val="00C7588B"/>
    <w:rsid w:val="00C758FB"/>
    <w:rsid w:val="00C7615E"/>
    <w:rsid w:val="00C76412"/>
    <w:rsid w:val="00C764C4"/>
    <w:rsid w:val="00C76B15"/>
    <w:rsid w:val="00C76DEE"/>
    <w:rsid w:val="00C770CB"/>
    <w:rsid w:val="00C77235"/>
    <w:rsid w:val="00C773A7"/>
    <w:rsid w:val="00C8034A"/>
    <w:rsid w:val="00C806D2"/>
    <w:rsid w:val="00C80AA1"/>
    <w:rsid w:val="00C80CCF"/>
    <w:rsid w:val="00C80E19"/>
    <w:rsid w:val="00C8139F"/>
    <w:rsid w:val="00C815CA"/>
    <w:rsid w:val="00C818FC"/>
    <w:rsid w:val="00C819BD"/>
    <w:rsid w:val="00C8217A"/>
    <w:rsid w:val="00C8220F"/>
    <w:rsid w:val="00C8236C"/>
    <w:rsid w:val="00C82A45"/>
    <w:rsid w:val="00C82AB6"/>
    <w:rsid w:val="00C83757"/>
    <w:rsid w:val="00C84157"/>
    <w:rsid w:val="00C845B7"/>
    <w:rsid w:val="00C84730"/>
    <w:rsid w:val="00C84854"/>
    <w:rsid w:val="00C84AEE"/>
    <w:rsid w:val="00C8510E"/>
    <w:rsid w:val="00C859AA"/>
    <w:rsid w:val="00C85ED5"/>
    <w:rsid w:val="00C85FA5"/>
    <w:rsid w:val="00C8609D"/>
    <w:rsid w:val="00C86585"/>
    <w:rsid w:val="00C86819"/>
    <w:rsid w:val="00C86B6E"/>
    <w:rsid w:val="00C871DB"/>
    <w:rsid w:val="00C87379"/>
    <w:rsid w:val="00C876AA"/>
    <w:rsid w:val="00C87832"/>
    <w:rsid w:val="00C90449"/>
    <w:rsid w:val="00C90751"/>
    <w:rsid w:val="00C9097B"/>
    <w:rsid w:val="00C90A73"/>
    <w:rsid w:val="00C90D20"/>
    <w:rsid w:val="00C914E4"/>
    <w:rsid w:val="00C91779"/>
    <w:rsid w:val="00C92161"/>
    <w:rsid w:val="00C9218C"/>
    <w:rsid w:val="00C92577"/>
    <w:rsid w:val="00C92B7C"/>
    <w:rsid w:val="00C92E57"/>
    <w:rsid w:val="00C92FFD"/>
    <w:rsid w:val="00C93401"/>
    <w:rsid w:val="00C934F6"/>
    <w:rsid w:val="00C93746"/>
    <w:rsid w:val="00C9381B"/>
    <w:rsid w:val="00C938FD"/>
    <w:rsid w:val="00C9391A"/>
    <w:rsid w:val="00C93B71"/>
    <w:rsid w:val="00C94325"/>
    <w:rsid w:val="00C944B3"/>
    <w:rsid w:val="00C94A04"/>
    <w:rsid w:val="00C9535A"/>
    <w:rsid w:val="00C95412"/>
    <w:rsid w:val="00C955D7"/>
    <w:rsid w:val="00C96489"/>
    <w:rsid w:val="00C96D3F"/>
    <w:rsid w:val="00C9707B"/>
    <w:rsid w:val="00C979C5"/>
    <w:rsid w:val="00C97FE8"/>
    <w:rsid w:val="00CA00D4"/>
    <w:rsid w:val="00CA0368"/>
    <w:rsid w:val="00CA07F6"/>
    <w:rsid w:val="00CA1330"/>
    <w:rsid w:val="00CA1433"/>
    <w:rsid w:val="00CA2065"/>
    <w:rsid w:val="00CA242D"/>
    <w:rsid w:val="00CA31B4"/>
    <w:rsid w:val="00CA3300"/>
    <w:rsid w:val="00CA358D"/>
    <w:rsid w:val="00CA36D3"/>
    <w:rsid w:val="00CA39C0"/>
    <w:rsid w:val="00CA3D28"/>
    <w:rsid w:val="00CA3E84"/>
    <w:rsid w:val="00CA3FA3"/>
    <w:rsid w:val="00CA49F4"/>
    <w:rsid w:val="00CA545E"/>
    <w:rsid w:val="00CA56BD"/>
    <w:rsid w:val="00CA5852"/>
    <w:rsid w:val="00CA6344"/>
    <w:rsid w:val="00CA6B66"/>
    <w:rsid w:val="00CA6DD3"/>
    <w:rsid w:val="00CA70B0"/>
    <w:rsid w:val="00CA7929"/>
    <w:rsid w:val="00CA7A12"/>
    <w:rsid w:val="00CA7A1D"/>
    <w:rsid w:val="00CA7A88"/>
    <w:rsid w:val="00CB0064"/>
    <w:rsid w:val="00CB0193"/>
    <w:rsid w:val="00CB03B0"/>
    <w:rsid w:val="00CB0E9A"/>
    <w:rsid w:val="00CB0FE4"/>
    <w:rsid w:val="00CB1802"/>
    <w:rsid w:val="00CB1912"/>
    <w:rsid w:val="00CB1ED9"/>
    <w:rsid w:val="00CB274A"/>
    <w:rsid w:val="00CB2A5E"/>
    <w:rsid w:val="00CB2C8D"/>
    <w:rsid w:val="00CB2E89"/>
    <w:rsid w:val="00CB3136"/>
    <w:rsid w:val="00CB32E5"/>
    <w:rsid w:val="00CB38B0"/>
    <w:rsid w:val="00CB3C3B"/>
    <w:rsid w:val="00CB3E8B"/>
    <w:rsid w:val="00CB458C"/>
    <w:rsid w:val="00CB4B06"/>
    <w:rsid w:val="00CB4EFD"/>
    <w:rsid w:val="00CB5F84"/>
    <w:rsid w:val="00CB60EE"/>
    <w:rsid w:val="00CB6105"/>
    <w:rsid w:val="00CB6142"/>
    <w:rsid w:val="00CB6BC5"/>
    <w:rsid w:val="00CB6C27"/>
    <w:rsid w:val="00CB71D0"/>
    <w:rsid w:val="00CB74ED"/>
    <w:rsid w:val="00CB77FF"/>
    <w:rsid w:val="00CB7916"/>
    <w:rsid w:val="00CC07F6"/>
    <w:rsid w:val="00CC12DF"/>
    <w:rsid w:val="00CC195F"/>
    <w:rsid w:val="00CC1CE4"/>
    <w:rsid w:val="00CC20CA"/>
    <w:rsid w:val="00CC211A"/>
    <w:rsid w:val="00CC266E"/>
    <w:rsid w:val="00CC28D8"/>
    <w:rsid w:val="00CC290E"/>
    <w:rsid w:val="00CC2A73"/>
    <w:rsid w:val="00CC2AA8"/>
    <w:rsid w:val="00CC2D06"/>
    <w:rsid w:val="00CC3497"/>
    <w:rsid w:val="00CC3597"/>
    <w:rsid w:val="00CC35CE"/>
    <w:rsid w:val="00CC4C82"/>
    <w:rsid w:val="00CC4C8D"/>
    <w:rsid w:val="00CC4CE7"/>
    <w:rsid w:val="00CC4DB1"/>
    <w:rsid w:val="00CC4E90"/>
    <w:rsid w:val="00CC557A"/>
    <w:rsid w:val="00CC567C"/>
    <w:rsid w:val="00CC595B"/>
    <w:rsid w:val="00CC5BED"/>
    <w:rsid w:val="00CC6B61"/>
    <w:rsid w:val="00CC6B67"/>
    <w:rsid w:val="00CC6BCC"/>
    <w:rsid w:val="00CC70DA"/>
    <w:rsid w:val="00CC74E4"/>
    <w:rsid w:val="00CC7B4C"/>
    <w:rsid w:val="00CC7CAB"/>
    <w:rsid w:val="00CC7FAE"/>
    <w:rsid w:val="00CD015A"/>
    <w:rsid w:val="00CD01A4"/>
    <w:rsid w:val="00CD056A"/>
    <w:rsid w:val="00CD0BB2"/>
    <w:rsid w:val="00CD0D07"/>
    <w:rsid w:val="00CD1039"/>
    <w:rsid w:val="00CD1600"/>
    <w:rsid w:val="00CD1928"/>
    <w:rsid w:val="00CD1993"/>
    <w:rsid w:val="00CD1FA6"/>
    <w:rsid w:val="00CD231C"/>
    <w:rsid w:val="00CD260C"/>
    <w:rsid w:val="00CD268E"/>
    <w:rsid w:val="00CD2FBD"/>
    <w:rsid w:val="00CD3415"/>
    <w:rsid w:val="00CD37D6"/>
    <w:rsid w:val="00CD3815"/>
    <w:rsid w:val="00CD4267"/>
    <w:rsid w:val="00CD45E7"/>
    <w:rsid w:val="00CD4EA6"/>
    <w:rsid w:val="00CD51E9"/>
    <w:rsid w:val="00CD52F1"/>
    <w:rsid w:val="00CD5380"/>
    <w:rsid w:val="00CD53AE"/>
    <w:rsid w:val="00CD5986"/>
    <w:rsid w:val="00CD5A49"/>
    <w:rsid w:val="00CD5C63"/>
    <w:rsid w:val="00CD63B4"/>
    <w:rsid w:val="00CD6453"/>
    <w:rsid w:val="00CD6522"/>
    <w:rsid w:val="00CD7025"/>
    <w:rsid w:val="00CD7393"/>
    <w:rsid w:val="00CD7409"/>
    <w:rsid w:val="00CE08B5"/>
    <w:rsid w:val="00CE095F"/>
    <w:rsid w:val="00CE0A02"/>
    <w:rsid w:val="00CE0A21"/>
    <w:rsid w:val="00CE0A45"/>
    <w:rsid w:val="00CE0DC7"/>
    <w:rsid w:val="00CE0E97"/>
    <w:rsid w:val="00CE10C4"/>
    <w:rsid w:val="00CE1A09"/>
    <w:rsid w:val="00CE1B73"/>
    <w:rsid w:val="00CE20F4"/>
    <w:rsid w:val="00CE27DB"/>
    <w:rsid w:val="00CE2B08"/>
    <w:rsid w:val="00CE2BE9"/>
    <w:rsid w:val="00CE2E50"/>
    <w:rsid w:val="00CE3150"/>
    <w:rsid w:val="00CE316F"/>
    <w:rsid w:val="00CE3DC0"/>
    <w:rsid w:val="00CE3F73"/>
    <w:rsid w:val="00CE405F"/>
    <w:rsid w:val="00CE4B54"/>
    <w:rsid w:val="00CE4C16"/>
    <w:rsid w:val="00CE4C66"/>
    <w:rsid w:val="00CE4D2C"/>
    <w:rsid w:val="00CE6498"/>
    <w:rsid w:val="00CE692B"/>
    <w:rsid w:val="00CE6C2F"/>
    <w:rsid w:val="00CE7046"/>
    <w:rsid w:val="00CE7188"/>
    <w:rsid w:val="00CE73D4"/>
    <w:rsid w:val="00CE7512"/>
    <w:rsid w:val="00CE79AC"/>
    <w:rsid w:val="00CF0805"/>
    <w:rsid w:val="00CF09CB"/>
    <w:rsid w:val="00CF09F5"/>
    <w:rsid w:val="00CF0A6F"/>
    <w:rsid w:val="00CF0B13"/>
    <w:rsid w:val="00CF1556"/>
    <w:rsid w:val="00CF1E00"/>
    <w:rsid w:val="00CF257D"/>
    <w:rsid w:val="00CF2646"/>
    <w:rsid w:val="00CF29C8"/>
    <w:rsid w:val="00CF2A6C"/>
    <w:rsid w:val="00CF2B1C"/>
    <w:rsid w:val="00CF31DD"/>
    <w:rsid w:val="00CF3396"/>
    <w:rsid w:val="00CF36E4"/>
    <w:rsid w:val="00CF3B44"/>
    <w:rsid w:val="00CF3C7E"/>
    <w:rsid w:val="00CF405E"/>
    <w:rsid w:val="00CF46E5"/>
    <w:rsid w:val="00CF4B43"/>
    <w:rsid w:val="00CF4CD6"/>
    <w:rsid w:val="00CF4EDA"/>
    <w:rsid w:val="00CF5520"/>
    <w:rsid w:val="00CF556B"/>
    <w:rsid w:val="00CF56E9"/>
    <w:rsid w:val="00CF5F02"/>
    <w:rsid w:val="00CF60F1"/>
    <w:rsid w:val="00CF6145"/>
    <w:rsid w:val="00CF6299"/>
    <w:rsid w:val="00CF64D4"/>
    <w:rsid w:val="00CF65A2"/>
    <w:rsid w:val="00CF674F"/>
    <w:rsid w:val="00CF6815"/>
    <w:rsid w:val="00CF6DE2"/>
    <w:rsid w:val="00CF6F38"/>
    <w:rsid w:val="00CF6FAD"/>
    <w:rsid w:val="00CF708E"/>
    <w:rsid w:val="00CF7097"/>
    <w:rsid w:val="00CF74A3"/>
    <w:rsid w:val="00CF7667"/>
    <w:rsid w:val="00CF7761"/>
    <w:rsid w:val="00CF78B6"/>
    <w:rsid w:val="00CF7D3F"/>
    <w:rsid w:val="00D00786"/>
    <w:rsid w:val="00D009E2"/>
    <w:rsid w:val="00D00E0D"/>
    <w:rsid w:val="00D00EA9"/>
    <w:rsid w:val="00D017E3"/>
    <w:rsid w:val="00D01F64"/>
    <w:rsid w:val="00D021EF"/>
    <w:rsid w:val="00D02388"/>
    <w:rsid w:val="00D02EF3"/>
    <w:rsid w:val="00D0305B"/>
    <w:rsid w:val="00D03345"/>
    <w:rsid w:val="00D03379"/>
    <w:rsid w:val="00D034CA"/>
    <w:rsid w:val="00D03B01"/>
    <w:rsid w:val="00D03B13"/>
    <w:rsid w:val="00D03B20"/>
    <w:rsid w:val="00D03BD8"/>
    <w:rsid w:val="00D04C8B"/>
    <w:rsid w:val="00D0574E"/>
    <w:rsid w:val="00D05822"/>
    <w:rsid w:val="00D05D0A"/>
    <w:rsid w:val="00D05E09"/>
    <w:rsid w:val="00D06175"/>
    <w:rsid w:val="00D061AB"/>
    <w:rsid w:val="00D0641B"/>
    <w:rsid w:val="00D06BF1"/>
    <w:rsid w:val="00D06BF7"/>
    <w:rsid w:val="00D072BD"/>
    <w:rsid w:val="00D07680"/>
    <w:rsid w:val="00D0781E"/>
    <w:rsid w:val="00D07ACE"/>
    <w:rsid w:val="00D07C58"/>
    <w:rsid w:val="00D07F40"/>
    <w:rsid w:val="00D1007D"/>
    <w:rsid w:val="00D102A8"/>
    <w:rsid w:val="00D1061A"/>
    <w:rsid w:val="00D10A5E"/>
    <w:rsid w:val="00D10B83"/>
    <w:rsid w:val="00D10BBE"/>
    <w:rsid w:val="00D10EE0"/>
    <w:rsid w:val="00D112C8"/>
    <w:rsid w:val="00D11820"/>
    <w:rsid w:val="00D12044"/>
    <w:rsid w:val="00D124A7"/>
    <w:rsid w:val="00D12A1A"/>
    <w:rsid w:val="00D12A87"/>
    <w:rsid w:val="00D12C6C"/>
    <w:rsid w:val="00D12FF3"/>
    <w:rsid w:val="00D1321C"/>
    <w:rsid w:val="00D134B3"/>
    <w:rsid w:val="00D1371D"/>
    <w:rsid w:val="00D138BA"/>
    <w:rsid w:val="00D13A83"/>
    <w:rsid w:val="00D14350"/>
    <w:rsid w:val="00D143A9"/>
    <w:rsid w:val="00D144B5"/>
    <w:rsid w:val="00D14720"/>
    <w:rsid w:val="00D14ED0"/>
    <w:rsid w:val="00D15216"/>
    <w:rsid w:val="00D1546E"/>
    <w:rsid w:val="00D15BE0"/>
    <w:rsid w:val="00D16608"/>
    <w:rsid w:val="00D16CA2"/>
    <w:rsid w:val="00D17552"/>
    <w:rsid w:val="00D17915"/>
    <w:rsid w:val="00D17AD3"/>
    <w:rsid w:val="00D17D09"/>
    <w:rsid w:val="00D17DD0"/>
    <w:rsid w:val="00D17E04"/>
    <w:rsid w:val="00D205B2"/>
    <w:rsid w:val="00D209EB"/>
    <w:rsid w:val="00D20D53"/>
    <w:rsid w:val="00D21307"/>
    <w:rsid w:val="00D2185E"/>
    <w:rsid w:val="00D21920"/>
    <w:rsid w:val="00D21A69"/>
    <w:rsid w:val="00D21D23"/>
    <w:rsid w:val="00D22445"/>
    <w:rsid w:val="00D22641"/>
    <w:rsid w:val="00D22740"/>
    <w:rsid w:val="00D22C45"/>
    <w:rsid w:val="00D22F0F"/>
    <w:rsid w:val="00D2383F"/>
    <w:rsid w:val="00D23966"/>
    <w:rsid w:val="00D23A13"/>
    <w:rsid w:val="00D23DC6"/>
    <w:rsid w:val="00D242C0"/>
    <w:rsid w:val="00D24427"/>
    <w:rsid w:val="00D24504"/>
    <w:rsid w:val="00D24CD2"/>
    <w:rsid w:val="00D25846"/>
    <w:rsid w:val="00D25A52"/>
    <w:rsid w:val="00D25B64"/>
    <w:rsid w:val="00D25BC5"/>
    <w:rsid w:val="00D26480"/>
    <w:rsid w:val="00D264ED"/>
    <w:rsid w:val="00D269A1"/>
    <w:rsid w:val="00D26B59"/>
    <w:rsid w:val="00D26C15"/>
    <w:rsid w:val="00D275E7"/>
    <w:rsid w:val="00D2782A"/>
    <w:rsid w:val="00D27A99"/>
    <w:rsid w:val="00D27D74"/>
    <w:rsid w:val="00D27DE3"/>
    <w:rsid w:val="00D30896"/>
    <w:rsid w:val="00D3095C"/>
    <w:rsid w:val="00D30C22"/>
    <w:rsid w:val="00D30CE9"/>
    <w:rsid w:val="00D31195"/>
    <w:rsid w:val="00D31678"/>
    <w:rsid w:val="00D3195F"/>
    <w:rsid w:val="00D3196B"/>
    <w:rsid w:val="00D31C68"/>
    <w:rsid w:val="00D325D9"/>
    <w:rsid w:val="00D325DF"/>
    <w:rsid w:val="00D326C4"/>
    <w:rsid w:val="00D32A1A"/>
    <w:rsid w:val="00D32ED0"/>
    <w:rsid w:val="00D334EF"/>
    <w:rsid w:val="00D337E8"/>
    <w:rsid w:val="00D33BA4"/>
    <w:rsid w:val="00D33DBB"/>
    <w:rsid w:val="00D33FC7"/>
    <w:rsid w:val="00D341C9"/>
    <w:rsid w:val="00D343C2"/>
    <w:rsid w:val="00D343CC"/>
    <w:rsid w:val="00D34578"/>
    <w:rsid w:val="00D347CC"/>
    <w:rsid w:val="00D34DD7"/>
    <w:rsid w:val="00D352FD"/>
    <w:rsid w:val="00D354EB"/>
    <w:rsid w:val="00D35518"/>
    <w:rsid w:val="00D355C4"/>
    <w:rsid w:val="00D35B08"/>
    <w:rsid w:val="00D35B65"/>
    <w:rsid w:val="00D35CE4"/>
    <w:rsid w:val="00D36094"/>
    <w:rsid w:val="00D365C9"/>
    <w:rsid w:val="00D36B1B"/>
    <w:rsid w:val="00D375DE"/>
    <w:rsid w:val="00D377B5"/>
    <w:rsid w:val="00D379BB"/>
    <w:rsid w:val="00D37A20"/>
    <w:rsid w:val="00D40326"/>
    <w:rsid w:val="00D406BD"/>
    <w:rsid w:val="00D40973"/>
    <w:rsid w:val="00D40F0D"/>
    <w:rsid w:val="00D41034"/>
    <w:rsid w:val="00D41634"/>
    <w:rsid w:val="00D41F0B"/>
    <w:rsid w:val="00D4237F"/>
    <w:rsid w:val="00D423B1"/>
    <w:rsid w:val="00D42517"/>
    <w:rsid w:val="00D42D91"/>
    <w:rsid w:val="00D441F2"/>
    <w:rsid w:val="00D44920"/>
    <w:rsid w:val="00D449DE"/>
    <w:rsid w:val="00D44E03"/>
    <w:rsid w:val="00D451FE"/>
    <w:rsid w:val="00D45446"/>
    <w:rsid w:val="00D45487"/>
    <w:rsid w:val="00D455F8"/>
    <w:rsid w:val="00D45A62"/>
    <w:rsid w:val="00D45F8B"/>
    <w:rsid w:val="00D464A6"/>
    <w:rsid w:val="00D46561"/>
    <w:rsid w:val="00D467C4"/>
    <w:rsid w:val="00D467EC"/>
    <w:rsid w:val="00D46945"/>
    <w:rsid w:val="00D469DA"/>
    <w:rsid w:val="00D46A49"/>
    <w:rsid w:val="00D46FDB"/>
    <w:rsid w:val="00D47500"/>
    <w:rsid w:val="00D47EC9"/>
    <w:rsid w:val="00D50033"/>
    <w:rsid w:val="00D5069B"/>
    <w:rsid w:val="00D510AC"/>
    <w:rsid w:val="00D5111A"/>
    <w:rsid w:val="00D51B85"/>
    <w:rsid w:val="00D51CFB"/>
    <w:rsid w:val="00D52333"/>
    <w:rsid w:val="00D52CCF"/>
    <w:rsid w:val="00D530CF"/>
    <w:rsid w:val="00D531C7"/>
    <w:rsid w:val="00D534F4"/>
    <w:rsid w:val="00D54347"/>
    <w:rsid w:val="00D54975"/>
    <w:rsid w:val="00D54AB7"/>
    <w:rsid w:val="00D55696"/>
    <w:rsid w:val="00D557AE"/>
    <w:rsid w:val="00D55B69"/>
    <w:rsid w:val="00D5658E"/>
    <w:rsid w:val="00D57957"/>
    <w:rsid w:val="00D57A47"/>
    <w:rsid w:val="00D604B2"/>
    <w:rsid w:val="00D613EE"/>
    <w:rsid w:val="00D61745"/>
    <w:rsid w:val="00D61832"/>
    <w:rsid w:val="00D618BB"/>
    <w:rsid w:val="00D61903"/>
    <w:rsid w:val="00D61975"/>
    <w:rsid w:val="00D61FF3"/>
    <w:rsid w:val="00D6216E"/>
    <w:rsid w:val="00D623B8"/>
    <w:rsid w:val="00D6242A"/>
    <w:rsid w:val="00D625AB"/>
    <w:rsid w:val="00D62661"/>
    <w:rsid w:val="00D6266F"/>
    <w:rsid w:val="00D62C99"/>
    <w:rsid w:val="00D62E1E"/>
    <w:rsid w:val="00D6310A"/>
    <w:rsid w:val="00D6350F"/>
    <w:rsid w:val="00D635C0"/>
    <w:rsid w:val="00D6368C"/>
    <w:rsid w:val="00D63F38"/>
    <w:rsid w:val="00D63FFC"/>
    <w:rsid w:val="00D649AE"/>
    <w:rsid w:val="00D64AF6"/>
    <w:rsid w:val="00D64B88"/>
    <w:rsid w:val="00D65068"/>
    <w:rsid w:val="00D65842"/>
    <w:rsid w:val="00D66240"/>
    <w:rsid w:val="00D67040"/>
    <w:rsid w:val="00D6737E"/>
    <w:rsid w:val="00D6746E"/>
    <w:rsid w:val="00D67A24"/>
    <w:rsid w:val="00D70005"/>
    <w:rsid w:val="00D70189"/>
    <w:rsid w:val="00D70332"/>
    <w:rsid w:val="00D70340"/>
    <w:rsid w:val="00D70620"/>
    <w:rsid w:val="00D71011"/>
    <w:rsid w:val="00D7144B"/>
    <w:rsid w:val="00D71566"/>
    <w:rsid w:val="00D7170D"/>
    <w:rsid w:val="00D719A1"/>
    <w:rsid w:val="00D71B02"/>
    <w:rsid w:val="00D71EFD"/>
    <w:rsid w:val="00D72003"/>
    <w:rsid w:val="00D72130"/>
    <w:rsid w:val="00D7262A"/>
    <w:rsid w:val="00D72752"/>
    <w:rsid w:val="00D72874"/>
    <w:rsid w:val="00D7293C"/>
    <w:rsid w:val="00D72CA2"/>
    <w:rsid w:val="00D73005"/>
    <w:rsid w:val="00D732DA"/>
    <w:rsid w:val="00D737FB"/>
    <w:rsid w:val="00D73D99"/>
    <w:rsid w:val="00D7455C"/>
    <w:rsid w:val="00D7506A"/>
    <w:rsid w:val="00D750D1"/>
    <w:rsid w:val="00D75333"/>
    <w:rsid w:val="00D7571B"/>
    <w:rsid w:val="00D75966"/>
    <w:rsid w:val="00D75A72"/>
    <w:rsid w:val="00D75C39"/>
    <w:rsid w:val="00D76449"/>
    <w:rsid w:val="00D76888"/>
    <w:rsid w:val="00D769E3"/>
    <w:rsid w:val="00D77413"/>
    <w:rsid w:val="00D7772C"/>
    <w:rsid w:val="00D77803"/>
    <w:rsid w:val="00D80275"/>
    <w:rsid w:val="00D803A5"/>
    <w:rsid w:val="00D803D9"/>
    <w:rsid w:val="00D805D9"/>
    <w:rsid w:val="00D808E1"/>
    <w:rsid w:val="00D80919"/>
    <w:rsid w:val="00D8134E"/>
    <w:rsid w:val="00D816AB"/>
    <w:rsid w:val="00D816EE"/>
    <w:rsid w:val="00D817A6"/>
    <w:rsid w:val="00D81EE6"/>
    <w:rsid w:val="00D824AE"/>
    <w:rsid w:val="00D82735"/>
    <w:rsid w:val="00D8291A"/>
    <w:rsid w:val="00D830B5"/>
    <w:rsid w:val="00D83512"/>
    <w:rsid w:val="00D837F2"/>
    <w:rsid w:val="00D842E4"/>
    <w:rsid w:val="00D84559"/>
    <w:rsid w:val="00D846AD"/>
    <w:rsid w:val="00D846E6"/>
    <w:rsid w:val="00D84E69"/>
    <w:rsid w:val="00D857B7"/>
    <w:rsid w:val="00D85902"/>
    <w:rsid w:val="00D85931"/>
    <w:rsid w:val="00D85A93"/>
    <w:rsid w:val="00D85B89"/>
    <w:rsid w:val="00D85CBC"/>
    <w:rsid w:val="00D86864"/>
    <w:rsid w:val="00D8745D"/>
    <w:rsid w:val="00D875FF"/>
    <w:rsid w:val="00D8776F"/>
    <w:rsid w:val="00D87934"/>
    <w:rsid w:val="00D87B3D"/>
    <w:rsid w:val="00D87E12"/>
    <w:rsid w:val="00D87EB0"/>
    <w:rsid w:val="00D90028"/>
    <w:rsid w:val="00D900EF"/>
    <w:rsid w:val="00D902A8"/>
    <w:rsid w:val="00D906ED"/>
    <w:rsid w:val="00D90705"/>
    <w:rsid w:val="00D90E04"/>
    <w:rsid w:val="00D91031"/>
    <w:rsid w:val="00D91137"/>
    <w:rsid w:val="00D91186"/>
    <w:rsid w:val="00D91675"/>
    <w:rsid w:val="00D9182E"/>
    <w:rsid w:val="00D91A00"/>
    <w:rsid w:val="00D91A83"/>
    <w:rsid w:val="00D91E2C"/>
    <w:rsid w:val="00D923FE"/>
    <w:rsid w:val="00D924B3"/>
    <w:rsid w:val="00D92A67"/>
    <w:rsid w:val="00D92CEE"/>
    <w:rsid w:val="00D92ED5"/>
    <w:rsid w:val="00D92EEF"/>
    <w:rsid w:val="00D93184"/>
    <w:rsid w:val="00D93277"/>
    <w:rsid w:val="00D93645"/>
    <w:rsid w:val="00D937CE"/>
    <w:rsid w:val="00D93F7C"/>
    <w:rsid w:val="00D93FE1"/>
    <w:rsid w:val="00D94411"/>
    <w:rsid w:val="00D94456"/>
    <w:rsid w:val="00D94611"/>
    <w:rsid w:val="00D9475D"/>
    <w:rsid w:val="00D94910"/>
    <w:rsid w:val="00D956EC"/>
    <w:rsid w:val="00D95C87"/>
    <w:rsid w:val="00D96FBA"/>
    <w:rsid w:val="00D9719F"/>
    <w:rsid w:val="00D97311"/>
    <w:rsid w:val="00D9741C"/>
    <w:rsid w:val="00D97D11"/>
    <w:rsid w:val="00D97D30"/>
    <w:rsid w:val="00D97D6D"/>
    <w:rsid w:val="00D97DFD"/>
    <w:rsid w:val="00DA02CA"/>
    <w:rsid w:val="00DA0C0E"/>
    <w:rsid w:val="00DA163E"/>
    <w:rsid w:val="00DA1650"/>
    <w:rsid w:val="00DA16A0"/>
    <w:rsid w:val="00DA233A"/>
    <w:rsid w:val="00DA2D61"/>
    <w:rsid w:val="00DA2DAB"/>
    <w:rsid w:val="00DA2FF3"/>
    <w:rsid w:val="00DA3047"/>
    <w:rsid w:val="00DA35E7"/>
    <w:rsid w:val="00DA365F"/>
    <w:rsid w:val="00DA3AB7"/>
    <w:rsid w:val="00DA4198"/>
    <w:rsid w:val="00DA449B"/>
    <w:rsid w:val="00DA4885"/>
    <w:rsid w:val="00DA49CD"/>
    <w:rsid w:val="00DA4B3A"/>
    <w:rsid w:val="00DA4E84"/>
    <w:rsid w:val="00DA5146"/>
    <w:rsid w:val="00DA51A6"/>
    <w:rsid w:val="00DA54CA"/>
    <w:rsid w:val="00DA5734"/>
    <w:rsid w:val="00DA57AF"/>
    <w:rsid w:val="00DA5801"/>
    <w:rsid w:val="00DA584F"/>
    <w:rsid w:val="00DA58BE"/>
    <w:rsid w:val="00DA5A4D"/>
    <w:rsid w:val="00DA5AF7"/>
    <w:rsid w:val="00DA5FA0"/>
    <w:rsid w:val="00DA6510"/>
    <w:rsid w:val="00DA6661"/>
    <w:rsid w:val="00DA66C6"/>
    <w:rsid w:val="00DA7411"/>
    <w:rsid w:val="00DA759D"/>
    <w:rsid w:val="00DA77FC"/>
    <w:rsid w:val="00DA7C3A"/>
    <w:rsid w:val="00DA7CB0"/>
    <w:rsid w:val="00DA7DEE"/>
    <w:rsid w:val="00DB050F"/>
    <w:rsid w:val="00DB05FD"/>
    <w:rsid w:val="00DB0BA9"/>
    <w:rsid w:val="00DB0CA5"/>
    <w:rsid w:val="00DB0D56"/>
    <w:rsid w:val="00DB0DAD"/>
    <w:rsid w:val="00DB0E0D"/>
    <w:rsid w:val="00DB1010"/>
    <w:rsid w:val="00DB103B"/>
    <w:rsid w:val="00DB12EF"/>
    <w:rsid w:val="00DB139D"/>
    <w:rsid w:val="00DB1781"/>
    <w:rsid w:val="00DB2173"/>
    <w:rsid w:val="00DB291B"/>
    <w:rsid w:val="00DB31B1"/>
    <w:rsid w:val="00DB3258"/>
    <w:rsid w:val="00DB3352"/>
    <w:rsid w:val="00DB3476"/>
    <w:rsid w:val="00DB42F3"/>
    <w:rsid w:val="00DB4818"/>
    <w:rsid w:val="00DB55CC"/>
    <w:rsid w:val="00DB5772"/>
    <w:rsid w:val="00DB5FFF"/>
    <w:rsid w:val="00DB6041"/>
    <w:rsid w:val="00DB618F"/>
    <w:rsid w:val="00DB61F8"/>
    <w:rsid w:val="00DB63E3"/>
    <w:rsid w:val="00DB69A5"/>
    <w:rsid w:val="00DB6A05"/>
    <w:rsid w:val="00DB6AFD"/>
    <w:rsid w:val="00DB6FF9"/>
    <w:rsid w:val="00DB7024"/>
    <w:rsid w:val="00DB75DB"/>
    <w:rsid w:val="00DB7A63"/>
    <w:rsid w:val="00DB7AC7"/>
    <w:rsid w:val="00DB7D55"/>
    <w:rsid w:val="00DB7E1F"/>
    <w:rsid w:val="00DC0528"/>
    <w:rsid w:val="00DC080B"/>
    <w:rsid w:val="00DC0C4E"/>
    <w:rsid w:val="00DC0C79"/>
    <w:rsid w:val="00DC0ED5"/>
    <w:rsid w:val="00DC1161"/>
    <w:rsid w:val="00DC18C4"/>
    <w:rsid w:val="00DC1913"/>
    <w:rsid w:val="00DC1CD1"/>
    <w:rsid w:val="00DC1DDE"/>
    <w:rsid w:val="00DC1ED6"/>
    <w:rsid w:val="00DC2188"/>
    <w:rsid w:val="00DC22D8"/>
    <w:rsid w:val="00DC24AC"/>
    <w:rsid w:val="00DC2515"/>
    <w:rsid w:val="00DC2ECF"/>
    <w:rsid w:val="00DC2ED7"/>
    <w:rsid w:val="00DC2FD3"/>
    <w:rsid w:val="00DC31B5"/>
    <w:rsid w:val="00DC376C"/>
    <w:rsid w:val="00DC3F3F"/>
    <w:rsid w:val="00DC3F5A"/>
    <w:rsid w:val="00DC3FED"/>
    <w:rsid w:val="00DC454F"/>
    <w:rsid w:val="00DC46AF"/>
    <w:rsid w:val="00DC4B3B"/>
    <w:rsid w:val="00DC4CC6"/>
    <w:rsid w:val="00DC4F3E"/>
    <w:rsid w:val="00DC504E"/>
    <w:rsid w:val="00DC5991"/>
    <w:rsid w:val="00DC5A75"/>
    <w:rsid w:val="00DC5F00"/>
    <w:rsid w:val="00DC6102"/>
    <w:rsid w:val="00DC67EA"/>
    <w:rsid w:val="00DC6BB6"/>
    <w:rsid w:val="00DC6CCF"/>
    <w:rsid w:val="00DC6F05"/>
    <w:rsid w:val="00DC7285"/>
    <w:rsid w:val="00DC791C"/>
    <w:rsid w:val="00DD012F"/>
    <w:rsid w:val="00DD0ABB"/>
    <w:rsid w:val="00DD0B04"/>
    <w:rsid w:val="00DD13B9"/>
    <w:rsid w:val="00DD1554"/>
    <w:rsid w:val="00DD1AD9"/>
    <w:rsid w:val="00DD1E86"/>
    <w:rsid w:val="00DD1E8F"/>
    <w:rsid w:val="00DD244E"/>
    <w:rsid w:val="00DD2805"/>
    <w:rsid w:val="00DD2975"/>
    <w:rsid w:val="00DD2982"/>
    <w:rsid w:val="00DD2A82"/>
    <w:rsid w:val="00DD2B5A"/>
    <w:rsid w:val="00DD2F64"/>
    <w:rsid w:val="00DD33DC"/>
    <w:rsid w:val="00DD3B9F"/>
    <w:rsid w:val="00DD3BA2"/>
    <w:rsid w:val="00DD3F86"/>
    <w:rsid w:val="00DD472C"/>
    <w:rsid w:val="00DD4748"/>
    <w:rsid w:val="00DD519A"/>
    <w:rsid w:val="00DD5C75"/>
    <w:rsid w:val="00DD5C87"/>
    <w:rsid w:val="00DD5D70"/>
    <w:rsid w:val="00DD5FE1"/>
    <w:rsid w:val="00DD6073"/>
    <w:rsid w:val="00DD671C"/>
    <w:rsid w:val="00DD6A35"/>
    <w:rsid w:val="00DD6BF4"/>
    <w:rsid w:val="00DD70BA"/>
    <w:rsid w:val="00DD7564"/>
    <w:rsid w:val="00DD75B0"/>
    <w:rsid w:val="00DD7622"/>
    <w:rsid w:val="00DD7961"/>
    <w:rsid w:val="00DD7BCF"/>
    <w:rsid w:val="00DD7CED"/>
    <w:rsid w:val="00DE012B"/>
    <w:rsid w:val="00DE0321"/>
    <w:rsid w:val="00DE040C"/>
    <w:rsid w:val="00DE0D7B"/>
    <w:rsid w:val="00DE16D3"/>
    <w:rsid w:val="00DE188B"/>
    <w:rsid w:val="00DE286F"/>
    <w:rsid w:val="00DE288E"/>
    <w:rsid w:val="00DE2973"/>
    <w:rsid w:val="00DE2B97"/>
    <w:rsid w:val="00DE4434"/>
    <w:rsid w:val="00DE4440"/>
    <w:rsid w:val="00DE4772"/>
    <w:rsid w:val="00DE47B8"/>
    <w:rsid w:val="00DE47CA"/>
    <w:rsid w:val="00DE4C0B"/>
    <w:rsid w:val="00DE518C"/>
    <w:rsid w:val="00DE5DAA"/>
    <w:rsid w:val="00DE619C"/>
    <w:rsid w:val="00DE6562"/>
    <w:rsid w:val="00DE6635"/>
    <w:rsid w:val="00DE688E"/>
    <w:rsid w:val="00DE69EE"/>
    <w:rsid w:val="00DE6F2C"/>
    <w:rsid w:val="00DE750B"/>
    <w:rsid w:val="00DE791F"/>
    <w:rsid w:val="00DF0763"/>
    <w:rsid w:val="00DF13AD"/>
    <w:rsid w:val="00DF14FA"/>
    <w:rsid w:val="00DF1698"/>
    <w:rsid w:val="00DF1879"/>
    <w:rsid w:val="00DF19D5"/>
    <w:rsid w:val="00DF1A1C"/>
    <w:rsid w:val="00DF1A78"/>
    <w:rsid w:val="00DF20D2"/>
    <w:rsid w:val="00DF20EE"/>
    <w:rsid w:val="00DF2308"/>
    <w:rsid w:val="00DF236A"/>
    <w:rsid w:val="00DF2970"/>
    <w:rsid w:val="00DF2F03"/>
    <w:rsid w:val="00DF2FFE"/>
    <w:rsid w:val="00DF325D"/>
    <w:rsid w:val="00DF36D7"/>
    <w:rsid w:val="00DF3A95"/>
    <w:rsid w:val="00DF3FB4"/>
    <w:rsid w:val="00DF4301"/>
    <w:rsid w:val="00DF4362"/>
    <w:rsid w:val="00DF4515"/>
    <w:rsid w:val="00DF4684"/>
    <w:rsid w:val="00DF4F6B"/>
    <w:rsid w:val="00DF518D"/>
    <w:rsid w:val="00DF529F"/>
    <w:rsid w:val="00DF55E6"/>
    <w:rsid w:val="00DF5E4F"/>
    <w:rsid w:val="00DF6143"/>
    <w:rsid w:val="00DF69B0"/>
    <w:rsid w:val="00DF713D"/>
    <w:rsid w:val="00DF7212"/>
    <w:rsid w:val="00DF7310"/>
    <w:rsid w:val="00DF760B"/>
    <w:rsid w:val="00DF7C8D"/>
    <w:rsid w:val="00E001A2"/>
    <w:rsid w:val="00E0039B"/>
    <w:rsid w:val="00E0051A"/>
    <w:rsid w:val="00E00AE7"/>
    <w:rsid w:val="00E00C70"/>
    <w:rsid w:val="00E00D5B"/>
    <w:rsid w:val="00E012E4"/>
    <w:rsid w:val="00E01536"/>
    <w:rsid w:val="00E018FE"/>
    <w:rsid w:val="00E01C69"/>
    <w:rsid w:val="00E01FE7"/>
    <w:rsid w:val="00E024FD"/>
    <w:rsid w:val="00E0267D"/>
    <w:rsid w:val="00E02DB5"/>
    <w:rsid w:val="00E0304F"/>
    <w:rsid w:val="00E03601"/>
    <w:rsid w:val="00E03B59"/>
    <w:rsid w:val="00E0435F"/>
    <w:rsid w:val="00E043C1"/>
    <w:rsid w:val="00E0509B"/>
    <w:rsid w:val="00E0509D"/>
    <w:rsid w:val="00E050A3"/>
    <w:rsid w:val="00E0510C"/>
    <w:rsid w:val="00E051A4"/>
    <w:rsid w:val="00E052F4"/>
    <w:rsid w:val="00E05A3E"/>
    <w:rsid w:val="00E0641B"/>
    <w:rsid w:val="00E0641E"/>
    <w:rsid w:val="00E06A09"/>
    <w:rsid w:val="00E06DA9"/>
    <w:rsid w:val="00E0712A"/>
    <w:rsid w:val="00E0771E"/>
    <w:rsid w:val="00E07A1B"/>
    <w:rsid w:val="00E07BEC"/>
    <w:rsid w:val="00E07F47"/>
    <w:rsid w:val="00E1063C"/>
    <w:rsid w:val="00E10A2C"/>
    <w:rsid w:val="00E1104C"/>
    <w:rsid w:val="00E11660"/>
    <w:rsid w:val="00E11666"/>
    <w:rsid w:val="00E11E7C"/>
    <w:rsid w:val="00E12852"/>
    <w:rsid w:val="00E12B34"/>
    <w:rsid w:val="00E12DA0"/>
    <w:rsid w:val="00E13147"/>
    <w:rsid w:val="00E13725"/>
    <w:rsid w:val="00E13ABC"/>
    <w:rsid w:val="00E14160"/>
    <w:rsid w:val="00E142C2"/>
    <w:rsid w:val="00E142DF"/>
    <w:rsid w:val="00E14625"/>
    <w:rsid w:val="00E146AF"/>
    <w:rsid w:val="00E14953"/>
    <w:rsid w:val="00E152AA"/>
    <w:rsid w:val="00E152D9"/>
    <w:rsid w:val="00E1541D"/>
    <w:rsid w:val="00E1547E"/>
    <w:rsid w:val="00E155B5"/>
    <w:rsid w:val="00E1583F"/>
    <w:rsid w:val="00E15866"/>
    <w:rsid w:val="00E15D8D"/>
    <w:rsid w:val="00E160DA"/>
    <w:rsid w:val="00E16559"/>
    <w:rsid w:val="00E165F8"/>
    <w:rsid w:val="00E16794"/>
    <w:rsid w:val="00E16862"/>
    <w:rsid w:val="00E16CA3"/>
    <w:rsid w:val="00E16D28"/>
    <w:rsid w:val="00E1729F"/>
    <w:rsid w:val="00E172A0"/>
    <w:rsid w:val="00E1749D"/>
    <w:rsid w:val="00E17DB9"/>
    <w:rsid w:val="00E17EF7"/>
    <w:rsid w:val="00E20544"/>
    <w:rsid w:val="00E2054E"/>
    <w:rsid w:val="00E207F0"/>
    <w:rsid w:val="00E20A3A"/>
    <w:rsid w:val="00E218D5"/>
    <w:rsid w:val="00E21E5E"/>
    <w:rsid w:val="00E2255F"/>
    <w:rsid w:val="00E23509"/>
    <w:rsid w:val="00E2412D"/>
    <w:rsid w:val="00E24405"/>
    <w:rsid w:val="00E24536"/>
    <w:rsid w:val="00E24568"/>
    <w:rsid w:val="00E24BD0"/>
    <w:rsid w:val="00E24C9B"/>
    <w:rsid w:val="00E24E29"/>
    <w:rsid w:val="00E24F6D"/>
    <w:rsid w:val="00E24FEA"/>
    <w:rsid w:val="00E25647"/>
    <w:rsid w:val="00E25824"/>
    <w:rsid w:val="00E25BBB"/>
    <w:rsid w:val="00E25CE5"/>
    <w:rsid w:val="00E2629D"/>
    <w:rsid w:val="00E26658"/>
    <w:rsid w:val="00E26830"/>
    <w:rsid w:val="00E26AD0"/>
    <w:rsid w:val="00E26DB4"/>
    <w:rsid w:val="00E276B5"/>
    <w:rsid w:val="00E27A2D"/>
    <w:rsid w:val="00E27BB3"/>
    <w:rsid w:val="00E27D8E"/>
    <w:rsid w:val="00E27ECA"/>
    <w:rsid w:val="00E302F4"/>
    <w:rsid w:val="00E309B0"/>
    <w:rsid w:val="00E30C3B"/>
    <w:rsid w:val="00E311A8"/>
    <w:rsid w:val="00E314E0"/>
    <w:rsid w:val="00E31B77"/>
    <w:rsid w:val="00E31C92"/>
    <w:rsid w:val="00E32312"/>
    <w:rsid w:val="00E3245F"/>
    <w:rsid w:val="00E32721"/>
    <w:rsid w:val="00E32B88"/>
    <w:rsid w:val="00E32CFE"/>
    <w:rsid w:val="00E3343A"/>
    <w:rsid w:val="00E34305"/>
    <w:rsid w:val="00E34AC4"/>
    <w:rsid w:val="00E34BC0"/>
    <w:rsid w:val="00E34C70"/>
    <w:rsid w:val="00E34D06"/>
    <w:rsid w:val="00E34DE5"/>
    <w:rsid w:val="00E34FAC"/>
    <w:rsid w:val="00E35180"/>
    <w:rsid w:val="00E353A7"/>
    <w:rsid w:val="00E353D6"/>
    <w:rsid w:val="00E356B8"/>
    <w:rsid w:val="00E3581E"/>
    <w:rsid w:val="00E35E2B"/>
    <w:rsid w:val="00E3649F"/>
    <w:rsid w:val="00E367A9"/>
    <w:rsid w:val="00E370CF"/>
    <w:rsid w:val="00E370FC"/>
    <w:rsid w:val="00E3728D"/>
    <w:rsid w:val="00E3730D"/>
    <w:rsid w:val="00E37492"/>
    <w:rsid w:val="00E378B8"/>
    <w:rsid w:val="00E37B75"/>
    <w:rsid w:val="00E40E48"/>
    <w:rsid w:val="00E40EB0"/>
    <w:rsid w:val="00E40F35"/>
    <w:rsid w:val="00E41111"/>
    <w:rsid w:val="00E411ED"/>
    <w:rsid w:val="00E411FB"/>
    <w:rsid w:val="00E4140A"/>
    <w:rsid w:val="00E41B43"/>
    <w:rsid w:val="00E41DA0"/>
    <w:rsid w:val="00E42056"/>
    <w:rsid w:val="00E42898"/>
    <w:rsid w:val="00E4309D"/>
    <w:rsid w:val="00E433E9"/>
    <w:rsid w:val="00E43663"/>
    <w:rsid w:val="00E43853"/>
    <w:rsid w:val="00E444D1"/>
    <w:rsid w:val="00E445C4"/>
    <w:rsid w:val="00E44B05"/>
    <w:rsid w:val="00E44D4F"/>
    <w:rsid w:val="00E44FD0"/>
    <w:rsid w:val="00E451A0"/>
    <w:rsid w:val="00E45A1B"/>
    <w:rsid w:val="00E45ABD"/>
    <w:rsid w:val="00E45B47"/>
    <w:rsid w:val="00E45C20"/>
    <w:rsid w:val="00E45C53"/>
    <w:rsid w:val="00E45D30"/>
    <w:rsid w:val="00E461BD"/>
    <w:rsid w:val="00E46217"/>
    <w:rsid w:val="00E46442"/>
    <w:rsid w:val="00E46619"/>
    <w:rsid w:val="00E4676E"/>
    <w:rsid w:val="00E469FB"/>
    <w:rsid w:val="00E46B9F"/>
    <w:rsid w:val="00E4734C"/>
    <w:rsid w:val="00E47371"/>
    <w:rsid w:val="00E476E8"/>
    <w:rsid w:val="00E50788"/>
    <w:rsid w:val="00E509AB"/>
    <w:rsid w:val="00E50ED8"/>
    <w:rsid w:val="00E50F8D"/>
    <w:rsid w:val="00E5117D"/>
    <w:rsid w:val="00E5141D"/>
    <w:rsid w:val="00E516CA"/>
    <w:rsid w:val="00E51AD6"/>
    <w:rsid w:val="00E51E19"/>
    <w:rsid w:val="00E5223E"/>
    <w:rsid w:val="00E5227C"/>
    <w:rsid w:val="00E5290E"/>
    <w:rsid w:val="00E52BE7"/>
    <w:rsid w:val="00E52F5D"/>
    <w:rsid w:val="00E52FAA"/>
    <w:rsid w:val="00E5314C"/>
    <w:rsid w:val="00E5318D"/>
    <w:rsid w:val="00E54578"/>
    <w:rsid w:val="00E54A66"/>
    <w:rsid w:val="00E54ADB"/>
    <w:rsid w:val="00E54ED1"/>
    <w:rsid w:val="00E54F33"/>
    <w:rsid w:val="00E55B35"/>
    <w:rsid w:val="00E55CD2"/>
    <w:rsid w:val="00E5648F"/>
    <w:rsid w:val="00E566A2"/>
    <w:rsid w:val="00E56997"/>
    <w:rsid w:val="00E56A12"/>
    <w:rsid w:val="00E56A1A"/>
    <w:rsid w:val="00E570F5"/>
    <w:rsid w:val="00E57712"/>
    <w:rsid w:val="00E57AF7"/>
    <w:rsid w:val="00E57C40"/>
    <w:rsid w:val="00E6005C"/>
    <w:rsid w:val="00E600B4"/>
    <w:rsid w:val="00E60241"/>
    <w:rsid w:val="00E6044A"/>
    <w:rsid w:val="00E61126"/>
    <w:rsid w:val="00E6168B"/>
    <w:rsid w:val="00E61B08"/>
    <w:rsid w:val="00E61BBE"/>
    <w:rsid w:val="00E621BF"/>
    <w:rsid w:val="00E62363"/>
    <w:rsid w:val="00E628C8"/>
    <w:rsid w:val="00E63108"/>
    <w:rsid w:val="00E6341C"/>
    <w:rsid w:val="00E63530"/>
    <w:rsid w:val="00E640E4"/>
    <w:rsid w:val="00E6431B"/>
    <w:rsid w:val="00E646FD"/>
    <w:rsid w:val="00E64A27"/>
    <w:rsid w:val="00E64A40"/>
    <w:rsid w:val="00E64B1F"/>
    <w:rsid w:val="00E65306"/>
    <w:rsid w:val="00E6559A"/>
    <w:rsid w:val="00E6596D"/>
    <w:rsid w:val="00E6613C"/>
    <w:rsid w:val="00E66302"/>
    <w:rsid w:val="00E66EB0"/>
    <w:rsid w:val="00E6727B"/>
    <w:rsid w:val="00E67541"/>
    <w:rsid w:val="00E7001D"/>
    <w:rsid w:val="00E70443"/>
    <w:rsid w:val="00E7055D"/>
    <w:rsid w:val="00E70964"/>
    <w:rsid w:val="00E70D9F"/>
    <w:rsid w:val="00E710BB"/>
    <w:rsid w:val="00E71116"/>
    <w:rsid w:val="00E7165F"/>
    <w:rsid w:val="00E716B3"/>
    <w:rsid w:val="00E71AB6"/>
    <w:rsid w:val="00E71C1E"/>
    <w:rsid w:val="00E71CC7"/>
    <w:rsid w:val="00E723FF"/>
    <w:rsid w:val="00E729EC"/>
    <w:rsid w:val="00E73060"/>
    <w:rsid w:val="00E73366"/>
    <w:rsid w:val="00E734B1"/>
    <w:rsid w:val="00E738E2"/>
    <w:rsid w:val="00E73AA7"/>
    <w:rsid w:val="00E73E0D"/>
    <w:rsid w:val="00E74D79"/>
    <w:rsid w:val="00E74EF9"/>
    <w:rsid w:val="00E75144"/>
    <w:rsid w:val="00E7524C"/>
    <w:rsid w:val="00E7536A"/>
    <w:rsid w:val="00E75560"/>
    <w:rsid w:val="00E75A39"/>
    <w:rsid w:val="00E75BF9"/>
    <w:rsid w:val="00E75FEA"/>
    <w:rsid w:val="00E7657E"/>
    <w:rsid w:val="00E76AFA"/>
    <w:rsid w:val="00E76B61"/>
    <w:rsid w:val="00E76DDC"/>
    <w:rsid w:val="00E76FDF"/>
    <w:rsid w:val="00E77165"/>
    <w:rsid w:val="00E772E2"/>
    <w:rsid w:val="00E776D5"/>
    <w:rsid w:val="00E77777"/>
    <w:rsid w:val="00E77863"/>
    <w:rsid w:val="00E808AD"/>
    <w:rsid w:val="00E810E1"/>
    <w:rsid w:val="00E8158C"/>
    <w:rsid w:val="00E816D6"/>
    <w:rsid w:val="00E817ED"/>
    <w:rsid w:val="00E81C0B"/>
    <w:rsid w:val="00E81F8F"/>
    <w:rsid w:val="00E82095"/>
    <w:rsid w:val="00E82480"/>
    <w:rsid w:val="00E824AE"/>
    <w:rsid w:val="00E82502"/>
    <w:rsid w:val="00E82934"/>
    <w:rsid w:val="00E82EFF"/>
    <w:rsid w:val="00E82FBF"/>
    <w:rsid w:val="00E834DC"/>
    <w:rsid w:val="00E83565"/>
    <w:rsid w:val="00E835AE"/>
    <w:rsid w:val="00E836A8"/>
    <w:rsid w:val="00E83738"/>
    <w:rsid w:val="00E8398A"/>
    <w:rsid w:val="00E839C4"/>
    <w:rsid w:val="00E83AA2"/>
    <w:rsid w:val="00E83B46"/>
    <w:rsid w:val="00E83F2C"/>
    <w:rsid w:val="00E840C8"/>
    <w:rsid w:val="00E8419E"/>
    <w:rsid w:val="00E841F1"/>
    <w:rsid w:val="00E84587"/>
    <w:rsid w:val="00E84A04"/>
    <w:rsid w:val="00E84B5C"/>
    <w:rsid w:val="00E84C3C"/>
    <w:rsid w:val="00E84E89"/>
    <w:rsid w:val="00E8506B"/>
    <w:rsid w:val="00E852BB"/>
    <w:rsid w:val="00E852E9"/>
    <w:rsid w:val="00E854F5"/>
    <w:rsid w:val="00E8550B"/>
    <w:rsid w:val="00E858B0"/>
    <w:rsid w:val="00E859F5"/>
    <w:rsid w:val="00E85A9D"/>
    <w:rsid w:val="00E861B7"/>
    <w:rsid w:val="00E862FA"/>
    <w:rsid w:val="00E86376"/>
    <w:rsid w:val="00E8657B"/>
    <w:rsid w:val="00E867C0"/>
    <w:rsid w:val="00E86A2D"/>
    <w:rsid w:val="00E86A42"/>
    <w:rsid w:val="00E86CF1"/>
    <w:rsid w:val="00E86D0C"/>
    <w:rsid w:val="00E8705F"/>
    <w:rsid w:val="00E8712A"/>
    <w:rsid w:val="00E87407"/>
    <w:rsid w:val="00E876AC"/>
    <w:rsid w:val="00E87E6E"/>
    <w:rsid w:val="00E90026"/>
    <w:rsid w:val="00E900C2"/>
    <w:rsid w:val="00E90149"/>
    <w:rsid w:val="00E90448"/>
    <w:rsid w:val="00E90BB1"/>
    <w:rsid w:val="00E90D94"/>
    <w:rsid w:val="00E90E29"/>
    <w:rsid w:val="00E912A5"/>
    <w:rsid w:val="00E915E5"/>
    <w:rsid w:val="00E9182C"/>
    <w:rsid w:val="00E91A52"/>
    <w:rsid w:val="00E91AB1"/>
    <w:rsid w:val="00E91E42"/>
    <w:rsid w:val="00E91E4F"/>
    <w:rsid w:val="00E92543"/>
    <w:rsid w:val="00E925F2"/>
    <w:rsid w:val="00E92690"/>
    <w:rsid w:val="00E92692"/>
    <w:rsid w:val="00E926C8"/>
    <w:rsid w:val="00E92738"/>
    <w:rsid w:val="00E92B1E"/>
    <w:rsid w:val="00E92B48"/>
    <w:rsid w:val="00E92FF0"/>
    <w:rsid w:val="00E9341C"/>
    <w:rsid w:val="00E9348E"/>
    <w:rsid w:val="00E9389F"/>
    <w:rsid w:val="00E93D6F"/>
    <w:rsid w:val="00E93EDD"/>
    <w:rsid w:val="00E93FFB"/>
    <w:rsid w:val="00E94209"/>
    <w:rsid w:val="00E94763"/>
    <w:rsid w:val="00E947F2"/>
    <w:rsid w:val="00E9490E"/>
    <w:rsid w:val="00E94A1C"/>
    <w:rsid w:val="00E94C3E"/>
    <w:rsid w:val="00E94E04"/>
    <w:rsid w:val="00E94ECE"/>
    <w:rsid w:val="00E9516B"/>
    <w:rsid w:val="00E951B3"/>
    <w:rsid w:val="00E958D3"/>
    <w:rsid w:val="00E95B58"/>
    <w:rsid w:val="00E95FED"/>
    <w:rsid w:val="00E96062"/>
    <w:rsid w:val="00E964EE"/>
    <w:rsid w:val="00E968FF"/>
    <w:rsid w:val="00E97296"/>
    <w:rsid w:val="00EA059F"/>
    <w:rsid w:val="00EA08F7"/>
    <w:rsid w:val="00EA0B62"/>
    <w:rsid w:val="00EA0B77"/>
    <w:rsid w:val="00EA0E7B"/>
    <w:rsid w:val="00EA1ABA"/>
    <w:rsid w:val="00EA1C03"/>
    <w:rsid w:val="00EA1CBA"/>
    <w:rsid w:val="00EA1CD8"/>
    <w:rsid w:val="00EA2326"/>
    <w:rsid w:val="00EA2389"/>
    <w:rsid w:val="00EA2819"/>
    <w:rsid w:val="00EA333A"/>
    <w:rsid w:val="00EA3484"/>
    <w:rsid w:val="00EA372E"/>
    <w:rsid w:val="00EA39AC"/>
    <w:rsid w:val="00EA3BF3"/>
    <w:rsid w:val="00EA3E08"/>
    <w:rsid w:val="00EA4238"/>
    <w:rsid w:val="00EA44EC"/>
    <w:rsid w:val="00EA4676"/>
    <w:rsid w:val="00EA4714"/>
    <w:rsid w:val="00EA50F2"/>
    <w:rsid w:val="00EA520C"/>
    <w:rsid w:val="00EA52CF"/>
    <w:rsid w:val="00EA52F5"/>
    <w:rsid w:val="00EA5AF2"/>
    <w:rsid w:val="00EA63E9"/>
    <w:rsid w:val="00EA68AB"/>
    <w:rsid w:val="00EA72E3"/>
    <w:rsid w:val="00EA7B18"/>
    <w:rsid w:val="00EA7E16"/>
    <w:rsid w:val="00EB0094"/>
    <w:rsid w:val="00EB09AD"/>
    <w:rsid w:val="00EB0DB3"/>
    <w:rsid w:val="00EB1213"/>
    <w:rsid w:val="00EB152A"/>
    <w:rsid w:val="00EB1A42"/>
    <w:rsid w:val="00EB1A67"/>
    <w:rsid w:val="00EB1C60"/>
    <w:rsid w:val="00EB1D37"/>
    <w:rsid w:val="00EB1EB2"/>
    <w:rsid w:val="00EB2482"/>
    <w:rsid w:val="00EB27EF"/>
    <w:rsid w:val="00EB2BC9"/>
    <w:rsid w:val="00EB34F3"/>
    <w:rsid w:val="00EB3512"/>
    <w:rsid w:val="00EB357F"/>
    <w:rsid w:val="00EB3663"/>
    <w:rsid w:val="00EB39B6"/>
    <w:rsid w:val="00EB3A6B"/>
    <w:rsid w:val="00EB3A76"/>
    <w:rsid w:val="00EB3BCF"/>
    <w:rsid w:val="00EB3C94"/>
    <w:rsid w:val="00EB4536"/>
    <w:rsid w:val="00EB4647"/>
    <w:rsid w:val="00EB4726"/>
    <w:rsid w:val="00EB4991"/>
    <w:rsid w:val="00EB4A7B"/>
    <w:rsid w:val="00EB4CF7"/>
    <w:rsid w:val="00EB5A07"/>
    <w:rsid w:val="00EB5A72"/>
    <w:rsid w:val="00EB5D41"/>
    <w:rsid w:val="00EB5FAB"/>
    <w:rsid w:val="00EB61AD"/>
    <w:rsid w:val="00EB6648"/>
    <w:rsid w:val="00EB6952"/>
    <w:rsid w:val="00EB6A00"/>
    <w:rsid w:val="00EB6C73"/>
    <w:rsid w:val="00EB6E26"/>
    <w:rsid w:val="00EB7428"/>
    <w:rsid w:val="00EB7E07"/>
    <w:rsid w:val="00EC03A0"/>
    <w:rsid w:val="00EC0410"/>
    <w:rsid w:val="00EC04FC"/>
    <w:rsid w:val="00EC09DB"/>
    <w:rsid w:val="00EC0CDC"/>
    <w:rsid w:val="00EC0D36"/>
    <w:rsid w:val="00EC0DAD"/>
    <w:rsid w:val="00EC0E13"/>
    <w:rsid w:val="00EC19A8"/>
    <w:rsid w:val="00EC19F2"/>
    <w:rsid w:val="00EC2240"/>
    <w:rsid w:val="00EC27F9"/>
    <w:rsid w:val="00EC2FA7"/>
    <w:rsid w:val="00EC33B3"/>
    <w:rsid w:val="00EC3B27"/>
    <w:rsid w:val="00EC3F66"/>
    <w:rsid w:val="00EC44C7"/>
    <w:rsid w:val="00EC49BB"/>
    <w:rsid w:val="00EC50EA"/>
    <w:rsid w:val="00EC5133"/>
    <w:rsid w:val="00EC5147"/>
    <w:rsid w:val="00EC5162"/>
    <w:rsid w:val="00EC5503"/>
    <w:rsid w:val="00EC56B4"/>
    <w:rsid w:val="00EC56CA"/>
    <w:rsid w:val="00EC5ACD"/>
    <w:rsid w:val="00EC6616"/>
    <w:rsid w:val="00EC661E"/>
    <w:rsid w:val="00EC66DE"/>
    <w:rsid w:val="00EC6756"/>
    <w:rsid w:val="00EC6E51"/>
    <w:rsid w:val="00EC7E30"/>
    <w:rsid w:val="00EC7E8B"/>
    <w:rsid w:val="00ED03EA"/>
    <w:rsid w:val="00ED0FAA"/>
    <w:rsid w:val="00ED112E"/>
    <w:rsid w:val="00ED1250"/>
    <w:rsid w:val="00ED12AB"/>
    <w:rsid w:val="00ED1711"/>
    <w:rsid w:val="00ED1E7B"/>
    <w:rsid w:val="00ED1F2C"/>
    <w:rsid w:val="00ED2676"/>
    <w:rsid w:val="00ED2981"/>
    <w:rsid w:val="00ED2BAD"/>
    <w:rsid w:val="00ED2D18"/>
    <w:rsid w:val="00ED2F71"/>
    <w:rsid w:val="00ED344C"/>
    <w:rsid w:val="00ED347F"/>
    <w:rsid w:val="00ED3898"/>
    <w:rsid w:val="00ED3DAA"/>
    <w:rsid w:val="00ED400B"/>
    <w:rsid w:val="00ED43AD"/>
    <w:rsid w:val="00ED441C"/>
    <w:rsid w:val="00ED4BF8"/>
    <w:rsid w:val="00ED4FDF"/>
    <w:rsid w:val="00ED4FE0"/>
    <w:rsid w:val="00ED5068"/>
    <w:rsid w:val="00ED50CC"/>
    <w:rsid w:val="00ED520F"/>
    <w:rsid w:val="00ED5BCE"/>
    <w:rsid w:val="00ED5E4A"/>
    <w:rsid w:val="00ED62A0"/>
    <w:rsid w:val="00ED68FB"/>
    <w:rsid w:val="00ED6CD8"/>
    <w:rsid w:val="00ED70A6"/>
    <w:rsid w:val="00ED7311"/>
    <w:rsid w:val="00ED7A72"/>
    <w:rsid w:val="00ED7F4F"/>
    <w:rsid w:val="00EE0045"/>
    <w:rsid w:val="00EE0622"/>
    <w:rsid w:val="00EE0709"/>
    <w:rsid w:val="00EE0844"/>
    <w:rsid w:val="00EE0EAD"/>
    <w:rsid w:val="00EE10C5"/>
    <w:rsid w:val="00EE1427"/>
    <w:rsid w:val="00EE1AAE"/>
    <w:rsid w:val="00EE1F94"/>
    <w:rsid w:val="00EE27DB"/>
    <w:rsid w:val="00EE28C5"/>
    <w:rsid w:val="00EE2BA0"/>
    <w:rsid w:val="00EE304C"/>
    <w:rsid w:val="00EE30CC"/>
    <w:rsid w:val="00EE323C"/>
    <w:rsid w:val="00EE35DF"/>
    <w:rsid w:val="00EE3819"/>
    <w:rsid w:val="00EE3BBE"/>
    <w:rsid w:val="00EE3E2E"/>
    <w:rsid w:val="00EE3F6B"/>
    <w:rsid w:val="00EE4048"/>
    <w:rsid w:val="00EE4BA0"/>
    <w:rsid w:val="00EE4D6D"/>
    <w:rsid w:val="00EE515E"/>
    <w:rsid w:val="00EE5654"/>
    <w:rsid w:val="00EE58EA"/>
    <w:rsid w:val="00EE5951"/>
    <w:rsid w:val="00EE60A5"/>
    <w:rsid w:val="00EE6499"/>
    <w:rsid w:val="00EE655F"/>
    <w:rsid w:val="00EE6624"/>
    <w:rsid w:val="00EE66C3"/>
    <w:rsid w:val="00EE67E9"/>
    <w:rsid w:val="00EE6890"/>
    <w:rsid w:val="00EE6C1F"/>
    <w:rsid w:val="00EE6DDC"/>
    <w:rsid w:val="00EE72C0"/>
    <w:rsid w:val="00EE7D34"/>
    <w:rsid w:val="00EF004B"/>
    <w:rsid w:val="00EF0221"/>
    <w:rsid w:val="00EF028E"/>
    <w:rsid w:val="00EF0644"/>
    <w:rsid w:val="00EF06A8"/>
    <w:rsid w:val="00EF0736"/>
    <w:rsid w:val="00EF0C04"/>
    <w:rsid w:val="00EF0C0A"/>
    <w:rsid w:val="00EF0C66"/>
    <w:rsid w:val="00EF0D9B"/>
    <w:rsid w:val="00EF135F"/>
    <w:rsid w:val="00EF1841"/>
    <w:rsid w:val="00EF1857"/>
    <w:rsid w:val="00EF1925"/>
    <w:rsid w:val="00EF19BD"/>
    <w:rsid w:val="00EF1F9E"/>
    <w:rsid w:val="00EF260F"/>
    <w:rsid w:val="00EF2755"/>
    <w:rsid w:val="00EF3B99"/>
    <w:rsid w:val="00EF3CC7"/>
    <w:rsid w:val="00EF450C"/>
    <w:rsid w:val="00EF471C"/>
    <w:rsid w:val="00EF48AB"/>
    <w:rsid w:val="00EF4A12"/>
    <w:rsid w:val="00EF4E61"/>
    <w:rsid w:val="00EF5253"/>
    <w:rsid w:val="00EF5A06"/>
    <w:rsid w:val="00EF5B8A"/>
    <w:rsid w:val="00EF6580"/>
    <w:rsid w:val="00EF6F11"/>
    <w:rsid w:val="00EF729E"/>
    <w:rsid w:val="00EF7479"/>
    <w:rsid w:val="00EF75DE"/>
    <w:rsid w:val="00EF7935"/>
    <w:rsid w:val="00EF7C3B"/>
    <w:rsid w:val="00F00006"/>
    <w:rsid w:val="00F0004C"/>
    <w:rsid w:val="00F00079"/>
    <w:rsid w:val="00F00162"/>
    <w:rsid w:val="00F001EB"/>
    <w:rsid w:val="00F00CE2"/>
    <w:rsid w:val="00F00D66"/>
    <w:rsid w:val="00F00F05"/>
    <w:rsid w:val="00F00F73"/>
    <w:rsid w:val="00F00F80"/>
    <w:rsid w:val="00F01084"/>
    <w:rsid w:val="00F01240"/>
    <w:rsid w:val="00F0195C"/>
    <w:rsid w:val="00F01E01"/>
    <w:rsid w:val="00F0249E"/>
    <w:rsid w:val="00F02703"/>
    <w:rsid w:val="00F02B0C"/>
    <w:rsid w:val="00F02BEA"/>
    <w:rsid w:val="00F034F3"/>
    <w:rsid w:val="00F0357D"/>
    <w:rsid w:val="00F03C23"/>
    <w:rsid w:val="00F03DEF"/>
    <w:rsid w:val="00F04037"/>
    <w:rsid w:val="00F0478F"/>
    <w:rsid w:val="00F049FC"/>
    <w:rsid w:val="00F051B7"/>
    <w:rsid w:val="00F052C3"/>
    <w:rsid w:val="00F05525"/>
    <w:rsid w:val="00F0559C"/>
    <w:rsid w:val="00F05805"/>
    <w:rsid w:val="00F05AAF"/>
    <w:rsid w:val="00F05EA7"/>
    <w:rsid w:val="00F06005"/>
    <w:rsid w:val="00F068CB"/>
    <w:rsid w:val="00F06C9F"/>
    <w:rsid w:val="00F070E9"/>
    <w:rsid w:val="00F07820"/>
    <w:rsid w:val="00F07AF0"/>
    <w:rsid w:val="00F07D02"/>
    <w:rsid w:val="00F07E71"/>
    <w:rsid w:val="00F07EFE"/>
    <w:rsid w:val="00F10096"/>
    <w:rsid w:val="00F100CE"/>
    <w:rsid w:val="00F10726"/>
    <w:rsid w:val="00F1095A"/>
    <w:rsid w:val="00F10AFF"/>
    <w:rsid w:val="00F10BE6"/>
    <w:rsid w:val="00F10CAB"/>
    <w:rsid w:val="00F10D55"/>
    <w:rsid w:val="00F112B3"/>
    <w:rsid w:val="00F11BAE"/>
    <w:rsid w:val="00F11FF0"/>
    <w:rsid w:val="00F1250F"/>
    <w:rsid w:val="00F126AE"/>
    <w:rsid w:val="00F1270D"/>
    <w:rsid w:val="00F12C4D"/>
    <w:rsid w:val="00F12D0B"/>
    <w:rsid w:val="00F12D5E"/>
    <w:rsid w:val="00F12EC7"/>
    <w:rsid w:val="00F1374B"/>
    <w:rsid w:val="00F13817"/>
    <w:rsid w:val="00F1424D"/>
    <w:rsid w:val="00F148E9"/>
    <w:rsid w:val="00F149FF"/>
    <w:rsid w:val="00F14A42"/>
    <w:rsid w:val="00F15245"/>
    <w:rsid w:val="00F155F0"/>
    <w:rsid w:val="00F157AE"/>
    <w:rsid w:val="00F15A53"/>
    <w:rsid w:val="00F15C3A"/>
    <w:rsid w:val="00F15D27"/>
    <w:rsid w:val="00F16425"/>
    <w:rsid w:val="00F169EC"/>
    <w:rsid w:val="00F16AE8"/>
    <w:rsid w:val="00F16C6E"/>
    <w:rsid w:val="00F17698"/>
    <w:rsid w:val="00F17718"/>
    <w:rsid w:val="00F1777C"/>
    <w:rsid w:val="00F17965"/>
    <w:rsid w:val="00F17BD8"/>
    <w:rsid w:val="00F17D54"/>
    <w:rsid w:val="00F201A2"/>
    <w:rsid w:val="00F20230"/>
    <w:rsid w:val="00F2089A"/>
    <w:rsid w:val="00F20B79"/>
    <w:rsid w:val="00F21239"/>
    <w:rsid w:val="00F2123A"/>
    <w:rsid w:val="00F215FB"/>
    <w:rsid w:val="00F21619"/>
    <w:rsid w:val="00F21D79"/>
    <w:rsid w:val="00F21F98"/>
    <w:rsid w:val="00F223C1"/>
    <w:rsid w:val="00F22B11"/>
    <w:rsid w:val="00F22FAB"/>
    <w:rsid w:val="00F23149"/>
    <w:rsid w:val="00F231BF"/>
    <w:rsid w:val="00F23253"/>
    <w:rsid w:val="00F235C3"/>
    <w:rsid w:val="00F2379C"/>
    <w:rsid w:val="00F23B43"/>
    <w:rsid w:val="00F23B6D"/>
    <w:rsid w:val="00F23E86"/>
    <w:rsid w:val="00F243FD"/>
    <w:rsid w:val="00F246EC"/>
    <w:rsid w:val="00F24992"/>
    <w:rsid w:val="00F24D27"/>
    <w:rsid w:val="00F24DB8"/>
    <w:rsid w:val="00F24F52"/>
    <w:rsid w:val="00F253CD"/>
    <w:rsid w:val="00F25569"/>
    <w:rsid w:val="00F25B66"/>
    <w:rsid w:val="00F25BD5"/>
    <w:rsid w:val="00F25D6F"/>
    <w:rsid w:val="00F26121"/>
    <w:rsid w:val="00F2666A"/>
    <w:rsid w:val="00F2697E"/>
    <w:rsid w:val="00F26C47"/>
    <w:rsid w:val="00F26F1C"/>
    <w:rsid w:val="00F27583"/>
    <w:rsid w:val="00F278B7"/>
    <w:rsid w:val="00F30988"/>
    <w:rsid w:val="00F30BF1"/>
    <w:rsid w:val="00F31136"/>
    <w:rsid w:val="00F3188C"/>
    <w:rsid w:val="00F31F4C"/>
    <w:rsid w:val="00F32138"/>
    <w:rsid w:val="00F3226D"/>
    <w:rsid w:val="00F3251D"/>
    <w:rsid w:val="00F32807"/>
    <w:rsid w:val="00F3287D"/>
    <w:rsid w:val="00F32A11"/>
    <w:rsid w:val="00F32AC0"/>
    <w:rsid w:val="00F32EDD"/>
    <w:rsid w:val="00F33A0B"/>
    <w:rsid w:val="00F33BD3"/>
    <w:rsid w:val="00F342FD"/>
    <w:rsid w:val="00F34432"/>
    <w:rsid w:val="00F34642"/>
    <w:rsid w:val="00F34C00"/>
    <w:rsid w:val="00F34E40"/>
    <w:rsid w:val="00F34F7F"/>
    <w:rsid w:val="00F358CE"/>
    <w:rsid w:val="00F359BE"/>
    <w:rsid w:val="00F35F23"/>
    <w:rsid w:val="00F35F63"/>
    <w:rsid w:val="00F368F7"/>
    <w:rsid w:val="00F36E63"/>
    <w:rsid w:val="00F36EE6"/>
    <w:rsid w:val="00F37261"/>
    <w:rsid w:val="00F374BF"/>
    <w:rsid w:val="00F378BE"/>
    <w:rsid w:val="00F401AF"/>
    <w:rsid w:val="00F4028F"/>
    <w:rsid w:val="00F40723"/>
    <w:rsid w:val="00F40FD6"/>
    <w:rsid w:val="00F41520"/>
    <w:rsid w:val="00F41944"/>
    <w:rsid w:val="00F41D42"/>
    <w:rsid w:val="00F42074"/>
    <w:rsid w:val="00F421BE"/>
    <w:rsid w:val="00F428D0"/>
    <w:rsid w:val="00F430EB"/>
    <w:rsid w:val="00F43144"/>
    <w:rsid w:val="00F43147"/>
    <w:rsid w:val="00F4315C"/>
    <w:rsid w:val="00F4335E"/>
    <w:rsid w:val="00F433AE"/>
    <w:rsid w:val="00F43761"/>
    <w:rsid w:val="00F43789"/>
    <w:rsid w:val="00F437B8"/>
    <w:rsid w:val="00F437CF"/>
    <w:rsid w:val="00F43875"/>
    <w:rsid w:val="00F43BB6"/>
    <w:rsid w:val="00F43EF5"/>
    <w:rsid w:val="00F443B8"/>
    <w:rsid w:val="00F44759"/>
    <w:rsid w:val="00F44C08"/>
    <w:rsid w:val="00F44C7C"/>
    <w:rsid w:val="00F44CC9"/>
    <w:rsid w:val="00F44E8C"/>
    <w:rsid w:val="00F4597A"/>
    <w:rsid w:val="00F45B8F"/>
    <w:rsid w:val="00F45D77"/>
    <w:rsid w:val="00F463E2"/>
    <w:rsid w:val="00F465D2"/>
    <w:rsid w:val="00F46CD9"/>
    <w:rsid w:val="00F47041"/>
    <w:rsid w:val="00F47062"/>
    <w:rsid w:val="00F4709D"/>
    <w:rsid w:val="00F47442"/>
    <w:rsid w:val="00F4769A"/>
    <w:rsid w:val="00F478F4"/>
    <w:rsid w:val="00F47AF7"/>
    <w:rsid w:val="00F47B70"/>
    <w:rsid w:val="00F503AF"/>
    <w:rsid w:val="00F5043B"/>
    <w:rsid w:val="00F506C8"/>
    <w:rsid w:val="00F50AC4"/>
    <w:rsid w:val="00F50B07"/>
    <w:rsid w:val="00F50DD4"/>
    <w:rsid w:val="00F514DE"/>
    <w:rsid w:val="00F5150E"/>
    <w:rsid w:val="00F5199F"/>
    <w:rsid w:val="00F51C87"/>
    <w:rsid w:val="00F52A5A"/>
    <w:rsid w:val="00F52AB8"/>
    <w:rsid w:val="00F52CC3"/>
    <w:rsid w:val="00F52D12"/>
    <w:rsid w:val="00F52D65"/>
    <w:rsid w:val="00F53014"/>
    <w:rsid w:val="00F530A3"/>
    <w:rsid w:val="00F53399"/>
    <w:rsid w:val="00F53489"/>
    <w:rsid w:val="00F539D0"/>
    <w:rsid w:val="00F53B89"/>
    <w:rsid w:val="00F54059"/>
    <w:rsid w:val="00F54128"/>
    <w:rsid w:val="00F549EB"/>
    <w:rsid w:val="00F54CB9"/>
    <w:rsid w:val="00F54FD6"/>
    <w:rsid w:val="00F555B1"/>
    <w:rsid w:val="00F557B5"/>
    <w:rsid w:val="00F55AC7"/>
    <w:rsid w:val="00F55E43"/>
    <w:rsid w:val="00F561A8"/>
    <w:rsid w:val="00F5641F"/>
    <w:rsid w:val="00F565C3"/>
    <w:rsid w:val="00F56709"/>
    <w:rsid w:val="00F56ADC"/>
    <w:rsid w:val="00F56D5E"/>
    <w:rsid w:val="00F56D65"/>
    <w:rsid w:val="00F56DB1"/>
    <w:rsid w:val="00F56DD0"/>
    <w:rsid w:val="00F56F01"/>
    <w:rsid w:val="00F57141"/>
    <w:rsid w:val="00F5781A"/>
    <w:rsid w:val="00F60457"/>
    <w:rsid w:val="00F607D2"/>
    <w:rsid w:val="00F60B20"/>
    <w:rsid w:val="00F60BF6"/>
    <w:rsid w:val="00F61127"/>
    <w:rsid w:val="00F61370"/>
    <w:rsid w:val="00F618AF"/>
    <w:rsid w:val="00F61B93"/>
    <w:rsid w:val="00F61EEB"/>
    <w:rsid w:val="00F624A7"/>
    <w:rsid w:val="00F62A2F"/>
    <w:rsid w:val="00F639C2"/>
    <w:rsid w:val="00F63ADC"/>
    <w:rsid w:val="00F63DF6"/>
    <w:rsid w:val="00F63E78"/>
    <w:rsid w:val="00F63EBB"/>
    <w:rsid w:val="00F63EF2"/>
    <w:rsid w:val="00F63F7E"/>
    <w:rsid w:val="00F63F8D"/>
    <w:rsid w:val="00F64306"/>
    <w:rsid w:val="00F64401"/>
    <w:rsid w:val="00F6441B"/>
    <w:rsid w:val="00F64534"/>
    <w:rsid w:val="00F64F8D"/>
    <w:rsid w:val="00F650DD"/>
    <w:rsid w:val="00F650E7"/>
    <w:rsid w:val="00F65458"/>
    <w:rsid w:val="00F65888"/>
    <w:rsid w:val="00F65C6D"/>
    <w:rsid w:val="00F65D5F"/>
    <w:rsid w:val="00F65E0B"/>
    <w:rsid w:val="00F660A8"/>
    <w:rsid w:val="00F66487"/>
    <w:rsid w:val="00F66AE9"/>
    <w:rsid w:val="00F67056"/>
    <w:rsid w:val="00F6708D"/>
    <w:rsid w:val="00F679EE"/>
    <w:rsid w:val="00F67AF9"/>
    <w:rsid w:val="00F67D76"/>
    <w:rsid w:val="00F70135"/>
    <w:rsid w:val="00F702E2"/>
    <w:rsid w:val="00F70928"/>
    <w:rsid w:val="00F70995"/>
    <w:rsid w:val="00F709D0"/>
    <w:rsid w:val="00F70AEA"/>
    <w:rsid w:val="00F70C89"/>
    <w:rsid w:val="00F7118D"/>
    <w:rsid w:val="00F712AF"/>
    <w:rsid w:val="00F71309"/>
    <w:rsid w:val="00F714E3"/>
    <w:rsid w:val="00F71779"/>
    <w:rsid w:val="00F7183B"/>
    <w:rsid w:val="00F71BF3"/>
    <w:rsid w:val="00F72155"/>
    <w:rsid w:val="00F728D6"/>
    <w:rsid w:val="00F72965"/>
    <w:rsid w:val="00F729E9"/>
    <w:rsid w:val="00F72C3F"/>
    <w:rsid w:val="00F73001"/>
    <w:rsid w:val="00F7305A"/>
    <w:rsid w:val="00F73095"/>
    <w:rsid w:val="00F73144"/>
    <w:rsid w:val="00F7329A"/>
    <w:rsid w:val="00F73844"/>
    <w:rsid w:val="00F73C13"/>
    <w:rsid w:val="00F745C5"/>
    <w:rsid w:val="00F745F2"/>
    <w:rsid w:val="00F74E74"/>
    <w:rsid w:val="00F74F6A"/>
    <w:rsid w:val="00F7564C"/>
    <w:rsid w:val="00F75C93"/>
    <w:rsid w:val="00F76433"/>
    <w:rsid w:val="00F769D9"/>
    <w:rsid w:val="00F76A41"/>
    <w:rsid w:val="00F770B4"/>
    <w:rsid w:val="00F77341"/>
    <w:rsid w:val="00F77567"/>
    <w:rsid w:val="00F777F6"/>
    <w:rsid w:val="00F80120"/>
    <w:rsid w:val="00F80134"/>
    <w:rsid w:val="00F81130"/>
    <w:rsid w:val="00F811C8"/>
    <w:rsid w:val="00F812DC"/>
    <w:rsid w:val="00F81483"/>
    <w:rsid w:val="00F815B1"/>
    <w:rsid w:val="00F81685"/>
    <w:rsid w:val="00F817EC"/>
    <w:rsid w:val="00F81FF8"/>
    <w:rsid w:val="00F829CF"/>
    <w:rsid w:val="00F82ACA"/>
    <w:rsid w:val="00F836A3"/>
    <w:rsid w:val="00F83878"/>
    <w:rsid w:val="00F84683"/>
    <w:rsid w:val="00F8478D"/>
    <w:rsid w:val="00F84B40"/>
    <w:rsid w:val="00F84BA0"/>
    <w:rsid w:val="00F84F97"/>
    <w:rsid w:val="00F85152"/>
    <w:rsid w:val="00F858FC"/>
    <w:rsid w:val="00F85B52"/>
    <w:rsid w:val="00F85E5B"/>
    <w:rsid w:val="00F865E4"/>
    <w:rsid w:val="00F86A70"/>
    <w:rsid w:val="00F87C9E"/>
    <w:rsid w:val="00F87D8A"/>
    <w:rsid w:val="00F9036F"/>
    <w:rsid w:val="00F90C41"/>
    <w:rsid w:val="00F90EB1"/>
    <w:rsid w:val="00F91236"/>
    <w:rsid w:val="00F91351"/>
    <w:rsid w:val="00F91453"/>
    <w:rsid w:val="00F9187A"/>
    <w:rsid w:val="00F92129"/>
    <w:rsid w:val="00F9212D"/>
    <w:rsid w:val="00F923DF"/>
    <w:rsid w:val="00F9360E"/>
    <w:rsid w:val="00F9370F"/>
    <w:rsid w:val="00F93C5D"/>
    <w:rsid w:val="00F93EA9"/>
    <w:rsid w:val="00F93FAE"/>
    <w:rsid w:val="00F941E1"/>
    <w:rsid w:val="00F9432B"/>
    <w:rsid w:val="00F94B1E"/>
    <w:rsid w:val="00F94BB1"/>
    <w:rsid w:val="00F9516C"/>
    <w:rsid w:val="00F95FC9"/>
    <w:rsid w:val="00F96047"/>
    <w:rsid w:val="00F964F3"/>
    <w:rsid w:val="00F967D9"/>
    <w:rsid w:val="00F96BB1"/>
    <w:rsid w:val="00F97675"/>
    <w:rsid w:val="00F97E93"/>
    <w:rsid w:val="00FA0168"/>
    <w:rsid w:val="00FA1087"/>
    <w:rsid w:val="00FA11B4"/>
    <w:rsid w:val="00FA1295"/>
    <w:rsid w:val="00FA14A2"/>
    <w:rsid w:val="00FA163A"/>
    <w:rsid w:val="00FA1E88"/>
    <w:rsid w:val="00FA1F61"/>
    <w:rsid w:val="00FA282C"/>
    <w:rsid w:val="00FA2AAE"/>
    <w:rsid w:val="00FA2BEE"/>
    <w:rsid w:val="00FA3186"/>
    <w:rsid w:val="00FA353D"/>
    <w:rsid w:val="00FA3598"/>
    <w:rsid w:val="00FA40D4"/>
    <w:rsid w:val="00FA43D0"/>
    <w:rsid w:val="00FA43E8"/>
    <w:rsid w:val="00FA4508"/>
    <w:rsid w:val="00FA45CC"/>
    <w:rsid w:val="00FA492F"/>
    <w:rsid w:val="00FA4942"/>
    <w:rsid w:val="00FA59B1"/>
    <w:rsid w:val="00FA5AD7"/>
    <w:rsid w:val="00FA5F8C"/>
    <w:rsid w:val="00FA620E"/>
    <w:rsid w:val="00FA661E"/>
    <w:rsid w:val="00FA694C"/>
    <w:rsid w:val="00FA69C2"/>
    <w:rsid w:val="00FA6A4B"/>
    <w:rsid w:val="00FA6BB3"/>
    <w:rsid w:val="00FA6DA8"/>
    <w:rsid w:val="00FA6DF1"/>
    <w:rsid w:val="00FA6F55"/>
    <w:rsid w:val="00FA7081"/>
    <w:rsid w:val="00FA70FC"/>
    <w:rsid w:val="00FA7A58"/>
    <w:rsid w:val="00FA7BEB"/>
    <w:rsid w:val="00FA7C43"/>
    <w:rsid w:val="00FB0175"/>
    <w:rsid w:val="00FB0BF5"/>
    <w:rsid w:val="00FB0D79"/>
    <w:rsid w:val="00FB0F19"/>
    <w:rsid w:val="00FB1156"/>
    <w:rsid w:val="00FB16C9"/>
    <w:rsid w:val="00FB1843"/>
    <w:rsid w:val="00FB1880"/>
    <w:rsid w:val="00FB1A7C"/>
    <w:rsid w:val="00FB1B98"/>
    <w:rsid w:val="00FB1BAE"/>
    <w:rsid w:val="00FB2041"/>
    <w:rsid w:val="00FB2045"/>
    <w:rsid w:val="00FB21B9"/>
    <w:rsid w:val="00FB2364"/>
    <w:rsid w:val="00FB2583"/>
    <w:rsid w:val="00FB26C3"/>
    <w:rsid w:val="00FB2B0E"/>
    <w:rsid w:val="00FB2BD9"/>
    <w:rsid w:val="00FB2DDB"/>
    <w:rsid w:val="00FB2F3B"/>
    <w:rsid w:val="00FB30DA"/>
    <w:rsid w:val="00FB31B2"/>
    <w:rsid w:val="00FB32B7"/>
    <w:rsid w:val="00FB332B"/>
    <w:rsid w:val="00FB3366"/>
    <w:rsid w:val="00FB36CC"/>
    <w:rsid w:val="00FB36FF"/>
    <w:rsid w:val="00FB380A"/>
    <w:rsid w:val="00FB3AD8"/>
    <w:rsid w:val="00FB409F"/>
    <w:rsid w:val="00FB4234"/>
    <w:rsid w:val="00FB437D"/>
    <w:rsid w:val="00FB46B6"/>
    <w:rsid w:val="00FB4721"/>
    <w:rsid w:val="00FB48D0"/>
    <w:rsid w:val="00FB49A9"/>
    <w:rsid w:val="00FB4B04"/>
    <w:rsid w:val="00FB4D22"/>
    <w:rsid w:val="00FB4DA8"/>
    <w:rsid w:val="00FB5045"/>
    <w:rsid w:val="00FB5546"/>
    <w:rsid w:val="00FB5605"/>
    <w:rsid w:val="00FB569C"/>
    <w:rsid w:val="00FB5714"/>
    <w:rsid w:val="00FB57D4"/>
    <w:rsid w:val="00FB58B2"/>
    <w:rsid w:val="00FB5C6D"/>
    <w:rsid w:val="00FB5E93"/>
    <w:rsid w:val="00FB6225"/>
    <w:rsid w:val="00FB660B"/>
    <w:rsid w:val="00FB6C0E"/>
    <w:rsid w:val="00FB739D"/>
    <w:rsid w:val="00FB7405"/>
    <w:rsid w:val="00FB784D"/>
    <w:rsid w:val="00FB7EA4"/>
    <w:rsid w:val="00FC02F4"/>
    <w:rsid w:val="00FC0365"/>
    <w:rsid w:val="00FC04F7"/>
    <w:rsid w:val="00FC05D8"/>
    <w:rsid w:val="00FC095E"/>
    <w:rsid w:val="00FC0A6E"/>
    <w:rsid w:val="00FC0EF3"/>
    <w:rsid w:val="00FC151B"/>
    <w:rsid w:val="00FC1641"/>
    <w:rsid w:val="00FC1A8C"/>
    <w:rsid w:val="00FC1CC1"/>
    <w:rsid w:val="00FC2313"/>
    <w:rsid w:val="00FC23BE"/>
    <w:rsid w:val="00FC28CB"/>
    <w:rsid w:val="00FC2CAB"/>
    <w:rsid w:val="00FC374E"/>
    <w:rsid w:val="00FC3AC9"/>
    <w:rsid w:val="00FC43D0"/>
    <w:rsid w:val="00FC4A74"/>
    <w:rsid w:val="00FC50C9"/>
    <w:rsid w:val="00FC5140"/>
    <w:rsid w:val="00FC51B8"/>
    <w:rsid w:val="00FC5436"/>
    <w:rsid w:val="00FC55F6"/>
    <w:rsid w:val="00FC5C55"/>
    <w:rsid w:val="00FC5CC8"/>
    <w:rsid w:val="00FC6556"/>
    <w:rsid w:val="00FC6839"/>
    <w:rsid w:val="00FC6E33"/>
    <w:rsid w:val="00FC6E58"/>
    <w:rsid w:val="00FC6F63"/>
    <w:rsid w:val="00FC707D"/>
    <w:rsid w:val="00FC7143"/>
    <w:rsid w:val="00FC7474"/>
    <w:rsid w:val="00FC75EA"/>
    <w:rsid w:val="00FC7717"/>
    <w:rsid w:val="00FC7A11"/>
    <w:rsid w:val="00FC7D6C"/>
    <w:rsid w:val="00FC7E96"/>
    <w:rsid w:val="00FD00FA"/>
    <w:rsid w:val="00FD08B3"/>
    <w:rsid w:val="00FD0F8E"/>
    <w:rsid w:val="00FD102C"/>
    <w:rsid w:val="00FD1756"/>
    <w:rsid w:val="00FD1FDB"/>
    <w:rsid w:val="00FD29A3"/>
    <w:rsid w:val="00FD2CDE"/>
    <w:rsid w:val="00FD361C"/>
    <w:rsid w:val="00FD36AA"/>
    <w:rsid w:val="00FD407C"/>
    <w:rsid w:val="00FD45C2"/>
    <w:rsid w:val="00FD4984"/>
    <w:rsid w:val="00FD49A7"/>
    <w:rsid w:val="00FD4CB4"/>
    <w:rsid w:val="00FD4DB7"/>
    <w:rsid w:val="00FD4FB0"/>
    <w:rsid w:val="00FD5069"/>
    <w:rsid w:val="00FD523B"/>
    <w:rsid w:val="00FD53B5"/>
    <w:rsid w:val="00FD562B"/>
    <w:rsid w:val="00FD5A3E"/>
    <w:rsid w:val="00FD5E1B"/>
    <w:rsid w:val="00FD5F04"/>
    <w:rsid w:val="00FD62F1"/>
    <w:rsid w:val="00FD6507"/>
    <w:rsid w:val="00FD6AAE"/>
    <w:rsid w:val="00FD6CE2"/>
    <w:rsid w:val="00FD7002"/>
    <w:rsid w:val="00FD701F"/>
    <w:rsid w:val="00FD73C4"/>
    <w:rsid w:val="00FD74ED"/>
    <w:rsid w:val="00FD7A30"/>
    <w:rsid w:val="00FD7F5F"/>
    <w:rsid w:val="00FE002F"/>
    <w:rsid w:val="00FE0152"/>
    <w:rsid w:val="00FE0847"/>
    <w:rsid w:val="00FE0869"/>
    <w:rsid w:val="00FE0A74"/>
    <w:rsid w:val="00FE0C05"/>
    <w:rsid w:val="00FE1169"/>
    <w:rsid w:val="00FE133A"/>
    <w:rsid w:val="00FE1836"/>
    <w:rsid w:val="00FE186E"/>
    <w:rsid w:val="00FE1B0E"/>
    <w:rsid w:val="00FE1D40"/>
    <w:rsid w:val="00FE1F23"/>
    <w:rsid w:val="00FE204E"/>
    <w:rsid w:val="00FE2638"/>
    <w:rsid w:val="00FE272D"/>
    <w:rsid w:val="00FE28E5"/>
    <w:rsid w:val="00FE2B98"/>
    <w:rsid w:val="00FE2D9E"/>
    <w:rsid w:val="00FE3299"/>
    <w:rsid w:val="00FE3306"/>
    <w:rsid w:val="00FE3CF5"/>
    <w:rsid w:val="00FE4045"/>
    <w:rsid w:val="00FE4148"/>
    <w:rsid w:val="00FE4862"/>
    <w:rsid w:val="00FE48DA"/>
    <w:rsid w:val="00FE4EA2"/>
    <w:rsid w:val="00FE551B"/>
    <w:rsid w:val="00FE56C8"/>
    <w:rsid w:val="00FE61A3"/>
    <w:rsid w:val="00FE64EA"/>
    <w:rsid w:val="00FE6645"/>
    <w:rsid w:val="00FE6A3B"/>
    <w:rsid w:val="00FE6B3E"/>
    <w:rsid w:val="00FE6DEB"/>
    <w:rsid w:val="00FE6EB1"/>
    <w:rsid w:val="00FE6F8C"/>
    <w:rsid w:val="00FE721F"/>
    <w:rsid w:val="00FE74EA"/>
    <w:rsid w:val="00FE7817"/>
    <w:rsid w:val="00FE7826"/>
    <w:rsid w:val="00FE7C81"/>
    <w:rsid w:val="00FE7EE0"/>
    <w:rsid w:val="00FF0179"/>
    <w:rsid w:val="00FF0240"/>
    <w:rsid w:val="00FF04D0"/>
    <w:rsid w:val="00FF071B"/>
    <w:rsid w:val="00FF0AEC"/>
    <w:rsid w:val="00FF0CD6"/>
    <w:rsid w:val="00FF0F35"/>
    <w:rsid w:val="00FF1293"/>
    <w:rsid w:val="00FF1493"/>
    <w:rsid w:val="00FF15C6"/>
    <w:rsid w:val="00FF1900"/>
    <w:rsid w:val="00FF19F6"/>
    <w:rsid w:val="00FF281A"/>
    <w:rsid w:val="00FF28E3"/>
    <w:rsid w:val="00FF3358"/>
    <w:rsid w:val="00FF432A"/>
    <w:rsid w:val="00FF4555"/>
    <w:rsid w:val="00FF4664"/>
    <w:rsid w:val="00FF6998"/>
    <w:rsid w:val="00FF6A06"/>
    <w:rsid w:val="00FF6B60"/>
    <w:rsid w:val="00FF7136"/>
    <w:rsid w:val="00FF787C"/>
    <w:rsid w:val="00FF7A7B"/>
    <w:rsid w:val="00FF7F6C"/>
    <w:rsid w:val="012950EB"/>
    <w:rsid w:val="019329D2"/>
    <w:rsid w:val="019D60D1"/>
    <w:rsid w:val="024E5F3B"/>
    <w:rsid w:val="028671AA"/>
    <w:rsid w:val="02A209F3"/>
    <w:rsid w:val="02C4662B"/>
    <w:rsid w:val="02C655B6"/>
    <w:rsid w:val="03004097"/>
    <w:rsid w:val="03664948"/>
    <w:rsid w:val="03E04CC4"/>
    <w:rsid w:val="03F128BE"/>
    <w:rsid w:val="048E29E4"/>
    <w:rsid w:val="04A82091"/>
    <w:rsid w:val="04CA1777"/>
    <w:rsid w:val="04F574FF"/>
    <w:rsid w:val="050E0586"/>
    <w:rsid w:val="05423DD3"/>
    <w:rsid w:val="059B038E"/>
    <w:rsid w:val="05BE6416"/>
    <w:rsid w:val="060D2627"/>
    <w:rsid w:val="067423D3"/>
    <w:rsid w:val="07797BDE"/>
    <w:rsid w:val="07FE2B6F"/>
    <w:rsid w:val="08A96637"/>
    <w:rsid w:val="08C33600"/>
    <w:rsid w:val="08DA60EF"/>
    <w:rsid w:val="08F04D83"/>
    <w:rsid w:val="094D16B8"/>
    <w:rsid w:val="09607537"/>
    <w:rsid w:val="097D3A13"/>
    <w:rsid w:val="0A9F35B3"/>
    <w:rsid w:val="0AAB4AE0"/>
    <w:rsid w:val="0B0214DF"/>
    <w:rsid w:val="0B071D3B"/>
    <w:rsid w:val="0B8069A6"/>
    <w:rsid w:val="0C396DB4"/>
    <w:rsid w:val="0CA009E9"/>
    <w:rsid w:val="0D2F1D01"/>
    <w:rsid w:val="0D3F3A0E"/>
    <w:rsid w:val="0D647197"/>
    <w:rsid w:val="0DA9617E"/>
    <w:rsid w:val="0DAF6990"/>
    <w:rsid w:val="0E811E04"/>
    <w:rsid w:val="0EBB5316"/>
    <w:rsid w:val="0EC95C60"/>
    <w:rsid w:val="0F040A6B"/>
    <w:rsid w:val="0F8362F2"/>
    <w:rsid w:val="0FF50D95"/>
    <w:rsid w:val="10023908"/>
    <w:rsid w:val="100D54B2"/>
    <w:rsid w:val="10BA00E3"/>
    <w:rsid w:val="1182036D"/>
    <w:rsid w:val="12376794"/>
    <w:rsid w:val="12B72298"/>
    <w:rsid w:val="12F509F9"/>
    <w:rsid w:val="132A2348"/>
    <w:rsid w:val="13785584"/>
    <w:rsid w:val="13C30972"/>
    <w:rsid w:val="141A6BD4"/>
    <w:rsid w:val="142E2807"/>
    <w:rsid w:val="1471644E"/>
    <w:rsid w:val="1494463F"/>
    <w:rsid w:val="162C1963"/>
    <w:rsid w:val="16E4636B"/>
    <w:rsid w:val="17552F75"/>
    <w:rsid w:val="1782473A"/>
    <w:rsid w:val="178C2272"/>
    <w:rsid w:val="179130B8"/>
    <w:rsid w:val="17D86F39"/>
    <w:rsid w:val="18166808"/>
    <w:rsid w:val="188E62D5"/>
    <w:rsid w:val="18C179CD"/>
    <w:rsid w:val="19354B65"/>
    <w:rsid w:val="19D45347"/>
    <w:rsid w:val="19E317E6"/>
    <w:rsid w:val="19F6576E"/>
    <w:rsid w:val="1B200AE0"/>
    <w:rsid w:val="1B2674C4"/>
    <w:rsid w:val="1B2B3823"/>
    <w:rsid w:val="1B4D19EC"/>
    <w:rsid w:val="1B624E40"/>
    <w:rsid w:val="1B8D6A0C"/>
    <w:rsid w:val="1C6253C1"/>
    <w:rsid w:val="1C7D17F7"/>
    <w:rsid w:val="1C9378D2"/>
    <w:rsid w:val="1CA94A00"/>
    <w:rsid w:val="1CCF37BC"/>
    <w:rsid w:val="1D1840E6"/>
    <w:rsid w:val="1D6B43AB"/>
    <w:rsid w:val="1DAC0C4B"/>
    <w:rsid w:val="1DEA52D0"/>
    <w:rsid w:val="1E0A7720"/>
    <w:rsid w:val="1E0D2E31"/>
    <w:rsid w:val="1E4A5D6E"/>
    <w:rsid w:val="1EAF2234"/>
    <w:rsid w:val="1ED60FEA"/>
    <w:rsid w:val="1F002C07"/>
    <w:rsid w:val="1F0D3E1B"/>
    <w:rsid w:val="1F4F5339"/>
    <w:rsid w:val="1FFD1D31"/>
    <w:rsid w:val="209503A6"/>
    <w:rsid w:val="20AE1A15"/>
    <w:rsid w:val="20DE4272"/>
    <w:rsid w:val="216E513B"/>
    <w:rsid w:val="218872DA"/>
    <w:rsid w:val="218A536D"/>
    <w:rsid w:val="21BE719F"/>
    <w:rsid w:val="22012CFA"/>
    <w:rsid w:val="22123047"/>
    <w:rsid w:val="221C0029"/>
    <w:rsid w:val="223328D5"/>
    <w:rsid w:val="22A91BAD"/>
    <w:rsid w:val="22D00957"/>
    <w:rsid w:val="22D91EBA"/>
    <w:rsid w:val="23BB026B"/>
    <w:rsid w:val="23DA7B95"/>
    <w:rsid w:val="2446347C"/>
    <w:rsid w:val="24A84C8A"/>
    <w:rsid w:val="25375C41"/>
    <w:rsid w:val="25765E4A"/>
    <w:rsid w:val="26441ED1"/>
    <w:rsid w:val="267855A5"/>
    <w:rsid w:val="26D15F82"/>
    <w:rsid w:val="26F60881"/>
    <w:rsid w:val="270513CC"/>
    <w:rsid w:val="270C275B"/>
    <w:rsid w:val="285142BB"/>
    <w:rsid w:val="29231282"/>
    <w:rsid w:val="292A7368"/>
    <w:rsid w:val="29B175E9"/>
    <w:rsid w:val="29BC4455"/>
    <w:rsid w:val="29E057D9"/>
    <w:rsid w:val="2A382A37"/>
    <w:rsid w:val="2A701750"/>
    <w:rsid w:val="2A7778D7"/>
    <w:rsid w:val="2B0E142C"/>
    <w:rsid w:val="2B502629"/>
    <w:rsid w:val="2B65243A"/>
    <w:rsid w:val="2BD13B0C"/>
    <w:rsid w:val="2C0E122C"/>
    <w:rsid w:val="2C186781"/>
    <w:rsid w:val="2C1C5720"/>
    <w:rsid w:val="2CCE1D83"/>
    <w:rsid w:val="2D016192"/>
    <w:rsid w:val="2D597EB8"/>
    <w:rsid w:val="2D750656"/>
    <w:rsid w:val="2D8D7667"/>
    <w:rsid w:val="2DFC5354"/>
    <w:rsid w:val="2EA126FE"/>
    <w:rsid w:val="2ED5573D"/>
    <w:rsid w:val="2EEB317F"/>
    <w:rsid w:val="2F3C6F86"/>
    <w:rsid w:val="2F3F1858"/>
    <w:rsid w:val="2F5729E1"/>
    <w:rsid w:val="2F9E49DF"/>
    <w:rsid w:val="2FCD089C"/>
    <w:rsid w:val="2FEC6226"/>
    <w:rsid w:val="2FF71651"/>
    <w:rsid w:val="30135208"/>
    <w:rsid w:val="30231066"/>
    <w:rsid w:val="302723B3"/>
    <w:rsid w:val="30E62952"/>
    <w:rsid w:val="31596940"/>
    <w:rsid w:val="315C7E3B"/>
    <w:rsid w:val="318B1DB0"/>
    <w:rsid w:val="31BB7257"/>
    <w:rsid w:val="31D916EA"/>
    <w:rsid w:val="31DB7F04"/>
    <w:rsid w:val="327B79BD"/>
    <w:rsid w:val="32C37532"/>
    <w:rsid w:val="32E008FA"/>
    <w:rsid w:val="33E443DD"/>
    <w:rsid w:val="33F86C24"/>
    <w:rsid w:val="34232234"/>
    <w:rsid w:val="34262A5F"/>
    <w:rsid w:val="34531B15"/>
    <w:rsid w:val="3460040C"/>
    <w:rsid w:val="356B425C"/>
    <w:rsid w:val="35B4779F"/>
    <w:rsid w:val="35E14063"/>
    <w:rsid w:val="35ED6E95"/>
    <w:rsid w:val="36AA5AEC"/>
    <w:rsid w:val="36CE7C5D"/>
    <w:rsid w:val="370B7A58"/>
    <w:rsid w:val="387939C8"/>
    <w:rsid w:val="38BD3006"/>
    <w:rsid w:val="38D35087"/>
    <w:rsid w:val="38F10B41"/>
    <w:rsid w:val="3901392E"/>
    <w:rsid w:val="3902576C"/>
    <w:rsid w:val="390D7149"/>
    <w:rsid w:val="39DB72F7"/>
    <w:rsid w:val="3A484677"/>
    <w:rsid w:val="3A535CE8"/>
    <w:rsid w:val="3A6C4EF1"/>
    <w:rsid w:val="3A8A3C6B"/>
    <w:rsid w:val="3AD96BBC"/>
    <w:rsid w:val="3BBA40DC"/>
    <w:rsid w:val="3BCF73AC"/>
    <w:rsid w:val="3BD700C4"/>
    <w:rsid w:val="3C6866D6"/>
    <w:rsid w:val="3C9F06E6"/>
    <w:rsid w:val="3CD751A9"/>
    <w:rsid w:val="3CFE449C"/>
    <w:rsid w:val="3D2A5291"/>
    <w:rsid w:val="3E10092B"/>
    <w:rsid w:val="3E1B074D"/>
    <w:rsid w:val="3E6C5475"/>
    <w:rsid w:val="3E8D7925"/>
    <w:rsid w:val="3EBC60F9"/>
    <w:rsid w:val="3EE447D9"/>
    <w:rsid w:val="3F392FBB"/>
    <w:rsid w:val="3FC11830"/>
    <w:rsid w:val="40194A95"/>
    <w:rsid w:val="416B2A05"/>
    <w:rsid w:val="418F7DB9"/>
    <w:rsid w:val="41BC713E"/>
    <w:rsid w:val="42A80EA5"/>
    <w:rsid w:val="42C91BD9"/>
    <w:rsid w:val="42FC0F3E"/>
    <w:rsid w:val="431430AB"/>
    <w:rsid w:val="43AC5B43"/>
    <w:rsid w:val="43C8640E"/>
    <w:rsid w:val="441454E1"/>
    <w:rsid w:val="443A225E"/>
    <w:rsid w:val="4485318C"/>
    <w:rsid w:val="44EC7537"/>
    <w:rsid w:val="451A0623"/>
    <w:rsid w:val="46001285"/>
    <w:rsid w:val="46411F54"/>
    <w:rsid w:val="46DA1769"/>
    <w:rsid w:val="47021BB5"/>
    <w:rsid w:val="47117DEE"/>
    <w:rsid w:val="477204C0"/>
    <w:rsid w:val="477F61D9"/>
    <w:rsid w:val="47907FF3"/>
    <w:rsid w:val="48394150"/>
    <w:rsid w:val="48547C90"/>
    <w:rsid w:val="48A56D44"/>
    <w:rsid w:val="4983274B"/>
    <w:rsid w:val="49A83327"/>
    <w:rsid w:val="49AF3686"/>
    <w:rsid w:val="4A2C034A"/>
    <w:rsid w:val="4A4B0859"/>
    <w:rsid w:val="4A8C1339"/>
    <w:rsid w:val="4A946440"/>
    <w:rsid w:val="4B666172"/>
    <w:rsid w:val="4B793A76"/>
    <w:rsid w:val="4BB52B12"/>
    <w:rsid w:val="4BEA59A9"/>
    <w:rsid w:val="4BF357AE"/>
    <w:rsid w:val="4C101B77"/>
    <w:rsid w:val="4CE92A73"/>
    <w:rsid w:val="4D404277"/>
    <w:rsid w:val="4D497D07"/>
    <w:rsid w:val="4DF307D4"/>
    <w:rsid w:val="4F5E68A2"/>
    <w:rsid w:val="4F9F566B"/>
    <w:rsid w:val="4FEB6556"/>
    <w:rsid w:val="50280D8F"/>
    <w:rsid w:val="50933D55"/>
    <w:rsid w:val="50A615CC"/>
    <w:rsid w:val="50FC7B06"/>
    <w:rsid w:val="51B34D01"/>
    <w:rsid w:val="51CE0E4F"/>
    <w:rsid w:val="51EC481B"/>
    <w:rsid w:val="52141191"/>
    <w:rsid w:val="52B57B4B"/>
    <w:rsid w:val="52C33D66"/>
    <w:rsid w:val="52CB14BF"/>
    <w:rsid w:val="5302488E"/>
    <w:rsid w:val="530E5269"/>
    <w:rsid w:val="53BC2C8F"/>
    <w:rsid w:val="53D10F80"/>
    <w:rsid w:val="54253E18"/>
    <w:rsid w:val="543F6B44"/>
    <w:rsid w:val="54B05C07"/>
    <w:rsid w:val="54EE2F19"/>
    <w:rsid w:val="55393341"/>
    <w:rsid w:val="564D4D1C"/>
    <w:rsid w:val="56644383"/>
    <w:rsid w:val="56D92436"/>
    <w:rsid w:val="570404A9"/>
    <w:rsid w:val="57855205"/>
    <w:rsid w:val="57980185"/>
    <w:rsid w:val="57DC6317"/>
    <w:rsid w:val="582C70D8"/>
    <w:rsid w:val="58633E66"/>
    <w:rsid w:val="58BE4735"/>
    <w:rsid w:val="58D05D56"/>
    <w:rsid w:val="58E20EEC"/>
    <w:rsid w:val="58E43D06"/>
    <w:rsid w:val="59053E49"/>
    <w:rsid w:val="59A86678"/>
    <w:rsid w:val="59D07793"/>
    <w:rsid w:val="59DF4FA9"/>
    <w:rsid w:val="5A490FF5"/>
    <w:rsid w:val="5B085154"/>
    <w:rsid w:val="5B182775"/>
    <w:rsid w:val="5B571D6B"/>
    <w:rsid w:val="5BC5560B"/>
    <w:rsid w:val="5C040E07"/>
    <w:rsid w:val="5C42334C"/>
    <w:rsid w:val="5C4F17B9"/>
    <w:rsid w:val="5C815A45"/>
    <w:rsid w:val="5CBC0189"/>
    <w:rsid w:val="5CC74453"/>
    <w:rsid w:val="5CDA34F3"/>
    <w:rsid w:val="5CFF599B"/>
    <w:rsid w:val="5D1A66DB"/>
    <w:rsid w:val="5DC3127A"/>
    <w:rsid w:val="5F523D1B"/>
    <w:rsid w:val="5F6E0BB6"/>
    <w:rsid w:val="5F750196"/>
    <w:rsid w:val="5FD74567"/>
    <w:rsid w:val="5FE078A1"/>
    <w:rsid w:val="604C1DB3"/>
    <w:rsid w:val="60A568ED"/>
    <w:rsid w:val="60B625CF"/>
    <w:rsid w:val="60FD0443"/>
    <w:rsid w:val="61D74234"/>
    <w:rsid w:val="61D94A0C"/>
    <w:rsid w:val="6209168F"/>
    <w:rsid w:val="625E3C18"/>
    <w:rsid w:val="627604AD"/>
    <w:rsid w:val="6335216A"/>
    <w:rsid w:val="634475E8"/>
    <w:rsid w:val="634E1B1D"/>
    <w:rsid w:val="63872EA1"/>
    <w:rsid w:val="63950E07"/>
    <w:rsid w:val="64583026"/>
    <w:rsid w:val="645C5873"/>
    <w:rsid w:val="64801EFA"/>
    <w:rsid w:val="648F0C67"/>
    <w:rsid w:val="64A10CEF"/>
    <w:rsid w:val="65474BE1"/>
    <w:rsid w:val="659770B8"/>
    <w:rsid w:val="659D429C"/>
    <w:rsid w:val="65F05E92"/>
    <w:rsid w:val="660868D2"/>
    <w:rsid w:val="665E06D8"/>
    <w:rsid w:val="66855163"/>
    <w:rsid w:val="66AE7847"/>
    <w:rsid w:val="66AF3A6A"/>
    <w:rsid w:val="66BB0B84"/>
    <w:rsid w:val="67544665"/>
    <w:rsid w:val="67BE2A3E"/>
    <w:rsid w:val="67CF169B"/>
    <w:rsid w:val="67D2436E"/>
    <w:rsid w:val="67F820F1"/>
    <w:rsid w:val="6817628E"/>
    <w:rsid w:val="69422F6B"/>
    <w:rsid w:val="697C0D0C"/>
    <w:rsid w:val="69827981"/>
    <w:rsid w:val="6A537CE5"/>
    <w:rsid w:val="6A677DA2"/>
    <w:rsid w:val="6B1D0D8B"/>
    <w:rsid w:val="6B251855"/>
    <w:rsid w:val="6B5D12A0"/>
    <w:rsid w:val="6B7C2A61"/>
    <w:rsid w:val="6B9B56D4"/>
    <w:rsid w:val="6C014B1A"/>
    <w:rsid w:val="6C586E75"/>
    <w:rsid w:val="6C5D26DE"/>
    <w:rsid w:val="6CA2289F"/>
    <w:rsid w:val="6D0C13F7"/>
    <w:rsid w:val="6D142D9C"/>
    <w:rsid w:val="6D861361"/>
    <w:rsid w:val="6D9123EA"/>
    <w:rsid w:val="6DEB2489"/>
    <w:rsid w:val="6DEC337D"/>
    <w:rsid w:val="6ED70525"/>
    <w:rsid w:val="6F3941EE"/>
    <w:rsid w:val="6F9039F8"/>
    <w:rsid w:val="6FAC3ECB"/>
    <w:rsid w:val="701501D6"/>
    <w:rsid w:val="70457108"/>
    <w:rsid w:val="708F302F"/>
    <w:rsid w:val="7139757C"/>
    <w:rsid w:val="71882D43"/>
    <w:rsid w:val="71D053C6"/>
    <w:rsid w:val="71D93CF6"/>
    <w:rsid w:val="721C1686"/>
    <w:rsid w:val="72281680"/>
    <w:rsid w:val="726418BC"/>
    <w:rsid w:val="72AF2EBE"/>
    <w:rsid w:val="72E54079"/>
    <w:rsid w:val="72FF6CD0"/>
    <w:rsid w:val="738649D9"/>
    <w:rsid w:val="73BD6819"/>
    <w:rsid w:val="73F9347A"/>
    <w:rsid w:val="74B144F1"/>
    <w:rsid w:val="7545224B"/>
    <w:rsid w:val="756F276F"/>
    <w:rsid w:val="75B62796"/>
    <w:rsid w:val="76255805"/>
    <w:rsid w:val="767847CD"/>
    <w:rsid w:val="76A67006"/>
    <w:rsid w:val="76DE5A79"/>
    <w:rsid w:val="77EA6D50"/>
    <w:rsid w:val="78035868"/>
    <w:rsid w:val="783B5319"/>
    <w:rsid w:val="790E0FE8"/>
    <w:rsid w:val="791D122B"/>
    <w:rsid w:val="795D34C2"/>
    <w:rsid w:val="79671261"/>
    <w:rsid w:val="79AD735B"/>
    <w:rsid w:val="79BD26DA"/>
    <w:rsid w:val="79D52B3B"/>
    <w:rsid w:val="79FE123F"/>
    <w:rsid w:val="7A536490"/>
    <w:rsid w:val="7A9236C3"/>
    <w:rsid w:val="7AD63D87"/>
    <w:rsid w:val="7B0639A3"/>
    <w:rsid w:val="7B5E7F55"/>
    <w:rsid w:val="7B640ED0"/>
    <w:rsid w:val="7BE406E0"/>
    <w:rsid w:val="7D507DC6"/>
    <w:rsid w:val="7D5B1B4A"/>
    <w:rsid w:val="7DDC66D2"/>
    <w:rsid w:val="7E1E6FF0"/>
    <w:rsid w:val="7E4B64CB"/>
    <w:rsid w:val="7FA63ABE"/>
    <w:rsid w:val="7FB46B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qFormat="1"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kern w:val="2"/>
      <w:sz w:val="21"/>
      <w:szCs w:val="24"/>
      <w:lang w:val="en-US" w:eastAsia="zh-CN" w:bidi="ar-SA"/>
    </w:rPr>
  </w:style>
  <w:style w:type="paragraph" w:styleId="3">
    <w:name w:val="heading 1"/>
    <w:basedOn w:val="1"/>
    <w:next w:val="1"/>
    <w:link w:val="42"/>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43"/>
    <w:qFormat/>
    <w:uiPriority w:val="0"/>
    <w:pPr>
      <w:keepNext/>
      <w:keepLines/>
      <w:spacing w:before="260" w:after="260" w:line="415" w:lineRule="auto"/>
      <w:ind w:firstLine="200" w:firstLineChars="200"/>
      <w:outlineLvl w:val="1"/>
    </w:pPr>
    <w:rPr>
      <w:rFonts w:ascii="Arial" w:hAnsi="Arial"/>
      <w:b/>
      <w:bCs/>
      <w:sz w:val="32"/>
      <w:szCs w:val="32"/>
    </w:rPr>
  </w:style>
  <w:style w:type="paragraph" w:styleId="5">
    <w:name w:val="heading 3"/>
    <w:basedOn w:val="1"/>
    <w:next w:val="1"/>
    <w:link w:val="44"/>
    <w:qFormat/>
    <w:uiPriority w:val="0"/>
    <w:pPr>
      <w:keepNext/>
      <w:keepLines/>
      <w:spacing w:before="260" w:after="260" w:line="416" w:lineRule="auto"/>
      <w:outlineLvl w:val="2"/>
    </w:pPr>
    <w:rPr>
      <w:bCs/>
      <w:sz w:val="28"/>
      <w:szCs w:val="32"/>
    </w:rPr>
  </w:style>
  <w:style w:type="paragraph" w:styleId="6">
    <w:name w:val="heading 4"/>
    <w:basedOn w:val="1"/>
    <w:next w:val="1"/>
    <w:link w:val="45"/>
    <w:qFormat/>
    <w:uiPriority w:val="0"/>
    <w:pPr>
      <w:keepNext/>
      <w:keepLines/>
      <w:spacing w:before="280" w:after="290" w:line="376" w:lineRule="auto"/>
      <w:outlineLvl w:val="3"/>
    </w:pPr>
    <w:rPr>
      <w:rFonts w:ascii="@华文仿宋" w:hAnsi="@华文仿宋" w:eastAsia="Cambria Math"/>
      <w:b/>
      <w:bCs/>
      <w:sz w:val="28"/>
      <w:szCs w:val="28"/>
    </w:rPr>
  </w:style>
  <w:style w:type="paragraph" w:styleId="7">
    <w:name w:val="heading 5"/>
    <w:basedOn w:val="1"/>
    <w:next w:val="1"/>
    <w:link w:val="46"/>
    <w:qFormat/>
    <w:uiPriority w:val="0"/>
    <w:pPr>
      <w:keepNext/>
      <w:keepLines/>
      <w:widowControl w:val="0"/>
      <w:spacing w:before="280" w:after="290" w:line="376" w:lineRule="auto"/>
      <w:jc w:val="both"/>
      <w:outlineLvl w:val="4"/>
    </w:pPr>
    <w:rPr>
      <w:b/>
      <w:bCs/>
      <w:sz w:val="28"/>
      <w:szCs w:val="28"/>
    </w:rPr>
  </w:style>
  <w:style w:type="character" w:default="1" w:styleId="36">
    <w:name w:val="Default Paragraph Font"/>
    <w:semiHidden/>
    <w:unhideWhenUsed/>
    <w:qFormat/>
    <w:uiPriority w:val="1"/>
  </w:style>
  <w:style w:type="table" w:default="1" w:styleId="34">
    <w:name w:val="Normal Table"/>
    <w:semiHidden/>
    <w:unhideWhenUsed/>
    <w:qFormat/>
    <w:uiPriority w:val="99"/>
    <w:tblPr>
      <w:tblCellMar>
        <w:top w:w="0" w:type="dxa"/>
        <w:left w:w="108" w:type="dxa"/>
        <w:bottom w:w="0" w:type="dxa"/>
        <w:right w:w="108" w:type="dxa"/>
      </w:tblCellMar>
    </w:tblPr>
  </w:style>
  <w:style w:type="paragraph" w:styleId="2">
    <w:name w:val="macro"/>
    <w:link w:val="41"/>
    <w:qFormat/>
    <w:uiPriority w:val="0"/>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8">
    <w:name w:val="toc 7"/>
    <w:basedOn w:val="1"/>
    <w:next w:val="1"/>
    <w:semiHidden/>
    <w:qFormat/>
    <w:uiPriority w:val="0"/>
    <w:pPr>
      <w:ind w:left="1260"/>
    </w:pPr>
    <w:rPr>
      <w:sz w:val="18"/>
      <w:szCs w:val="18"/>
    </w:rPr>
  </w:style>
  <w:style w:type="paragraph" w:styleId="9">
    <w:name w:val="Normal Indent"/>
    <w:basedOn w:val="1"/>
    <w:link w:val="47"/>
    <w:qFormat/>
    <w:uiPriority w:val="0"/>
    <w:pPr>
      <w:adjustRightInd w:val="0"/>
      <w:spacing w:line="360" w:lineRule="atLeast"/>
      <w:ind w:firstLine="420"/>
      <w:textAlignment w:val="baseline"/>
    </w:pPr>
    <w:rPr>
      <w:kern w:val="0"/>
      <w:sz w:val="24"/>
      <w:szCs w:val="20"/>
    </w:rPr>
  </w:style>
  <w:style w:type="paragraph" w:styleId="10">
    <w:name w:val="caption"/>
    <w:basedOn w:val="1"/>
    <w:next w:val="1"/>
    <w:qFormat/>
    <w:uiPriority w:val="0"/>
    <w:rPr>
      <w:rFonts w:ascii="Arial" w:hAnsi="Arial" w:eastAsia="黑体" w:cs="Arial"/>
      <w:sz w:val="20"/>
    </w:rPr>
  </w:style>
  <w:style w:type="paragraph" w:styleId="11">
    <w:name w:val="Document Map"/>
    <w:basedOn w:val="1"/>
    <w:link w:val="48"/>
    <w:semiHidden/>
    <w:qFormat/>
    <w:uiPriority w:val="0"/>
    <w:pPr>
      <w:shd w:val="clear" w:color="auto" w:fill="000080"/>
    </w:pPr>
  </w:style>
  <w:style w:type="paragraph" w:styleId="12">
    <w:name w:val="annotation text"/>
    <w:basedOn w:val="1"/>
    <w:link w:val="49"/>
    <w:qFormat/>
    <w:uiPriority w:val="0"/>
  </w:style>
  <w:style w:type="paragraph" w:styleId="13">
    <w:name w:val="Body Text 3"/>
    <w:basedOn w:val="1"/>
    <w:link w:val="50"/>
    <w:qFormat/>
    <w:uiPriority w:val="0"/>
    <w:pPr>
      <w:spacing w:after="120"/>
    </w:pPr>
    <w:rPr>
      <w:sz w:val="16"/>
      <w:szCs w:val="16"/>
    </w:rPr>
  </w:style>
  <w:style w:type="paragraph" w:styleId="14">
    <w:name w:val="Body Text"/>
    <w:basedOn w:val="1"/>
    <w:next w:val="1"/>
    <w:link w:val="51"/>
    <w:qFormat/>
    <w:uiPriority w:val="0"/>
    <w:pPr>
      <w:adjustRightInd w:val="0"/>
      <w:snapToGrid w:val="0"/>
      <w:spacing w:line="500" w:lineRule="exact"/>
    </w:pPr>
    <w:rPr>
      <w:sz w:val="28"/>
      <w:szCs w:val="30"/>
    </w:rPr>
  </w:style>
  <w:style w:type="paragraph" w:styleId="15">
    <w:name w:val="Body Text Indent"/>
    <w:basedOn w:val="1"/>
    <w:link w:val="52"/>
    <w:qFormat/>
    <w:uiPriority w:val="0"/>
    <w:pPr>
      <w:spacing w:after="120"/>
      <w:ind w:left="420" w:leftChars="200"/>
    </w:pPr>
    <w:rPr>
      <w:rFonts w:ascii="宋体" w:hAnsi="宋体"/>
      <w:kern w:val="0"/>
      <w:sz w:val="24"/>
    </w:rPr>
  </w:style>
  <w:style w:type="paragraph" w:styleId="16">
    <w:name w:val="toc 5"/>
    <w:basedOn w:val="1"/>
    <w:next w:val="1"/>
    <w:semiHidden/>
    <w:qFormat/>
    <w:uiPriority w:val="0"/>
    <w:pPr>
      <w:ind w:left="840"/>
    </w:pPr>
    <w:rPr>
      <w:sz w:val="18"/>
      <w:szCs w:val="18"/>
    </w:rPr>
  </w:style>
  <w:style w:type="paragraph" w:styleId="17">
    <w:name w:val="toc 3"/>
    <w:basedOn w:val="1"/>
    <w:next w:val="1"/>
    <w:semiHidden/>
    <w:qFormat/>
    <w:uiPriority w:val="0"/>
    <w:pPr>
      <w:ind w:left="420"/>
    </w:pPr>
    <w:rPr>
      <w:i/>
      <w:iCs/>
      <w:sz w:val="20"/>
      <w:szCs w:val="20"/>
    </w:rPr>
  </w:style>
  <w:style w:type="paragraph" w:styleId="18">
    <w:name w:val="Plain Text"/>
    <w:basedOn w:val="1"/>
    <w:link w:val="53"/>
    <w:qFormat/>
    <w:uiPriority w:val="0"/>
    <w:rPr>
      <w:rFonts w:ascii="宋体" w:hAnsi="Courier New"/>
      <w:szCs w:val="21"/>
    </w:rPr>
  </w:style>
  <w:style w:type="paragraph" w:styleId="19">
    <w:name w:val="toc 8"/>
    <w:basedOn w:val="1"/>
    <w:next w:val="1"/>
    <w:semiHidden/>
    <w:qFormat/>
    <w:uiPriority w:val="0"/>
    <w:pPr>
      <w:ind w:left="1470"/>
    </w:pPr>
    <w:rPr>
      <w:sz w:val="18"/>
      <w:szCs w:val="18"/>
    </w:rPr>
  </w:style>
  <w:style w:type="paragraph" w:styleId="20">
    <w:name w:val="Body Text Indent 2"/>
    <w:basedOn w:val="1"/>
    <w:link w:val="54"/>
    <w:qFormat/>
    <w:uiPriority w:val="0"/>
    <w:pPr>
      <w:spacing w:after="120" w:line="480" w:lineRule="auto"/>
      <w:ind w:left="420" w:leftChars="200"/>
    </w:pPr>
    <w:rPr>
      <w:rFonts w:ascii="宋体" w:hAnsi="宋体"/>
      <w:kern w:val="0"/>
      <w:sz w:val="24"/>
    </w:rPr>
  </w:style>
  <w:style w:type="paragraph" w:styleId="21">
    <w:name w:val="Balloon Text"/>
    <w:basedOn w:val="1"/>
    <w:link w:val="55"/>
    <w:qFormat/>
    <w:uiPriority w:val="0"/>
    <w:rPr>
      <w:sz w:val="18"/>
      <w:szCs w:val="18"/>
    </w:rPr>
  </w:style>
  <w:style w:type="paragraph" w:styleId="22">
    <w:name w:val="footer"/>
    <w:basedOn w:val="1"/>
    <w:link w:val="56"/>
    <w:qFormat/>
    <w:uiPriority w:val="99"/>
    <w:pPr>
      <w:tabs>
        <w:tab w:val="center" w:pos="4153"/>
        <w:tab w:val="right" w:pos="8306"/>
      </w:tabs>
      <w:snapToGrid w:val="0"/>
    </w:pPr>
    <w:rPr>
      <w:sz w:val="18"/>
      <w:szCs w:val="18"/>
    </w:rPr>
  </w:style>
  <w:style w:type="paragraph" w:styleId="23">
    <w:name w:val="header"/>
    <w:basedOn w:val="1"/>
    <w:link w:val="57"/>
    <w:qFormat/>
    <w:uiPriority w:val="0"/>
    <w:pPr>
      <w:pBdr>
        <w:bottom w:val="single" w:color="auto" w:sz="6" w:space="1"/>
      </w:pBdr>
      <w:tabs>
        <w:tab w:val="center" w:pos="4153"/>
        <w:tab w:val="right" w:pos="8306"/>
      </w:tabs>
      <w:snapToGrid w:val="0"/>
      <w:jc w:val="center"/>
    </w:pPr>
    <w:rPr>
      <w:sz w:val="18"/>
      <w:szCs w:val="18"/>
    </w:rPr>
  </w:style>
  <w:style w:type="paragraph" w:styleId="24">
    <w:name w:val="toc 1"/>
    <w:basedOn w:val="1"/>
    <w:next w:val="1"/>
    <w:qFormat/>
    <w:uiPriority w:val="39"/>
    <w:pPr>
      <w:spacing w:before="120" w:after="120"/>
    </w:pPr>
    <w:rPr>
      <w:b/>
      <w:bCs/>
      <w:caps/>
      <w:sz w:val="20"/>
      <w:szCs w:val="20"/>
    </w:rPr>
  </w:style>
  <w:style w:type="paragraph" w:styleId="25">
    <w:name w:val="toc 4"/>
    <w:basedOn w:val="1"/>
    <w:next w:val="1"/>
    <w:semiHidden/>
    <w:qFormat/>
    <w:uiPriority w:val="0"/>
    <w:pPr>
      <w:ind w:left="630"/>
    </w:pPr>
    <w:rPr>
      <w:sz w:val="18"/>
      <w:szCs w:val="18"/>
    </w:rPr>
  </w:style>
  <w:style w:type="paragraph" w:styleId="26">
    <w:name w:val="toc 6"/>
    <w:basedOn w:val="1"/>
    <w:next w:val="1"/>
    <w:semiHidden/>
    <w:qFormat/>
    <w:uiPriority w:val="0"/>
    <w:pPr>
      <w:ind w:left="1050"/>
    </w:pPr>
    <w:rPr>
      <w:sz w:val="18"/>
      <w:szCs w:val="18"/>
    </w:rPr>
  </w:style>
  <w:style w:type="paragraph" w:styleId="27">
    <w:name w:val="Body Text Indent 3"/>
    <w:basedOn w:val="1"/>
    <w:link w:val="58"/>
    <w:qFormat/>
    <w:uiPriority w:val="0"/>
    <w:pPr>
      <w:spacing w:after="120"/>
      <w:ind w:left="420" w:leftChars="200"/>
    </w:pPr>
    <w:rPr>
      <w:sz w:val="16"/>
      <w:szCs w:val="16"/>
    </w:rPr>
  </w:style>
  <w:style w:type="paragraph" w:styleId="28">
    <w:name w:val="toc 2"/>
    <w:basedOn w:val="1"/>
    <w:next w:val="1"/>
    <w:qFormat/>
    <w:uiPriority w:val="39"/>
    <w:pPr>
      <w:ind w:left="210"/>
    </w:pPr>
    <w:rPr>
      <w:smallCaps/>
      <w:sz w:val="20"/>
      <w:szCs w:val="20"/>
    </w:rPr>
  </w:style>
  <w:style w:type="paragraph" w:styleId="29">
    <w:name w:val="toc 9"/>
    <w:basedOn w:val="1"/>
    <w:next w:val="1"/>
    <w:semiHidden/>
    <w:qFormat/>
    <w:uiPriority w:val="0"/>
    <w:pPr>
      <w:ind w:left="1680"/>
    </w:pPr>
    <w:rPr>
      <w:sz w:val="18"/>
      <w:szCs w:val="18"/>
    </w:rPr>
  </w:style>
  <w:style w:type="paragraph" w:styleId="30">
    <w:name w:val="Body Text 2"/>
    <w:basedOn w:val="1"/>
    <w:link w:val="59"/>
    <w:qFormat/>
    <w:uiPriority w:val="0"/>
    <w:pPr>
      <w:widowControl w:val="0"/>
      <w:spacing w:after="120" w:line="480" w:lineRule="auto"/>
      <w:jc w:val="both"/>
    </w:pPr>
  </w:style>
  <w:style w:type="paragraph" w:styleId="31">
    <w:name w:val="Normal (Web)"/>
    <w:basedOn w:val="1"/>
    <w:qFormat/>
    <w:uiPriority w:val="0"/>
    <w:pPr>
      <w:spacing w:before="100" w:beforeAutospacing="1" w:after="100" w:afterAutospacing="1"/>
    </w:pPr>
    <w:rPr>
      <w:rFonts w:ascii="宋体" w:hAnsi="宋体" w:cs="宋体"/>
      <w:kern w:val="0"/>
      <w:sz w:val="24"/>
    </w:rPr>
  </w:style>
  <w:style w:type="paragraph" w:styleId="32">
    <w:name w:val="Title"/>
    <w:link w:val="60"/>
    <w:qFormat/>
    <w:uiPriority w:val="0"/>
    <w:pPr>
      <w:wordWrap w:val="0"/>
      <w:ind w:firstLine="200" w:firstLineChars="200"/>
    </w:pPr>
    <w:rPr>
      <w:rFonts w:ascii="Arial" w:hAnsi="Arial" w:eastAsia="黑体" w:cs="Arial"/>
      <w:bCs/>
      <w:kern w:val="2"/>
      <w:sz w:val="28"/>
      <w:szCs w:val="32"/>
      <w:lang w:val="en-US" w:eastAsia="zh-CN" w:bidi="ar-SA"/>
    </w:rPr>
  </w:style>
  <w:style w:type="paragraph" w:styleId="33">
    <w:name w:val="annotation subject"/>
    <w:basedOn w:val="12"/>
    <w:next w:val="12"/>
    <w:link w:val="61"/>
    <w:qFormat/>
    <w:uiPriority w:val="0"/>
    <w:rPr>
      <w:b/>
      <w:bCs/>
    </w:rPr>
  </w:style>
  <w:style w:type="table" w:styleId="35">
    <w:name w:val="Table Grid"/>
    <w:basedOn w:val="34"/>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7">
    <w:name w:val="Strong"/>
    <w:qFormat/>
    <w:uiPriority w:val="22"/>
    <w:rPr>
      <w:b/>
      <w:bCs/>
    </w:rPr>
  </w:style>
  <w:style w:type="character" w:styleId="38">
    <w:name w:val="page number"/>
    <w:qFormat/>
    <w:uiPriority w:val="0"/>
  </w:style>
  <w:style w:type="character" w:styleId="39">
    <w:name w:val="Hyperlink"/>
    <w:qFormat/>
    <w:uiPriority w:val="99"/>
    <w:rPr>
      <w:color w:val="0000FF"/>
      <w:u w:val="single"/>
    </w:rPr>
  </w:style>
  <w:style w:type="character" w:styleId="40">
    <w:name w:val="annotation reference"/>
    <w:qFormat/>
    <w:uiPriority w:val="0"/>
    <w:rPr>
      <w:sz w:val="21"/>
      <w:szCs w:val="21"/>
    </w:rPr>
  </w:style>
  <w:style w:type="character" w:customStyle="1" w:styleId="41">
    <w:name w:val="宏文本 Char"/>
    <w:link w:val="2"/>
    <w:qFormat/>
    <w:uiPriority w:val="0"/>
    <w:rPr>
      <w:rFonts w:ascii="Courier New" w:hAnsi="Courier New" w:cs="Courier New"/>
      <w:kern w:val="2"/>
      <w:sz w:val="24"/>
      <w:szCs w:val="24"/>
      <w:lang w:val="en-US" w:eastAsia="zh-CN" w:bidi="ar-SA"/>
    </w:rPr>
  </w:style>
  <w:style w:type="character" w:customStyle="1" w:styleId="42">
    <w:name w:val="标题 1 Char"/>
    <w:link w:val="3"/>
    <w:qFormat/>
    <w:uiPriority w:val="0"/>
    <w:rPr>
      <w:b/>
      <w:bCs/>
      <w:kern w:val="44"/>
      <w:sz w:val="44"/>
      <w:szCs w:val="44"/>
    </w:rPr>
  </w:style>
  <w:style w:type="character" w:customStyle="1" w:styleId="43">
    <w:name w:val="标题 2 Char"/>
    <w:link w:val="4"/>
    <w:qFormat/>
    <w:uiPriority w:val="0"/>
    <w:rPr>
      <w:rFonts w:ascii="Arial" w:hAnsi="Arial" w:eastAsia="宋体"/>
      <w:b/>
      <w:bCs/>
      <w:kern w:val="2"/>
      <w:sz w:val="32"/>
      <w:szCs w:val="32"/>
      <w:lang w:val="en-US" w:eastAsia="zh-CN" w:bidi="ar-SA"/>
    </w:rPr>
  </w:style>
  <w:style w:type="character" w:customStyle="1" w:styleId="44">
    <w:name w:val="标题 3 Char"/>
    <w:link w:val="5"/>
    <w:qFormat/>
    <w:uiPriority w:val="0"/>
    <w:rPr>
      <w:rFonts w:eastAsia="宋体"/>
      <w:bCs/>
      <w:kern w:val="2"/>
      <w:sz w:val="28"/>
      <w:szCs w:val="32"/>
      <w:lang w:val="en-US" w:eastAsia="zh-CN" w:bidi="ar-SA"/>
    </w:rPr>
  </w:style>
  <w:style w:type="character" w:customStyle="1" w:styleId="45">
    <w:name w:val="标题 4 Char"/>
    <w:link w:val="6"/>
    <w:qFormat/>
    <w:uiPriority w:val="0"/>
    <w:rPr>
      <w:rFonts w:ascii="@华文仿宋" w:hAnsi="@华文仿宋" w:eastAsia="Cambria Math" w:cs="Cambria Math"/>
      <w:b/>
      <w:bCs/>
      <w:kern w:val="2"/>
      <w:sz w:val="28"/>
      <w:szCs w:val="28"/>
    </w:rPr>
  </w:style>
  <w:style w:type="character" w:customStyle="1" w:styleId="46">
    <w:name w:val="标题 5 Char"/>
    <w:link w:val="7"/>
    <w:qFormat/>
    <w:uiPriority w:val="0"/>
    <w:rPr>
      <w:b/>
      <w:bCs/>
      <w:kern w:val="2"/>
      <w:sz w:val="28"/>
      <w:szCs w:val="28"/>
    </w:rPr>
  </w:style>
  <w:style w:type="character" w:customStyle="1" w:styleId="47">
    <w:name w:val="正文缩进 Char"/>
    <w:link w:val="9"/>
    <w:qFormat/>
    <w:uiPriority w:val="0"/>
    <w:rPr>
      <w:rFonts w:eastAsia="宋体"/>
      <w:sz w:val="24"/>
      <w:lang w:val="en-US" w:eastAsia="zh-CN" w:bidi="ar-SA"/>
    </w:rPr>
  </w:style>
  <w:style w:type="character" w:customStyle="1" w:styleId="48">
    <w:name w:val="文档结构图 Char"/>
    <w:link w:val="11"/>
    <w:semiHidden/>
    <w:qFormat/>
    <w:uiPriority w:val="0"/>
    <w:rPr>
      <w:kern w:val="2"/>
      <w:sz w:val="21"/>
      <w:szCs w:val="24"/>
      <w:shd w:val="clear" w:color="auto" w:fill="000080"/>
    </w:rPr>
  </w:style>
  <w:style w:type="character" w:customStyle="1" w:styleId="49">
    <w:name w:val="批注文字 Char"/>
    <w:link w:val="12"/>
    <w:qFormat/>
    <w:uiPriority w:val="0"/>
    <w:rPr>
      <w:kern w:val="2"/>
      <w:sz w:val="21"/>
      <w:szCs w:val="24"/>
    </w:rPr>
  </w:style>
  <w:style w:type="character" w:customStyle="1" w:styleId="50">
    <w:name w:val="正文文本 3 Char"/>
    <w:link w:val="13"/>
    <w:qFormat/>
    <w:uiPriority w:val="0"/>
    <w:rPr>
      <w:kern w:val="2"/>
      <w:sz w:val="16"/>
      <w:szCs w:val="16"/>
    </w:rPr>
  </w:style>
  <w:style w:type="character" w:customStyle="1" w:styleId="51">
    <w:name w:val="正文文本 Char"/>
    <w:link w:val="14"/>
    <w:qFormat/>
    <w:uiPriority w:val="0"/>
    <w:rPr>
      <w:kern w:val="2"/>
      <w:sz w:val="28"/>
      <w:szCs w:val="30"/>
    </w:rPr>
  </w:style>
  <w:style w:type="character" w:customStyle="1" w:styleId="52">
    <w:name w:val="正文文本缩进 Char"/>
    <w:link w:val="15"/>
    <w:qFormat/>
    <w:uiPriority w:val="0"/>
    <w:rPr>
      <w:rFonts w:ascii="宋体" w:hAnsi="宋体" w:cs="宋体"/>
      <w:sz w:val="24"/>
      <w:szCs w:val="24"/>
    </w:rPr>
  </w:style>
  <w:style w:type="character" w:customStyle="1" w:styleId="53">
    <w:name w:val="纯文本 Char1"/>
    <w:link w:val="18"/>
    <w:qFormat/>
    <w:uiPriority w:val="0"/>
    <w:rPr>
      <w:rFonts w:ascii="宋体" w:hAnsi="Courier New" w:cs="黑体"/>
      <w:kern w:val="2"/>
      <w:sz w:val="21"/>
      <w:szCs w:val="21"/>
    </w:rPr>
  </w:style>
  <w:style w:type="character" w:customStyle="1" w:styleId="54">
    <w:name w:val="正文文本缩进 2 Char"/>
    <w:link w:val="20"/>
    <w:qFormat/>
    <w:uiPriority w:val="0"/>
    <w:rPr>
      <w:rFonts w:ascii="宋体" w:hAnsi="宋体" w:cs="宋体"/>
      <w:sz w:val="24"/>
      <w:szCs w:val="24"/>
    </w:rPr>
  </w:style>
  <w:style w:type="character" w:customStyle="1" w:styleId="55">
    <w:name w:val="批注框文本 Char"/>
    <w:link w:val="21"/>
    <w:qFormat/>
    <w:uiPriority w:val="0"/>
    <w:rPr>
      <w:kern w:val="2"/>
      <w:sz w:val="18"/>
      <w:szCs w:val="18"/>
    </w:rPr>
  </w:style>
  <w:style w:type="character" w:customStyle="1" w:styleId="56">
    <w:name w:val="页脚 Char1"/>
    <w:link w:val="22"/>
    <w:qFormat/>
    <w:uiPriority w:val="99"/>
    <w:rPr>
      <w:kern w:val="2"/>
      <w:sz w:val="18"/>
      <w:szCs w:val="18"/>
    </w:rPr>
  </w:style>
  <w:style w:type="character" w:customStyle="1" w:styleId="57">
    <w:name w:val="页眉 Char"/>
    <w:link w:val="23"/>
    <w:qFormat/>
    <w:uiPriority w:val="0"/>
    <w:rPr>
      <w:kern w:val="2"/>
      <w:sz w:val="18"/>
      <w:szCs w:val="18"/>
    </w:rPr>
  </w:style>
  <w:style w:type="character" w:customStyle="1" w:styleId="58">
    <w:name w:val="正文文本缩进 3 Char"/>
    <w:link w:val="27"/>
    <w:qFormat/>
    <w:uiPriority w:val="0"/>
    <w:rPr>
      <w:kern w:val="2"/>
      <w:sz w:val="16"/>
      <w:szCs w:val="16"/>
    </w:rPr>
  </w:style>
  <w:style w:type="character" w:customStyle="1" w:styleId="59">
    <w:name w:val="正文文本 2 Char"/>
    <w:link w:val="30"/>
    <w:qFormat/>
    <w:uiPriority w:val="0"/>
    <w:rPr>
      <w:kern w:val="2"/>
      <w:sz w:val="21"/>
      <w:szCs w:val="24"/>
    </w:rPr>
  </w:style>
  <w:style w:type="character" w:customStyle="1" w:styleId="60">
    <w:name w:val="标题 Char"/>
    <w:link w:val="32"/>
    <w:qFormat/>
    <w:uiPriority w:val="0"/>
    <w:rPr>
      <w:rFonts w:ascii="Arial" w:hAnsi="Arial" w:eastAsia="黑体" w:cs="Arial"/>
      <w:bCs/>
      <w:kern w:val="2"/>
      <w:sz w:val="28"/>
      <w:szCs w:val="32"/>
      <w:lang w:val="en-US" w:eastAsia="zh-CN" w:bidi="ar-SA"/>
    </w:rPr>
  </w:style>
  <w:style w:type="character" w:customStyle="1" w:styleId="61">
    <w:name w:val="批注主题 Char"/>
    <w:link w:val="33"/>
    <w:qFormat/>
    <w:uiPriority w:val="0"/>
    <w:rPr>
      <w:b/>
      <w:bCs/>
      <w:kern w:val="2"/>
      <w:sz w:val="21"/>
      <w:szCs w:val="24"/>
    </w:rPr>
  </w:style>
  <w:style w:type="character" w:customStyle="1" w:styleId="62">
    <w:name w:val="List Paragraph Char"/>
    <w:link w:val="63"/>
    <w:qFormat/>
    <w:uiPriority w:val="0"/>
    <w:rPr>
      <w:rFonts w:ascii="Calibri" w:hAnsi="Calibri" w:eastAsia="宋体"/>
      <w:kern w:val="2"/>
      <w:sz w:val="21"/>
      <w:lang w:val="en-US" w:eastAsia="zh-CN" w:bidi="ar-SA"/>
    </w:rPr>
  </w:style>
  <w:style w:type="paragraph" w:customStyle="1" w:styleId="63">
    <w:name w:val="列出段落1"/>
    <w:basedOn w:val="1"/>
    <w:link w:val="62"/>
    <w:qFormat/>
    <w:uiPriority w:val="0"/>
    <w:pPr>
      <w:ind w:firstLine="420" w:firstLineChars="200"/>
    </w:pPr>
    <w:rPr>
      <w:rFonts w:ascii="Calibri" w:hAnsi="Calibri"/>
      <w:szCs w:val="20"/>
    </w:rPr>
  </w:style>
  <w:style w:type="character" w:customStyle="1" w:styleId="64">
    <w:name w:val="页脚 Char"/>
    <w:qFormat/>
    <w:uiPriority w:val="99"/>
    <w:rPr>
      <w:kern w:val="2"/>
      <w:sz w:val="18"/>
      <w:szCs w:val="18"/>
    </w:rPr>
  </w:style>
  <w:style w:type="character" w:customStyle="1" w:styleId="65">
    <w:name w:val="27-正文 Char Char"/>
    <w:qFormat/>
    <w:uiPriority w:val="0"/>
    <w:rPr>
      <w:rFonts w:eastAsia="宋体"/>
      <w:kern w:val="2"/>
      <w:sz w:val="28"/>
      <w:szCs w:val="28"/>
      <w:lang w:val="en-US" w:eastAsia="zh-CN" w:bidi="ar-SA"/>
    </w:rPr>
  </w:style>
  <w:style w:type="character" w:customStyle="1" w:styleId="66">
    <w:name w:val="font01"/>
    <w:qFormat/>
    <w:uiPriority w:val="0"/>
    <w:rPr>
      <w:rFonts w:hint="eastAsia" w:ascii="宋体" w:hAnsi="宋体" w:eastAsia="宋体"/>
      <w:b/>
      <w:bCs/>
      <w:color w:val="000000"/>
      <w:sz w:val="18"/>
      <w:szCs w:val="18"/>
      <w:u w:val="none"/>
      <w:vertAlign w:val="superscript"/>
    </w:rPr>
  </w:style>
  <w:style w:type="character" w:customStyle="1" w:styleId="67">
    <w:name w:val="首行缩进:  2 字符 Char Char"/>
    <w:link w:val="68"/>
    <w:qFormat/>
    <w:uiPriority w:val="0"/>
    <w:rPr>
      <w:rFonts w:cs="宋体"/>
      <w:sz w:val="28"/>
    </w:rPr>
  </w:style>
  <w:style w:type="paragraph" w:customStyle="1" w:styleId="68">
    <w:name w:val="首行缩进:  2 字符"/>
    <w:basedOn w:val="1"/>
    <w:link w:val="67"/>
    <w:qFormat/>
    <w:uiPriority w:val="0"/>
    <w:pPr>
      <w:adjustRightInd w:val="0"/>
      <w:snapToGrid w:val="0"/>
      <w:spacing w:line="500" w:lineRule="exact"/>
      <w:ind w:firstLine="200" w:firstLineChars="200"/>
    </w:pPr>
    <w:rPr>
      <w:kern w:val="0"/>
      <w:sz w:val="28"/>
      <w:szCs w:val="20"/>
    </w:rPr>
  </w:style>
  <w:style w:type="character" w:customStyle="1" w:styleId="69">
    <w:name w:val="27-二级 Char"/>
    <w:link w:val="70"/>
    <w:qFormat/>
    <w:uiPriority w:val="0"/>
    <w:rPr>
      <w:rFonts w:eastAsia="宋体"/>
      <w:b/>
      <w:kern w:val="2"/>
      <w:sz w:val="28"/>
      <w:szCs w:val="28"/>
      <w:lang w:bidi="ar-SA"/>
    </w:rPr>
  </w:style>
  <w:style w:type="paragraph" w:customStyle="1" w:styleId="70">
    <w:name w:val="27-二级"/>
    <w:basedOn w:val="1"/>
    <w:link w:val="69"/>
    <w:qFormat/>
    <w:uiPriority w:val="0"/>
    <w:pPr>
      <w:keepNext/>
      <w:keepLines/>
      <w:spacing w:line="540" w:lineRule="exact"/>
      <w:outlineLvl w:val="1"/>
    </w:pPr>
    <w:rPr>
      <w:b/>
      <w:sz w:val="28"/>
      <w:szCs w:val="28"/>
    </w:rPr>
  </w:style>
  <w:style w:type="character" w:customStyle="1" w:styleId="71">
    <w:name w:val="font51"/>
    <w:qFormat/>
    <w:uiPriority w:val="0"/>
    <w:rPr>
      <w:rFonts w:hint="eastAsia" w:ascii="宋体" w:hAnsi="宋体" w:eastAsia="宋体"/>
      <w:color w:val="000000"/>
      <w:sz w:val="20"/>
      <w:szCs w:val="20"/>
      <w:u w:val="none"/>
      <w:vertAlign w:val="superscript"/>
    </w:rPr>
  </w:style>
  <w:style w:type="character" w:customStyle="1" w:styleId="72">
    <w:name w:val="标题 3 Char1"/>
    <w:qFormat/>
    <w:uiPriority w:val="0"/>
    <w:rPr>
      <w:rFonts w:eastAsia="宋体"/>
      <w:bCs/>
      <w:kern w:val="2"/>
      <w:sz w:val="28"/>
      <w:szCs w:val="32"/>
      <w:lang w:val="en-US" w:eastAsia="zh-CN" w:bidi="ar-SA"/>
    </w:rPr>
  </w:style>
  <w:style w:type="character" w:customStyle="1" w:styleId="73">
    <w:name w:val="样式 华文新魏"/>
    <w:qFormat/>
    <w:uiPriority w:val="0"/>
    <w:rPr>
      <w:rFonts w:ascii="华文新魏" w:hAnsi="华文新魏" w:eastAsia="华文新魏"/>
    </w:rPr>
  </w:style>
  <w:style w:type="character" w:customStyle="1" w:styleId="74">
    <w:name w:val="复垦表格 Char"/>
    <w:link w:val="75"/>
    <w:qFormat/>
    <w:uiPriority w:val="0"/>
    <w:rPr>
      <w:rFonts w:eastAsia="仿宋_GB2312"/>
      <w:szCs w:val="24"/>
    </w:rPr>
  </w:style>
  <w:style w:type="paragraph" w:customStyle="1" w:styleId="75">
    <w:name w:val="复垦表格"/>
    <w:basedOn w:val="1"/>
    <w:link w:val="74"/>
    <w:qFormat/>
    <w:uiPriority w:val="0"/>
    <w:pPr>
      <w:widowControl w:val="0"/>
      <w:jc w:val="both"/>
    </w:pPr>
    <w:rPr>
      <w:rFonts w:eastAsia="仿宋_GB2312"/>
      <w:kern w:val="0"/>
      <w:sz w:val="20"/>
    </w:rPr>
  </w:style>
  <w:style w:type="character" w:customStyle="1" w:styleId="76">
    <w:name w:val="页脚 字符"/>
    <w:qFormat/>
    <w:uiPriority w:val="99"/>
  </w:style>
  <w:style w:type="character" w:customStyle="1" w:styleId="77">
    <w:name w:val="apple-style-span"/>
    <w:qFormat/>
    <w:uiPriority w:val="0"/>
  </w:style>
  <w:style w:type="character" w:customStyle="1" w:styleId="78">
    <w:name w:val="Char Char6"/>
    <w:qFormat/>
    <w:uiPriority w:val="0"/>
    <w:rPr>
      <w:rFonts w:eastAsia="宋体"/>
      <w:bCs/>
      <w:kern w:val="2"/>
      <w:sz w:val="28"/>
      <w:szCs w:val="32"/>
      <w:lang w:val="en-US" w:eastAsia="zh-CN" w:bidi="ar-SA"/>
    </w:rPr>
  </w:style>
  <w:style w:type="character" w:customStyle="1" w:styleId="79">
    <w:name w:val="font71"/>
    <w:qFormat/>
    <w:uiPriority w:val="0"/>
    <w:rPr>
      <w:rFonts w:hint="eastAsia" w:ascii="仿宋_GB2312" w:eastAsia="仿宋_GB2312"/>
      <w:color w:val="000000"/>
      <w:sz w:val="24"/>
      <w:szCs w:val="24"/>
      <w:u w:val="none"/>
    </w:rPr>
  </w:style>
  <w:style w:type="character" w:customStyle="1" w:styleId="80">
    <w:name w:val="font41"/>
    <w:qFormat/>
    <w:uiPriority w:val="0"/>
    <w:rPr>
      <w:rFonts w:hint="default" w:ascii="Times New Roman" w:hAnsi="Times New Roman" w:cs="Times New Roman"/>
      <w:color w:val="000000"/>
      <w:sz w:val="22"/>
      <w:szCs w:val="22"/>
      <w:u w:val="none"/>
    </w:rPr>
  </w:style>
  <w:style w:type="character" w:customStyle="1" w:styleId="81">
    <w:name w:val="Char Char23"/>
    <w:qFormat/>
    <w:uiPriority w:val="0"/>
    <w:rPr>
      <w:rFonts w:eastAsia="宋体"/>
      <w:sz w:val="24"/>
      <w:lang w:val="en-US" w:eastAsia="zh-CN" w:bidi="ar-SA"/>
    </w:rPr>
  </w:style>
  <w:style w:type="character" w:customStyle="1" w:styleId="82">
    <w:name w:val="复垦正文 Char"/>
    <w:link w:val="83"/>
    <w:qFormat/>
    <w:uiPriority w:val="0"/>
    <w:rPr>
      <w:rFonts w:eastAsia="宋体"/>
      <w:kern w:val="2"/>
      <w:sz w:val="24"/>
      <w:szCs w:val="24"/>
      <w:lang w:val="en-US" w:eastAsia="zh-CN" w:bidi="ar-SA"/>
    </w:rPr>
  </w:style>
  <w:style w:type="paragraph" w:customStyle="1" w:styleId="83">
    <w:name w:val="复垦正文"/>
    <w:basedOn w:val="1"/>
    <w:link w:val="82"/>
    <w:qFormat/>
    <w:uiPriority w:val="0"/>
    <w:pPr>
      <w:spacing w:line="360" w:lineRule="auto"/>
      <w:ind w:firstLine="480" w:firstLineChars="200"/>
    </w:pPr>
    <w:rPr>
      <w:sz w:val="24"/>
    </w:rPr>
  </w:style>
  <w:style w:type="character" w:customStyle="1" w:styleId="84">
    <w:name w:val="font21"/>
    <w:qFormat/>
    <w:uiPriority w:val="0"/>
    <w:rPr>
      <w:rFonts w:hint="eastAsia" w:ascii="宋体" w:hAnsi="宋体" w:eastAsia="宋体"/>
      <w:color w:val="000000"/>
      <w:sz w:val="22"/>
      <w:szCs w:val="22"/>
      <w:u w:val="none"/>
    </w:rPr>
  </w:style>
  <w:style w:type="character" w:customStyle="1" w:styleId="85">
    <w:name w:val="表标题 Char"/>
    <w:qFormat/>
    <w:uiPriority w:val="0"/>
    <w:rPr>
      <w:rFonts w:ascii="黑体" w:hAnsi="黑体" w:eastAsia="黑体" w:cs="Times New Roman"/>
      <w:szCs w:val="21"/>
    </w:rPr>
  </w:style>
  <w:style w:type="character" w:customStyle="1" w:styleId="86">
    <w:name w:val="27-正文 Char"/>
    <w:link w:val="87"/>
    <w:qFormat/>
    <w:uiPriority w:val="0"/>
    <w:rPr>
      <w:rFonts w:eastAsia="宋体"/>
      <w:kern w:val="2"/>
      <w:sz w:val="28"/>
      <w:szCs w:val="28"/>
      <w:lang w:val="en-US" w:eastAsia="zh-CN" w:bidi="ar-SA"/>
    </w:rPr>
  </w:style>
  <w:style w:type="paragraph" w:customStyle="1" w:styleId="87">
    <w:name w:val="27-正文"/>
    <w:basedOn w:val="1"/>
    <w:link w:val="86"/>
    <w:qFormat/>
    <w:uiPriority w:val="0"/>
    <w:pPr>
      <w:spacing w:line="480" w:lineRule="exact"/>
      <w:ind w:firstLine="200" w:firstLineChars="200"/>
    </w:pPr>
    <w:rPr>
      <w:sz w:val="28"/>
      <w:szCs w:val="28"/>
    </w:rPr>
  </w:style>
  <w:style w:type="character" w:customStyle="1" w:styleId="88">
    <w:name w:val="title"/>
    <w:qFormat/>
    <w:uiPriority w:val="0"/>
  </w:style>
  <w:style w:type="character" w:customStyle="1" w:styleId="89">
    <w:name w:val="表标题 Char Char"/>
    <w:link w:val="90"/>
    <w:qFormat/>
    <w:uiPriority w:val="0"/>
    <w:rPr>
      <w:rFonts w:ascii="黑体" w:hAnsi="宋体" w:eastAsia="黑体" w:cs="宋体"/>
      <w:kern w:val="2"/>
      <w:sz w:val="21"/>
      <w:szCs w:val="21"/>
      <w:lang w:val="en-US" w:eastAsia="zh-CN" w:bidi="ar-SA"/>
    </w:rPr>
  </w:style>
  <w:style w:type="paragraph" w:customStyle="1" w:styleId="90">
    <w:name w:val="表标题"/>
    <w:link w:val="89"/>
    <w:qFormat/>
    <w:uiPriority w:val="0"/>
    <w:pPr>
      <w:widowControl w:val="0"/>
      <w:tabs>
        <w:tab w:val="center" w:pos="4153"/>
        <w:tab w:val="left" w:pos="6630"/>
      </w:tabs>
      <w:jc w:val="center"/>
    </w:pPr>
    <w:rPr>
      <w:rFonts w:ascii="黑体" w:hAnsi="宋体" w:eastAsia="黑体" w:cs="宋体"/>
      <w:kern w:val="2"/>
      <w:sz w:val="21"/>
      <w:szCs w:val="21"/>
      <w:lang w:val="en-US" w:eastAsia="zh-CN" w:bidi="ar-SA"/>
    </w:rPr>
  </w:style>
  <w:style w:type="character" w:customStyle="1" w:styleId="91">
    <w:name w:val="批注文字 字符"/>
    <w:qFormat/>
    <w:uiPriority w:val="99"/>
    <w:rPr>
      <w:kern w:val="2"/>
      <w:sz w:val="21"/>
      <w:szCs w:val="24"/>
    </w:rPr>
  </w:style>
  <w:style w:type="character" w:customStyle="1" w:styleId="92">
    <w:name w:val="表格 Char"/>
    <w:link w:val="93"/>
    <w:qFormat/>
    <w:uiPriority w:val="0"/>
    <w:rPr>
      <w:rFonts w:eastAsia="仿宋_GB2312"/>
      <w:sz w:val="21"/>
      <w:szCs w:val="24"/>
      <w:lang w:val="en-US" w:eastAsia="zh-CN" w:bidi="ar-SA"/>
    </w:rPr>
  </w:style>
  <w:style w:type="paragraph" w:customStyle="1" w:styleId="93">
    <w:name w:val="表格"/>
    <w:basedOn w:val="10"/>
    <w:link w:val="92"/>
    <w:qFormat/>
    <w:uiPriority w:val="0"/>
    <w:pPr>
      <w:widowControl w:val="0"/>
      <w:wordWrap w:val="0"/>
      <w:jc w:val="center"/>
    </w:pPr>
    <w:rPr>
      <w:rFonts w:ascii="Times New Roman" w:hAnsi="Times New Roman" w:eastAsia="仿宋_GB2312" w:cs="Times New Roman"/>
      <w:sz w:val="21"/>
      <w:szCs w:val="24"/>
      <w:lang w:val="en-US" w:eastAsia="zh-CN" w:bidi="ar-SA"/>
    </w:rPr>
  </w:style>
  <w:style w:type="character" w:customStyle="1" w:styleId="94">
    <w:name w:val="样式 表标题 + Times New Roman1 Char"/>
    <w:link w:val="95"/>
    <w:qFormat/>
    <w:uiPriority w:val="0"/>
    <w:rPr>
      <w:rFonts w:hAnsi="黑体" w:eastAsia="黑体"/>
      <w:kern w:val="2"/>
      <w:sz w:val="21"/>
      <w:szCs w:val="21"/>
    </w:rPr>
  </w:style>
  <w:style w:type="paragraph" w:customStyle="1" w:styleId="95">
    <w:name w:val="样式 表标题 + Times New Roman1"/>
    <w:basedOn w:val="1"/>
    <w:link w:val="94"/>
    <w:qFormat/>
    <w:uiPriority w:val="0"/>
    <w:pPr>
      <w:widowControl w:val="0"/>
      <w:tabs>
        <w:tab w:val="center" w:pos="4153"/>
        <w:tab w:val="left" w:pos="6630"/>
      </w:tabs>
      <w:adjustRightInd w:val="0"/>
      <w:snapToGrid w:val="0"/>
      <w:jc w:val="center"/>
    </w:pPr>
    <w:rPr>
      <w:rFonts w:hAnsi="黑体" w:eastAsia="黑体"/>
      <w:szCs w:val="21"/>
    </w:rPr>
  </w:style>
  <w:style w:type="character" w:customStyle="1" w:styleId="96">
    <w:name w:val="Subtle Emphasis"/>
    <w:qFormat/>
    <w:uiPriority w:val="0"/>
    <w:rPr>
      <w:i/>
      <w:iCs/>
      <w:color w:val="808080"/>
    </w:rPr>
  </w:style>
  <w:style w:type="character" w:customStyle="1" w:styleId="97">
    <w:name w:val="show-img-bd"/>
    <w:qFormat/>
    <w:uiPriority w:val="0"/>
  </w:style>
  <w:style w:type="character" w:customStyle="1" w:styleId="98">
    <w:name w:val="[1]正文 Char"/>
    <w:link w:val="99"/>
    <w:qFormat/>
    <w:uiPriority w:val="0"/>
    <w:rPr>
      <w:rFonts w:eastAsia="宋体"/>
      <w:sz w:val="24"/>
      <w:szCs w:val="28"/>
      <w:lang w:bidi="ar-SA"/>
    </w:rPr>
  </w:style>
  <w:style w:type="paragraph" w:customStyle="1" w:styleId="99">
    <w:name w:val="[1]正文"/>
    <w:basedOn w:val="1"/>
    <w:link w:val="98"/>
    <w:qFormat/>
    <w:uiPriority w:val="0"/>
    <w:pPr>
      <w:snapToGrid w:val="0"/>
      <w:spacing w:before="120" w:after="120" w:line="440" w:lineRule="exact"/>
      <w:ind w:firstLine="200" w:firstLineChars="200"/>
    </w:pPr>
    <w:rPr>
      <w:kern w:val="0"/>
      <w:sz w:val="24"/>
      <w:szCs w:val="28"/>
    </w:rPr>
  </w:style>
  <w:style w:type="character" w:customStyle="1" w:styleId="100">
    <w:name w:val="Char Char Char1"/>
    <w:link w:val="101"/>
    <w:qFormat/>
    <w:locked/>
    <w:uiPriority w:val="0"/>
    <w:rPr>
      <w:kern w:val="2"/>
      <w:sz w:val="21"/>
      <w:szCs w:val="24"/>
    </w:rPr>
  </w:style>
  <w:style w:type="paragraph" w:customStyle="1" w:styleId="101">
    <w:name w:val="Char Char"/>
    <w:basedOn w:val="1"/>
    <w:link w:val="100"/>
    <w:qFormat/>
    <w:uiPriority w:val="0"/>
  </w:style>
  <w:style w:type="character" w:customStyle="1" w:styleId="102">
    <w:name w:val="zw1 Char"/>
    <w:link w:val="103"/>
    <w:qFormat/>
    <w:uiPriority w:val="0"/>
    <w:rPr>
      <w:color w:val="000000"/>
      <w:kern w:val="8"/>
      <w:sz w:val="24"/>
      <w:szCs w:val="24"/>
    </w:rPr>
  </w:style>
  <w:style w:type="paragraph" w:customStyle="1" w:styleId="103">
    <w:name w:val="zw1"/>
    <w:basedOn w:val="1"/>
    <w:link w:val="102"/>
    <w:qFormat/>
    <w:uiPriority w:val="0"/>
    <w:pPr>
      <w:spacing w:line="360" w:lineRule="auto"/>
      <w:ind w:right="-107" w:rightChars="-51" w:firstLine="480" w:firstLineChars="200"/>
    </w:pPr>
    <w:rPr>
      <w:color w:val="000000"/>
      <w:kern w:val="8"/>
      <w:sz w:val="24"/>
    </w:rPr>
  </w:style>
  <w:style w:type="character" w:customStyle="1" w:styleId="104">
    <w:name w:val="font81"/>
    <w:qFormat/>
    <w:uiPriority w:val="0"/>
    <w:rPr>
      <w:rFonts w:hint="eastAsia" w:ascii="仿宋_GB2312" w:eastAsia="仿宋_GB2312"/>
      <w:color w:val="000000"/>
      <w:sz w:val="24"/>
      <w:szCs w:val="24"/>
      <w:u w:val="none"/>
    </w:rPr>
  </w:style>
  <w:style w:type="character" w:customStyle="1" w:styleId="105">
    <w:name w:val="无间隔 Char Char"/>
    <w:qFormat/>
    <w:uiPriority w:val="0"/>
    <w:rPr>
      <w:rFonts w:ascii="Calibri" w:hAnsi="Calibri" w:eastAsia="宋体"/>
      <w:sz w:val="28"/>
      <w:szCs w:val="32"/>
      <w:lang w:val="en-US" w:eastAsia="en-US" w:bidi="en-US"/>
    </w:rPr>
  </w:style>
  <w:style w:type="character" w:customStyle="1" w:styleId="106">
    <w:name w:val="font61"/>
    <w:qFormat/>
    <w:uiPriority w:val="0"/>
    <w:rPr>
      <w:rFonts w:hint="eastAsia" w:ascii="仿宋_GB2312" w:eastAsia="仿宋_GB2312"/>
      <w:color w:val="000000"/>
      <w:sz w:val="22"/>
      <w:szCs w:val="22"/>
      <w:u w:val="none"/>
    </w:rPr>
  </w:style>
  <w:style w:type="character" w:customStyle="1" w:styleId="107">
    <w:name w:val="font31"/>
    <w:qFormat/>
    <w:uiPriority w:val="0"/>
    <w:rPr>
      <w:rFonts w:hint="eastAsia" w:ascii="仿宋_GB2312" w:eastAsia="仿宋_GB2312"/>
      <w:color w:val="000000"/>
      <w:sz w:val="24"/>
      <w:szCs w:val="24"/>
      <w:u w:val="none"/>
    </w:rPr>
  </w:style>
  <w:style w:type="character" w:customStyle="1" w:styleId="108">
    <w:name w:val="表格文字 Char Char"/>
    <w:qFormat/>
    <w:uiPriority w:val="0"/>
    <w:rPr>
      <w:rFonts w:ascii="仿宋_GB2312" w:hAnsi="Arial Black" w:eastAsia="仿宋_GB2312" w:cs="Times New Roman"/>
      <w:kern w:val="44"/>
      <w:sz w:val="24"/>
      <w:szCs w:val="20"/>
    </w:rPr>
  </w:style>
  <w:style w:type="character" w:customStyle="1" w:styleId="109">
    <w:name w:val="27-四级 Char"/>
    <w:link w:val="110"/>
    <w:qFormat/>
    <w:uiPriority w:val="0"/>
    <w:rPr>
      <w:rFonts w:eastAsia="宋体"/>
      <w:bCs/>
      <w:kern w:val="2"/>
      <w:sz w:val="28"/>
      <w:szCs w:val="28"/>
      <w:lang w:bidi="en-US"/>
    </w:rPr>
  </w:style>
  <w:style w:type="paragraph" w:customStyle="1" w:styleId="110">
    <w:name w:val="27-四级"/>
    <w:basedOn w:val="1"/>
    <w:link w:val="109"/>
    <w:qFormat/>
    <w:uiPriority w:val="0"/>
    <w:pPr>
      <w:keepNext/>
      <w:keepLines/>
      <w:spacing w:line="540" w:lineRule="exact"/>
      <w:outlineLvl w:val="3"/>
    </w:pPr>
    <w:rPr>
      <w:bCs/>
      <w:sz w:val="28"/>
      <w:szCs w:val="28"/>
      <w:lang w:bidi="en-US"/>
    </w:rPr>
  </w:style>
  <w:style w:type="character" w:customStyle="1" w:styleId="111">
    <w:name w:val="无间隔 Char"/>
    <w:link w:val="112"/>
    <w:qFormat/>
    <w:uiPriority w:val="0"/>
    <w:rPr>
      <w:rFonts w:ascii="Calibri" w:hAnsi="Calibri" w:eastAsia="宋体"/>
      <w:sz w:val="28"/>
      <w:szCs w:val="32"/>
      <w:lang w:val="en-US" w:eastAsia="en-US" w:bidi="en-US"/>
    </w:rPr>
  </w:style>
  <w:style w:type="paragraph" w:customStyle="1" w:styleId="112">
    <w:name w:val="无间隔1"/>
    <w:basedOn w:val="1"/>
    <w:next w:val="14"/>
    <w:link w:val="111"/>
    <w:qFormat/>
    <w:uiPriority w:val="0"/>
    <w:pPr>
      <w:spacing w:line="360" w:lineRule="auto"/>
    </w:pPr>
    <w:rPr>
      <w:rFonts w:ascii="Calibri" w:hAnsi="Calibri"/>
      <w:kern w:val="0"/>
      <w:sz w:val="28"/>
      <w:szCs w:val="32"/>
      <w:lang w:eastAsia="en-US" w:bidi="en-US"/>
    </w:rPr>
  </w:style>
  <w:style w:type="character" w:customStyle="1" w:styleId="113">
    <w:name w:val="表格文字 Char"/>
    <w:link w:val="114"/>
    <w:qFormat/>
    <w:uiPriority w:val="0"/>
    <w:rPr>
      <w:rFonts w:eastAsia="宋体"/>
      <w:bCs/>
      <w:kern w:val="2"/>
      <w:sz w:val="21"/>
      <w:szCs w:val="28"/>
      <w:lang w:val="en-US" w:eastAsia="zh-CN" w:bidi="ar-SA"/>
    </w:rPr>
  </w:style>
  <w:style w:type="paragraph" w:customStyle="1" w:styleId="114">
    <w:name w:val="表格文字"/>
    <w:basedOn w:val="1"/>
    <w:link w:val="113"/>
    <w:qFormat/>
    <w:uiPriority w:val="0"/>
    <w:pPr>
      <w:adjustRightInd w:val="0"/>
      <w:snapToGrid w:val="0"/>
      <w:jc w:val="center"/>
    </w:pPr>
    <w:rPr>
      <w:bCs/>
      <w:szCs w:val="28"/>
    </w:rPr>
  </w:style>
  <w:style w:type="character" w:customStyle="1" w:styleId="115">
    <w:name w:val="内容 Char"/>
    <w:link w:val="116"/>
    <w:qFormat/>
    <w:uiPriority w:val="0"/>
    <w:rPr>
      <w:kern w:val="2"/>
      <w:sz w:val="24"/>
      <w:szCs w:val="28"/>
    </w:rPr>
  </w:style>
  <w:style w:type="paragraph" w:customStyle="1" w:styleId="116">
    <w:name w:val="内容"/>
    <w:basedOn w:val="1"/>
    <w:link w:val="115"/>
    <w:qFormat/>
    <w:uiPriority w:val="0"/>
    <w:pPr>
      <w:widowControl w:val="0"/>
      <w:spacing w:line="360" w:lineRule="auto"/>
      <w:ind w:firstLine="200" w:firstLineChars="200"/>
      <w:jc w:val="both"/>
    </w:pPr>
    <w:rPr>
      <w:sz w:val="24"/>
      <w:szCs w:val="28"/>
    </w:rPr>
  </w:style>
  <w:style w:type="character" w:customStyle="1" w:styleId="117">
    <w:name w:val="Char Char7"/>
    <w:qFormat/>
    <w:uiPriority w:val="0"/>
    <w:rPr>
      <w:rFonts w:ascii="Calibri" w:hAnsi="Calibri" w:eastAsia="宋体" w:cs="宋体"/>
      <w:sz w:val="24"/>
      <w:lang w:eastAsia="en-US" w:bidi="ar-SA"/>
    </w:rPr>
  </w:style>
  <w:style w:type="character" w:customStyle="1" w:styleId="118">
    <w:name w:val="段 Char Char"/>
    <w:link w:val="119"/>
    <w:qFormat/>
    <w:locked/>
    <w:uiPriority w:val="0"/>
    <w:rPr>
      <w:rFonts w:ascii="宋体"/>
      <w:kern w:val="2"/>
      <w:sz w:val="22"/>
      <w:lang w:val="en-US" w:eastAsia="zh-CN" w:bidi="ar-SA"/>
    </w:rPr>
  </w:style>
  <w:style w:type="paragraph" w:customStyle="1" w:styleId="119">
    <w:name w:val="段"/>
    <w:link w:val="118"/>
    <w:qFormat/>
    <w:uiPriority w:val="0"/>
    <w:pPr>
      <w:autoSpaceDE w:val="0"/>
      <w:autoSpaceDN w:val="0"/>
      <w:ind w:firstLine="200" w:firstLineChars="200"/>
      <w:jc w:val="both"/>
    </w:pPr>
    <w:rPr>
      <w:rFonts w:ascii="宋体" w:hAnsi="Times New Roman" w:eastAsia="宋体" w:cs="Times New Roman"/>
      <w:kern w:val="2"/>
      <w:sz w:val="22"/>
      <w:lang w:val="en-US" w:eastAsia="zh-CN" w:bidi="ar-SA"/>
    </w:rPr>
  </w:style>
  <w:style w:type="character" w:customStyle="1" w:styleId="120">
    <w:name w:val="font11"/>
    <w:qFormat/>
    <w:uiPriority w:val="0"/>
    <w:rPr>
      <w:rFonts w:hint="eastAsia" w:ascii="宋体" w:hAnsi="宋体" w:eastAsia="宋体"/>
      <w:color w:val="000000"/>
      <w:sz w:val="22"/>
      <w:szCs w:val="22"/>
      <w:u w:val="none"/>
      <w:vertAlign w:val="subscript"/>
    </w:rPr>
  </w:style>
  <w:style w:type="character" w:customStyle="1" w:styleId="121">
    <w:name w:val="正文 Char"/>
    <w:link w:val="122"/>
    <w:qFormat/>
    <w:locked/>
    <w:uiPriority w:val="0"/>
    <w:rPr>
      <w:kern w:val="2"/>
      <w:sz w:val="28"/>
      <w:lang w:val="en-US" w:eastAsia="zh-CN" w:bidi="ar-SA"/>
    </w:rPr>
  </w:style>
  <w:style w:type="paragraph" w:customStyle="1" w:styleId="122">
    <w:name w:val="正文2"/>
    <w:link w:val="121"/>
    <w:qFormat/>
    <w:uiPriority w:val="0"/>
    <w:pPr>
      <w:spacing w:line="360" w:lineRule="auto"/>
      <w:ind w:firstLine="560" w:firstLineChars="200"/>
    </w:pPr>
    <w:rPr>
      <w:rFonts w:ascii="Times New Roman" w:hAnsi="Times New Roman" w:eastAsia="宋体" w:cs="Times New Roman"/>
      <w:kern w:val="2"/>
      <w:sz w:val="28"/>
      <w:lang w:val="en-US" w:eastAsia="zh-CN" w:bidi="ar-SA"/>
    </w:rPr>
  </w:style>
  <w:style w:type="character" w:customStyle="1" w:styleId="123">
    <w:name w:val="表头 Char"/>
    <w:link w:val="124"/>
    <w:qFormat/>
    <w:uiPriority w:val="0"/>
    <w:rPr>
      <w:rFonts w:ascii="宋体" w:hAnsi="宋体" w:eastAsia="宋体"/>
      <w:b/>
      <w:bCs/>
      <w:kern w:val="2"/>
      <w:sz w:val="24"/>
      <w:szCs w:val="28"/>
      <w:lang w:val="en-US" w:eastAsia="zh-CN" w:bidi="ar-SA"/>
    </w:rPr>
  </w:style>
  <w:style w:type="paragraph" w:customStyle="1" w:styleId="124">
    <w:name w:val="表头"/>
    <w:basedOn w:val="1"/>
    <w:link w:val="123"/>
    <w:qFormat/>
    <w:uiPriority w:val="0"/>
    <w:pPr>
      <w:adjustRightInd w:val="0"/>
      <w:snapToGrid w:val="0"/>
      <w:jc w:val="center"/>
    </w:pPr>
    <w:rPr>
      <w:rFonts w:ascii="宋体" w:hAnsi="宋体"/>
      <w:b/>
      <w:bCs/>
      <w:sz w:val="24"/>
      <w:szCs w:val="28"/>
    </w:rPr>
  </w:style>
  <w:style w:type="character" w:customStyle="1" w:styleId="125">
    <w:name w:val="27-三级 Char"/>
    <w:link w:val="126"/>
    <w:qFormat/>
    <w:uiPriority w:val="0"/>
    <w:rPr>
      <w:rFonts w:eastAsia="宋体"/>
      <w:bCs/>
      <w:kern w:val="2"/>
      <w:sz w:val="28"/>
      <w:szCs w:val="28"/>
      <w:lang w:bidi="ar-SA"/>
    </w:rPr>
  </w:style>
  <w:style w:type="paragraph" w:customStyle="1" w:styleId="126">
    <w:name w:val="27-三级"/>
    <w:basedOn w:val="1"/>
    <w:link w:val="125"/>
    <w:qFormat/>
    <w:uiPriority w:val="0"/>
    <w:pPr>
      <w:keepNext/>
      <w:keepLines/>
      <w:spacing w:line="540" w:lineRule="exact"/>
      <w:outlineLvl w:val="2"/>
    </w:pPr>
    <w:rPr>
      <w:bCs/>
      <w:sz w:val="28"/>
      <w:szCs w:val="28"/>
    </w:rPr>
  </w:style>
  <w:style w:type="character" w:customStyle="1" w:styleId="127">
    <w:name w:val="1-正文 Char"/>
    <w:link w:val="128"/>
    <w:qFormat/>
    <w:uiPriority w:val="0"/>
    <w:rPr>
      <w:kern w:val="2"/>
      <w:sz w:val="28"/>
      <w:szCs w:val="28"/>
    </w:rPr>
  </w:style>
  <w:style w:type="paragraph" w:customStyle="1" w:styleId="128">
    <w:name w:val="1-正文"/>
    <w:basedOn w:val="1"/>
    <w:link w:val="127"/>
    <w:qFormat/>
    <w:uiPriority w:val="0"/>
    <w:pPr>
      <w:widowControl w:val="0"/>
      <w:spacing w:line="360" w:lineRule="auto"/>
      <w:ind w:firstLine="200" w:firstLineChars="200"/>
      <w:jc w:val="both"/>
    </w:pPr>
    <w:rPr>
      <w:sz w:val="28"/>
      <w:szCs w:val="28"/>
    </w:rPr>
  </w:style>
  <w:style w:type="character" w:customStyle="1" w:styleId="129">
    <w:name w:val="未处理的提及"/>
    <w:unhideWhenUsed/>
    <w:qFormat/>
    <w:uiPriority w:val="99"/>
    <w:rPr>
      <w:color w:val="605E5C"/>
      <w:shd w:val="clear" w:color="auto" w:fill="E1DFDD"/>
    </w:rPr>
  </w:style>
  <w:style w:type="paragraph" w:customStyle="1" w:styleId="130">
    <w:name w:val="reader-word-layer reader-word-s3-3"/>
    <w:basedOn w:val="1"/>
    <w:qFormat/>
    <w:uiPriority w:val="0"/>
    <w:pPr>
      <w:spacing w:before="100" w:beforeAutospacing="1" w:after="100" w:afterAutospacing="1"/>
    </w:pPr>
    <w:rPr>
      <w:rFonts w:ascii="宋体" w:hAnsi="宋体" w:cs="宋体"/>
      <w:kern w:val="0"/>
      <w:sz w:val="24"/>
    </w:rPr>
  </w:style>
  <w:style w:type="paragraph" w:customStyle="1" w:styleId="131">
    <w:name w:val="列出段落11"/>
    <w:basedOn w:val="1"/>
    <w:qFormat/>
    <w:uiPriority w:val="0"/>
    <w:pPr>
      <w:ind w:firstLine="420" w:firstLineChars="200"/>
    </w:pPr>
    <w:rPr>
      <w:szCs w:val="21"/>
    </w:rPr>
  </w:style>
  <w:style w:type="paragraph" w:customStyle="1" w:styleId="132">
    <w:name w:val="0正"/>
    <w:basedOn w:val="1"/>
    <w:qFormat/>
    <w:uiPriority w:val="0"/>
    <w:pPr>
      <w:snapToGrid w:val="0"/>
      <w:spacing w:line="560" w:lineRule="exact"/>
      <w:ind w:firstLine="200" w:firstLineChars="200"/>
      <w:contextualSpacing/>
    </w:pPr>
    <w:rPr>
      <w:rFonts w:ascii="宋体" w:hAnsi="Cambria Math" w:cs="宋体"/>
      <w:snapToGrid w:val="0"/>
      <w:kern w:val="0"/>
      <w:sz w:val="28"/>
      <w:szCs w:val="21"/>
    </w:rPr>
  </w:style>
  <w:style w:type="paragraph" w:customStyle="1" w:styleId="133">
    <w:name w:val="reader-word-layer reader-word-s3-6"/>
    <w:basedOn w:val="1"/>
    <w:qFormat/>
    <w:uiPriority w:val="0"/>
    <w:pPr>
      <w:spacing w:before="100" w:beforeAutospacing="1" w:after="100" w:afterAutospacing="1"/>
    </w:pPr>
    <w:rPr>
      <w:rFonts w:ascii="宋体" w:hAnsi="宋体" w:cs="宋体"/>
      <w:kern w:val="0"/>
      <w:sz w:val="24"/>
    </w:rPr>
  </w:style>
  <w:style w:type="paragraph" w:customStyle="1" w:styleId="134">
    <w:name w:val="复垦表名图名"/>
    <w:basedOn w:val="1"/>
    <w:qFormat/>
    <w:uiPriority w:val="0"/>
    <w:pPr>
      <w:spacing w:line="360" w:lineRule="auto"/>
      <w:ind w:firstLine="480" w:firstLineChars="200"/>
      <w:jc w:val="center"/>
    </w:pPr>
    <w:rPr>
      <w:rFonts w:eastAsia="黑体"/>
      <w:b/>
    </w:rPr>
  </w:style>
  <w:style w:type="paragraph" w:customStyle="1" w:styleId="135">
    <w:name w:val="Char Char21 Char Char"/>
    <w:basedOn w:val="1"/>
    <w:next w:val="2"/>
    <w:qFormat/>
    <w:uiPriority w:val="0"/>
    <w:pPr>
      <w:widowControl w:val="0"/>
      <w:jc w:val="both"/>
    </w:pPr>
    <w:rPr>
      <w:szCs w:val="20"/>
    </w:rPr>
  </w:style>
  <w:style w:type="paragraph" w:customStyle="1" w:styleId="136">
    <w:name w:val="3级"/>
    <w:next w:val="1"/>
    <w:qFormat/>
    <w:uiPriority w:val="0"/>
    <w:pPr>
      <w:snapToGrid w:val="0"/>
      <w:spacing w:line="560" w:lineRule="exact"/>
      <w:outlineLvl w:val="2"/>
    </w:pPr>
    <w:rPr>
      <w:rFonts w:ascii="宋体" w:hAnsi="Times New Roman" w:eastAsia="宋体" w:cs="Times New Roman"/>
      <w:b/>
      <w:kern w:val="2"/>
      <w:sz w:val="28"/>
      <w:szCs w:val="24"/>
      <w:lang w:val="en-US" w:eastAsia="zh-CN" w:bidi="ar-SA"/>
    </w:rPr>
  </w:style>
  <w:style w:type="paragraph" w:styleId="137">
    <w:name w:val="List Paragraph"/>
    <w:basedOn w:val="1"/>
    <w:qFormat/>
    <w:uiPriority w:val="34"/>
    <w:pPr>
      <w:widowControl w:val="0"/>
      <w:ind w:firstLine="420" w:firstLineChars="200"/>
      <w:jc w:val="both"/>
    </w:pPr>
  </w:style>
  <w:style w:type="paragraph" w:customStyle="1" w:styleId="138">
    <w:name w:val="4级"/>
    <w:basedOn w:val="1"/>
    <w:next w:val="1"/>
    <w:qFormat/>
    <w:uiPriority w:val="0"/>
    <w:pPr>
      <w:snapToGrid w:val="0"/>
      <w:spacing w:line="560" w:lineRule="exact"/>
      <w:outlineLvl w:val="3"/>
    </w:pPr>
    <w:rPr>
      <w:rFonts w:ascii="宋体" w:hAnsi="宋体"/>
      <w:b/>
      <w:bCs/>
      <w:spacing w:val="1"/>
      <w:sz w:val="28"/>
      <w:szCs w:val="28"/>
    </w:rPr>
  </w:style>
  <w:style w:type="paragraph" w:customStyle="1" w:styleId="139">
    <w:name w:val="reader-word-layer reader-word-s3-2"/>
    <w:basedOn w:val="1"/>
    <w:qFormat/>
    <w:uiPriority w:val="0"/>
    <w:pPr>
      <w:spacing w:before="100" w:beforeAutospacing="1" w:after="100" w:afterAutospacing="1"/>
    </w:pPr>
    <w:rPr>
      <w:rFonts w:ascii="宋体" w:hAnsi="宋体" w:cs="宋体"/>
      <w:kern w:val="0"/>
      <w:sz w:val="24"/>
    </w:rPr>
  </w:style>
  <w:style w:type="paragraph" w:customStyle="1" w:styleId="140">
    <w:name w:val="二级标题 Char Char Char"/>
    <w:basedOn w:val="1"/>
    <w:next w:val="1"/>
    <w:qFormat/>
    <w:uiPriority w:val="0"/>
    <w:pPr>
      <w:spacing w:line="529" w:lineRule="exact"/>
      <w:ind w:firstLine="200" w:firstLineChars="200"/>
    </w:pPr>
    <w:rPr>
      <w:rFonts w:ascii="宋体" w:hAnsi="宋体" w:cs="宋体"/>
      <w:sz w:val="24"/>
    </w:rPr>
  </w:style>
  <w:style w:type="paragraph" w:customStyle="1" w:styleId="141">
    <w:name w:val="reader-word-layer reader-word-s2-6"/>
    <w:basedOn w:val="1"/>
    <w:qFormat/>
    <w:uiPriority w:val="0"/>
    <w:pPr>
      <w:spacing w:before="100" w:beforeAutospacing="1" w:after="100" w:afterAutospacing="1"/>
    </w:pPr>
    <w:rPr>
      <w:rFonts w:ascii="宋体" w:hAnsi="宋体" w:cs="宋体"/>
      <w:kern w:val="0"/>
      <w:sz w:val="24"/>
    </w:rPr>
  </w:style>
  <w:style w:type="paragraph" w:customStyle="1" w:styleId="142">
    <w:name w:val="reader-word-layer reader-word-s3-4"/>
    <w:basedOn w:val="1"/>
    <w:qFormat/>
    <w:uiPriority w:val="0"/>
    <w:pPr>
      <w:spacing w:before="100" w:beforeAutospacing="1" w:after="100" w:afterAutospacing="1"/>
    </w:pPr>
    <w:rPr>
      <w:rFonts w:ascii="宋体" w:hAnsi="宋体" w:cs="宋体"/>
      <w:kern w:val="0"/>
      <w:sz w:val="24"/>
    </w:rPr>
  </w:style>
  <w:style w:type="paragraph" w:customStyle="1" w:styleId="143">
    <w:name w:val="标题3 Char Char Char Char"/>
    <w:basedOn w:val="1"/>
    <w:qFormat/>
    <w:uiPriority w:val="0"/>
    <w:pPr>
      <w:spacing w:afterLines="50" w:line="560" w:lineRule="exact"/>
    </w:pPr>
    <w:rPr>
      <w:rFonts w:ascii="Arial" w:hAnsi="Arial"/>
    </w:rPr>
  </w:style>
  <w:style w:type="paragraph" w:customStyle="1" w:styleId="144">
    <w:name w:val="样式 标题 3"/>
    <w:qFormat/>
    <w:uiPriority w:val="0"/>
    <w:rPr>
      <w:rFonts w:ascii="Times New Roman" w:hAnsi="Times New Roman" w:eastAsia="黑体" w:cs="宋体"/>
      <w:bCs/>
      <w:kern w:val="2"/>
      <w:sz w:val="28"/>
      <w:lang w:val="en-US" w:eastAsia="zh-CN" w:bidi="ar-SA"/>
    </w:rPr>
  </w:style>
  <w:style w:type="paragraph" w:customStyle="1" w:styleId="145">
    <w:name w:val="reader-word-layer reader-word-s1-6"/>
    <w:basedOn w:val="1"/>
    <w:qFormat/>
    <w:uiPriority w:val="0"/>
    <w:pPr>
      <w:spacing w:before="100" w:beforeAutospacing="1" w:after="100" w:afterAutospacing="1"/>
    </w:pPr>
    <w:rPr>
      <w:rFonts w:ascii="宋体" w:hAnsi="宋体" w:cs="宋体"/>
      <w:kern w:val="0"/>
      <w:sz w:val="24"/>
    </w:rPr>
  </w:style>
  <w:style w:type="paragraph" w:customStyle="1" w:styleId="146">
    <w:name w:val="List Paragraph1"/>
    <w:basedOn w:val="1"/>
    <w:qFormat/>
    <w:uiPriority w:val="0"/>
    <w:pPr>
      <w:widowControl w:val="0"/>
      <w:ind w:firstLine="420" w:firstLineChars="200"/>
      <w:jc w:val="both"/>
    </w:pPr>
    <w:rPr>
      <w:rFonts w:ascii="Calibri" w:hAnsi="Calibri"/>
      <w:szCs w:val="22"/>
    </w:rPr>
  </w:style>
  <w:style w:type="paragraph" w:customStyle="1" w:styleId="147">
    <w:name w:val="样式 样式 样式 样式 样式 样式 正文文本缩进 + 首行缩进:  2 字符 + 首行缩进:  2 字符 + 图案: 清除 + ...1"/>
    <w:basedOn w:val="1"/>
    <w:qFormat/>
    <w:uiPriority w:val="0"/>
    <w:pPr>
      <w:tabs>
        <w:tab w:val="left" w:pos="2800"/>
      </w:tabs>
      <w:spacing w:line="360" w:lineRule="auto"/>
      <w:ind w:firstLine="560" w:firstLineChars="200"/>
    </w:pPr>
    <w:rPr>
      <w:rFonts w:ascii="宋体" w:hAnsi="宋体" w:cs="宋体"/>
      <w:kern w:val="0"/>
      <w:sz w:val="28"/>
      <w:szCs w:val="28"/>
    </w:rPr>
  </w:style>
  <w:style w:type="paragraph" w:customStyle="1" w:styleId="148">
    <w:name w:val="复垦标题3"/>
    <w:basedOn w:val="30"/>
    <w:qFormat/>
    <w:uiPriority w:val="0"/>
    <w:pPr>
      <w:spacing w:before="120" w:line="240" w:lineRule="auto"/>
      <w:jc w:val="left"/>
    </w:pPr>
    <w:rPr>
      <w:rFonts w:ascii="宋体" w:hAnsi="宋体"/>
      <w:b/>
      <w:sz w:val="24"/>
    </w:rPr>
  </w:style>
  <w:style w:type="paragraph" w:customStyle="1" w:styleId="149">
    <w:name w:val="Char Char Char Char"/>
    <w:basedOn w:val="1"/>
    <w:qFormat/>
    <w:uiPriority w:val="0"/>
    <w:rPr>
      <w:rFonts w:ascii="宋体" w:hAnsi="宋体" w:cs="宋体"/>
      <w:kern w:val="0"/>
      <w:sz w:val="24"/>
    </w:rPr>
  </w:style>
  <w:style w:type="paragraph" w:customStyle="1" w:styleId="150">
    <w:name w:val="图表标题"/>
    <w:basedOn w:val="151"/>
    <w:qFormat/>
    <w:uiPriority w:val="0"/>
    <w:rPr>
      <w:rFonts w:hAnsi="宋体" w:eastAsia="宋体"/>
      <w:sz w:val="24"/>
    </w:rPr>
  </w:style>
  <w:style w:type="paragraph" w:styleId="151">
    <w:name w:val="No Spacing"/>
    <w:qFormat/>
    <w:uiPriority w:val="1"/>
    <w:pPr>
      <w:widowControl w:val="0"/>
      <w:jc w:val="center"/>
    </w:pPr>
    <w:rPr>
      <w:rFonts w:ascii="Times New Roman" w:hAnsi="Times New Roman" w:eastAsia="仿宋_GB2312" w:cs="Times New Roman"/>
      <w:kern w:val="2"/>
      <w:sz w:val="21"/>
      <w:szCs w:val="21"/>
      <w:lang w:val="en-US" w:eastAsia="zh-CN" w:bidi="ar-SA"/>
    </w:rPr>
  </w:style>
  <w:style w:type="paragraph" w:customStyle="1" w:styleId="152">
    <w:name w:val="样式 样式 纯文本纯文本 Char普通文字 Char纯文本 Char Char普通文字 + 首行缩进:  2 字符 + 首行缩进...1"/>
    <w:basedOn w:val="1"/>
    <w:qFormat/>
    <w:uiPriority w:val="0"/>
    <w:pPr>
      <w:spacing w:line="520" w:lineRule="exact"/>
      <w:ind w:firstLine="200" w:firstLineChars="200"/>
    </w:pPr>
    <w:rPr>
      <w:rFonts w:cs="宋体"/>
      <w:kern w:val="0"/>
      <w:sz w:val="28"/>
      <w:szCs w:val="28"/>
    </w:rPr>
  </w:style>
  <w:style w:type="paragraph" w:customStyle="1" w:styleId="153">
    <w:name w:val="样式 标题 2 + (中文) 仿宋_GB2312"/>
    <w:basedOn w:val="4"/>
    <w:qFormat/>
    <w:uiPriority w:val="0"/>
    <w:pPr>
      <w:widowControl w:val="0"/>
      <w:spacing w:before="0" w:after="0" w:line="480" w:lineRule="auto"/>
      <w:ind w:firstLine="0" w:firstLineChars="0"/>
      <w:jc w:val="both"/>
    </w:pPr>
    <w:rPr>
      <w:rFonts w:ascii="Times New Roman" w:hAnsi="Times New Roman" w:eastAsia="黑体"/>
      <w:b w:val="0"/>
      <w:bCs w:val="0"/>
      <w:sz w:val="30"/>
    </w:rPr>
  </w:style>
  <w:style w:type="paragraph" w:customStyle="1" w:styleId="154">
    <w:name w:val="正文ldh"/>
    <w:basedOn w:val="1"/>
    <w:next w:val="1"/>
    <w:qFormat/>
    <w:uiPriority w:val="0"/>
    <w:pPr>
      <w:suppressAutoHyphens/>
      <w:topLinePunct/>
      <w:spacing w:line="600" w:lineRule="exact"/>
      <w:ind w:firstLine="560" w:firstLineChars="200"/>
    </w:pPr>
    <w:rPr>
      <w:rFonts w:eastAsia="仿宋_GB2312"/>
      <w:kern w:val="28"/>
      <w:sz w:val="28"/>
      <w:lang w:val="en-GB"/>
    </w:rPr>
  </w:style>
  <w:style w:type="paragraph" w:customStyle="1" w:styleId="155">
    <w:name w:val="Revision"/>
    <w:semiHidden/>
    <w:qFormat/>
    <w:uiPriority w:val="99"/>
    <w:rPr>
      <w:rFonts w:ascii="Times New Roman" w:hAnsi="Times New Roman" w:eastAsia="宋体" w:cs="Times New Roman"/>
      <w:kern w:val="2"/>
      <w:sz w:val="21"/>
      <w:szCs w:val="24"/>
      <w:lang w:val="en-US" w:eastAsia="zh-CN" w:bidi="ar-SA"/>
    </w:rPr>
  </w:style>
  <w:style w:type="paragraph" w:customStyle="1" w:styleId="156">
    <w:name w:val="样式 仿宋 小四 行距: 1.5 倍行距"/>
    <w:basedOn w:val="1"/>
    <w:qFormat/>
    <w:uiPriority w:val="0"/>
    <w:pPr>
      <w:widowControl w:val="0"/>
      <w:spacing w:line="360" w:lineRule="auto"/>
      <w:ind w:firstLine="480" w:firstLineChars="200"/>
      <w:jc w:val="both"/>
    </w:pPr>
    <w:rPr>
      <w:rFonts w:eastAsia="仿宋" w:cs="宋体"/>
      <w:sz w:val="24"/>
      <w:szCs w:val="20"/>
    </w:rPr>
  </w:style>
  <w:style w:type="paragraph" w:customStyle="1" w:styleId="157">
    <w:name w:val="2级标题"/>
    <w:basedOn w:val="1"/>
    <w:qFormat/>
    <w:uiPriority w:val="0"/>
    <w:pPr>
      <w:spacing w:beforeLines="50" w:afterLines="50" w:line="560" w:lineRule="exact"/>
      <w:outlineLvl w:val="1"/>
    </w:pPr>
    <w:rPr>
      <w:rFonts w:ascii="宋体" w:hAnsi="宋体" w:cs="黑体"/>
      <w:b/>
      <w:bCs/>
      <w:sz w:val="30"/>
      <w:szCs w:val="30"/>
    </w:rPr>
  </w:style>
  <w:style w:type="paragraph" w:customStyle="1" w:styleId="158">
    <w:name w:val="reader-word-layer reader-word-s2-0"/>
    <w:basedOn w:val="1"/>
    <w:qFormat/>
    <w:uiPriority w:val="0"/>
    <w:pPr>
      <w:spacing w:before="100" w:beforeAutospacing="1" w:after="100" w:afterAutospacing="1"/>
    </w:pPr>
    <w:rPr>
      <w:rFonts w:ascii="宋体" w:hAnsi="宋体" w:cs="宋体"/>
      <w:kern w:val="0"/>
      <w:sz w:val="24"/>
    </w:rPr>
  </w:style>
  <w:style w:type="paragraph" w:customStyle="1" w:styleId="159">
    <w:name w:val="地质报告正文"/>
    <w:basedOn w:val="1"/>
    <w:qFormat/>
    <w:uiPriority w:val="0"/>
    <w:pPr>
      <w:ind w:firstLine="200" w:firstLineChars="200"/>
    </w:pPr>
    <w:rPr>
      <w:rFonts w:ascii="宋体" w:hAnsi="宋体" w:cs="宋体"/>
      <w:kern w:val="0"/>
      <w:sz w:val="28"/>
    </w:rPr>
  </w:style>
  <w:style w:type="paragraph" w:customStyle="1" w:styleId="160">
    <w:name w:val="reader-word-layer reader-word-s4-20"/>
    <w:basedOn w:val="1"/>
    <w:qFormat/>
    <w:uiPriority w:val="0"/>
    <w:pPr>
      <w:spacing w:before="100" w:beforeAutospacing="1" w:after="100" w:afterAutospacing="1"/>
    </w:pPr>
    <w:rPr>
      <w:rFonts w:ascii="宋体" w:hAnsi="宋体" w:cs="宋体"/>
      <w:kern w:val="0"/>
      <w:sz w:val="24"/>
    </w:rPr>
  </w:style>
  <w:style w:type="paragraph" w:customStyle="1" w:styleId="161">
    <w:name w:val="复垦标题2"/>
    <w:basedOn w:val="1"/>
    <w:qFormat/>
    <w:uiPriority w:val="0"/>
    <w:pPr>
      <w:keepNext/>
      <w:keepLines/>
      <w:widowControl w:val="0"/>
      <w:tabs>
        <w:tab w:val="left" w:pos="3098"/>
      </w:tabs>
      <w:spacing w:beforeLines="100" w:afterLines="100" w:line="360" w:lineRule="auto"/>
      <w:outlineLvl w:val="1"/>
    </w:pPr>
    <w:rPr>
      <w:rFonts w:eastAsia="黑体"/>
      <w:b/>
      <w:kern w:val="0"/>
      <w:sz w:val="30"/>
      <w:szCs w:val="32"/>
    </w:rPr>
  </w:style>
  <w:style w:type="paragraph" w:customStyle="1" w:styleId="162">
    <w:name w:val="样式4"/>
    <w:basedOn w:val="1"/>
    <w:qFormat/>
    <w:uiPriority w:val="0"/>
    <w:rPr>
      <w:rFonts w:ascii="宋体" w:hAnsi="宋体" w:cs="宋体"/>
      <w:kern w:val="0"/>
      <w:sz w:val="28"/>
    </w:rPr>
  </w:style>
  <w:style w:type="paragraph" w:customStyle="1" w:styleId="163">
    <w:name w:val="样式 仿宋_GB2312 三号 行距: 固定值 34 磅"/>
    <w:basedOn w:val="1"/>
    <w:qFormat/>
    <w:uiPriority w:val="0"/>
    <w:pPr>
      <w:widowControl w:val="0"/>
      <w:ind w:firstLine="560" w:firstLineChars="200"/>
      <w:jc w:val="both"/>
    </w:pPr>
    <w:rPr>
      <w:sz w:val="28"/>
      <w:szCs w:val="28"/>
    </w:rPr>
  </w:style>
  <w:style w:type="paragraph" w:customStyle="1" w:styleId="164">
    <w:name w:val="Char Char Char Char Char Char Char Char Char Char"/>
    <w:basedOn w:val="1"/>
    <w:qFormat/>
    <w:uiPriority w:val="0"/>
    <w:pPr>
      <w:spacing w:line="360" w:lineRule="auto"/>
      <w:ind w:firstLine="200" w:firstLineChars="200"/>
    </w:pPr>
    <w:rPr>
      <w:rFonts w:ascii="宋体" w:hAnsi="宋体" w:cs="宋体"/>
      <w:sz w:val="24"/>
    </w:rPr>
  </w:style>
  <w:style w:type="paragraph" w:customStyle="1" w:styleId="165">
    <w:name w:val="Char Char Char Char1"/>
    <w:basedOn w:val="1"/>
    <w:qFormat/>
    <w:uiPriority w:val="0"/>
    <w:pPr>
      <w:widowControl w:val="0"/>
      <w:jc w:val="both"/>
    </w:pPr>
  </w:style>
  <w:style w:type="paragraph" w:customStyle="1" w:styleId="166">
    <w:name w:val="Char1"/>
    <w:basedOn w:val="1"/>
    <w:qFormat/>
    <w:uiPriority w:val="0"/>
    <w:pPr>
      <w:widowControl w:val="0"/>
      <w:spacing w:line="360" w:lineRule="auto"/>
      <w:ind w:firstLine="200" w:firstLineChars="200"/>
      <w:jc w:val="both"/>
    </w:pPr>
    <w:rPr>
      <w:rFonts w:ascii="宋体" w:hAnsi="宋体" w:cs="宋体"/>
      <w:sz w:val="24"/>
    </w:rPr>
  </w:style>
  <w:style w:type="paragraph" w:customStyle="1" w:styleId="167">
    <w:name w:val="表文字"/>
    <w:qFormat/>
    <w:uiPriority w:val="0"/>
    <w:pPr>
      <w:widowControl w:val="0"/>
      <w:jc w:val="center"/>
    </w:pPr>
    <w:rPr>
      <w:rFonts w:ascii="Times New Roman" w:hAnsi="Times New Roman" w:eastAsia="仿宋_GB2312" w:cs="Times New Roman"/>
      <w:sz w:val="21"/>
      <w:szCs w:val="21"/>
      <w:lang w:val="en-US" w:eastAsia="zh-CN" w:bidi="ar-SA"/>
    </w:rPr>
  </w:style>
  <w:style w:type="paragraph" w:customStyle="1" w:styleId="168">
    <w:name w:val="Char"/>
    <w:basedOn w:val="1"/>
    <w:qFormat/>
    <w:uiPriority w:val="0"/>
  </w:style>
  <w:style w:type="paragraph" w:customStyle="1" w:styleId="169">
    <w:name w:val="[1]标题2"/>
    <w:basedOn w:val="4"/>
    <w:next w:val="1"/>
    <w:qFormat/>
    <w:uiPriority w:val="0"/>
    <w:pPr>
      <w:keepNext w:val="0"/>
      <w:keepLines w:val="0"/>
      <w:tabs>
        <w:tab w:val="left" w:pos="280"/>
      </w:tabs>
      <w:adjustRightInd w:val="0"/>
      <w:snapToGrid w:val="0"/>
      <w:spacing w:beforeLines="50" w:after="0" w:line="240" w:lineRule="auto"/>
      <w:ind w:firstLine="0" w:firstLineChars="0"/>
      <w:jc w:val="both"/>
    </w:pPr>
    <w:rPr>
      <w:rFonts w:ascii="Times New Roman" w:hAnsi="Times New Roman"/>
      <w:color w:val="000000"/>
      <w:kern w:val="0"/>
      <w:sz w:val="24"/>
      <w:szCs w:val="28"/>
    </w:rPr>
  </w:style>
  <w:style w:type="paragraph" w:customStyle="1" w:styleId="170">
    <w:name w:val="默认段落字体 Para Char Char Char Char Char Char Char"/>
    <w:basedOn w:val="1"/>
    <w:qFormat/>
    <w:uiPriority w:val="0"/>
    <w:pPr>
      <w:widowControl w:val="0"/>
      <w:jc w:val="center"/>
    </w:pPr>
    <w:rPr>
      <w:rFonts w:ascii="宋体" w:hAnsi="宋体" w:eastAsia="方正姚体"/>
      <w:sz w:val="36"/>
      <w:szCs w:val="36"/>
    </w:rPr>
  </w:style>
  <w:style w:type="paragraph" w:customStyle="1" w:styleId="171">
    <w:name w:val="封面标准名称"/>
    <w:qFormat/>
    <w:uiPriority w:val="0"/>
    <w:pPr>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72">
    <w:name w:val="reader-word-layer reader-word-s3-5"/>
    <w:basedOn w:val="1"/>
    <w:qFormat/>
    <w:uiPriority w:val="0"/>
    <w:pPr>
      <w:spacing w:before="100" w:beforeAutospacing="1" w:after="100" w:afterAutospacing="1"/>
    </w:pPr>
    <w:rPr>
      <w:rFonts w:ascii="宋体" w:hAnsi="宋体" w:cs="宋体"/>
      <w:kern w:val="0"/>
      <w:sz w:val="24"/>
    </w:rPr>
  </w:style>
  <w:style w:type="paragraph" w:customStyle="1" w:styleId="173">
    <w:name w:val="默认段落字体 Char Char Char Char Char"/>
    <w:basedOn w:val="1"/>
    <w:qFormat/>
    <w:uiPriority w:val="0"/>
    <w:pPr>
      <w:widowControl w:val="0"/>
      <w:snapToGrid w:val="0"/>
      <w:spacing w:line="360" w:lineRule="auto"/>
      <w:ind w:firstLine="200" w:firstLineChars="200"/>
      <w:jc w:val="both"/>
    </w:pPr>
  </w:style>
  <w:style w:type="table" w:customStyle="1" w:styleId="174">
    <w:name w:val="Table Normal"/>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175">
    <w:name w:val="Table Normal1"/>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176">
    <w:name w:val="网格型1"/>
    <w:basedOn w:val="34"/>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77">
    <w:name w:val="表头 Char Char"/>
    <w:qFormat/>
    <w:uiPriority w:val="0"/>
    <w:rPr>
      <w:rFonts w:ascii="宋体" w:hAnsi="宋体" w:eastAsia="宋体"/>
      <w:b/>
      <w:bCs/>
      <w:kern w:val="2"/>
      <w:sz w:val="24"/>
      <w:szCs w:val="28"/>
      <w:lang w:val="en-US" w:eastAsia="zh-CN" w:bidi="ar-SA"/>
    </w:rPr>
  </w:style>
  <w:style w:type="paragraph" w:customStyle="1" w:styleId="178">
    <w:name w:val="样式 首行缩进:  2 字符"/>
    <w:basedOn w:val="1"/>
    <w:qFormat/>
    <w:uiPriority w:val="0"/>
    <w:pPr>
      <w:widowControl w:val="0"/>
      <w:wordWrap w:val="0"/>
      <w:ind w:firstLine="560" w:firstLineChars="200"/>
    </w:pPr>
    <w:rPr>
      <w:rFonts w:eastAsia="仿宋_GB2312"/>
      <w:bCs/>
      <w:snapToGrid w:val="0"/>
      <w:kern w:val="24"/>
      <w:sz w:val="28"/>
      <w:szCs w:val="28"/>
    </w:rPr>
  </w:style>
  <w:style w:type="character" w:customStyle="1" w:styleId="179">
    <w:name w:val="标题 3 字符"/>
    <w:qFormat/>
    <w:uiPriority w:val="0"/>
    <w:rPr>
      <w:rFonts w:eastAsia="宋体"/>
      <w:bCs/>
      <w:kern w:val="2"/>
      <w:sz w:val="28"/>
      <w:szCs w:val="32"/>
      <w:lang w:val="en-US" w:eastAsia="zh-CN" w:bidi="ar-SA"/>
    </w:rPr>
  </w:style>
  <w:style w:type="paragraph" w:customStyle="1" w:styleId="180">
    <w:name w:val="样式 左侧:  0.85 厘米1"/>
    <w:qFormat/>
    <w:uiPriority w:val="0"/>
    <w:pPr>
      <w:spacing w:line="360" w:lineRule="auto"/>
    </w:pPr>
    <w:rPr>
      <w:rFonts w:ascii="Times New Roman" w:hAnsi="Times New Roman" w:eastAsia="仿宋_GB2312" w:cs="宋体"/>
      <w:kern w:val="2"/>
      <w:sz w:val="28"/>
      <w:lang w:val="en-US" w:eastAsia="zh-CN" w:bidi="ar-SA"/>
    </w:rPr>
  </w:style>
  <w:style w:type="paragraph" w:customStyle="1" w:styleId="181">
    <w:name w:val="1正文"/>
    <w:basedOn w:val="1"/>
    <w:qFormat/>
    <w:uiPriority w:val="0"/>
    <w:pPr>
      <w:adjustRightInd w:val="0"/>
      <w:snapToGrid w:val="0"/>
      <w:spacing w:line="360" w:lineRule="auto"/>
      <w:ind w:firstLine="200" w:firstLineChars="200"/>
    </w:pPr>
    <w:rPr>
      <w:rFonts w:ascii="Times New Roman" w:hAnsi="Times New Roman" w:eastAsia="宋体" w:cs="Times New Roman"/>
      <w:kern w:val="0"/>
      <w:sz w:val="24"/>
      <w:lang w:val="zh-CN" w:eastAsia="en-US" w:bidi="en-US"/>
    </w:rPr>
  </w:style>
  <w:style w:type="character" w:customStyle="1" w:styleId="182">
    <w:name w:val="font121"/>
    <w:basedOn w:val="36"/>
    <w:qFormat/>
    <w:uiPriority w:val="0"/>
    <w:rPr>
      <w:rFonts w:hint="default" w:ascii="Times New Roman" w:hAnsi="Times New Roman" w:cs="Times New Roman"/>
      <w:color w:val="FF0000"/>
      <w:sz w:val="20"/>
      <w:szCs w:val="20"/>
      <w:u w:val="none"/>
      <w:vertAlign w:val="superscript"/>
    </w:rPr>
  </w:style>
  <w:style w:type="character" w:customStyle="1" w:styleId="183">
    <w:name w:val="font101"/>
    <w:basedOn w:val="36"/>
    <w:qFormat/>
    <w:uiPriority w:val="0"/>
    <w:rPr>
      <w:rFonts w:hint="default" w:ascii="Times New Roman" w:hAnsi="Times New Roman" w:cs="Times New Roman"/>
      <w:color w:val="FF0000"/>
      <w:sz w:val="18"/>
      <w:szCs w:val="18"/>
      <w:u w:val="none"/>
      <w:vertAlign w:val="superscript"/>
    </w:rPr>
  </w:style>
  <w:style w:type="character" w:customStyle="1" w:styleId="184">
    <w:name w:val="font111"/>
    <w:basedOn w:val="36"/>
    <w:qFormat/>
    <w:uiPriority w:val="0"/>
    <w:rPr>
      <w:rFonts w:hint="default" w:ascii="Times New Roman" w:hAnsi="Times New Roman" w:cs="Times New Roman"/>
      <w:color w:val="0000FF"/>
      <w:sz w:val="21"/>
      <w:szCs w:val="21"/>
      <w:u w:val="none"/>
      <w:vertAlign w:val="superscript"/>
    </w:rPr>
  </w:style>
  <w:style w:type="character" w:customStyle="1" w:styleId="185">
    <w:name w:val="font122"/>
    <w:basedOn w:val="36"/>
    <w:qFormat/>
    <w:uiPriority w:val="0"/>
    <w:rPr>
      <w:rFonts w:hint="default" w:ascii="Times New Roman" w:hAnsi="Times New Roman" w:cs="Times New Roman"/>
      <w:color w:val="0000FF"/>
      <w:sz w:val="18"/>
      <w:szCs w:val="18"/>
      <w:u w:val="none"/>
      <w:vertAlign w:val="superscript"/>
    </w:rPr>
  </w:style>
  <w:style w:type="character" w:customStyle="1" w:styleId="186">
    <w:name w:val="font91"/>
    <w:basedOn w:val="36"/>
    <w:qFormat/>
    <w:uiPriority w:val="0"/>
    <w:rPr>
      <w:rFonts w:hint="default" w:ascii="Times New Roman" w:hAnsi="Times New Roman" w:cs="Times New Roman"/>
      <w:color w:val="FF0000"/>
      <w:sz w:val="16"/>
      <w:szCs w:val="16"/>
      <w:u w:val="none"/>
      <w:vertAlign w:val="superscript"/>
    </w:rPr>
  </w:style>
  <w:style w:type="character" w:customStyle="1" w:styleId="187">
    <w:name w:val="正文 + 宋体 Char"/>
    <w:uiPriority w:val="0"/>
    <w:rPr>
      <w:rFonts w:eastAsia="宋体"/>
      <w:spacing w:val="20"/>
      <w:kern w:val="2"/>
      <w:sz w:val="28"/>
      <w:szCs w:val="24"/>
      <w:lang w:val="en-US" w:eastAsia="zh-CN" w:bidi="ar-SA"/>
    </w:rPr>
  </w:style>
  <w:style w:type="character" w:customStyle="1" w:styleId="188">
    <w:name w:val="font131"/>
    <w:basedOn w:val="36"/>
    <w:uiPriority w:val="0"/>
    <w:rPr>
      <w:rFonts w:hint="default" w:ascii="Times New Roman" w:hAnsi="Times New Roman" w:cs="Times New Roman"/>
      <w:color w:val="800080"/>
      <w:sz w:val="20"/>
      <w:szCs w:val="20"/>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jpeg"/><Relationship Id="rId26" Type="http://schemas.openxmlformats.org/officeDocument/2006/relationships/image" Target="media/image12.jpeg"/><Relationship Id="rId25" Type="http://schemas.openxmlformats.org/officeDocument/2006/relationships/image" Target="media/image11.jpeg"/><Relationship Id="rId24" Type="http://schemas.openxmlformats.org/officeDocument/2006/relationships/image" Target="media/image10.jpeg"/><Relationship Id="rId23" Type="http://schemas.openxmlformats.org/officeDocument/2006/relationships/image" Target="media/image9.jpeg"/><Relationship Id="rId22" Type="http://schemas.openxmlformats.org/officeDocument/2006/relationships/image" Target="media/image8.jpeg"/><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121</Pages>
  <Words>16367</Words>
  <Characters>18673</Characters>
  <Lines>177</Lines>
  <Paragraphs>151</Paragraphs>
  <TotalTime>13</TotalTime>
  <ScaleCrop>false</ScaleCrop>
  <LinksUpToDate>false</LinksUpToDate>
  <CharactersWithSpaces>19278</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2020-04-12T14:32:00Z</dcterms:created>
  <dc:creator>Administrator</dc:creator>
  <cp:lastModifiedBy>施旭 康尔橱柜 榻榻米17767809996</cp:lastModifiedBy>
  <cp:lastPrinted>2021-06-29T07:12:00Z</cp:lastPrinted>
  <dcterms:modified xsi:type="dcterms:W3CDTF">2025-05-12T03:30:48Z</dcterms:modified>
  <dc:title>吉林中财石油开发有限公司</dc:title>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AD5380E009974B87B0754139D0B8B436_13</vt:lpwstr>
  </property>
  <property fmtid="{D5CDD505-2E9C-101B-9397-08002B2CF9AE}" pid="4" name="KSOTemplateDocerSaveRecord">
    <vt:lpwstr>eyJoZGlkIjoiMGQzZjA4ZmMzZjhhYmM5MzMxZTNjYTE5M2JiZmYxZjkiLCJ1c2VySWQiOiI1MzM1MzczOTgifQ==</vt:lpwstr>
  </property>
</Properties>
</file>