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pBdr/>
        <w:spacing/>
        <w:ind/>
        <w:jc w:val="center"/>
        <w:rPr>
          <w:rFonts w:hint="eastAsia" w:ascii="宋体" w:hAnsi="宋体" w:cs="宋体"/>
          <w:b/>
          <w:bCs/>
          <w:sz w:val="44"/>
          <w:szCs w:val="44"/>
        </w:rPr>
      </w:pPr>
      <w:r>
        <w:rPr>
          <w:rFonts w:hint="eastAsia" w:ascii="宋体" w:hAnsi="宋体" w:cs="宋体"/>
          <w:b/>
          <w:bCs/>
          <w:sz w:val="44"/>
          <w:szCs w:val="44"/>
          <w:lang w:val="en-US" w:eastAsia="zh-CN"/>
        </w:rPr>
        <w:t xml:space="preserve">永吉县</w:t>
      </w:r>
      <w:r>
        <w:rPr>
          <w:rFonts w:hint="eastAsia" w:ascii="宋体" w:hAnsi="宋体" w:cs="宋体"/>
          <w:b/>
          <w:bCs/>
          <w:sz w:val="44"/>
          <w:szCs w:val="44"/>
        </w:rPr>
        <w:t xml:space="preserve">消防救援大队“双随机、一公开”抽查事项清单</w:t>
      </w:r>
      <w:r>
        <w:rPr>
          <w:rFonts w:hint="eastAsia" w:ascii="宋体" w:hAnsi="宋体" w:cs="宋体"/>
          <w:b/>
          <w:bCs/>
          <w:sz w:val="44"/>
          <w:szCs w:val="44"/>
        </w:rPr>
      </w:r>
      <w:r>
        <w:rPr>
          <w:rFonts w:hint="eastAsia" w:ascii="宋体" w:hAnsi="宋体" w:cs="宋体"/>
          <w:b/>
          <w:bCs/>
          <w:sz w:val="44"/>
          <w:szCs w:val="44"/>
        </w:rPr>
      </w:r>
    </w:p>
    <w:tbl>
      <w:tblPr>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242"/>
        <w:gridCol w:w="525"/>
        <w:gridCol w:w="1475"/>
        <w:gridCol w:w="720"/>
        <w:gridCol w:w="552"/>
        <w:gridCol w:w="2651"/>
        <w:gridCol w:w="1487"/>
        <w:gridCol w:w="1244"/>
        <w:gridCol w:w="5038"/>
      </w:tblGrid>
      <w:tr>
        <w:trPr>
          <w:tblCellSpacing w:w="0" w:type="dxa"/>
          <w:tblHeader/>
        </w:trPr>
        <w:tc>
          <w:tcPr>
            <w:tcBorders/>
            <w:tcW w:w="242"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序号 </w:t>
            </w:r>
            <w:r>
              <w:rPr>
                <w:b/>
                <w:bCs/>
              </w:rPr>
            </w:r>
            <w:r>
              <w:rPr>
                <w:b/>
                <w:bCs/>
              </w:rPr>
            </w:r>
          </w:p>
        </w:tc>
        <w:tc>
          <w:tcPr>
            <w:tcBorders/>
            <w:tcW w:w="525"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抽查事项 </w:t>
            </w:r>
            <w:r>
              <w:rPr>
                <w:b/>
                <w:bCs/>
              </w:rPr>
            </w:r>
            <w:r>
              <w:rPr>
                <w:b/>
                <w:bCs/>
              </w:rPr>
            </w:r>
          </w:p>
        </w:tc>
        <w:tc>
          <w:tcPr>
            <w:tcBorders/>
            <w:tcW w:w="1475"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抽查依据 </w:t>
            </w:r>
            <w:r>
              <w:rPr>
                <w:b/>
                <w:bCs/>
              </w:rPr>
            </w:r>
            <w:r>
              <w:rPr>
                <w:b/>
                <w:bCs/>
              </w:rPr>
            </w:r>
          </w:p>
        </w:tc>
        <w:tc>
          <w:tcPr>
            <w:tcBorders/>
            <w:tcW w:w="720"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抽查主体 </w:t>
            </w:r>
            <w:r>
              <w:rPr>
                <w:b/>
                <w:bCs/>
              </w:rPr>
            </w:r>
            <w:r>
              <w:rPr>
                <w:b/>
                <w:bCs/>
              </w:rPr>
            </w:r>
          </w:p>
        </w:tc>
        <w:tc>
          <w:tcPr>
            <w:tcBorders/>
            <w:tcW w:w="552"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抽查对象 </w:t>
            </w:r>
            <w:r>
              <w:rPr>
                <w:b/>
                <w:bCs/>
              </w:rPr>
            </w:r>
            <w:r>
              <w:rPr>
                <w:b/>
                <w:bCs/>
              </w:rPr>
            </w:r>
          </w:p>
        </w:tc>
        <w:tc>
          <w:tcPr>
            <w:tcBorders/>
            <w:tcW w:w="2651"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抽查比例 </w:t>
            </w:r>
            <w:r>
              <w:rPr>
                <w:b/>
                <w:bCs/>
              </w:rPr>
            </w:r>
            <w:r>
              <w:rPr>
                <w:b/>
                <w:bCs/>
              </w:rPr>
            </w:r>
          </w:p>
        </w:tc>
        <w:tc>
          <w:tcPr>
            <w:tcBorders/>
            <w:tcW w:w="1487"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抽查次数 </w:t>
            </w:r>
            <w:r>
              <w:rPr>
                <w:b/>
                <w:bCs/>
              </w:rPr>
            </w:r>
            <w:r>
              <w:rPr>
                <w:b/>
                <w:bCs/>
              </w:rPr>
            </w:r>
          </w:p>
        </w:tc>
        <w:tc>
          <w:tcPr>
            <w:tcBorders/>
            <w:tcW w:w="1244"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抽查方式 </w:t>
            </w:r>
            <w:r>
              <w:rPr>
                <w:b/>
                <w:bCs/>
              </w:rPr>
            </w:r>
            <w:r>
              <w:rPr>
                <w:b/>
                <w:bCs/>
              </w:rPr>
            </w:r>
          </w:p>
        </w:tc>
        <w:tc>
          <w:tcPr>
            <w:tcBorders/>
            <w:tcW w:w="5038" w:type="dxa"/>
            <w:vAlign w:val="center"/>
            <w:textDirection w:val="lrTb"/>
            <w:noWrap w:val="false"/>
          </w:tcPr>
          <w:p>
            <w:pPr>
              <w:pStyle w:val="616"/>
              <w:widowControl w:val="true"/>
              <w:pBdr/>
              <w:spacing/>
              <w:ind/>
              <w:jc w:val="center"/>
              <w:rPr>
                <w:b/>
                <w:bCs/>
              </w:rPr>
            </w:pPr>
            <w:r>
              <w:rPr>
                <w:rFonts w:ascii="宋体" w:hAnsi="宋体" w:cs="宋体"/>
                <w:b/>
                <w:bCs/>
                <w:sz w:val="24"/>
                <w:lang w:bidi="ar"/>
              </w:rPr>
              <w:t xml:space="preserve">抽查内容及要求 </w:t>
            </w:r>
            <w:r>
              <w:rPr>
                <w:b/>
                <w:bCs/>
              </w:rPr>
            </w:r>
            <w:r>
              <w:rPr>
                <w:b/>
                <w:bCs/>
              </w:rPr>
            </w:r>
          </w:p>
        </w:tc>
      </w:tr>
    </w:tbl>
    <w:p>
      <w:pPr>
        <w:pStyle w:val="616"/>
        <w:pBdr/>
        <w:spacing/>
        <w:ind/>
        <w:rPr>
          <w:vanish/>
          <w:sz w:val="24"/>
        </w:rPr>
      </w:pPr>
      <w:r>
        <w:rPr>
          <w:vanish/>
          <w:sz w:val="24"/>
        </w:rPr>
      </w:r>
      <w:r>
        <w:rPr>
          <w:vanish/>
          <w:sz w:val="24"/>
        </w:rPr>
      </w:r>
    </w:p>
    <w:tbl>
      <w:tblPr>
        <w:tblW w:w="0" w:type="auto"/>
        <w:tblCellSpacing w:w="0" w:type="dxa"/>
        <w:tblInd w:w="0" w:type="dxa"/>
        <w:tblBorders/>
        <w:tblLayout w:type="autofit"/>
        <w:tblCellMar>
          <w:left w:w="0" w:type="dxa"/>
          <w:top w:w="0" w:type="dxa"/>
          <w:right w:w="0" w:type="dxa"/>
          <w:bottom w:w="0" w:type="dxa"/>
        </w:tblCellMar>
        <w:tblLook w:val="04A0" w:firstRow="1" w:lastRow="0" w:firstColumn="1" w:lastColumn="0" w:noHBand="0" w:noVBand="1"/>
      </w:tblPr>
      <w:tblGrid>
        <w:gridCol w:w="239"/>
        <w:gridCol w:w="541"/>
        <w:gridCol w:w="1445"/>
        <w:gridCol w:w="729"/>
        <w:gridCol w:w="539"/>
        <w:gridCol w:w="2669"/>
        <w:gridCol w:w="1500"/>
        <w:gridCol w:w="1231"/>
        <w:gridCol w:w="5075"/>
      </w:tblGrid>
      <w:tr>
        <w:trPr>
          <w:tblCellSpacing w:w="0" w:type="dxa"/>
        </w:trPr>
        <w:tc>
          <w:tcPr>
            <w:tcBorders>
              <w:top w:val="single" w:color="000000" w:sz="4" w:space="0"/>
              <w:left w:val="single" w:color="000000" w:sz="0" w:space="0"/>
              <w:bottom w:val="single" w:color="000000" w:sz="4" w:space="0"/>
              <w:right w:val="single" w:color="000000" w:sz="4" w:space="0"/>
            </w:tcBorders>
            <w:tcW w:w="239" w:type="dxa"/>
            <w:vAlign w:val="center"/>
            <w:textDirection w:val="lrTb"/>
            <w:noWrap w:val="false"/>
          </w:tcPr>
          <w:p>
            <w:pPr>
              <w:pStyle w:val="616"/>
              <w:widowControl w:val="true"/>
              <w:pBdr/>
              <w:spacing/>
              <w:ind/>
              <w:jc w:val="left"/>
              <w:rPr/>
            </w:pPr>
            <w:r>
              <w:rPr>
                <w:rFonts w:ascii="宋体" w:hAnsi="宋体" w:cs="宋体"/>
                <w:sz w:val="24"/>
                <w:lang w:bidi="ar"/>
              </w:rPr>
              <w:t xml:space="preserve">1 </w:t>
            </w:r>
            <w:r/>
          </w:p>
        </w:tc>
        <w:tc>
          <w:tcPr>
            <w:tcBorders>
              <w:top w:val="single" w:color="000000" w:sz="4" w:space="0"/>
              <w:left w:val="single" w:color="000000" w:sz="4" w:space="0"/>
              <w:bottom w:val="single" w:color="000000" w:sz="4" w:space="0"/>
              <w:right w:val="single" w:color="000000" w:sz="4" w:space="0"/>
            </w:tcBorders>
            <w:tcW w:w="541" w:type="dxa"/>
            <w:vAlign w:val="center"/>
            <w:textDirection w:val="lrTb"/>
            <w:noWrap w:val="false"/>
          </w:tcPr>
          <w:p>
            <w:pPr>
              <w:pStyle w:val="616"/>
              <w:widowControl w:val="true"/>
              <w:pBdr/>
              <w:spacing/>
              <w:ind/>
              <w:jc w:val="left"/>
              <w:rPr/>
            </w:pPr>
            <w:r>
              <w:rPr>
                <w:rFonts w:ascii="宋体" w:hAnsi="宋体" w:cs="宋体"/>
                <w:sz w:val="24"/>
                <w:lang w:bidi="ar"/>
              </w:rPr>
              <w:t xml:space="preserve">日常消防安全检查 </w:t>
            </w:r>
            <w:r/>
          </w:p>
        </w:tc>
        <w:tc>
          <w:tcPr>
            <w:tcBorders>
              <w:top w:val="single" w:color="000000" w:sz="4" w:space="0"/>
              <w:left w:val="single" w:color="000000" w:sz="4" w:space="0"/>
              <w:bottom w:val="single" w:color="000000" w:sz="4" w:space="0"/>
              <w:right w:val="single" w:color="000000" w:sz="4" w:space="0"/>
            </w:tcBorders>
            <w:tcW w:w="1445" w:type="dxa"/>
            <w:vAlign w:val="center"/>
            <w:textDirection w:val="lrTb"/>
            <w:noWrap w:val="false"/>
          </w:tcPr>
          <w:p>
            <w:pPr>
              <w:pStyle w:val="616"/>
              <w:widowControl w:val="true"/>
              <w:pBdr/>
              <w:spacing/>
              <w:ind/>
              <w:jc w:val="left"/>
              <w:rPr/>
            </w:pPr>
            <w:r>
              <w:rPr>
                <w:rFonts w:ascii="宋体" w:hAnsi="宋体" w:cs="宋体"/>
                <w:sz w:val="24"/>
                <w:lang w:bidi="ar"/>
              </w:rPr>
              <w:t xml:space="preserve">消防监督检查规定（120号令） </w:t>
            </w:r>
            <w:r/>
          </w:p>
        </w:tc>
        <w:tc>
          <w:tcPr>
            <w:tcBorders>
              <w:top w:val="single" w:color="000000" w:sz="4" w:space="0"/>
              <w:left w:val="single" w:color="000000" w:sz="4" w:space="0"/>
              <w:bottom w:val="single" w:color="000000" w:sz="4" w:space="0"/>
              <w:right w:val="single" w:color="000000" w:sz="4" w:space="0"/>
            </w:tcBorders>
            <w:tcW w:w="729" w:type="dxa"/>
            <w:vAlign w:val="center"/>
            <w:textDirection w:val="lrTb"/>
            <w:noWrap w:val="false"/>
          </w:tcPr>
          <w:p>
            <w:pPr>
              <w:pStyle w:val="616"/>
              <w:widowControl w:val="true"/>
              <w:pBdr/>
              <w:spacing/>
              <w:ind/>
              <w:jc w:val="left"/>
              <w:rPr/>
            </w:pPr>
            <w:r>
              <w:rPr>
                <w:rFonts w:ascii="宋体" w:hAnsi="宋体" w:cs="宋体"/>
                <w:sz w:val="24"/>
                <w:lang w:bidi="ar"/>
              </w:rPr>
              <w:t xml:space="preserve">消防救援大队 </w:t>
            </w:r>
            <w:r/>
          </w:p>
        </w:tc>
        <w:tc>
          <w:tcPr>
            <w:tcBorders>
              <w:top w:val="single" w:color="000000" w:sz="4" w:space="0"/>
              <w:left w:val="single" w:color="000000" w:sz="4" w:space="0"/>
              <w:bottom w:val="single" w:color="000000" w:sz="4" w:space="0"/>
              <w:right w:val="single" w:color="000000" w:sz="4" w:space="0"/>
            </w:tcBorders>
            <w:tcW w:w="539" w:type="dxa"/>
            <w:vAlign w:val="center"/>
            <w:textDirection w:val="lrTb"/>
            <w:noWrap w:val="false"/>
          </w:tcPr>
          <w:p>
            <w:pPr>
              <w:pStyle w:val="616"/>
              <w:widowControl w:val="true"/>
              <w:pBdr/>
              <w:spacing/>
              <w:ind/>
              <w:jc w:val="left"/>
              <w:rPr/>
            </w:pPr>
            <w:r>
              <w:rPr>
                <w:rFonts w:ascii="宋体" w:hAnsi="宋体" w:cs="宋体"/>
                <w:sz w:val="24"/>
                <w:lang w:bidi="ar"/>
              </w:rPr>
              <w:t xml:space="preserve">重点单位/一般单位/其他 </w:t>
            </w:r>
            <w:r/>
          </w:p>
        </w:tc>
        <w:tc>
          <w:tcPr>
            <w:tcBorders>
              <w:top w:val="single" w:color="000000" w:sz="4" w:space="0"/>
              <w:left w:val="single" w:color="000000" w:sz="4" w:space="0"/>
              <w:bottom w:val="single" w:color="000000" w:sz="4" w:space="0"/>
              <w:right w:val="single" w:color="000000" w:sz="4" w:space="0"/>
            </w:tcBorders>
            <w:tcW w:w="2669" w:type="dxa"/>
            <w:vAlign w:val="center"/>
            <w:textDirection w:val="lrTb"/>
            <w:noWrap w:val="false"/>
          </w:tcPr>
          <w:p>
            <w:pPr>
              <w:pStyle w:val="616"/>
              <w:widowControl w:val="true"/>
              <w:pBdr/>
              <w:spacing/>
              <w:ind/>
              <w:jc w:val="left"/>
              <w:rPr/>
            </w:pPr>
            <w:r>
              <w:rPr>
                <w:rFonts w:ascii="宋体" w:hAnsi="宋体" w:cs="宋体"/>
                <w:sz w:val="24"/>
                <w:lang w:bidi="ar"/>
              </w:rPr>
              <w:t xml:space="preserve">消防安全重点单位为“双随机、一公开”消防监督抽查的重点范围。原则上，每月抽查消防安全重点单位数量占比不得低于该月度抽查单位总数的80%；非消防安全重点单位、一般单位（含九小场所）等必须在监督抽查的单位数量中占有一定比例。 </w:t>
            </w:r>
            <w:r/>
          </w:p>
        </w:tc>
        <w:tc>
          <w:tcPr>
            <w:tcBorders>
              <w:top w:val="single" w:color="000000" w:sz="4" w:space="0"/>
              <w:left w:val="single" w:color="000000" w:sz="4" w:space="0"/>
              <w:bottom w:val="single" w:color="000000" w:sz="4" w:space="0"/>
              <w:right w:val="single" w:color="000000" w:sz="4" w:space="0"/>
            </w:tcBorders>
            <w:tcW w:w="1500" w:type="dxa"/>
            <w:vAlign w:val="center"/>
            <w:textDirection w:val="lrTb"/>
            <w:noWrap w:val="false"/>
          </w:tcPr>
          <w:p>
            <w:pPr>
              <w:pStyle w:val="616"/>
              <w:widowControl w:val="true"/>
              <w:pBdr/>
              <w:spacing/>
              <w:ind/>
              <w:jc w:val="left"/>
              <w:rPr/>
            </w:pPr>
            <w:r>
              <w:rPr>
                <w:rFonts w:ascii="宋体" w:hAnsi="宋体" w:cs="宋体"/>
                <w:sz w:val="24"/>
                <w:lang w:bidi="ar"/>
              </w:rPr>
              <w:t xml:space="preserve">对同一检查对象年度（自然年）抽查次数不应超过两次（不含监督复查），原则上抽查时间间隔至少为六个月。 </w:t>
            </w:r>
            <w:r/>
          </w:p>
        </w:tc>
        <w:tc>
          <w:tcPr>
            <w:tcBorders>
              <w:top w:val="single" w:color="000000" w:sz="4" w:space="0"/>
              <w:left w:val="single" w:color="000000" w:sz="4" w:space="0"/>
              <w:bottom w:val="single" w:color="000000" w:sz="4" w:space="0"/>
              <w:right w:val="single" w:color="000000" w:sz="4" w:space="0"/>
            </w:tcBorders>
            <w:tcW w:w="1231" w:type="dxa"/>
            <w:vAlign w:val="center"/>
            <w:textDirection w:val="lrTb"/>
            <w:noWrap w:val="false"/>
          </w:tcPr>
          <w:p>
            <w:pPr>
              <w:pStyle w:val="616"/>
              <w:widowControl w:val="true"/>
              <w:pBdr/>
              <w:spacing/>
              <w:ind/>
              <w:jc w:val="left"/>
              <w:rPr/>
            </w:pPr>
            <w:r>
              <w:rPr>
                <w:rFonts w:ascii="宋体" w:hAnsi="宋体" w:cs="宋体"/>
                <w:sz w:val="24"/>
                <w:lang w:bidi="ar"/>
              </w:rPr>
              <w:t xml:space="preserve">双随机系统随机抽取被检查单位和监督检查人员 </w:t>
            </w:r>
            <w:r/>
          </w:p>
        </w:tc>
        <w:tc>
          <w:tcPr>
            <w:tcBorders>
              <w:top w:val="single" w:color="000000" w:sz="4" w:space="0"/>
              <w:left w:val="single" w:color="000000" w:sz="4" w:space="0"/>
              <w:bottom w:val="single" w:color="000000" w:sz="4" w:space="0"/>
              <w:right w:val="single" w:color="000000" w:sz="4" w:space="0"/>
            </w:tcBorders>
            <w:tcW w:w="5075" w:type="dxa"/>
            <w:vAlign w:val="center"/>
            <w:textDirection w:val="lrTb"/>
            <w:noWrap w:val="false"/>
          </w:tcPr>
          <w:p>
            <w:pPr>
              <w:pStyle w:val="616"/>
              <w:widowControl w:val="true"/>
              <w:pBdr/>
              <w:spacing/>
              <w:ind/>
              <w:jc w:val="left"/>
              <w:rPr/>
            </w:pPr>
            <w:r>
              <w:rPr>
                <w:rFonts w:ascii="宋体" w:hAnsi="宋体" w:cs="宋体"/>
                <w:sz w:val="24"/>
                <w:lang w:bidi="ar"/>
              </w:rPr>
              <w:t xml:space="preserve">1.消防安全责任人及其职责是否确定； 2.消防安全制度、消防安全操作规程、灭火和应急疏散预案是否制定； 3.消防设施、器材和消防安全标志是否定期组织维修保养，是否完好有效； 4.电器线路、燃气管路是否定期维护保养、检测； </w:t>
            </w:r>
            <w:r>
              <w:rPr>
                <w:rFonts w:ascii="宋体" w:hAnsi="宋体" w:cs="宋体"/>
                <w:sz w:val="24"/>
                <w:lang w:bidi="ar"/>
              </w:rPr>
              <w:t xml:space="preserve">5.疏散通道、安全出口、消防车通道是否畅通，防火分区是否改变，防火间距、消防车登高操作场地是否被占用； 6.是否组织防火检查、消防演练和员工消防安全教育培训，自动消防系统操作人员是否持证上岗； 7.生产、储存、经营易燃易爆危险品的场所是否与居住场所设置在同一建筑物内； 8.生产、储存、经营其他物品的场所与居住场所设置在同一建筑物内的，是否符合消防技术标准； 9.是否按照规定建立专职消防队或志愿消防队。 对人员密集场所还应当抽查室内装修材料是否符合消防技术标准、外墙门窗上是否设置影响逃生和灭火救援的障碍物。 </w:t>
            </w:r>
            <w:r/>
          </w:p>
        </w:tc>
      </w:tr>
      <w:tr>
        <w:trPr>
          <w:tblCellSpacing w:w="0" w:type="dxa"/>
        </w:trPr>
        <w:tc>
          <w:tcPr>
            <w:tcBorders>
              <w:top w:val="single" w:color="000000" w:sz="4" w:space="0"/>
              <w:left w:val="single" w:color="000000" w:sz="4" w:space="0"/>
              <w:bottom w:val="single" w:color="000000" w:sz="4" w:space="0"/>
              <w:right w:val="single" w:color="000000" w:sz="4" w:space="0"/>
            </w:tcBorders>
            <w:tcW w:w="239" w:type="dxa"/>
            <w:vAlign w:val="center"/>
            <w:textDirection w:val="lrTb"/>
            <w:noWrap w:val="false"/>
          </w:tcPr>
          <w:p>
            <w:pPr>
              <w:pStyle w:val="616"/>
              <w:widowControl w:val="true"/>
              <w:pBdr/>
              <w:spacing/>
              <w:ind/>
              <w:jc w:val="left"/>
              <w:rPr/>
            </w:pPr>
            <w:r>
              <w:rPr>
                <w:rFonts w:ascii="宋体" w:hAnsi="宋体" w:cs="宋体"/>
                <w:sz w:val="24"/>
                <w:lang w:bidi="ar"/>
              </w:rPr>
              <w:t xml:space="preserve">2 </w:t>
            </w:r>
            <w:r/>
          </w:p>
        </w:tc>
        <w:tc>
          <w:tcPr>
            <w:tcBorders>
              <w:top w:val="single" w:color="000000" w:sz="4" w:space="0"/>
              <w:left w:val="single" w:color="000000" w:sz="4" w:space="0"/>
              <w:bottom w:val="single" w:color="000000" w:sz="4" w:space="0"/>
              <w:right w:val="single" w:color="000000" w:sz="4" w:space="0"/>
            </w:tcBorders>
            <w:tcW w:w="541" w:type="dxa"/>
            <w:vAlign w:val="center"/>
            <w:textDirection w:val="lrTb"/>
            <w:noWrap w:val="false"/>
          </w:tcPr>
          <w:p>
            <w:pPr>
              <w:pStyle w:val="616"/>
              <w:widowControl w:val="true"/>
              <w:pBdr/>
              <w:spacing/>
              <w:ind/>
              <w:jc w:val="left"/>
              <w:rPr/>
            </w:pPr>
            <w:r>
              <w:rPr>
                <w:rFonts w:ascii="宋体" w:hAnsi="宋体" w:cs="宋体"/>
                <w:sz w:val="24"/>
                <w:lang w:bidi="ar"/>
              </w:rPr>
              <w:t xml:space="preserve">对使用领域消防产品质量的抽查 </w:t>
            </w:r>
            <w:r/>
          </w:p>
        </w:tc>
        <w:tc>
          <w:tcPr>
            <w:tcBorders>
              <w:top w:val="single" w:color="000000" w:sz="4" w:space="0"/>
              <w:left w:val="single" w:color="000000" w:sz="4" w:space="0"/>
              <w:bottom w:val="single" w:color="000000" w:sz="4" w:space="0"/>
              <w:right w:val="single" w:color="000000" w:sz="4" w:space="0"/>
            </w:tcBorders>
            <w:tcW w:w="1445" w:type="dxa"/>
            <w:vAlign w:val="center"/>
            <w:textDirection w:val="lrTb"/>
            <w:noWrap w:val="false"/>
          </w:tcPr>
          <w:p>
            <w:pPr>
              <w:pStyle w:val="616"/>
              <w:widowControl w:val="true"/>
              <w:pBdr/>
              <w:spacing/>
              <w:ind/>
              <w:jc w:val="left"/>
              <w:rPr/>
            </w:pPr>
            <w:r>
              <w:rPr>
                <w:rFonts w:ascii="宋体" w:hAnsi="宋体" w:cs="宋体"/>
                <w:sz w:val="24"/>
                <w:lang w:bidi="ar"/>
              </w:rPr>
              <w:t xml:space="preserve">《</w:t>
            </w:r>
            <w:r>
              <w:rPr>
                <w:rFonts w:ascii="宋体" w:hAnsi="宋体" w:cs="宋体"/>
                <w:sz w:val="24"/>
                <w:lang w:bidi="ar"/>
              </w:rPr>
              <w:t xml:space="preserve">中华人民共和国消防法</w:t>
            </w:r>
            <w:r/>
            <w:r>
              <w:rPr>
                <w:rFonts w:ascii="宋体" w:hAnsi="宋体" w:cs="宋体"/>
                <w:sz w:val="24"/>
                <w:lang w:bidi="ar"/>
              </w:rPr>
              <w:t xml:space="preserve">》《吉林省消防条例》《消防产品监督管理规定》 </w:t>
            </w:r>
            <w:r/>
          </w:p>
        </w:tc>
        <w:tc>
          <w:tcPr>
            <w:tcBorders>
              <w:top w:val="single" w:color="000000" w:sz="4" w:space="0"/>
              <w:left w:val="single" w:color="000000" w:sz="4" w:space="0"/>
              <w:bottom w:val="single" w:color="000000" w:sz="4" w:space="0"/>
              <w:right w:val="single" w:color="000000" w:sz="4" w:space="0"/>
            </w:tcBorders>
            <w:tcW w:w="729" w:type="dxa"/>
            <w:vAlign w:val="center"/>
            <w:textDirection w:val="lrTb"/>
            <w:noWrap w:val="false"/>
          </w:tcPr>
          <w:p>
            <w:pPr>
              <w:pStyle w:val="616"/>
              <w:widowControl w:val="true"/>
              <w:pBdr/>
              <w:spacing/>
              <w:ind/>
              <w:jc w:val="left"/>
              <w:rPr/>
            </w:pPr>
            <w:r>
              <w:rPr>
                <w:rFonts w:ascii="宋体" w:hAnsi="宋体" w:cs="宋体"/>
                <w:sz w:val="24"/>
                <w:lang w:bidi="ar"/>
              </w:rPr>
              <w:t xml:space="preserve">支、大队级消防救援机构 </w:t>
            </w:r>
            <w:r/>
          </w:p>
        </w:tc>
        <w:tc>
          <w:tcPr>
            <w:tcBorders>
              <w:top w:val="single" w:color="000000" w:sz="4" w:space="0"/>
              <w:left w:val="single" w:color="000000" w:sz="4" w:space="0"/>
              <w:bottom w:val="single" w:color="000000" w:sz="4" w:space="0"/>
              <w:right w:val="single" w:color="000000" w:sz="4" w:space="0"/>
            </w:tcBorders>
            <w:tcW w:w="539" w:type="dxa"/>
            <w:vAlign w:val="center"/>
            <w:textDirection w:val="lrTb"/>
            <w:noWrap w:val="false"/>
          </w:tcPr>
          <w:p>
            <w:pPr>
              <w:pStyle w:val="616"/>
              <w:widowControl w:val="true"/>
              <w:pBdr/>
              <w:spacing/>
              <w:ind/>
              <w:jc w:val="left"/>
              <w:rPr/>
            </w:pPr>
            <w:r>
              <w:rPr>
                <w:rFonts w:ascii="宋体" w:hAnsi="宋体" w:cs="宋体"/>
                <w:sz w:val="24"/>
                <w:lang w:bidi="ar"/>
              </w:rPr>
              <w:t xml:space="preserve">重点单位/一般单位 </w:t>
            </w:r>
            <w:r/>
          </w:p>
        </w:tc>
        <w:tc>
          <w:tcPr>
            <w:tcBorders>
              <w:top w:val="single" w:color="000000" w:sz="4" w:space="0"/>
              <w:left w:val="single" w:color="000000" w:sz="4" w:space="0"/>
              <w:bottom w:val="single" w:color="000000" w:sz="4" w:space="0"/>
              <w:right w:val="single" w:color="000000" w:sz="4" w:space="0"/>
            </w:tcBorders>
            <w:tcW w:w="2669" w:type="dxa"/>
            <w:vAlign w:val="center"/>
            <w:textDirection w:val="lrTb"/>
            <w:noWrap w:val="false"/>
          </w:tcPr>
          <w:p>
            <w:pPr>
              <w:pStyle w:val="616"/>
              <w:widowControl w:val="true"/>
              <w:pBdr/>
              <w:spacing/>
              <w:ind/>
              <w:jc w:val="left"/>
              <w:rPr/>
            </w:pPr>
            <w:r>
              <w:rPr>
                <w:rFonts w:ascii="宋体" w:hAnsi="宋体" w:cs="宋体"/>
                <w:sz w:val="24"/>
                <w:lang w:bidi="ar"/>
              </w:rPr>
              <w:t xml:space="preserve">1、与日常监督抽查一并进行；2、专项检查时由专项方案确定比例 </w:t>
            </w:r>
            <w:r/>
          </w:p>
        </w:tc>
        <w:tc>
          <w:tcPr>
            <w:tcBorders>
              <w:top w:val="single" w:color="000000" w:sz="4" w:space="0"/>
              <w:left w:val="single" w:color="000000" w:sz="4" w:space="0"/>
              <w:bottom w:val="single" w:color="000000" w:sz="4" w:space="0"/>
              <w:right w:val="single" w:color="000000" w:sz="4" w:space="0"/>
            </w:tcBorders>
            <w:tcW w:w="1500" w:type="dxa"/>
            <w:vAlign w:val="center"/>
            <w:textDirection w:val="lrTb"/>
            <w:noWrap w:val="false"/>
          </w:tcPr>
          <w:p>
            <w:pPr>
              <w:pStyle w:val="616"/>
              <w:widowControl w:val="true"/>
              <w:pBdr/>
              <w:spacing/>
              <w:ind/>
              <w:jc w:val="left"/>
              <w:rPr/>
            </w:pPr>
            <w:r>
              <w:rPr>
                <w:rFonts w:ascii="宋体" w:hAnsi="宋体" w:cs="宋体"/>
                <w:sz w:val="24"/>
                <w:lang w:bidi="ar"/>
              </w:rPr>
              <w:t xml:space="preserve">随日常监督检查一并进行 </w:t>
            </w:r>
            <w:r/>
          </w:p>
        </w:tc>
        <w:tc>
          <w:tcPr>
            <w:tcBorders>
              <w:top w:val="single" w:color="000000" w:sz="4" w:space="0"/>
              <w:left w:val="single" w:color="000000" w:sz="4" w:space="0"/>
              <w:bottom w:val="single" w:color="000000" w:sz="4" w:space="0"/>
              <w:right w:val="single" w:color="000000" w:sz="4" w:space="0"/>
            </w:tcBorders>
            <w:tcW w:w="1231" w:type="dxa"/>
            <w:vAlign w:val="center"/>
            <w:textDirection w:val="lrTb"/>
            <w:noWrap w:val="false"/>
          </w:tcPr>
          <w:p>
            <w:pPr>
              <w:pStyle w:val="616"/>
              <w:widowControl w:val="true"/>
              <w:pBdr/>
              <w:spacing/>
              <w:ind/>
              <w:jc w:val="left"/>
              <w:rPr/>
            </w:pPr>
            <w:r>
              <w:rPr>
                <w:rFonts w:ascii="宋体" w:hAnsi="宋体" w:cs="宋体"/>
                <w:sz w:val="24"/>
                <w:lang w:bidi="ar"/>
              </w:rPr>
              <w:t xml:space="preserve">系统随机选择 </w:t>
            </w:r>
            <w:r/>
          </w:p>
        </w:tc>
        <w:tc>
          <w:tcPr>
            <w:tcBorders>
              <w:top w:val="single" w:color="000000" w:sz="4" w:space="0"/>
              <w:left w:val="single" w:color="000000" w:sz="4" w:space="0"/>
              <w:bottom w:val="single" w:color="000000" w:sz="4" w:space="0"/>
              <w:right w:val="single" w:color="000000" w:sz="4" w:space="0"/>
            </w:tcBorders>
            <w:tcW w:w="5075" w:type="dxa"/>
            <w:vAlign w:val="center"/>
            <w:textDirection w:val="lrTb"/>
            <w:noWrap w:val="false"/>
          </w:tcPr>
          <w:p>
            <w:pPr>
              <w:pStyle w:val="616"/>
              <w:widowControl w:val="true"/>
              <w:pBdr/>
              <w:spacing/>
              <w:ind/>
              <w:jc w:val="left"/>
              <w:rPr/>
            </w:pPr>
            <w:r>
              <w:rPr>
                <w:rFonts w:ascii="宋体" w:hAnsi="宋体" w:cs="宋体"/>
                <w:sz w:val="24"/>
                <w:lang w:bidi="ar"/>
              </w:rPr>
              <w:t xml:space="preserve">1.列入强制性产品认证目录的消防产品是否具备强制性产品认证证书，新研制的尚未制定国家标准、行业标准的消防产品是否具备技术鉴定证书； 2.按照强制性国家标准或者行业标准的规定，应当进行型式检验和出厂检验的消防产品，是否具备型式检验合格和出厂检验合格的证明文件； 3.消防产品的外观标志、规格型号、结构部件、材料、性能参数、生产厂名、厂址与产地等是否符合有关规定； 4.消防产品的关键性能是否符合消防产品现场检查判定规则的要求； 5.法律、行政法规规定的其他内容。 </w:t>
            </w:r>
            <w:r/>
          </w:p>
        </w:tc>
      </w:tr>
      <w:tr>
        <w:trPr>
          <w:tblCellSpacing w:w="0" w:type="dxa"/>
        </w:trPr>
        <w:tc>
          <w:tcPr>
            <w:tcBorders>
              <w:top w:val="single" w:color="000000" w:sz="4" w:space="0"/>
              <w:left w:val="single" w:color="000000" w:sz="4" w:space="0"/>
              <w:bottom w:val="single" w:color="000000" w:sz="4" w:space="0"/>
              <w:right w:val="single" w:color="000000" w:sz="4" w:space="0"/>
            </w:tcBorders>
            <w:tcW w:w="239" w:type="dxa"/>
            <w:vAlign w:val="center"/>
            <w:textDirection w:val="lrTb"/>
            <w:noWrap w:val="false"/>
          </w:tcPr>
          <w:p>
            <w:pPr>
              <w:pStyle w:val="616"/>
              <w:widowControl w:val="true"/>
              <w:pBdr/>
              <w:spacing/>
              <w:ind/>
              <w:jc w:val="left"/>
              <w:rPr/>
            </w:pPr>
            <w:r>
              <w:rPr>
                <w:rFonts w:ascii="宋体" w:hAnsi="宋体" w:cs="宋体"/>
                <w:sz w:val="24"/>
                <w:lang w:bidi="ar"/>
              </w:rPr>
              <w:t xml:space="preserve">3 </w:t>
            </w:r>
            <w:r/>
          </w:p>
        </w:tc>
        <w:tc>
          <w:tcPr>
            <w:tcBorders>
              <w:top w:val="single" w:color="000000" w:sz="4" w:space="0"/>
              <w:left w:val="single" w:color="000000" w:sz="4" w:space="0"/>
              <w:bottom w:val="single" w:color="000000" w:sz="4" w:space="0"/>
              <w:right w:val="single" w:color="000000" w:sz="4" w:space="0"/>
            </w:tcBorders>
            <w:tcW w:w="541" w:type="dxa"/>
            <w:vAlign w:val="center"/>
            <w:textDirection w:val="lrTb"/>
            <w:noWrap w:val="false"/>
          </w:tcPr>
          <w:p>
            <w:pPr>
              <w:pStyle w:val="616"/>
              <w:widowControl w:val="true"/>
              <w:pBdr/>
              <w:spacing/>
              <w:ind/>
              <w:jc w:val="left"/>
              <w:rPr/>
            </w:pPr>
            <w:r>
              <w:rPr>
                <w:rFonts w:ascii="宋体" w:hAnsi="宋体" w:cs="宋体"/>
                <w:sz w:val="24"/>
                <w:lang w:bidi="ar"/>
              </w:rPr>
              <w:t xml:space="preserve">对社会消防技术服务活动的监督抽查 </w:t>
            </w:r>
            <w:r/>
          </w:p>
        </w:tc>
        <w:tc>
          <w:tcPr>
            <w:tcBorders>
              <w:top w:val="single" w:color="000000" w:sz="4" w:space="0"/>
              <w:left w:val="single" w:color="000000" w:sz="4" w:space="0"/>
              <w:bottom w:val="single" w:color="000000" w:sz="4" w:space="0"/>
              <w:right w:val="single" w:color="000000" w:sz="4" w:space="0"/>
            </w:tcBorders>
            <w:tcW w:w="1445" w:type="dxa"/>
            <w:vAlign w:val="center"/>
            <w:textDirection w:val="lrTb"/>
            <w:noWrap w:val="false"/>
          </w:tcPr>
          <w:p>
            <w:pPr>
              <w:pStyle w:val="616"/>
              <w:widowControl w:val="true"/>
              <w:pBdr/>
              <w:spacing/>
              <w:ind/>
              <w:jc w:val="left"/>
              <w:rPr/>
            </w:pPr>
            <w:r>
              <w:rPr>
                <w:rFonts w:ascii="宋体" w:hAnsi="宋体" w:cs="宋体"/>
                <w:sz w:val="24"/>
                <w:lang w:bidi="ar"/>
              </w:rPr>
              <w:t xml:space="preserve">《中华人民共和国消防法》《吉林省消防条例》《社会消防技术服务管理规定》 </w:t>
            </w:r>
            <w:r/>
          </w:p>
        </w:tc>
        <w:tc>
          <w:tcPr>
            <w:tcBorders>
              <w:top w:val="single" w:color="000000" w:sz="4" w:space="0"/>
              <w:left w:val="single" w:color="000000" w:sz="4" w:space="0"/>
              <w:bottom w:val="single" w:color="000000" w:sz="4" w:space="0"/>
              <w:right w:val="single" w:color="000000" w:sz="4" w:space="0"/>
            </w:tcBorders>
            <w:tcW w:w="729" w:type="dxa"/>
            <w:vAlign w:val="center"/>
            <w:textDirection w:val="lrTb"/>
            <w:noWrap w:val="false"/>
          </w:tcPr>
          <w:p>
            <w:pPr>
              <w:pStyle w:val="616"/>
              <w:widowControl w:val="true"/>
              <w:pBdr/>
              <w:spacing/>
              <w:ind/>
              <w:jc w:val="left"/>
              <w:rPr/>
            </w:pPr>
            <w:r>
              <w:rPr>
                <w:rFonts w:ascii="宋体" w:hAnsi="宋体" w:cs="宋体"/>
                <w:sz w:val="24"/>
                <w:lang w:bidi="ar"/>
              </w:rPr>
              <w:t xml:space="preserve">大队级以上消防救援机构 </w:t>
            </w:r>
            <w:r/>
          </w:p>
        </w:tc>
        <w:tc>
          <w:tcPr>
            <w:tcBorders>
              <w:top w:val="single" w:color="000000" w:sz="4" w:space="0"/>
              <w:left w:val="single" w:color="000000" w:sz="4" w:space="0"/>
              <w:bottom w:val="single" w:color="000000" w:sz="4" w:space="0"/>
              <w:right w:val="single" w:color="000000" w:sz="4" w:space="0"/>
            </w:tcBorders>
            <w:tcW w:w="539" w:type="dxa"/>
            <w:vAlign w:val="center"/>
            <w:textDirection w:val="lrTb"/>
            <w:noWrap w:val="false"/>
          </w:tcPr>
          <w:p>
            <w:pPr>
              <w:pStyle w:val="616"/>
              <w:widowControl w:val="true"/>
              <w:pBdr/>
              <w:spacing/>
              <w:ind/>
              <w:jc w:val="left"/>
              <w:rPr/>
            </w:pPr>
            <w:r>
              <w:rPr>
                <w:rFonts w:ascii="宋体" w:hAnsi="宋体" w:cs="宋体"/>
                <w:sz w:val="24"/>
                <w:lang w:bidi="ar"/>
              </w:rPr>
              <w:t xml:space="preserve">重点单位/一般单位 </w:t>
            </w:r>
            <w:r/>
          </w:p>
        </w:tc>
        <w:tc>
          <w:tcPr>
            <w:tcBorders>
              <w:top w:val="single" w:color="000000" w:sz="4" w:space="0"/>
              <w:left w:val="single" w:color="000000" w:sz="4" w:space="0"/>
              <w:bottom w:val="single" w:color="000000" w:sz="4" w:space="0"/>
              <w:right w:val="single" w:color="000000" w:sz="4" w:space="0"/>
            </w:tcBorders>
            <w:tcW w:w="2669" w:type="dxa"/>
            <w:vAlign w:val="center"/>
            <w:textDirection w:val="lrTb"/>
            <w:noWrap w:val="false"/>
          </w:tcPr>
          <w:p>
            <w:pPr>
              <w:pStyle w:val="616"/>
              <w:widowControl w:val="true"/>
              <w:pBdr/>
              <w:spacing/>
              <w:ind/>
              <w:jc w:val="left"/>
              <w:rPr/>
            </w:pPr>
            <w:r>
              <w:rPr>
                <w:rFonts w:ascii="宋体" w:hAnsi="宋体" w:cs="宋体"/>
                <w:sz w:val="24"/>
                <w:lang w:bidi="ar"/>
              </w:rPr>
              <w:t xml:space="preserve">1.支、大队级消防救援机构结合日常消防监督检查工作实施监督抽查； 2.省级消防救援机构制定专项检查方案确定抽查比例。 </w:t>
            </w:r>
            <w:r/>
          </w:p>
        </w:tc>
        <w:tc>
          <w:tcPr>
            <w:tcBorders>
              <w:top w:val="single" w:color="000000" w:sz="4" w:space="0"/>
              <w:left w:val="single" w:color="000000" w:sz="4" w:space="0"/>
              <w:bottom w:val="single" w:color="000000" w:sz="4" w:space="0"/>
              <w:right w:val="single" w:color="000000" w:sz="4" w:space="0"/>
            </w:tcBorders>
            <w:tcW w:w="1500" w:type="dxa"/>
            <w:vAlign w:val="center"/>
            <w:textDirection w:val="lrTb"/>
            <w:noWrap w:val="false"/>
          </w:tcPr>
          <w:p>
            <w:pPr>
              <w:pStyle w:val="616"/>
              <w:widowControl w:val="true"/>
              <w:pBdr/>
              <w:spacing/>
              <w:ind/>
              <w:jc w:val="left"/>
              <w:rPr/>
            </w:pPr>
            <w:r>
              <w:rPr>
                <w:rFonts w:ascii="宋体" w:hAnsi="宋体" w:cs="宋体"/>
                <w:sz w:val="24"/>
                <w:lang w:bidi="ar"/>
              </w:rPr>
              <w:t xml:space="preserve">随日常监督检查一并进行 </w:t>
            </w:r>
            <w:r/>
          </w:p>
        </w:tc>
        <w:tc>
          <w:tcPr>
            <w:tcBorders>
              <w:top w:val="single" w:color="000000" w:sz="4" w:space="0"/>
              <w:left w:val="single" w:color="000000" w:sz="4" w:space="0"/>
              <w:bottom w:val="single" w:color="000000" w:sz="4" w:space="0"/>
              <w:right w:val="single" w:color="000000" w:sz="4" w:space="0"/>
            </w:tcBorders>
            <w:tcW w:w="1231" w:type="dxa"/>
            <w:vAlign w:val="center"/>
            <w:textDirection w:val="lrTb"/>
            <w:noWrap w:val="false"/>
          </w:tcPr>
          <w:p>
            <w:pPr>
              <w:pStyle w:val="616"/>
              <w:widowControl w:val="true"/>
              <w:pBdr/>
              <w:spacing/>
              <w:ind/>
              <w:jc w:val="left"/>
              <w:rPr/>
            </w:pPr>
            <w:r>
              <w:rPr>
                <w:rFonts w:ascii="宋体" w:hAnsi="宋体" w:cs="宋体"/>
                <w:sz w:val="24"/>
                <w:lang w:bidi="ar"/>
              </w:rPr>
              <w:t xml:space="preserve">“双随机”系统随机抽取被检查单位和监督检查人员 </w:t>
            </w:r>
            <w:r/>
          </w:p>
        </w:tc>
        <w:tc>
          <w:tcPr>
            <w:tcBorders>
              <w:top w:val="single" w:color="000000" w:sz="4" w:space="0"/>
              <w:left w:val="single" w:color="000000" w:sz="4" w:space="0"/>
              <w:bottom w:val="single" w:color="000000" w:sz="4" w:space="0"/>
              <w:right w:val="single" w:color="000000" w:sz="4" w:space="0"/>
            </w:tcBorders>
            <w:tcW w:w="5075" w:type="dxa"/>
            <w:vAlign w:val="center"/>
            <w:textDirection w:val="lrTb"/>
            <w:noWrap w:val="false"/>
          </w:tcPr>
          <w:p>
            <w:pPr>
              <w:pStyle w:val="616"/>
              <w:widowControl w:val="true"/>
              <w:pBdr/>
              <w:spacing/>
              <w:ind/>
              <w:jc w:val="left"/>
              <w:rPr/>
            </w:pPr>
            <w:r>
              <w:rPr>
                <w:rFonts w:ascii="宋体" w:hAnsi="宋体" w:cs="宋体"/>
                <w:sz w:val="24"/>
                <w:lang w:bidi="ar"/>
              </w:rPr>
              <w:t xml:space="preserve">1.是否存在不具备《消防技术服务机构从业条件》，擅自从事消防技术服务活动；是否存在冒用其他社会消防技术服务机构名义从事社会消防技术服务活动。 2.是否存在不具备《消防技术服务机构从业条件》，经责令限期改正未改正或者在改正期间继续从事相应社会消防技术服务活动；是否存在所属注册消防工程师同时在两个以上消防技术服务机构执业或在其他机关、团体、企业、事业单位任职的；是否存在指派无相应资格从业人员从事社会消防技术服务活动的。 3.是否设立技术负责人、明确项目负责</w:t>
            </w:r>
            <w:r>
              <w:rPr>
                <w:rFonts w:ascii="宋体" w:hAnsi="宋体" w:cs="宋体"/>
                <w:sz w:val="24"/>
                <w:lang w:bidi="ar"/>
              </w:rPr>
              <w:t xml:space="preserve">人；是否存在未在出具的书面结论文件签名、盖章；是否存在承接业务未依法与委托人签订消防技术服务合同；是否存在未建立和保管消防技术服务档案；是否存在未公示注册消防工程师资格证书等事项的。 4.是否存在出具虚假文件、失实文件。 5.是否存在未按照国家标准、行业标准检测、维修、保养建筑消防设施的；是否存在经维修、保养的建筑消防设施质量不符合国家标准、行业标准的。 6.是否存在消防设施维护保养检测机构未按照规定在经其维修、保养的消防设施所在建筑的醒目位置公示消防技术服务信息的。 7.法律、法规、规章规定的其他行为。 </w:t>
            </w:r>
            <w:r/>
          </w:p>
        </w:tc>
      </w:tr>
      <w:tr>
        <w:trPr>
          <w:tblCellSpacing w:w="0" w:type="dxa"/>
        </w:trPr>
        <w:tc>
          <w:tcPr>
            <w:tcBorders>
              <w:top w:val="single" w:color="000000" w:sz="4" w:space="0"/>
              <w:left w:val="single" w:color="000000" w:sz="4" w:space="0"/>
              <w:bottom w:val="single" w:color="000000" w:sz="4" w:space="0"/>
              <w:right w:val="single" w:color="000000" w:sz="4" w:space="0"/>
            </w:tcBorders>
            <w:tcW w:w="239" w:type="dxa"/>
            <w:vAlign w:val="center"/>
            <w:textDirection w:val="lrTb"/>
            <w:noWrap w:val="false"/>
          </w:tcPr>
          <w:p>
            <w:pPr>
              <w:pStyle w:val="616"/>
              <w:widowControl w:val="true"/>
              <w:pBdr/>
              <w:spacing/>
              <w:ind/>
              <w:jc w:val="left"/>
              <w:rPr/>
            </w:pPr>
            <w:r>
              <w:rPr>
                <w:rFonts w:ascii="宋体" w:hAnsi="宋体" w:cs="宋体"/>
                <w:sz w:val="24"/>
                <w:lang w:bidi="ar"/>
              </w:rPr>
              <w:t xml:space="preserve">4 </w:t>
            </w:r>
            <w:r/>
          </w:p>
        </w:tc>
        <w:tc>
          <w:tcPr>
            <w:tcBorders>
              <w:top w:val="single" w:color="000000" w:sz="4" w:space="0"/>
              <w:left w:val="single" w:color="000000" w:sz="4" w:space="0"/>
              <w:bottom w:val="single" w:color="000000" w:sz="4" w:space="0"/>
              <w:right w:val="single" w:color="000000" w:sz="4" w:space="0"/>
            </w:tcBorders>
            <w:tcW w:w="541" w:type="dxa"/>
            <w:vAlign w:val="center"/>
            <w:textDirection w:val="lrTb"/>
            <w:noWrap w:val="false"/>
          </w:tcPr>
          <w:p>
            <w:pPr>
              <w:pStyle w:val="616"/>
              <w:widowControl w:val="true"/>
              <w:pBdr/>
              <w:spacing/>
              <w:ind/>
              <w:jc w:val="left"/>
              <w:rPr/>
            </w:pPr>
            <w:r>
              <w:rPr>
                <w:rFonts w:ascii="宋体" w:hAnsi="宋体" w:cs="宋体"/>
                <w:sz w:val="24"/>
                <w:lang w:bidi="ar"/>
              </w:rPr>
              <w:t xml:space="preserve">对注册消防工程师执业活动的监督抽查 </w:t>
            </w:r>
            <w:r/>
          </w:p>
        </w:tc>
        <w:tc>
          <w:tcPr>
            <w:tcBorders>
              <w:top w:val="single" w:color="000000" w:sz="4" w:space="0"/>
              <w:left w:val="single" w:color="000000" w:sz="4" w:space="0"/>
              <w:bottom w:val="single" w:color="000000" w:sz="4" w:space="0"/>
              <w:right w:val="single" w:color="000000" w:sz="4" w:space="0"/>
            </w:tcBorders>
            <w:tcW w:w="1445" w:type="dxa"/>
            <w:vAlign w:val="center"/>
            <w:textDirection w:val="lrTb"/>
            <w:noWrap w:val="false"/>
          </w:tcPr>
          <w:p>
            <w:pPr>
              <w:pStyle w:val="616"/>
              <w:widowControl w:val="true"/>
              <w:pBdr/>
              <w:spacing/>
              <w:ind/>
              <w:jc w:val="left"/>
              <w:rPr/>
            </w:pPr>
            <w:r>
              <w:rPr>
                <w:rFonts w:ascii="宋体" w:hAnsi="宋体" w:cs="宋体"/>
                <w:sz w:val="24"/>
                <w:lang w:bidi="ar"/>
              </w:rPr>
              <w:t xml:space="preserve">《中华人民共和国消防法》《注册消防工程师管理规定》 </w:t>
            </w:r>
            <w:r/>
          </w:p>
        </w:tc>
        <w:tc>
          <w:tcPr>
            <w:tcBorders>
              <w:top w:val="single" w:color="000000" w:sz="4" w:space="0"/>
              <w:left w:val="single" w:color="000000" w:sz="4" w:space="0"/>
              <w:bottom w:val="single" w:color="000000" w:sz="4" w:space="0"/>
              <w:right w:val="single" w:color="000000" w:sz="4" w:space="0"/>
            </w:tcBorders>
            <w:tcW w:w="729" w:type="dxa"/>
            <w:vAlign w:val="center"/>
            <w:textDirection w:val="lrTb"/>
            <w:noWrap w:val="false"/>
          </w:tcPr>
          <w:p>
            <w:pPr>
              <w:pStyle w:val="616"/>
              <w:widowControl w:val="true"/>
              <w:pBdr/>
              <w:spacing/>
              <w:ind/>
              <w:jc w:val="left"/>
              <w:rPr/>
            </w:pPr>
            <w:r>
              <w:rPr>
                <w:rFonts w:ascii="宋体" w:hAnsi="宋体" w:cs="宋体"/>
                <w:sz w:val="24"/>
                <w:lang w:bidi="ar"/>
              </w:rPr>
              <w:t xml:space="preserve">大队以上级消防救援机构 </w:t>
            </w:r>
            <w:r/>
          </w:p>
        </w:tc>
        <w:tc>
          <w:tcPr>
            <w:tcBorders>
              <w:top w:val="single" w:color="000000" w:sz="4" w:space="0"/>
              <w:left w:val="single" w:color="000000" w:sz="4" w:space="0"/>
              <w:bottom w:val="single" w:color="000000" w:sz="4" w:space="0"/>
              <w:right w:val="single" w:color="000000" w:sz="4" w:space="0"/>
            </w:tcBorders>
            <w:tcW w:w="539" w:type="dxa"/>
            <w:vAlign w:val="center"/>
            <w:textDirection w:val="lrTb"/>
            <w:noWrap w:val="false"/>
          </w:tcPr>
          <w:p>
            <w:pPr>
              <w:pStyle w:val="616"/>
              <w:widowControl w:val="true"/>
              <w:pBdr/>
              <w:spacing/>
              <w:ind/>
              <w:jc w:val="left"/>
              <w:rPr/>
            </w:pPr>
            <w:r>
              <w:rPr>
                <w:rFonts w:ascii="宋体" w:hAnsi="宋体" w:cs="宋体"/>
                <w:sz w:val="24"/>
                <w:lang w:bidi="ar"/>
              </w:rPr>
              <w:t xml:space="preserve">重点单位/一般单位/小场所 </w:t>
            </w:r>
            <w:r/>
          </w:p>
        </w:tc>
        <w:tc>
          <w:tcPr>
            <w:tcBorders>
              <w:top w:val="single" w:color="000000" w:sz="4" w:space="0"/>
              <w:left w:val="single" w:color="000000" w:sz="4" w:space="0"/>
              <w:bottom w:val="single" w:color="000000" w:sz="4" w:space="0"/>
              <w:right w:val="single" w:color="000000" w:sz="4" w:space="0"/>
            </w:tcBorders>
            <w:tcW w:w="2669" w:type="dxa"/>
            <w:vAlign w:val="center"/>
            <w:textDirection w:val="lrTb"/>
            <w:noWrap w:val="false"/>
          </w:tcPr>
          <w:p>
            <w:pPr>
              <w:pStyle w:val="616"/>
              <w:widowControl w:val="true"/>
              <w:pBdr/>
              <w:spacing/>
              <w:ind/>
              <w:jc w:val="left"/>
              <w:rPr/>
            </w:pPr>
            <w:r>
              <w:rPr>
                <w:rFonts w:ascii="宋体" w:hAnsi="宋体" w:cs="宋体"/>
                <w:sz w:val="24"/>
                <w:lang w:bidi="ar"/>
              </w:rPr>
              <w:t xml:space="preserve">1.支、大队级消防救援机构结合日常消防监督检查工作实施监督抽查； 2.省级消防救援机构制定专项检查方案确定抽查比例。 </w:t>
            </w:r>
            <w:r/>
          </w:p>
        </w:tc>
        <w:tc>
          <w:tcPr>
            <w:tcBorders>
              <w:top w:val="single" w:color="000000" w:sz="4" w:space="0"/>
              <w:left w:val="single" w:color="000000" w:sz="4" w:space="0"/>
              <w:bottom w:val="single" w:color="000000" w:sz="4" w:space="0"/>
              <w:right w:val="single" w:color="000000" w:sz="4" w:space="0"/>
            </w:tcBorders>
            <w:tcW w:w="1500" w:type="dxa"/>
            <w:vAlign w:val="center"/>
            <w:textDirection w:val="lrTb"/>
            <w:noWrap w:val="false"/>
          </w:tcPr>
          <w:p>
            <w:pPr>
              <w:pStyle w:val="616"/>
              <w:widowControl w:val="true"/>
              <w:pBdr/>
              <w:spacing/>
              <w:ind/>
              <w:jc w:val="left"/>
              <w:rPr/>
            </w:pPr>
            <w:r>
              <w:rPr>
                <w:rFonts w:ascii="宋体" w:hAnsi="宋体" w:cs="宋体"/>
                <w:sz w:val="24"/>
                <w:lang w:bidi="ar"/>
              </w:rPr>
              <w:t xml:space="preserve">随日常监督检查一并进行 </w:t>
            </w:r>
            <w:r/>
          </w:p>
        </w:tc>
        <w:tc>
          <w:tcPr>
            <w:tcBorders>
              <w:top w:val="single" w:color="000000" w:sz="4" w:space="0"/>
              <w:left w:val="single" w:color="000000" w:sz="4" w:space="0"/>
              <w:bottom w:val="single" w:color="000000" w:sz="4" w:space="0"/>
              <w:right w:val="single" w:color="000000" w:sz="4" w:space="0"/>
            </w:tcBorders>
            <w:tcW w:w="1231" w:type="dxa"/>
            <w:vAlign w:val="center"/>
            <w:textDirection w:val="lrTb"/>
            <w:noWrap w:val="false"/>
          </w:tcPr>
          <w:p>
            <w:pPr>
              <w:pStyle w:val="616"/>
              <w:widowControl w:val="true"/>
              <w:pBdr/>
              <w:spacing/>
              <w:ind/>
              <w:jc w:val="left"/>
              <w:rPr/>
            </w:pPr>
            <w:r>
              <w:rPr>
                <w:rFonts w:ascii="宋体" w:hAnsi="宋体" w:cs="宋体"/>
                <w:sz w:val="24"/>
                <w:lang w:bidi="ar"/>
              </w:rPr>
              <w:t xml:space="preserve">“双随机”系统随机抽取被检查单位和监督检查人员 </w:t>
            </w:r>
            <w:r/>
          </w:p>
        </w:tc>
        <w:tc>
          <w:tcPr>
            <w:tcBorders>
              <w:top w:val="single" w:color="000000" w:sz="4" w:space="0"/>
              <w:left w:val="single" w:color="000000" w:sz="4" w:space="0"/>
              <w:bottom w:val="single" w:color="000000" w:sz="4" w:space="0"/>
              <w:right w:val="single" w:color="000000" w:sz="4" w:space="0"/>
            </w:tcBorders>
            <w:tcW w:w="5075" w:type="dxa"/>
            <w:vAlign w:val="center"/>
            <w:textDirection w:val="lrTb"/>
            <w:noWrap w:val="false"/>
          </w:tcPr>
          <w:p>
            <w:pPr>
              <w:pStyle w:val="616"/>
              <w:widowControl w:val="true"/>
              <w:pBdr/>
              <w:spacing/>
              <w:ind/>
              <w:jc w:val="left"/>
              <w:rPr/>
            </w:pPr>
            <w:r>
              <w:rPr>
                <w:rFonts w:ascii="宋体" w:hAnsi="宋体" w:cs="宋体"/>
                <w:sz w:val="24"/>
                <w:lang w:bidi="ar"/>
              </w:rPr>
              <w:t xml:space="preserve">1.是否存在</w:t>
            </w:r>
            <w:r>
              <w:rPr>
                <w:rFonts w:ascii="宋体" w:hAnsi="宋体" w:cs="宋体"/>
                <w:sz w:val="24"/>
                <w:lang w:bidi="ar"/>
              </w:rPr>
              <w:t xml:space="preserve">同时在两个以上消防技术服务机构，或者消防安全重点单位执业; 2.是否存在以个人名义承接执业业务、开展执业活动，或未经注册擅自以注册消防工程师名义执业； 3.是否存在在聘用单位出具的虚假、失实消防安全技术文件上签名、加盖执业印章； 4.是否存在变造、倒卖、出租、出借，或者以其他形式转让资格证书、注册证或者执业印章； 5.是否超出本人执业范围或者聘用单位业务范围开展执业活动； 6.是否按照国家标准、行业标准开展执业活动，是否存在减少执业活动项目内容、数量，或者降低执业活动质量； 7.法律、法规规定的其他行为。 </w:t>
            </w:r>
            <w:r/>
          </w:p>
        </w:tc>
      </w:tr>
    </w:tbl>
    <w:sectPr>
      <w:footnotePr/>
      <w:endnotePr/>
      <w:type w:val="nextPage"/>
      <w:pgSz w:h="11906" w:orient="portrait" w:w="16838"/>
      <w:pgMar w:top="1800" w:right="1440" w:bottom="1800" w:left="144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等线">
    <w:panose1 w:val="02010600030101010101"/>
  </w:font>
  <w:font w:name="宋体">
    <w:panose1 w:val="0201060003010101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rFonts w:ascii="Calibri" w:hAnsi="Calibri"/>
      <w:sz w:val="21"/>
      <w:szCs w:val="24"/>
      <w:lang w:val="en-US" w:eastAsia="zh-CN" w:bidi="ar-SA"/>
    </w:rPr>
  </w:style>
  <w:style w:type="character" w:styleId="617">
    <w:name w:val="默认段落字体"/>
    <w:next w:val="617"/>
    <w:link w:val="616"/>
    <w:semiHidden/>
    <w:pPr>
      <w:pBdr/>
      <w:spacing/>
      <w:ind/>
    </w:pPr>
  </w:style>
  <w:style w:type="table" w:styleId="618">
    <w:name w:val="普通表格"/>
    <w:next w:val="618"/>
    <w:link w:val="61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9">
    <w:name w:val="页脚"/>
    <w:basedOn w:val="616"/>
    <w:next w:val="619"/>
    <w:link w:val="620"/>
    <w:pPr>
      <w:pBdr/>
      <w:tabs>
        <w:tab w:val="center" w:leader="none" w:pos="4153"/>
        <w:tab w:val="right" w:leader="none" w:pos="8306"/>
      </w:tabs>
      <w:spacing/>
      <w:ind/>
      <w:jc w:val="left"/>
    </w:pPr>
    <w:rPr>
      <w:sz w:val="18"/>
      <w:szCs w:val="18"/>
    </w:rPr>
  </w:style>
  <w:style w:type="character" w:styleId="620">
    <w:name w:val="页脚 Char"/>
    <w:basedOn w:val="617"/>
    <w:next w:val="620"/>
    <w:link w:val="619"/>
    <w:pPr>
      <w:pBdr/>
      <w:spacing/>
      <w:ind/>
    </w:pPr>
    <w:rPr>
      <w:rFonts w:ascii="Calibri" w:hAnsi="Calibri"/>
      <w:sz w:val="18"/>
      <w:szCs w:val="18"/>
    </w:rPr>
  </w:style>
  <w:style w:type="paragraph" w:styleId="621">
    <w:name w:val="页眉"/>
    <w:basedOn w:val="616"/>
    <w:next w:val="621"/>
    <w:link w:val="622"/>
    <w:pPr>
      <w:pBdr>
        <w:bottom w:val="single" w:color="000000" w:sz="6" w:space="1"/>
      </w:pBdr>
      <w:tabs>
        <w:tab w:val="center" w:leader="none" w:pos="4153"/>
        <w:tab w:val="right" w:leader="none" w:pos="8306"/>
      </w:tabs>
      <w:spacing/>
      <w:ind/>
      <w:jc w:val="center"/>
    </w:pPr>
    <w:rPr>
      <w:sz w:val="18"/>
      <w:szCs w:val="18"/>
    </w:rPr>
  </w:style>
  <w:style w:type="character" w:styleId="622">
    <w:name w:val="页眉 Char"/>
    <w:basedOn w:val="617"/>
    <w:next w:val="622"/>
    <w:link w:val="621"/>
    <w:pPr>
      <w:pBdr/>
      <w:spacing/>
      <w:ind/>
    </w:pPr>
    <w:rPr>
      <w:rFonts w:ascii="Calibri" w:hAnsi="Calibri"/>
      <w:sz w:val="18"/>
      <w:szCs w:val="18"/>
    </w:rPr>
  </w:style>
  <w:style w:type="character" w:styleId="1099" w:default="1">
    <w:name w:val="Default Paragraph Font"/>
    <w:uiPriority w:val="1"/>
    <w:semiHidden/>
    <w:unhideWhenUsed/>
    <w:pPr>
      <w:pBdr/>
      <w:spacing/>
      <w:ind/>
    </w:pPr>
  </w:style>
  <w:style w:type="numbering" w:styleId="1100" w:default="1">
    <w:name w:val="No List"/>
    <w:uiPriority w:val="99"/>
    <w:semiHidden/>
    <w:unhideWhenUsed/>
    <w:pPr>
      <w:pBdr/>
      <w:spacing/>
      <w:ind/>
    </w:pPr>
  </w:style>
  <w:style w:type="table" w:styleId="1101"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中国</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3</cp:revision>
  <dcterms:created xsi:type="dcterms:W3CDTF">2023-04-18T02:23:00Z</dcterms:created>
  <dcterms:modified xsi:type="dcterms:W3CDTF">2026-04-29T02:06:36Z</dcterms:modified>
</cp:coreProperties>
</file>