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E4A9F6">
      <w:pPr>
        <w:spacing w:line="576" w:lineRule="exact"/>
        <w:ind w:firstLine="640" w:firstLineChars="200"/>
        <w:rPr>
          <w:rFonts w:eastAsia="方正仿宋简体"/>
          <w:color w:val="auto"/>
          <w:sz w:val="32"/>
          <w:szCs w:val="32"/>
        </w:rPr>
      </w:pPr>
    </w:p>
    <w:p w14:paraId="50590AD2">
      <w:pPr>
        <w:pStyle w:val="3"/>
        <w:spacing w:line="576" w:lineRule="exact"/>
        <w:rPr>
          <w:rFonts w:eastAsia="方正仿宋简体"/>
          <w:color w:val="auto"/>
          <w:sz w:val="32"/>
          <w:szCs w:val="32"/>
        </w:rPr>
      </w:pPr>
    </w:p>
    <w:p w14:paraId="03010CEF">
      <w:pPr>
        <w:spacing w:line="576" w:lineRule="exact"/>
        <w:rPr>
          <w:rFonts w:eastAsia="方正仿宋简体"/>
          <w:color w:val="auto"/>
          <w:sz w:val="32"/>
          <w:szCs w:val="32"/>
        </w:rPr>
      </w:pPr>
    </w:p>
    <w:p w14:paraId="5A59DCDA">
      <w:pPr>
        <w:pStyle w:val="3"/>
        <w:spacing w:line="576" w:lineRule="exact"/>
        <w:rPr>
          <w:color w:val="auto"/>
        </w:rPr>
      </w:pPr>
    </w:p>
    <w:p w14:paraId="2D212A5B">
      <w:pPr>
        <w:spacing w:line="576" w:lineRule="exact"/>
        <w:jc w:val="center"/>
        <w:rPr>
          <w:rFonts w:eastAsia="方正小标宋简体"/>
          <w:color w:val="auto"/>
          <w:sz w:val="44"/>
          <w:szCs w:val="44"/>
        </w:rPr>
      </w:pPr>
      <w:r>
        <w:rPr>
          <w:rFonts w:eastAsia="方正小标宋简体"/>
          <w:color w:val="auto"/>
          <w:sz w:val="44"/>
          <w:szCs w:val="44"/>
        </w:rPr>
        <w:t>永吉县国民经济和社会发展</w:t>
      </w:r>
    </w:p>
    <w:p w14:paraId="2ACA925D">
      <w:pPr>
        <w:spacing w:line="576" w:lineRule="exact"/>
        <w:jc w:val="center"/>
        <w:rPr>
          <w:rFonts w:eastAsia="方正小标宋简体"/>
          <w:color w:val="auto"/>
          <w:sz w:val="44"/>
          <w:szCs w:val="44"/>
        </w:rPr>
      </w:pPr>
      <w:r>
        <w:rPr>
          <w:rFonts w:eastAsia="方正小标宋简体"/>
          <w:color w:val="auto"/>
          <w:sz w:val="44"/>
          <w:szCs w:val="44"/>
        </w:rPr>
        <w:t>第十五个五年规划纲要</w:t>
      </w:r>
    </w:p>
    <w:p w14:paraId="385DD413">
      <w:pPr>
        <w:spacing w:line="576" w:lineRule="exact"/>
        <w:ind w:firstLine="640" w:firstLineChars="200"/>
        <w:rPr>
          <w:rFonts w:eastAsia="方正仿宋简体"/>
          <w:color w:val="auto"/>
          <w:sz w:val="32"/>
          <w:szCs w:val="32"/>
        </w:rPr>
      </w:pPr>
    </w:p>
    <w:p w14:paraId="029DB206">
      <w:pPr>
        <w:spacing w:line="576" w:lineRule="exact"/>
        <w:rPr>
          <w:rFonts w:eastAsia="黑体"/>
          <w:color w:val="auto"/>
          <w:sz w:val="44"/>
          <w:szCs w:val="44"/>
        </w:rPr>
      </w:pPr>
    </w:p>
    <w:p w14:paraId="76C350D7">
      <w:pPr>
        <w:spacing w:line="576" w:lineRule="exact"/>
        <w:rPr>
          <w:rFonts w:eastAsia="黑体"/>
          <w:color w:val="auto"/>
          <w:sz w:val="44"/>
          <w:szCs w:val="44"/>
        </w:rPr>
      </w:pPr>
    </w:p>
    <w:p w14:paraId="3E013EF2">
      <w:pPr>
        <w:spacing w:line="576" w:lineRule="exact"/>
        <w:rPr>
          <w:rFonts w:eastAsia="黑体"/>
          <w:color w:val="auto"/>
          <w:sz w:val="44"/>
          <w:szCs w:val="44"/>
        </w:rPr>
      </w:pPr>
    </w:p>
    <w:p w14:paraId="50D8979D">
      <w:pPr>
        <w:spacing w:line="576" w:lineRule="exact"/>
        <w:rPr>
          <w:rFonts w:eastAsia="黑体"/>
          <w:color w:val="auto"/>
          <w:sz w:val="44"/>
          <w:szCs w:val="44"/>
        </w:rPr>
      </w:pPr>
    </w:p>
    <w:p w14:paraId="203D49BD">
      <w:pPr>
        <w:spacing w:line="576" w:lineRule="exact"/>
        <w:rPr>
          <w:rFonts w:eastAsia="黑体"/>
          <w:color w:val="auto"/>
          <w:sz w:val="44"/>
          <w:szCs w:val="44"/>
        </w:rPr>
      </w:pPr>
    </w:p>
    <w:p w14:paraId="6A429A1F">
      <w:pPr>
        <w:spacing w:line="576" w:lineRule="exact"/>
        <w:rPr>
          <w:rFonts w:eastAsia="黑体"/>
          <w:color w:val="auto"/>
          <w:sz w:val="44"/>
          <w:szCs w:val="44"/>
        </w:rPr>
      </w:pPr>
    </w:p>
    <w:p w14:paraId="181F7586">
      <w:pPr>
        <w:spacing w:line="576" w:lineRule="exact"/>
        <w:rPr>
          <w:rFonts w:eastAsia="黑体"/>
          <w:color w:val="auto"/>
          <w:sz w:val="44"/>
          <w:szCs w:val="44"/>
        </w:rPr>
      </w:pPr>
    </w:p>
    <w:p w14:paraId="09EC5C7E">
      <w:pPr>
        <w:spacing w:line="576" w:lineRule="exact"/>
        <w:rPr>
          <w:rFonts w:eastAsia="黑体"/>
          <w:color w:val="auto"/>
          <w:sz w:val="44"/>
          <w:szCs w:val="44"/>
        </w:rPr>
      </w:pPr>
    </w:p>
    <w:p w14:paraId="4BA4F3D6">
      <w:pPr>
        <w:spacing w:line="576" w:lineRule="exact"/>
        <w:rPr>
          <w:rFonts w:eastAsia="黑体"/>
          <w:b/>
          <w:bCs/>
          <w:color w:val="auto"/>
          <w:szCs w:val="32"/>
        </w:rPr>
      </w:pPr>
    </w:p>
    <w:p w14:paraId="52D8B631">
      <w:pPr>
        <w:spacing w:line="576" w:lineRule="exact"/>
        <w:jc w:val="center"/>
        <w:rPr>
          <w:rFonts w:hint="eastAsia" w:ascii="楷体" w:hAnsi="楷体" w:eastAsia="楷体" w:cs="楷体"/>
          <w:b w:val="0"/>
          <w:bCs w:val="0"/>
          <w:color w:val="auto"/>
          <w:sz w:val="32"/>
          <w:szCs w:val="32"/>
          <w:highlight w:val="none"/>
          <w:lang w:val="en-US" w:eastAsia="zh-CN"/>
        </w:rPr>
      </w:pPr>
      <w:r>
        <w:rPr>
          <w:rFonts w:hint="eastAsia" w:ascii="楷体" w:hAnsi="楷体" w:eastAsia="楷体" w:cs="楷体"/>
          <w:b w:val="0"/>
          <w:bCs w:val="0"/>
          <w:color w:val="auto"/>
          <w:sz w:val="32"/>
          <w:szCs w:val="32"/>
          <w:highlight w:val="none"/>
          <w:lang w:val="en-US" w:eastAsia="zh-CN"/>
        </w:rPr>
        <w:t>永吉县人民政府</w:t>
      </w:r>
    </w:p>
    <w:p w14:paraId="1FD2BDB3">
      <w:pPr>
        <w:spacing w:line="576" w:lineRule="exact"/>
        <w:jc w:val="center"/>
        <w:rPr>
          <w:rFonts w:eastAsia="方正楷体简体"/>
          <w:color w:val="auto"/>
          <w:sz w:val="32"/>
          <w:szCs w:val="32"/>
        </w:rPr>
      </w:pPr>
      <w:r>
        <w:rPr>
          <w:rFonts w:eastAsia="方正楷体简体"/>
          <w:color w:val="auto"/>
          <w:sz w:val="32"/>
          <w:szCs w:val="32"/>
        </w:rPr>
        <w:t>202</w:t>
      </w:r>
      <w:r>
        <w:rPr>
          <w:rFonts w:hint="eastAsia" w:eastAsia="方正楷体简体"/>
          <w:color w:val="auto"/>
          <w:sz w:val="32"/>
          <w:szCs w:val="32"/>
          <w:lang w:val="en-US" w:eastAsia="zh-CN"/>
        </w:rPr>
        <w:t>6</w:t>
      </w:r>
      <w:r>
        <w:rPr>
          <w:rFonts w:eastAsia="方正楷体简体"/>
          <w:color w:val="auto"/>
          <w:sz w:val="32"/>
          <w:szCs w:val="32"/>
        </w:rPr>
        <w:t>年</w:t>
      </w:r>
      <w:r>
        <w:rPr>
          <w:rFonts w:hint="eastAsia" w:eastAsia="方正楷体简体"/>
          <w:color w:val="auto"/>
          <w:sz w:val="32"/>
          <w:szCs w:val="32"/>
          <w:lang w:val="en-US" w:eastAsia="zh-CN"/>
        </w:rPr>
        <w:t>6</w:t>
      </w:r>
      <w:r>
        <w:rPr>
          <w:rFonts w:eastAsia="方正楷体简体"/>
          <w:color w:val="auto"/>
          <w:sz w:val="32"/>
          <w:szCs w:val="32"/>
        </w:rPr>
        <w:t>月</w:t>
      </w:r>
    </w:p>
    <w:p w14:paraId="72C42D8D">
      <w:pPr>
        <w:spacing w:line="560" w:lineRule="exact"/>
        <w:jc w:val="center"/>
        <w:rPr>
          <w:rFonts w:eastAsia="黑体"/>
          <w:b/>
          <w:bCs/>
          <w:color w:val="auto"/>
          <w:sz w:val="40"/>
          <w:szCs w:val="40"/>
        </w:rPr>
        <w:sectPr>
          <w:pgSz w:w="11906" w:h="16838"/>
          <w:pgMar w:top="2098" w:right="1531" w:bottom="1984" w:left="1531" w:header="851" w:footer="624" w:gutter="0"/>
          <w:cols w:space="425" w:num="1"/>
          <w:docGrid w:type="lines" w:linePitch="312" w:charSpace="0"/>
        </w:sectPr>
      </w:pPr>
    </w:p>
    <w:p w14:paraId="6B147CE5">
      <w:pPr>
        <w:rPr>
          <w:color w:val="auto"/>
        </w:rPr>
        <w:sectPr>
          <w:pgSz w:w="11906" w:h="16838"/>
          <w:pgMar w:top="2098" w:right="1531" w:bottom="1984" w:left="1531" w:header="851" w:footer="624" w:gutter="0"/>
          <w:cols w:space="425" w:num="1"/>
          <w:docGrid w:type="lines" w:linePitch="312" w:charSpace="0"/>
        </w:sectPr>
      </w:pPr>
    </w:p>
    <w:sdt>
      <w:sdtPr>
        <w:rPr>
          <w:rFonts w:eastAsia="黑体"/>
          <w:b/>
          <w:bCs/>
          <w:color w:val="auto"/>
          <w:sz w:val="40"/>
          <w:szCs w:val="40"/>
        </w:rPr>
        <w:id w:val="147461107"/>
        <w15:color w:val="DBDBDB"/>
        <w:docPartObj>
          <w:docPartGallery w:val="Table of Contents"/>
          <w:docPartUnique/>
        </w:docPartObj>
      </w:sdtPr>
      <w:sdtEndPr>
        <w:rPr>
          <w:rFonts w:eastAsia="黑体"/>
          <w:b/>
          <w:bCs/>
          <w:color w:val="auto"/>
          <w:sz w:val="28"/>
          <w:szCs w:val="28"/>
        </w:rPr>
      </w:sdtEndPr>
      <w:sdtContent>
        <w:sdt>
          <w:sdtPr>
            <w:rPr>
              <w:rFonts w:eastAsia="黑体"/>
              <w:b/>
              <w:bCs/>
              <w:color w:val="auto"/>
              <w:sz w:val="40"/>
              <w:szCs w:val="40"/>
            </w:rPr>
            <w:id w:val="147479846"/>
            <w15:color w:val="DBDBDB"/>
            <w:docPartObj>
              <w:docPartGallery w:val="Table of Contents"/>
              <w:docPartUnique/>
            </w:docPartObj>
          </w:sdtPr>
          <w:sdtEndPr>
            <w:rPr>
              <w:rFonts w:eastAsia="黑体"/>
              <w:b/>
              <w:bCs/>
              <w:color w:val="auto"/>
              <w:sz w:val="28"/>
              <w:szCs w:val="28"/>
            </w:rPr>
          </w:sdtEndPr>
          <w:sdtContent>
            <w:p w14:paraId="0C085501">
              <w:pPr>
                <w:spacing w:line="560" w:lineRule="exact"/>
                <w:jc w:val="center"/>
                <w:rPr>
                  <w:rFonts w:eastAsia="仿宋_GB2312"/>
                  <w:b/>
                  <w:bCs/>
                  <w:color w:val="auto"/>
                  <w:sz w:val="36"/>
                  <w:szCs w:val="36"/>
                </w:rPr>
              </w:pPr>
              <w:r>
                <w:rPr>
                  <w:rFonts w:eastAsia="仿宋_GB2312"/>
                  <w:b/>
                  <w:bCs/>
                  <w:color w:val="auto"/>
                  <w:sz w:val="36"/>
                  <w:szCs w:val="36"/>
                </w:rPr>
                <w:t xml:space="preserve">目 </w:t>
              </w:r>
              <w:r>
                <w:rPr>
                  <w:rFonts w:hint="eastAsia" w:eastAsia="仿宋_GB2312"/>
                  <w:b/>
                  <w:bCs/>
                  <w:color w:val="auto"/>
                  <w:sz w:val="36"/>
                  <w:szCs w:val="36"/>
                  <w:lang w:val="en-US" w:eastAsia="zh-CN"/>
                </w:rPr>
                <w:t xml:space="preserve"> </w:t>
              </w:r>
              <w:r>
                <w:rPr>
                  <w:rFonts w:eastAsia="仿宋_GB2312"/>
                  <w:b/>
                  <w:bCs/>
                  <w:color w:val="auto"/>
                  <w:sz w:val="36"/>
                  <w:szCs w:val="36"/>
                </w:rPr>
                <w:t xml:space="preserve"> 录</w:t>
              </w:r>
            </w:p>
            <w:p w14:paraId="36B1CBEC">
              <w:pPr>
                <w:pStyle w:val="7"/>
                <w:tabs>
                  <w:tab w:val="right" w:leader="dot" w:pos="8844"/>
                  <w:tab w:val="clear" w:pos="8296"/>
                </w:tabs>
                <w:spacing w:line="560" w:lineRule="exact"/>
                <w:ind w:firstLine="0"/>
                <w:rPr>
                  <w:rFonts w:hint="eastAsia" w:ascii="仿宋_GB2312" w:hAnsi="仿宋_GB2312" w:eastAsia="仿宋_GB2312" w:cs="仿宋_GB2312"/>
                  <w:color w:val="auto"/>
                  <w:sz w:val="28"/>
                  <w:szCs w:val="28"/>
                </w:rPr>
              </w:pPr>
              <w:r>
                <w:rPr>
                  <w:rFonts w:ascii="Times New Roman" w:hAnsi="Times New Roman" w:eastAsia="仿宋_GB2312"/>
                  <w:color w:val="auto"/>
                  <w:sz w:val="28"/>
                  <w:szCs w:val="28"/>
                </w:rPr>
                <w:fldChar w:fldCharType="begin"/>
              </w:r>
              <w:r>
                <w:rPr>
                  <w:rFonts w:ascii="Times New Roman" w:hAnsi="Times New Roman" w:eastAsia="仿宋_GB2312"/>
                  <w:color w:val="auto"/>
                  <w:sz w:val="28"/>
                  <w:szCs w:val="28"/>
                </w:rPr>
                <w:instrText xml:space="preserve">TOC \o "1-2" \h \u </w:instrText>
              </w:r>
              <w:r>
                <w:rPr>
                  <w:rFonts w:ascii="Times New Roman" w:hAnsi="Times New Roman" w:eastAsia="仿宋_GB2312"/>
                  <w:color w:val="auto"/>
                  <w:sz w:val="28"/>
                  <w:szCs w:val="28"/>
                </w:rPr>
                <w:fldChar w:fldCharType="separate"/>
              </w: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HYPERLINK \l "_Toc101999969"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第一章 加快吉永同城化进程，开启市域副中心建设新征程</w:t>
              </w:r>
              <w:r>
                <w:rPr>
                  <w:rFonts w:hint="eastAsia" w:ascii="仿宋_GB2312" w:hAnsi="仿宋_GB2312" w:eastAsia="仿宋_GB2312" w:cs="仿宋_GB2312"/>
                  <w:color w:val="auto"/>
                  <w:sz w:val="28"/>
                  <w:szCs w:val="28"/>
                </w:rPr>
                <w:tab/>
              </w:r>
              <w:r>
                <w:rPr>
                  <w:rFonts w:hint="eastAsia" w:ascii="Times New Roman" w:hAnsi="Times New Roman" w:eastAsia="仿宋_GB2312"/>
                  <w:color w:val="auto"/>
                  <w:sz w:val="28"/>
                  <w:szCs w:val="28"/>
                </w:rPr>
                <w:t>1</w:t>
              </w:r>
              <w:r>
                <w:rPr>
                  <w:rFonts w:hint="eastAsia" w:ascii="仿宋_GB2312" w:hAnsi="仿宋_GB2312" w:eastAsia="仿宋_GB2312" w:cs="仿宋_GB2312"/>
                  <w:color w:val="auto"/>
                  <w:sz w:val="28"/>
                  <w:szCs w:val="28"/>
                </w:rPr>
                <w:fldChar w:fldCharType="end"/>
              </w:r>
            </w:p>
            <w:p w14:paraId="5DE8FE4A">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"_Toc621528677" </w:instrText>
              </w:r>
              <w:r>
                <w:rPr>
                  <w:color w:val="auto"/>
                </w:rPr>
                <w:fldChar w:fldCharType="separate"/>
              </w:r>
              <w:r>
                <w:rPr>
                  <w:rFonts w:eastAsia="仿宋_GB2312"/>
                  <w:color w:val="auto"/>
                  <w:sz w:val="28"/>
                  <w:szCs w:val="28"/>
                </w:rPr>
                <w:t>第一节 发展成就</w:t>
              </w:r>
              <w:r>
                <w:rPr>
                  <w:rFonts w:eastAsia="仿宋_GB2312"/>
                  <w:color w:val="auto"/>
                  <w:sz w:val="28"/>
                  <w:szCs w:val="28"/>
                </w:rPr>
                <w:tab/>
              </w:r>
              <w:r>
                <w:rPr>
                  <w:rFonts w:hint="eastAsia" w:eastAsia="仿宋_GB2312"/>
                  <w:color w:val="auto"/>
                  <w:sz w:val="28"/>
                  <w:szCs w:val="28"/>
                </w:rPr>
                <w:t>1</w:t>
              </w:r>
              <w:r>
                <w:rPr>
                  <w:rFonts w:hint="eastAsia" w:eastAsia="仿宋_GB2312"/>
                  <w:color w:val="auto"/>
                  <w:sz w:val="28"/>
                  <w:szCs w:val="28"/>
                </w:rPr>
                <w:fldChar w:fldCharType="end"/>
              </w:r>
            </w:p>
            <w:p w14:paraId="4E7049C1">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"_Toc672015331" </w:instrText>
              </w:r>
              <w:r>
                <w:rPr>
                  <w:color w:val="auto"/>
                </w:rPr>
                <w:fldChar w:fldCharType="separate"/>
              </w:r>
              <w:r>
                <w:rPr>
                  <w:rFonts w:eastAsia="仿宋_GB2312"/>
                  <w:color w:val="auto"/>
                  <w:sz w:val="28"/>
                  <w:szCs w:val="28"/>
                </w:rPr>
                <w:t>第二节 发展环境</w:t>
              </w:r>
              <w:r>
                <w:rPr>
                  <w:rFonts w:eastAsia="仿宋_GB2312"/>
                  <w:color w:val="auto"/>
                  <w:sz w:val="28"/>
                  <w:szCs w:val="28"/>
                </w:rPr>
                <w:tab/>
              </w:r>
              <w:r>
                <w:rPr>
                  <w:rFonts w:hint="eastAsia" w:eastAsia="仿宋_GB2312"/>
                  <w:color w:val="auto"/>
                  <w:sz w:val="28"/>
                  <w:szCs w:val="28"/>
                  <w:lang w:val="en-US" w:eastAsia="zh-CN"/>
                </w:rPr>
                <w:t>6</w:t>
              </w:r>
              <w:r>
                <w:rPr>
                  <w:rFonts w:hint="eastAsia" w:eastAsia="仿宋_GB2312"/>
                  <w:color w:val="auto"/>
                  <w:sz w:val="28"/>
                  <w:szCs w:val="28"/>
                </w:rPr>
                <w:fldChar w:fldCharType="end"/>
              </w:r>
            </w:p>
            <w:p w14:paraId="44CA4808">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"_Toc945168544" </w:instrText>
              </w:r>
              <w:r>
                <w:rPr>
                  <w:color w:val="auto"/>
                </w:rPr>
                <w:fldChar w:fldCharType="separate"/>
              </w:r>
              <w:r>
                <w:rPr>
                  <w:rFonts w:eastAsia="仿宋_GB2312"/>
                  <w:color w:val="auto"/>
                  <w:sz w:val="28"/>
                  <w:szCs w:val="28"/>
                </w:rPr>
                <w:t>第三节 总体要求</w:t>
              </w:r>
              <w:r>
                <w:rPr>
                  <w:rFonts w:eastAsia="仿宋_GB2312"/>
                  <w:color w:val="auto"/>
                  <w:sz w:val="28"/>
                  <w:szCs w:val="28"/>
                </w:rPr>
                <w:tab/>
              </w:r>
              <w:r>
                <w:rPr>
                  <w:rFonts w:hint="eastAsia" w:eastAsia="仿宋_GB2312"/>
                  <w:color w:val="auto"/>
                  <w:sz w:val="28"/>
                  <w:szCs w:val="28"/>
                </w:rPr>
                <w:t>1</w:t>
              </w:r>
              <w:r>
                <w:rPr>
                  <w:rFonts w:hint="eastAsia" w:eastAsia="仿宋_GB2312"/>
                  <w:color w:val="auto"/>
                  <w:sz w:val="28"/>
                  <w:szCs w:val="28"/>
                </w:rPr>
                <w:fldChar w:fldCharType="end"/>
              </w:r>
              <w:r>
                <w:rPr>
                  <w:rFonts w:hint="eastAsia" w:eastAsia="仿宋_GB2312"/>
                  <w:color w:val="auto"/>
                  <w:sz w:val="28"/>
                  <w:szCs w:val="28"/>
                </w:rPr>
                <w:t>1</w:t>
              </w:r>
            </w:p>
            <w:p w14:paraId="1F3A295C">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"_Toc511182149" </w:instrText>
              </w:r>
              <w:r>
                <w:rPr>
                  <w:color w:val="auto"/>
                </w:rPr>
                <w:fldChar w:fldCharType="separate"/>
              </w:r>
              <w:r>
                <w:rPr>
                  <w:rFonts w:eastAsia="仿宋_GB2312"/>
                  <w:color w:val="auto"/>
                  <w:sz w:val="28"/>
                  <w:szCs w:val="28"/>
                </w:rPr>
                <w:t>第四节 发展目标</w:t>
              </w:r>
              <w:r>
                <w:rPr>
                  <w:rFonts w:eastAsia="仿宋_GB2312"/>
                  <w:color w:val="auto"/>
                  <w:sz w:val="28"/>
                  <w:szCs w:val="28"/>
                </w:rPr>
                <w:tab/>
              </w:r>
              <w:r>
                <w:rPr>
                  <w:rFonts w:hint="eastAsia" w:eastAsia="仿宋_GB2312"/>
                  <w:color w:val="auto"/>
                  <w:sz w:val="28"/>
                  <w:szCs w:val="28"/>
                </w:rPr>
                <w:t>1</w:t>
              </w:r>
              <w:r>
                <w:rPr>
                  <w:rFonts w:hint="eastAsia" w:eastAsia="仿宋_GB2312"/>
                  <w:color w:val="auto"/>
                  <w:sz w:val="28"/>
                  <w:szCs w:val="28"/>
                </w:rPr>
                <w:fldChar w:fldCharType="end"/>
              </w:r>
              <w:r>
                <w:rPr>
                  <w:rFonts w:hint="eastAsia" w:eastAsia="仿宋_GB2312"/>
                  <w:color w:val="auto"/>
                  <w:sz w:val="28"/>
                  <w:szCs w:val="28"/>
                </w:rPr>
                <w:t>3</w:t>
              </w:r>
            </w:p>
            <w:p w14:paraId="155168B8">
              <w:pPr>
                <w:pStyle w:val="7"/>
                <w:tabs>
                  <w:tab w:val="right" w:leader="dot" w:pos="8844"/>
                  <w:tab w:val="clear" w:pos="8296"/>
                </w:tabs>
                <w:spacing w:line="560" w:lineRule="exact"/>
                <w:ind w:firstLine="0"/>
                <w:rPr>
                  <w:rFonts w:ascii="Times New Roman" w:hAnsi="Times New Roman" w:eastAsia="仿宋_GB2312"/>
                  <w:color w:val="auto"/>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HYPERLINK \l "_Toc1503790243"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第二章 培育发展新质生产力，构建特色现代化产业体系</w:t>
              </w:r>
              <w:r>
                <w:rPr>
                  <w:rFonts w:hint="eastAsia" w:ascii="仿宋_GB2312" w:hAnsi="仿宋_GB2312" w:eastAsia="仿宋_GB2312" w:cs="仿宋_GB2312"/>
                  <w:color w:val="auto"/>
                  <w:sz w:val="28"/>
                  <w:szCs w:val="28"/>
                </w:rPr>
                <w:tab/>
              </w:r>
              <w:r>
                <w:rPr>
                  <w:rFonts w:hint="eastAsia" w:ascii="Times New Roman" w:hAnsi="Times New Roman" w:eastAsia="仿宋_GB2312"/>
                  <w:color w:val="auto"/>
                  <w:sz w:val="28"/>
                  <w:szCs w:val="28"/>
                </w:rPr>
                <w:t>1</w:t>
              </w:r>
              <w:r>
                <w:rPr>
                  <w:rFonts w:hint="eastAsia" w:ascii="仿宋_GB2312" w:hAnsi="仿宋_GB2312" w:eastAsia="仿宋_GB2312" w:cs="仿宋_GB2312"/>
                  <w:color w:val="auto"/>
                  <w:sz w:val="28"/>
                  <w:szCs w:val="28"/>
                </w:rPr>
                <w:fldChar w:fldCharType="end"/>
              </w:r>
              <w:r>
                <w:rPr>
                  <w:rFonts w:hint="eastAsia" w:ascii="Times New Roman" w:hAnsi="Times New Roman" w:eastAsia="仿宋_GB2312"/>
                  <w:color w:val="auto"/>
                  <w:sz w:val="28"/>
                  <w:szCs w:val="28"/>
                </w:rPr>
                <w:t>6</w:t>
              </w:r>
            </w:p>
            <w:p w14:paraId="6F2B1A75">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"_Toc467572558" </w:instrText>
              </w:r>
              <w:r>
                <w:rPr>
                  <w:color w:val="auto"/>
                </w:rPr>
                <w:fldChar w:fldCharType="separate"/>
              </w:r>
              <w:r>
                <w:rPr>
                  <w:rFonts w:eastAsia="仿宋_GB2312"/>
                  <w:color w:val="auto"/>
                  <w:sz w:val="28"/>
                  <w:szCs w:val="28"/>
                </w:rPr>
                <w:t>第一节 推动传统优势产业改造升级</w:t>
              </w:r>
              <w:r>
                <w:rPr>
                  <w:rFonts w:eastAsia="仿宋_GB2312"/>
                  <w:color w:val="auto"/>
                  <w:sz w:val="28"/>
                  <w:szCs w:val="28"/>
                </w:rPr>
                <w:tab/>
              </w:r>
              <w:r>
                <w:rPr>
                  <w:rFonts w:hint="eastAsia" w:eastAsia="仿宋_GB2312"/>
                  <w:color w:val="auto"/>
                  <w:sz w:val="28"/>
                  <w:szCs w:val="28"/>
                </w:rPr>
                <w:t>1</w:t>
              </w:r>
              <w:r>
                <w:rPr>
                  <w:rFonts w:hint="eastAsia" w:eastAsia="仿宋_GB2312"/>
                  <w:color w:val="auto"/>
                  <w:sz w:val="28"/>
                  <w:szCs w:val="28"/>
                </w:rPr>
                <w:fldChar w:fldCharType="end"/>
              </w:r>
              <w:r>
                <w:rPr>
                  <w:rFonts w:hint="eastAsia" w:eastAsia="仿宋_GB2312"/>
                  <w:color w:val="auto"/>
                  <w:sz w:val="28"/>
                  <w:szCs w:val="28"/>
                </w:rPr>
                <w:t>6</w:t>
              </w:r>
            </w:p>
            <w:p w14:paraId="63A2DC82">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"_Toc849317933" </w:instrText>
              </w:r>
              <w:r>
                <w:rPr>
                  <w:color w:val="auto"/>
                </w:rPr>
                <w:fldChar w:fldCharType="separate"/>
              </w:r>
              <w:r>
                <w:rPr>
                  <w:rFonts w:eastAsia="仿宋_GB2312"/>
                  <w:color w:val="auto"/>
                  <w:sz w:val="28"/>
                  <w:szCs w:val="28"/>
                </w:rPr>
                <w:t>第二节 培育壮大新兴产业</w:t>
              </w:r>
              <w:r>
                <w:rPr>
                  <w:rFonts w:eastAsia="仿宋_GB2312"/>
                  <w:color w:val="auto"/>
                  <w:sz w:val="28"/>
                  <w:szCs w:val="28"/>
                </w:rPr>
                <w:tab/>
              </w:r>
              <w:r>
                <w:rPr>
                  <w:rFonts w:hint="eastAsia" w:eastAsia="仿宋_GB2312"/>
                  <w:color w:val="auto"/>
                  <w:sz w:val="28"/>
                  <w:szCs w:val="28"/>
                </w:rPr>
                <w:t>1</w:t>
              </w:r>
              <w:r>
                <w:rPr>
                  <w:rFonts w:hint="eastAsia" w:eastAsia="仿宋_GB2312"/>
                  <w:color w:val="auto"/>
                  <w:sz w:val="28"/>
                  <w:szCs w:val="28"/>
                </w:rPr>
                <w:fldChar w:fldCharType="end"/>
              </w:r>
              <w:r>
                <w:rPr>
                  <w:rFonts w:hint="eastAsia" w:eastAsia="仿宋_GB2312"/>
                  <w:color w:val="auto"/>
                  <w:sz w:val="28"/>
                  <w:szCs w:val="28"/>
                </w:rPr>
                <w:t>9</w:t>
              </w:r>
            </w:p>
            <w:p w14:paraId="79F2578A">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"_Toc162698322" </w:instrText>
              </w:r>
              <w:r>
                <w:rPr>
                  <w:color w:val="auto"/>
                </w:rPr>
                <w:fldChar w:fldCharType="separate"/>
              </w:r>
              <w:r>
                <w:rPr>
                  <w:rFonts w:eastAsia="仿宋_GB2312"/>
                  <w:color w:val="auto"/>
                  <w:sz w:val="28"/>
                  <w:szCs w:val="28"/>
                </w:rPr>
                <w:t>第三节 推进现代服务业高质量发展</w:t>
              </w:r>
              <w:r>
                <w:rPr>
                  <w:rFonts w:eastAsia="仿宋_GB2312"/>
                  <w:color w:val="auto"/>
                  <w:sz w:val="28"/>
                  <w:szCs w:val="28"/>
                </w:rPr>
                <w:tab/>
              </w:r>
              <w:r>
                <w:rPr>
                  <w:rFonts w:hint="eastAsia" w:eastAsia="仿宋_GB2312"/>
                  <w:color w:val="auto"/>
                  <w:sz w:val="28"/>
                  <w:szCs w:val="28"/>
                </w:rPr>
                <w:t>2</w:t>
              </w:r>
              <w:r>
                <w:rPr>
                  <w:rFonts w:hint="eastAsia" w:eastAsia="仿宋_GB2312"/>
                  <w:color w:val="auto"/>
                  <w:sz w:val="28"/>
                  <w:szCs w:val="28"/>
                </w:rPr>
                <w:fldChar w:fldCharType="end"/>
              </w:r>
              <w:r>
                <w:rPr>
                  <w:rFonts w:hint="eastAsia" w:eastAsia="仿宋_GB2312"/>
                  <w:color w:val="auto"/>
                  <w:sz w:val="28"/>
                  <w:szCs w:val="28"/>
                </w:rPr>
                <w:t>1</w:t>
              </w:r>
            </w:p>
            <w:p w14:paraId="6115540C">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"_Toc724015223" </w:instrText>
              </w:r>
              <w:r>
                <w:rPr>
                  <w:color w:val="auto"/>
                </w:rPr>
                <w:fldChar w:fldCharType="separate"/>
              </w:r>
              <w:r>
                <w:rPr>
                  <w:rFonts w:eastAsia="仿宋_GB2312"/>
                  <w:color w:val="auto"/>
                  <w:sz w:val="28"/>
                  <w:szCs w:val="28"/>
                </w:rPr>
                <w:t>第四节 着力培育专精特新企业集群</w:t>
              </w:r>
              <w:r>
                <w:rPr>
                  <w:rFonts w:eastAsia="仿宋_GB2312"/>
                  <w:color w:val="auto"/>
                  <w:sz w:val="28"/>
                  <w:szCs w:val="28"/>
                </w:rPr>
                <w:tab/>
              </w:r>
              <w:r>
                <w:rPr>
                  <w:rFonts w:hint="eastAsia" w:eastAsia="仿宋_GB2312"/>
                  <w:color w:val="auto"/>
                  <w:sz w:val="28"/>
                  <w:szCs w:val="28"/>
                </w:rPr>
                <w:t>2</w:t>
              </w:r>
              <w:r>
                <w:rPr>
                  <w:rFonts w:hint="eastAsia" w:eastAsia="仿宋_GB2312"/>
                  <w:color w:val="auto"/>
                  <w:sz w:val="28"/>
                  <w:szCs w:val="28"/>
                </w:rPr>
                <w:fldChar w:fldCharType="end"/>
              </w:r>
              <w:r>
                <w:rPr>
                  <w:rFonts w:hint="eastAsia" w:eastAsia="仿宋_GB2312"/>
                  <w:color w:val="auto"/>
                  <w:sz w:val="28"/>
                  <w:szCs w:val="28"/>
                </w:rPr>
                <w:t>3</w:t>
              </w:r>
            </w:p>
            <w:p w14:paraId="0A464793">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"_Toc881509059" </w:instrText>
              </w:r>
              <w:r>
                <w:rPr>
                  <w:color w:val="auto"/>
                </w:rPr>
                <w:fldChar w:fldCharType="separate"/>
              </w:r>
              <w:r>
                <w:rPr>
                  <w:rFonts w:eastAsia="仿宋_GB2312"/>
                  <w:color w:val="auto"/>
                  <w:sz w:val="28"/>
                  <w:szCs w:val="28"/>
                </w:rPr>
                <w:t>第五节 创建创新创造区域高地</w:t>
              </w:r>
              <w:r>
                <w:rPr>
                  <w:rFonts w:eastAsia="仿宋_GB2312"/>
                  <w:color w:val="auto"/>
                  <w:sz w:val="28"/>
                  <w:szCs w:val="28"/>
                </w:rPr>
                <w:tab/>
              </w:r>
              <w:r>
                <w:rPr>
                  <w:rFonts w:hint="eastAsia" w:eastAsia="仿宋_GB2312"/>
                  <w:color w:val="auto"/>
                  <w:sz w:val="28"/>
                  <w:szCs w:val="28"/>
                </w:rPr>
                <w:t>2</w:t>
              </w:r>
              <w:r>
                <w:rPr>
                  <w:rFonts w:hint="eastAsia" w:eastAsia="仿宋_GB2312"/>
                  <w:color w:val="auto"/>
                  <w:sz w:val="28"/>
                  <w:szCs w:val="28"/>
                </w:rPr>
                <w:fldChar w:fldCharType="end"/>
              </w:r>
              <w:r>
                <w:rPr>
                  <w:rFonts w:hint="eastAsia" w:eastAsia="仿宋_GB2312"/>
                  <w:color w:val="auto"/>
                  <w:sz w:val="28"/>
                  <w:szCs w:val="28"/>
                </w:rPr>
                <w:t>4</w:t>
              </w:r>
            </w:p>
            <w:p w14:paraId="45348581">
              <w:pPr>
                <w:pStyle w:val="7"/>
                <w:tabs>
                  <w:tab w:val="right" w:leader="dot" w:pos="8844"/>
                  <w:tab w:val="clear" w:pos="8296"/>
                </w:tabs>
                <w:spacing w:line="560" w:lineRule="exact"/>
                <w:ind w:firstLine="0"/>
                <w:rPr>
                  <w:rFonts w:ascii="Times New Roman" w:hAnsi="Times New Roman" w:eastAsia="仿宋_GB2312"/>
                  <w:color w:val="auto"/>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HYPERLINK \l "_Toc33073960"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第三章 推动商文旅深度融合，打造长春都市圈微度假目的地</w:t>
              </w:r>
              <w:r>
                <w:rPr>
                  <w:rFonts w:hint="eastAsia" w:ascii="仿宋_GB2312" w:hAnsi="仿宋_GB2312" w:eastAsia="仿宋_GB2312" w:cs="仿宋_GB2312"/>
                  <w:color w:val="auto"/>
                  <w:sz w:val="28"/>
                  <w:szCs w:val="28"/>
                </w:rPr>
                <w:tab/>
              </w:r>
              <w:r>
                <w:rPr>
                  <w:rFonts w:hint="eastAsia" w:ascii="Times New Roman" w:hAnsi="Times New Roman" w:eastAsia="仿宋_GB2312"/>
                  <w:color w:val="auto"/>
                  <w:sz w:val="28"/>
                  <w:szCs w:val="28"/>
                </w:rPr>
                <w:t>2</w:t>
              </w:r>
              <w:r>
                <w:rPr>
                  <w:rFonts w:hint="eastAsia" w:ascii="仿宋_GB2312" w:hAnsi="仿宋_GB2312" w:eastAsia="仿宋_GB2312" w:cs="仿宋_GB2312"/>
                  <w:color w:val="auto"/>
                  <w:sz w:val="28"/>
                  <w:szCs w:val="28"/>
                </w:rPr>
                <w:fldChar w:fldCharType="end"/>
              </w:r>
              <w:r>
                <w:rPr>
                  <w:rFonts w:hint="eastAsia" w:ascii="Times New Roman" w:hAnsi="Times New Roman" w:eastAsia="仿宋_GB2312"/>
                  <w:color w:val="auto"/>
                  <w:sz w:val="28"/>
                  <w:szCs w:val="28"/>
                </w:rPr>
                <w:t>7</w:t>
              </w:r>
            </w:p>
            <w:p w14:paraId="0AF27B0F">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"_Toc1823264794" </w:instrText>
              </w:r>
              <w:r>
                <w:rPr>
                  <w:color w:val="auto"/>
                </w:rPr>
                <w:fldChar w:fldCharType="separate"/>
              </w:r>
              <w:r>
                <w:rPr>
                  <w:rFonts w:eastAsia="仿宋_GB2312"/>
                  <w:color w:val="auto"/>
                  <w:sz w:val="28"/>
                  <w:szCs w:val="28"/>
                </w:rPr>
                <w:t>第一节 做强冰雪文旅产业</w:t>
              </w:r>
              <w:r>
                <w:rPr>
                  <w:rFonts w:eastAsia="仿宋_GB2312"/>
                  <w:color w:val="auto"/>
                  <w:sz w:val="28"/>
                  <w:szCs w:val="28"/>
                </w:rPr>
                <w:tab/>
              </w:r>
              <w:r>
                <w:rPr>
                  <w:rFonts w:hint="eastAsia" w:eastAsia="仿宋_GB2312"/>
                  <w:color w:val="auto"/>
                  <w:sz w:val="28"/>
                  <w:szCs w:val="28"/>
                </w:rPr>
                <w:t>2</w:t>
              </w:r>
              <w:r>
                <w:rPr>
                  <w:rFonts w:hint="eastAsia" w:eastAsia="仿宋_GB2312"/>
                  <w:color w:val="auto"/>
                  <w:sz w:val="28"/>
                  <w:szCs w:val="28"/>
                </w:rPr>
                <w:fldChar w:fldCharType="end"/>
              </w:r>
              <w:r>
                <w:rPr>
                  <w:rFonts w:hint="eastAsia" w:eastAsia="仿宋_GB2312"/>
                  <w:color w:val="auto"/>
                  <w:sz w:val="28"/>
                  <w:szCs w:val="28"/>
                </w:rPr>
                <w:t>8</w:t>
              </w:r>
            </w:p>
            <w:p w14:paraId="1367B615">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"_Toc1167233715" </w:instrText>
              </w:r>
              <w:r>
                <w:rPr>
                  <w:color w:val="auto"/>
                </w:rPr>
                <w:fldChar w:fldCharType="separate"/>
              </w:r>
              <w:r>
                <w:rPr>
                  <w:rFonts w:eastAsia="仿宋_GB2312"/>
                  <w:color w:val="auto"/>
                  <w:sz w:val="28"/>
                  <w:szCs w:val="28"/>
                </w:rPr>
                <w:t>第二节 壮大康养旅游产业</w:t>
              </w:r>
              <w:r>
                <w:rPr>
                  <w:rFonts w:eastAsia="仿宋_GB2312"/>
                  <w:color w:val="auto"/>
                  <w:sz w:val="28"/>
                  <w:szCs w:val="28"/>
                </w:rPr>
                <w:tab/>
              </w:r>
              <w:r>
                <w:rPr>
                  <w:rFonts w:hint="eastAsia" w:eastAsia="仿宋_GB2312"/>
                  <w:color w:val="auto"/>
                  <w:sz w:val="28"/>
                  <w:szCs w:val="28"/>
                </w:rPr>
                <w:t>2</w:t>
              </w:r>
              <w:r>
                <w:rPr>
                  <w:rFonts w:hint="eastAsia" w:eastAsia="仿宋_GB2312"/>
                  <w:color w:val="auto"/>
                  <w:sz w:val="28"/>
                  <w:szCs w:val="28"/>
                </w:rPr>
                <w:fldChar w:fldCharType="end"/>
              </w:r>
              <w:r>
                <w:rPr>
                  <w:rFonts w:hint="eastAsia" w:eastAsia="仿宋_GB2312"/>
                  <w:color w:val="auto"/>
                  <w:sz w:val="28"/>
                  <w:szCs w:val="28"/>
                </w:rPr>
                <w:t>9</w:t>
              </w:r>
            </w:p>
            <w:p w14:paraId="0CC10FFC">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"_Toc433932660" </w:instrText>
              </w:r>
              <w:r>
                <w:rPr>
                  <w:color w:val="auto"/>
                </w:rPr>
                <w:fldChar w:fldCharType="separate"/>
              </w:r>
              <w:r>
                <w:rPr>
                  <w:rFonts w:eastAsia="仿宋_GB2312"/>
                  <w:color w:val="auto"/>
                  <w:sz w:val="28"/>
                  <w:szCs w:val="28"/>
                </w:rPr>
                <w:t>第三节 振兴特色文化产业</w:t>
              </w:r>
              <w:r>
                <w:rPr>
                  <w:rFonts w:eastAsia="仿宋_GB2312"/>
                  <w:color w:val="auto"/>
                  <w:sz w:val="28"/>
                  <w:szCs w:val="28"/>
                </w:rPr>
                <w:tab/>
              </w:r>
              <w:r>
                <w:rPr>
                  <w:rFonts w:hint="eastAsia" w:eastAsia="仿宋_GB2312"/>
                  <w:color w:val="auto"/>
                  <w:sz w:val="28"/>
                  <w:szCs w:val="28"/>
                </w:rPr>
                <w:t>3</w:t>
              </w:r>
              <w:r>
                <w:rPr>
                  <w:rFonts w:hint="eastAsia" w:eastAsia="仿宋_GB2312"/>
                  <w:color w:val="auto"/>
                  <w:sz w:val="28"/>
                  <w:szCs w:val="28"/>
                </w:rPr>
                <w:fldChar w:fldCharType="end"/>
              </w:r>
              <w:r>
                <w:rPr>
                  <w:rFonts w:hint="eastAsia" w:eastAsia="仿宋_GB2312"/>
                  <w:color w:val="auto"/>
                  <w:sz w:val="28"/>
                  <w:szCs w:val="28"/>
                </w:rPr>
                <w:t>1</w:t>
              </w:r>
            </w:p>
            <w:p w14:paraId="658EED8B">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"_Toc251751408" </w:instrText>
              </w:r>
              <w:r>
                <w:rPr>
                  <w:color w:val="auto"/>
                </w:rPr>
                <w:fldChar w:fldCharType="separate"/>
              </w:r>
              <w:r>
                <w:rPr>
                  <w:rFonts w:eastAsia="仿宋_GB2312"/>
                  <w:color w:val="auto"/>
                  <w:sz w:val="28"/>
                  <w:szCs w:val="28"/>
                </w:rPr>
                <w:t>第四节 完善服务配套体系</w:t>
              </w:r>
              <w:r>
                <w:rPr>
                  <w:rFonts w:eastAsia="仿宋_GB2312"/>
                  <w:color w:val="auto"/>
                  <w:sz w:val="28"/>
                  <w:szCs w:val="28"/>
                </w:rPr>
                <w:tab/>
              </w:r>
              <w:r>
                <w:rPr>
                  <w:rFonts w:hint="eastAsia" w:eastAsia="仿宋_GB2312"/>
                  <w:color w:val="auto"/>
                  <w:sz w:val="28"/>
                  <w:szCs w:val="28"/>
                </w:rPr>
                <w:t>3</w:t>
              </w:r>
              <w:r>
                <w:rPr>
                  <w:rFonts w:hint="eastAsia" w:eastAsia="仿宋_GB2312"/>
                  <w:color w:val="auto"/>
                  <w:sz w:val="28"/>
                  <w:szCs w:val="28"/>
                </w:rPr>
                <w:fldChar w:fldCharType="end"/>
              </w:r>
              <w:r>
                <w:rPr>
                  <w:rFonts w:hint="eastAsia" w:eastAsia="仿宋_GB2312"/>
                  <w:color w:val="auto"/>
                  <w:sz w:val="28"/>
                  <w:szCs w:val="28"/>
                </w:rPr>
                <w:t>3</w:t>
              </w:r>
            </w:p>
            <w:p w14:paraId="373BD3C6">
              <w:pPr>
                <w:pStyle w:val="7"/>
                <w:tabs>
                  <w:tab w:val="right" w:leader="dot" w:pos="8844"/>
                  <w:tab w:val="clear" w:pos="8296"/>
                </w:tabs>
                <w:spacing w:line="560" w:lineRule="exact"/>
                <w:ind w:firstLine="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HYPERLINK \l "_Toc643129666"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第四章 扎实推进乡村全面振兴，争当现代大农业建设排头兵</w:t>
              </w:r>
              <w:r>
                <w:rPr>
                  <w:rFonts w:hint="eastAsia" w:ascii="仿宋_GB2312" w:hAnsi="仿宋_GB2312" w:eastAsia="仿宋_GB2312" w:cs="仿宋_GB2312"/>
                  <w:color w:val="auto"/>
                  <w:sz w:val="28"/>
                  <w:szCs w:val="28"/>
                </w:rPr>
                <w:tab/>
              </w:r>
              <w:r>
                <w:rPr>
                  <w:rFonts w:hint="eastAsia" w:ascii="Times New Roman" w:hAnsi="Times New Roman" w:eastAsia="仿宋_GB2312"/>
                  <w:color w:val="auto"/>
                  <w:sz w:val="28"/>
                  <w:szCs w:val="28"/>
                </w:rPr>
                <w:t>3</w:t>
              </w:r>
              <w:r>
                <w:rPr>
                  <w:rFonts w:hint="eastAsia" w:ascii="仿宋_GB2312" w:hAnsi="仿宋_GB2312" w:eastAsia="仿宋_GB2312" w:cs="仿宋_GB2312"/>
                  <w:color w:val="auto"/>
                  <w:sz w:val="28"/>
                  <w:szCs w:val="28"/>
                </w:rPr>
                <w:fldChar w:fldCharType="end"/>
              </w:r>
              <w:r>
                <w:rPr>
                  <w:rFonts w:hint="eastAsia" w:ascii="Times New Roman" w:hAnsi="Times New Roman" w:eastAsia="仿宋_GB2312"/>
                  <w:color w:val="auto"/>
                  <w:sz w:val="28"/>
                  <w:szCs w:val="28"/>
                </w:rPr>
                <w:t>5</w:t>
              </w:r>
            </w:p>
            <w:p w14:paraId="0D382A73">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"_Toc795101111" </w:instrText>
              </w:r>
              <w:r>
                <w:rPr>
                  <w:color w:val="auto"/>
                </w:rPr>
                <w:fldChar w:fldCharType="separate"/>
              </w:r>
              <w:r>
                <w:rPr>
                  <w:rFonts w:eastAsia="仿宋_GB2312"/>
                  <w:color w:val="auto"/>
                  <w:sz w:val="28"/>
                  <w:szCs w:val="28"/>
                </w:rPr>
                <w:t>第一节 筑牢粮食安全根基</w:t>
              </w:r>
              <w:r>
                <w:rPr>
                  <w:rFonts w:eastAsia="仿宋_GB2312"/>
                  <w:color w:val="auto"/>
                  <w:sz w:val="28"/>
                  <w:szCs w:val="28"/>
                </w:rPr>
                <w:tab/>
              </w:r>
              <w:r>
                <w:rPr>
                  <w:rFonts w:hint="eastAsia" w:eastAsia="仿宋_GB2312"/>
                  <w:color w:val="auto"/>
                  <w:sz w:val="28"/>
                  <w:szCs w:val="28"/>
                </w:rPr>
                <w:t>3</w:t>
              </w:r>
              <w:r>
                <w:rPr>
                  <w:rFonts w:hint="eastAsia" w:eastAsia="仿宋_GB2312"/>
                  <w:color w:val="auto"/>
                  <w:sz w:val="28"/>
                  <w:szCs w:val="28"/>
                </w:rPr>
                <w:fldChar w:fldCharType="end"/>
              </w:r>
              <w:r>
                <w:rPr>
                  <w:rFonts w:hint="eastAsia" w:eastAsia="仿宋_GB2312"/>
                  <w:color w:val="auto"/>
                  <w:sz w:val="28"/>
                  <w:szCs w:val="28"/>
                </w:rPr>
                <w:t>5</w:t>
              </w:r>
            </w:p>
            <w:p w14:paraId="3EC1373F">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"_Toc1621120943" </w:instrText>
              </w:r>
              <w:r>
                <w:rPr>
                  <w:color w:val="auto"/>
                </w:rPr>
                <w:fldChar w:fldCharType="separate"/>
              </w:r>
              <w:r>
                <w:rPr>
                  <w:rFonts w:eastAsia="仿宋_GB2312"/>
                  <w:color w:val="auto"/>
                  <w:sz w:val="28"/>
                  <w:szCs w:val="28"/>
                </w:rPr>
                <w:t>第二节 推进现代</w:t>
              </w:r>
              <w:r>
                <w:rPr>
                  <w:rFonts w:hint="eastAsia" w:eastAsia="仿宋_GB2312"/>
                  <w:color w:val="auto"/>
                  <w:sz w:val="28"/>
                  <w:szCs w:val="28"/>
                </w:rPr>
                <w:t>大</w:t>
              </w:r>
              <w:r>
                <w:rPr>
                  <w:rFonts w:eastAsia="仿宋_GB2312"/>
                  <w:color w:val="auto"/>
                  <w:sz w:val="28"/>
                  <w:szCs w:val="28"/>
                </w:rPr>
                <w:t>农业高质量发展</w:t>
              </w:r>
              <w:r>
                <w:rPr>
                  <w:rFonts w:eastAsia="仿宋_GB2312"/>
                  <w:color w:val="auto"/>
                  <w:sz w:val="28"/>
                  <w:szCs w:val="28"/>
                </w:rPr>
                <w:tab/>
              </w:r>
              <w:r>
                <w:rPr>
                  <w:rFonts w:hint="eastAsia" w:eastAsia="仿宋_GB2312"/>
                  <w:color w:val="auto"/>
                  <w:sz w:val="28"/>
                  <w:szCs w:val="28"/>
                </w:rPr>
                <w:t>3</w:t>
              </w:r>
              <w:r>
                <w:rPr>
                  <w:rFonts w:hint="eastAsia" w:eastAsia="仿宋_GB2312"/>
                  <w:color w:val="auto"/>
                  <w:sz w:val="28"/>
                  <w:szCs w:val="28"/>
                </w:rPr>
                <w:fldChar w:fldCharType="end"/>
              </w:r>
              <w:r>
                <w:rPr>
                  <w:rFonts w:hint="eastAsia" w:eastAsia="仿宋_GB2312"/>
                  <w:color w:val="auto"/>
                  <w:sz w:val="28"/>
                  <w:szCs w:val="28"/>
                </w:rPr>
                <w:t>6</w:t>
              </w:r>
            </w:p>
            <w:p w14:paraId="157151F1">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"_Toc1054659512" </w:instrText>
              </w:r>
              <w:r>
                <w:rPr>
                  <w:color w:val="auto"/>
                </w:rPr>
                <w:fldChar w:fldCharType="separate"/>
              </w:r>
              <w:r>
                <w:rPr>
                  <w:rFonts w:eastAsia="仿宋_GB2312"/>
                  <w:color w:val="auto"/>
                  <w:sz w:val="28"/>
                  <w:szCs w:val="28"/>
                </w:rPr>
                <w:t>第三节 建设宜居宜业和美乡村</w:t>
              </w:r>
              <w:r>
                <w:rPr>
                  <w:rFonts w:eastAsia="仿宋_GB2312"/>
                  <w:color w:val="auto"/>
                  <w:sz w:val="28"/>
                  <w:szCs w:val="28"/>
                </w:rPr>
                <w:tab/>
              </w:r>
              <w:r>
                <w:rPr>
                  <w:rFonts w:hint="eastAsia" w:eastAsia="仿宋_GB2312"/>
                  <w:color w:val="auto"/>
                  <w:sz w:val="28"/>
                  <w:szCs w:val="28"/>
                </w:rPr>
                <w:t>3</w:t>
              </w:r>
              <w:r>
                <w:rPr>
                  <w:rFonts w:hint="eastAsia" w:eastAsia="仿宋_GB2312"/>
                  <w:color w:val="auto"/>
                  <w:sz w:val="28"/>
                  <w:szCs w:val="28"/>
                </w:rPr>
                <w:fldChar w:fldCharType="end"/>
              </w:r>
              <w:r>
                <w:rPr>
                  <w:rFonts w:hint="eastAsia" w:eastAsia="仿宋_GB2312"/>
                  <w:color w:val="auto"/>
                  <w:sz w:val="28"/>
                  <w:szCs w:val="28"/>
                </w:rPr>
                <w:t>8</w:t>
              </w:r>
            </w:p>
            <w:p w14:paraId="37614D2A">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"_Toc332395846" </w:instrText>
              </w:r>
              <w:r>
                <w:rPr>
                  <w:color w:val="auto"/>
                </w:rPr>
                <w:fldChar w:fldCharType="separate"/>
              </w:r>
              <w:r>
                <w:rPr>
                  <w:rFonts w:eastAsia="仿宋_GB2312"/>
                  <w:color w:val="auto"/>
                  <w:sz w:val="28"/>
                  <w:szCs w:val="28"/>
                </w:rPr>
                <w:t>第四节 加大强农惠农富农支持</w:t>
              </w:r>
              <w:r>
                <w:rPr>
                  <w:rFonts w:eastAsia="仿宋_GB2312"/>
                  <w:color w:val="auto"/>
                  <w:sz w:val="28"/>
                  <w:szCs w:val="28"/>
                </w:rPr>
                <w:tab/>
              </w:r>
              <w:r>
                <w:rPr>
                  <w:rFonts w:hint="eastAsia" w:ascii="Times New Roman" w:hAnsi="Times New Roman" w:eastAsia="仿宋_GB2312" w:cs="Times New Roman"/>
                  <w:b w:val="0"/>
                  <w:bCs w:val="0"/>
                  <w:color w:val="auto"/>
                  <w:kern w:val="2"/>
                  <w:sz w:val="28"/>
                  <w:szCs w:val="28"/>
                  <w:lang w:val="en-US" w:eastAsia="zh-CN" w:bidi="ar-SA"/>
                </w:rPr>
                <w:t>4</w:t>
              </w:r>
              <w:r>
                <w:rPr>
                  <w:rFonts w:hint="eastAsia" w:eastAsia="仿宋_GB2312"/>
                  <w:color w:val="auto"/>
                  <w:sz w:val="28"/>
                  <w:szCs w:val="28"/>
                </w:rPr>
                <w:fldChar w:fldCharType="end"/>
              </w:r>
              <w:r>
                <w:rPr>
                  <w:rFonts w:hint="eastAsia" w:ascii="Times New Roman" w:hAnsi="Times New Roman" w:eastAsia="仿宋_GB2312" w:cs="Times New Roman"/>
                  <w:b w:val="0"/>
                  <w:bCs w:val="0"/>
                  <w:color w:val="auto"/>
                  <w:kern w:val="2"/>
                  <w:sz w:val="28"/>
                  <w:szCs w:val="28"/>
                  <w:lang w:val="en-US" w:eastAsia="zh-CN" w:bidi="ar-SA"/>
                </w:rPr>
                <w:t>0</w:t>
              </w:r>
            </w:p>
            <w:p w14:paraId="2ADA0A18">
              <w:pPr>
                <w:pStyle w:val="8"/>
                <w:tabs>
                  <w:tab w:val="right" w:leader="dot" w:pos="8844"/>
                </w:tabs>
                <w:spacing w:line="560" w:lineRule="exact"/>
                <w:rPr>
                  <w:rFonts w:eastAsia="仿宋_GB2312"/>
                  <w:color w:val="auto"/>
                  <w:sz w:val="28"/>
                  <w:szCs w:val="28"/>
                </w:rPr>
                <w:sectPr>
                  <w:footerReference r:id="rId3" w:type="default"/>
                  <w:pgSz w:w="11906" w:h="16838"/>
                  <w:pgMar w:top="2098" w:right="1531" w:bottom="1984" w:left="1531" w:header="851" w:footer="624" w:gutter="0"/>
                  <w:cols w:space="425" w:num="1"/>
                  <w:docGrid w:type="lines" w:linePitch="312" w:charSpace="0"/>
                </w:sectPr>
              </w:pPr>
            </w:p>
            <w:p w14:paraId="09C1F94A">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"_Toc972017875" </w:instrText>
              </w:r>
              <w:r>
                <w:rPr>
                  <w:color w:val="auto"/>
                </w:rPr>
                <w:fldChar w:fldCharType="separate"/>
              </w:r>
              <w:r>
                <w:rPr>
                  <w:rFonts w:eastAsia="仿宋_GB2312"/>
                  <w:color w:val="auto"/>
                  <w:sz w:val="28"/>
                  <w:szCs w:val="28"/>
                </w:rPr>
                <w:t>第五节 促进城乡深度融合发展</w:t>
              </w:r>
              <w:r>
                <w:rPr>
                  <w:rFonts w:eastAsia="仿宋_GB2312"/>
                  <w:color w:val="auto"/>
                  <w:sz w:val="28"/>
                  <w:szCs w:val="28"/>
                </w:rPr>
                <w:tab/>
              </w:r>
              <w:r>
                <w:rPr>
                  <w:rFonts w:hint="eastAsia" w:eastAsia="仿宋_GB2312"/>
                  <w:color w:val="auto"/>
                  <w:sz w:val="28"/>
                  <w:szCs w:val="28"/>
                </w:rPr>
                <w:t>4</w:t>
              </w:r>
              <w:r>
                <w:rPr>
                  <w:rFonts w:hint="eastAsia" w:eastAsia="仿宋_GB2312"/>
                  <w:color w:val="auto"/>
                  <w:sz w:val="28"/>
                  <w:szCs w:val="28"/>
                </w:rPr>
                <w:fldChar w:fldCharType="end"/>
              </w:r>
              <w:r>
                <w:rPr>
                  <w:rFonts w:hint="eastAsia" w:eastAsia="仿宋_GB2312"/>
                  <w:color w:val="auto"/>
                  <w:sz w:val="28"/>
                  <w:szCs w:val="28"/>
                </w:rPr>
                <w:t>2</w:t>
              </w:r>
            </w:p>
            <w:p w14:paraId="718532B1">
              <w:pPr>
                <w:pStyle w:val="7"/>
                <w:tabs>
                  <w:tab w:val="right" w:leader="dot" w:pos="8844"/>
                  <w:tab w:val="clear" w:pos="8296"/>
                </w:tabs>
                <w:spacing w:line="560" w:lineRule="exact"/>
                <w:ind w:firstLine="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HYPERLINK \l "_Toc796322396"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第五章 优化国土空间布局，构建区域协调发展新格局</w:t>
              </w:r>
              <w:r>
                <w:rPr>
                  <w:rFonts w:hint="eastAsia" w:ascii="仿宋_GB2312" w:hAnsi="仿宋_GB2312" w:eastAsia="仿宋_GB2312" w:cs="仿宋_GB2312"/>
                  <w:color w:val="auto"/>
                  <w:sz w:val="28"/>
                  <w:szCs w:val="28"/>
                </w:rPr>
                <w:tab/>
              </w:r>
              <w:r>
                <w:rPr>
                  <w:rFonts w:hint="eastAsia" w:ascii="Times New Roman" w:hAnsi="Times New Roman" w:eastAsia="仿宋_GB2312"/>
                  <w:color w:val="auto"/>
                  <w:sz w:val="28"/>
                  <w:szCs w:val="28"/>
                </w:rPr>
                <w:t>4</w:t>
              </w:r>
              <w:r>
                <w:rPr>
                  <w:rFonts w:hint="eastAsia" w:ascii="仿宋_GB2312" w:hAnsi="仿宋_GB2312" w:eastAsia="仿宋_GB2312" w:cs="仿宋_GB2312"/>
                  <w:color w:val="auto"/>
                  <w:sz w:val="28"/>
                  <w:szCs w:val="28"/>
                </w:rPr>
                <w:fldChar w:fldCharType="end"/>
              </w:r>
              <w:r>
                <w:rPr>
                  <w:rFonts w:hint="eastAsia" w:ascii="Times New Roman" w:hAnsi="Times New Roman" w:eastAsia="仿宋_GB2312"/>
                  <w:color w:val="auto"/>
                  <w:sz w:val="28"/>
                  <w:szCs w:val="28"/>
                </w:rPr>
                <w:t>4</w:t>
              </w:r>
            </w:p>
            <w:p w14:paraId="1DF6B3F4">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"_Toc672421468" </w:instrText>
              </w:r>
              <w:r>
                <w:rPr>
                  <w:color w:val="auto"/>
                </w:rPr>
                <w:fldChar w:fldCharType="separate"/>
              </w:r>
              <w:r>
                <w:rPr>
                  <w:rFonts w:eastAsia="仿宋_GB2312"/>
                  <w:color w:val="auto"/>
                  <w:sz w:val="28"/>
                  <w:szCs w:val="28"/>
                </w:rPr>
                <w:t>第一节 优化区域功能布局</w:t>
              </w:r>
              <w:r>
                <w:rPr>
                  <w:rFonts w:eastAsia="仿宋_GB2312"/>
                  <w:color w:val="auto"/>
                  <w:sz w:val="28"/>
                  <w:szCs w:val="28"/>
                </w:rPr>
                <w:tab/>
              </w:r>
              <w:r>
                <w:rPr>
                  <w:rFonts w:hint="eastAsia" w:eastAsia="仿宋_GB2312"/>
                  <w:color w:val="auto"/>
                  <w:sz w:val="28"/>
                  <w:szCs w:val="28"/>
                </w:rPr>
                <w:t>4</w:t>
              </w:r>
              <w:r>
                <w:rPr>
                  <w:rFonts w:hint="eastAsia" w:eastAsia="仿宋_GB2312"/>
                  <w:color w:val="auto"/>
                  <w:sz w:val="28"/>
                  <w:szCs w:val="28"/>
                </w:rPr>
                <w:fldChar w:fldCharType="end"/>
              </w:r>
              <w:r>
                <w:rPr>
                  <w:rFonts w:hint="eastAsia" w:eastAsia="仿宋_GB2312"/>
                  <w:color w:val="auto"/>
                  <w:sz w:val="28"/>
                  <w:szCs w:val="28"/>
                </w:rPr>
                <w:t>4</w:t>
              </w:r>
            </w:p>
            <w:p w14:paraId="1C6250AA">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"_Toc1328662162" </w:instrText>
              </w:r>
              <w:r>
                <w:rPr>
                  <w:color w:val="auto"/>
                </w:rPr>
                <w:fldChar w:fldCharType="separate"/>
              </w:r>
              <w:r>
                <w:rPr>
                  <w:rFonts w:eastAsia="仿宋_GB2312"/>
                  <w:color w:val="auto"/>
                  <w:kern w:val="0"/>
                  <w:sz w:val="28"/>
                  <w:szCs w:val="28"/>
                  <w:lang w:bidi="ar"/>
                  <w14:ligatures w14:val="standardContextual"/>
                </w:rPr>
                <w:t>第二节 细化空间发展策略与实施指引</w:t>
              </w:r>
              <w:r>
                <w:rPr>
                  <w:rFonts w:eastAsia="仿宋_GB2312"/>
                  <w:color w:val="auto"/>
                  <w:sz w:val="28"/>
                  <w:szCs w:val="28"/>
                </w:rPr>
                <w:tab/>
              </w:r>
              <w:r>
                <w:rPr>
                  <w:rFonts w:hint="eastAsia" w:eastAsia="仿宋_GB2312"/>
                  <w:color w:val="auto"/>
                  <w:sz w:val="28"/>
                  <w:szCs w:val="28"/>
                </w:rPr>
                <w:t>4</w:t>
              </w:r>
              <w:r>
                <w:rPr>
                  <w:rFonts w:hint="eastAsia" w:eastAsia="仿宋_GB2312"/>
                  <w:color w:val="auto"/>
                  <w:sz w:val="28"/>
                  <w:szCs w:val="28"/>
                </w:rPr>
                <w:fldChar w:fldCharType="end"/>
              </w:r>
              <w:r>
                <w:rPr>
                  <w:rFonts w:hint="eastAsia" w:eastAsia="仿宋_GB2312"/>
                  <w:color w:val="auto"/>
                  <w:sz w:val="28"/>
                  <w:szCs w:val="28"/>
                </w:rPr>
                <w:t>6</w:t>
              </w:r>
            </w:p>
            <w:p w14:paraId="02BD4601">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"_Toc1289995228" </w:instrText>
              </w:r>
              <w:r>
                <w:rPr>
                  <w:color w:val="auto"/>
                </w:rPr>
                <w:fldChar w:fldCharType="separate"/>
              </w:r>
              <w:r>
                <w:rPr>
                  <w:rFonts w:eastAsia="仿宋_GB2312"/>
                  <w:color w:val="auto"/>
                  <w:sz w:val="28"/>
                  <w:szCs w:val="28"/>
                </w:rPr>
                <w:t>第三节 加快与吉林市区同城化发展</w:t>
              </w:r>
              <w:r>
                <w:rPr>
                  <w:rFonts w:eastAsia="仿宋_GB2312"/>
                  <w:color w:val="auto"/>
                  <w:sz w:val="28"/>
                  <w:szCs w:val="28"/>
                </w:rPr>
                <w:tab/>
              </w:r>
              <w:r>
                <w:rPr>
                  <w:rFonts w:hint="eastAsia" w:eastAsia="仿宋_GB2312"/>
                  <w:color w:val="auto"/>
                  <w:sz w:val="28"/>
                  <w:szCs w:val="28"/>
                </w:rPr>
                <w:t>4</w:t>
              </w:r>
              <w:r>
                <w:rPr>
                  <w:rFonts w:hint="eastAsia" w:eastAsia="仿宋_GB2312"/>
                  <w:color w:val="auto"/>
                  <w:sz w:val="28"/>
                  <w:szCs w:val="28"/>
                </w:rPr>
                <w:fldChar w:fldCharType="end"/>
              </w:r>
              <w:r>
                <w:rPr>
                  <w:rFonts w:hint="eastAsia" w:eastAsia="仿宋_GB2312"/>
                  <w:color w:val="auto"/>
                  <w:sz w:val="28"/>
                  <w:szCs w:val="28"/>
                </w:rPr>
                <w:t>8</w:t>
              </w:r>
            </w:p>
            <w:p w14:paraId="32334957">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"_Toc2102380531" </w:instrText>
              </w:r>
              <w:r>
                <w:rPr>
                  <w:color w:val="auto"/>
                </w:rPr>
                <w:fldChar w:fldCharType="separate"/>
              </w:r>
              <w:r>
                <w:rPr>
                  <w:rFonts w:eastAsia="仿宋_GB2312"/>
                  <w:color w:val="auto"/>
                  <w:sz w:val="28"/>
                  <w:szCs w:val="28"/>
                </w:rPr>
                <w:t xml:space="preserve">第四节 </w:t>
              </w:r>
              <w:r>
                <w:rPr>
                  <w:rFonts w:eastAsia="仿宋_GB2312"/>
                  <w:bCs/>
                  <w:color w:val="auto"/>
                  <w:sz w:val="28"/>
                  <w:szCs w:val="28"/>
                </w:rPr>
                <w:t>深度融入长春现代化都市圈</w:t>
              </w:r>
              <w:r>
                <w:rPr>
                  <w:rFonts w:eastAsia="仿宋_GB2312"/>
                  <w:color w:val="auto"/>
                  <w:sz w:val="28"/>
                  <w:szCs w:val="28"/>
                </w:rPr>
                <w:tab/>
              </w:r>
              <w:r>
                <w:rPr>
                  <w:rFonts w:hint="eastAsia" w:eastAsia="仿宋_GB2312"/>
                  <w:color w:val="auto"/>
                  <w:sz w:val="28"/>
                  <w:szCs w:val="28"/>
                </w:rPr>
                <w:t>4</w:t>
              </w:r>
              <w:r>
                <w:rPr>
                  <w:rFonts w:hint="eastAsia" w:eastAsia="仿宋_GB2312"/>
                  <w:color w:val="auto"/>
                  <w:sz w:val="28"/>
                  <w:szCs w:val="28"/>
                </w:rPr>
                <w:fldChar w:fldCharType="end"/>
              </w:r>
              <w:r>
                <w:rPr>
                  <w:rFonts w:hint="eastAsia" w:eastAsia="仿宋_GB2312"/>
                  <w:color w:val="auto"/>
                  <w:sz w:val="28"/>
                  <w:szCs w:val="28"/>
                </w:rPr>
                <w:t>9</w:t>
              </w:r>
            </w:p>
            <w:p w14:paraId="74915231">
              <w:pPr>
                <w:pStyle w:val="7"/>
                <w:tabs>
                  <w:tab w:val="right" w:leader="dot" w:pos="8844"/>
                  <w:tab w:val="clear" w:pos="8296"/>
                </w:tabs>
                <w:spacing w:line="560" w:lineRule="exact"/>
                <w:ind w:firstLine="0"/>
                <w:rPr>
                  <w:rFonts w:hint="eastAsia" w:ascii="Times New Roman" w:hAnsi="Times New Roman" w:eastAsia="仿宋_GB2312"/>
                  <w:color w:val="auto"/>
                  <w:sz w:val="28"/>
                  <w:szCs w:val="28"/>
                  <w:lang w:eastAsia="zh-CN"/>
                </w:rPr>
              </w:pPr>
              <w:r>
                <w:rPr>
                  <w:color w:val="auto"/>
                </w:rPr>
                <w:fldChar w:fldCharType="begin"/>
              </w:r>
              <w:r>
                <w:rPr>
                  <w:color w:val="auto"/>
                </w:rPr>
                <w:instrText xml:space="preserve"> HYPERLINK \l "_Toc13656779" </w:instrText>
              </w:r>
              <w:r>
                <w:rPr>
                  <w:color w:val="auto"/>
                </w:rPr>
                <w:fldChar w:fldCharType="separate"/>
              </w:r>
              <w:r>
                <w:rPr>
                  <w:rFonts w:hint="eastAsia" w:ascii="仿宋_GB2312" w:hAnsi="仿宋_GB2312" w:eastAsia="仿宋_GB2312" w:cs="仿宋_GB2312"/>
                  <w:color w:val="auto"/>
                  <w:sz w:val="28"/>
                  <w:szCs w:val="28"/>
                </w:rPr>
                <w:t>第六章 全面推进改革开放，增强高质量发展内生动力</w:t>
              </w:r>
              <w:r>
                <w:rPr>
                  <w:rFonts w:hint="eastAsia" w:ascii="仿宋_GB2312" w:hAnsi="仿宋_GB2312" w:eastAsia="仿宋_GB2312" w:cs="仿宋_GB2312"/>
                  <w:color w:val="auto"/>
                  <w:sz w:val="28"/>
                  <w:szCs w:val="28"/>
                </w:rPr>
                <w:tab/>
              </w:r>
              <w:r>
                <w:rPr>
                  <w:rFonts w:hint="eastAsia" w:ascii="Times New Roman" w:hAnsi="Times New Roman" w:eastAsia="仿宋_GB2312"/>
                  <w:color w:val="auto"/>
                  <w:sz w:val="28"/>
                  <w:szCs w:val="28"/>
                </w:rPr>
                <w:t>5</w:t>
              </w:r>
              <w:r>
                <w:rPr>
                  <w:rFonts w:hint="eastAsia" w:ascii="Times New Roman" w:hAnsi="Times New Roman" w:eastAsia="仿宋_GB2312"/>
                  <w:color w:val="auto"/>
                  <w:sz w:val="28"/>
                  <w:szCs w:val="28"/>
                </w:rPr>
                <w:fldChar w:fldCharType="end"/>
              </w:r>
              <w:r>
                <w:rPr>
                  <w:rFonts w:hint="eastAsia" w:ascii="Times New Roman" w:hAnsi="Times New Roman" w:eastAsia="仿宋_GB2312"/>
                  <w:color w:val="auto"/>
                  <w:sz w:val="28"/>
                  <w:szCs w:val="28"/>
                  <w:lang w:val="en-US" w:eastAsia="zh-CN"/>
                </w:rPr>
                <w:t>1</w:t>
              </w:r>
            </w:p>
            <w:p w14:paraId="060B0C81">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"_Toc1896218071" </w:instrText>
              </w:r>
              <w:r>
                <w:rPr>
                  <w:color w:val="auto"/>
                </w:rPr>
                <w:fldChar w:fldCharType="separate"/>
              </w:r>
              <w:r>
                <w:rPr>
                  <w:rFonts w:eastAsia="仿宋_GB2312"/>
                  <w:color w:val="auto"/>
                  <w:sz w:val="28"/>
                  <w:szCs w:val="28"/>
                </w:rPr>
                <w:t>第一节 激发经营主体活力</w:t>
              </w:r>
              <w:r>
                <w:rPr>
                  <w:rFonts w:eastAsia="仿宋_GB2312"/>
                  <w:color w:val="auto"/>
                  <w:sz w:val="28"/>
                  <w:szCs w:val="28"/>
                </w:rPr>
                <w:tab/>
              </w:r>
              <w:r>
                <w:rPr>
                  <w:rFonts w:hint="eastAsia" w:eastAsia="仿宋_GB2312"/>
                  <w:color w:val="auto"/>
                  <w:sz w:val="28"/>
                  <w:szCs w:val="28"/>
                </w:rPr>
                <w:t>5</w:t>
              </w:r>
              <w:r>
                <w:rPr>
                  <w:rFonts w:hint="eastAsia" w:eastAsia="仿宋_GB2312"/>
                  <w:color w:val="auto"/>
                  <w:sz w:val="28"/>
                  <w:szCs w:val="28"/>
                </w:rPr>
                <w:fldChar w:fldCharType="end"/>
              </w:r>
              <w:r>
                <w:rPr>
                  <w:rFonts w:hint="eastAsia" w:eastAsia="仿宋_GB2312"/>
                  <w:color w:val="auto"/>
                  <w:sz w:val="28"/>
                  <w:szCs w:val="28"/>
                </w:rPr>
                <w:t>1</w:t>
              </w:r>
            </w:p>
            <w:p w14:paraId="70EB5726">
              <w:pPr>
                <w:pStyle w:val="8"/>
                <w:tabs>
                  <w:tab w:val="right" w:leader="dot" w:pos="8844"/>
                </w:tabs>
                <w:spacing w:line="560" w:lineRule="exact"/>
                <w:rPr>
                  <w:rFonts w:hint="eastAsia" w:eastAsia="仿宋_GB2312"/>
                  <w:color w:val="auto"/>
                  <w:sz w:val="28"/>
                  <w:szCs w:val="28"/>
                  <w:lang w:eastAsia="zh-CN"/>
                </w:rPr>
              </w:pPr>
              <w:r>
                <w:rPr>
                  <w:color w:val="auto"/>
                </w:rPr>
                <w:fldChar w:fldCharType="begin"/>
              </w:r>
              <w:r>
                <w:rPr>
                  <w:color w:val="auto"/>
                </w:rPr>
                <w:instrText xml:space="preserve"> HYPERLINK \l "_Toc1079797817" </w:instrText>
              </w:r>
              <w:r>
                <w:rPr>
                  <w:color w:val="auto"/>
                </w:rPr>
                <w:fldChar w:fldCharType="separate"/>
              </w:r>
              <w:r>
                <w:rPr>
                  <w:rFonts w:eastAsia="仿宋_GB2312"/>
                  <w:color w:val="auto"/>
                  <w:sz w:val="28"/>
                  <w:szCs w:val="28"/>
                </w:rPr>
                <w:t>第二节 持续优化营商环境</w:t>
              </w:r>
              <w:r>
                <w:rPr>
                  <w:rFonts w:eastAsia="仿宋_GB2312"/>
                  <w:color w:val="auto"/>
                  <w:sz w:val="28"/>
                  <w:szCs w:val="28"/>
                </w:rPr>
                <w:tab/>
              </w:r>
              <w:r>
                <w:rPr>
                  <w:rFonts w:hint="eastAsia" w:eastAsia="仿宋_GB2312"/>
                  <w:color w:val="auto"/>
                  <w:sz w:val="28"/>
                  <w:szCs w:val="28"/>
                </w:rPr>
                <w:t>5</w:t>
              </w:r>
              <w:r>
                <w:rPr>
                  <w:rFonts w:hint="eastAsia" w:eastAsia="仿宋_GB2312"/>
                  <w:color w:val="auto"/>
                  <w:sz w:val="28"/>
                  <w:szCs w:val="28"/>
                </w:rPr>
                <w:fldChar w:fldCharType="end"/>
              </w:r>
              <w:r>
                <w:rPr>
                  <w:rFonts w:hint="eastAsia" w:eastAsia="仿宋_GB2312"/>
                  <w:color w:val="auto"/>
                  <w:sz w:val="28"/>
                  <w:szCs w:val="28"/>
                  <w:lang w:val="en-US" w:eastAsia="zh-CN"/>
                </w:rPr>
                <w:t>2</w:t>
              </w:r>
            </w:p>
            <w:p w14:paraId="0F7B460B">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"_Toc1925093169" </w:instrText>
              </w:r>
              <w:r>
                <w:rPr>
                  <w:color w:val="auto"/>
                </w:rPr>
                <w:fldChar w:fldCharType="separate"/>
              </w:r>
              <w:r>
                <w:rPr>
                  <w:rFonts w:eastAsia="仿宋_GB2312"/>
                  <w:color w:val="auto"/>
                  <w:sz w:val="28"/>
                  <w:szCs w:val="28"/>
                </w:rPr>
                <w:t>第三节 深化重点领域改革</w:t>
              </w:r>
              <w:r>
                <w:rPr>
                  <w:rFonts w:eastAsia="仿宋_GB2312"/>
                  <w:color w:val="auto"/>
                  <w:sz w:val="28"/>
                  <w:szCs w:val="28"/>
                </w:rPr>
                <w:tab/>
              </w:r>
              <w:r>
                <w:rPr>
                  <w:rFonts w:hint="eastAsia" w:eastAsia="仿宋_GB2312"/>
                  <w:color w:val="auto"/>
                  <w:sz w:val="28"/>
                  <w:szCs w:val="28"/>
                </w:rPr>
                <w:t>5</w:t>
              </w:r>
              <w:r>
                <w:rPr>
                  <w:rFonts w:hint="eastAsia" w:eastAsia="仿宋_GB2312"/>
                  <w:color w:val="auto"/>
                  <w:sz w:val="28"/>
                  <w:szCs w:val="28"/>
                </w:rPr>
                <w:fldChar w:fldCharType="end"/>
              </w:r>
              <w:r>
                <w:rPr>
                  <w:rFonts w:hint="eastAsia" w:eastAsia="仿宋_GB2312"/>
                  <w:color w:val="auto"/>
                  <w:sz w:val="28"/>
                  <w:szCs w:val="28"/>
                </w:rPr>
                <w:t>3</w:t>
              </w:r>
            </w:p>
            <w:p w14:paraId="073AC394">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"_Toc1052265681" </w:instrText>
              </w:r>
              <w:r>
                <w:rPr>
                  <w:color w:val="auto"/>
                </w:rPr>
                <w:fldChar w:fldCharType="separate"/>
              </w:r>
              <w:r>
                <w:rPr>
                  <w:rFonts w:eastAsia="仿宋_GB2312"/>
                  <w:color w:val="auto"/>
                  <w:sz w:val="28"/>
                  <w:szCs w:val="28"/>
                </w:rPr>
                <w:t>第四节 推进高水平开放发展</w:t>
              </w:r>
              <w:r>
                <w:rPr>
                  <w:rFonts w:eastAsia="仿宋_GB2312"/>
                  <w:color w:val="auto"/>
                  <w:sz w:val="28"/>
                  <w:szCs w:val="28"/>
                </w:rPr>
                <w:tab/>
              </w:r>
              <w:r>
                <w:rPr>
                  <w:rFonts w:hint="eastAsia" w:eastAsia="仿宋_GB2312"/>
                  <w:color w:val="auto"/>
                  <w:sz w:val="28"/>
                  <w:szCs w:val="28"/>
                </w:rPr>
                <w:t>5</w:t>
              </w:r>
              <w:r>
                <w:rPr>
                  <w:rFonts w:hint="eastAsia" w:eastAsia="仿宋_GB2312"/>
                  <w:color w:val="auto"/>
                  <w:sz w:val="28"/>
                  <w:szCs w:val="28"/>
                </w:rPr>
                <w:fldChar w:fldCharType="end"/>
              </w:r>
              <w:r>
                <w:rPr>
                  <w:rFonts w:hint="eastAsia" w:eastAsia="仿宋_GB2312"/>
                  <w:color w:val="auto"/>
                  <w:sz w:val="28"/>
                  <w:szCs w:val="28"/>
                </w:rPr>
                <w:t>4</w:t>
              </w:r>
            </w:p>
            <w:p w14:paraId="746DC55A">
              <w:pPr>
                <w:pStyle w:val="7"/>
                <w:tabs>
                  <w:tab w:val="right" w:leader="dot" w:pos="8844"/>
                  <w:tab w:val="clear" w:pos="8296"/>
                </w:tabs>
                <w:spacing w:line="560" w:lineRule="exact"/>
                <w:ind w:firstLine="0"/>
                <w:rPr>
                  <w:rFonts w:ascii="Times New Roman" w:hAnsi="Times New Roman" w:eastAsia="仿宋_GB2312"/>
                  <w:color w:val="auto"/>
                  <w:sz w:val="28"/>
                  <w:szCs w:val="28"/>
                </w:rPr>
              </w:pPr>
              <w:r>
                <w:rPr>
                  <w:color w:val="auto"/>
                </w:rPr>
                <w:fldChar w:fldCharType="begin"/>
              </w:r>
              <w:r>
                <w:rPr>
                  <w:color w:val="auto"/>
                </w:rPr>
                <w:instrText xml:space="preserve"> HYPERLINK \l "_Toc901467522" </w:instrText>
              </w:r>
              <w:r>
                <w:rPr>
                  <w:color w:val="auto"/>
                </w:rPr>
                <w:fldChar w:fldCharType="separate"/>
              </w:r>
              <w:r>
                <w:rPr>
                  <w:rFonts w:hint="eastAsia" w:ascii="仿宋_GB2312" w:hAnsi="仿宋_GB2312" w:eastAsia="仿宋_GB2312" w:cs="仿宋_GB2312"/>
                  <w:color w:val="auto"/>
                  <w:sz w:val="28"/>
                  <w:szCs w:val="28"/>
                </w:rPr>
                <w:t>第七章 提升城市功能品质，建设现代化人民城市</w:t>
              </w:r>
              <w:r>
                <w:rPr>
                  <w:rFonts w:hint="eastAsia" w:ascii="仿宋_GB2312" w:hAnsi="仿宋_GB2312" w:eastAsia="仿宋_GB2312" w:cs="仿宋_GB2312"/>
                  <w:color w:val="auto"/>
                  <w:sz w:val="28"/>
                  <w:szCs w:val="28"/>
                </w:rPr>
                <w:tab/>
              </w:r>
              <w:r>
                <w:rPr>
                  <w:rFonts w:hint="eastAsia" w:ascii="Times New Roman" w:hAnsi="Times New Roman" w:eastAsia="仿宋_GB2312"/>
                  <w:color w:val="auto"/>
                  <w:sz w:val="28"/>
                  <w:szCs w:val="28"/>
                </w:rPr>
                <w:t>5</w:t>
              </w:r>
              <w:r>
                <w:rPr>
                  <w:rFonts w:hint="eastAsia" w:ascii="Times New Roman" w:hAnsi="Times New Roman" w:eastAsia="仿宋_GB2312"/>
                  <w:color w:val="auto"/>
                  <w:sz w:val="28"/>
                  <w:szCs w:val="28"/>
                </w:rPr>
                <w:fldChar w:fldCharType="end"/>
              </w:r>
              <w:r>
                <w:rPr>
                  <w:rFonts w:hint="eastAsia" w:ascii="Times New Roman" w:hAnsi="Times New Roman" w:eastAsia="仿宋_GB2312"/>
                  <w:color w:val="auto"/>
                  <w:sz w:val="28"/>
                  <w:szCs w:val="28"/>
                </w:rPr>
                <w:t>5</w:t>
              </w:r>
            </w:p>
            <w:p w14:paraId="3238FD90">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"_Toc467512669" </w:instrText>
              </w:r>
              <w:r>
                <w:rPr>
                  <w:color w:val="auto"/>
                </w:rPr>
                <w:fldChar w:fldCharType="separate"/>
              </w:r>
              <w:r>
                <w:rPr>
                  <w:rFonts w:eastAsia="仿宋_GB2312"/>
                  <w:color w:val="auto"/>
                  <w:sz w:val="28"/>
                  <w:szCs w:val="28"/>
                </w:rPr>
                <w:t>第一节 推进新型城镇化高质量发展</w:t>
              </w:r>
              <w:r>
                <w:rPr>
                  <w:rFonts w:eastAsia="仿宋_GB2312"/>
                  <w:color w:val="auto"/>
                  <w:sz w:val="28"/>
                  <w:szCs w:val="28"/>
                </w:rPr>
                <w:tab/>
              </w:r>
              <w:r>
                <w:rPr>
                  <w:rFonts w:hint="eastAsia" w:eastAsia="仿宋_GB2312"/>
                  <w:color w:val="auto"/>
                  <w:sz w:val="28"/>
                  <w:szCs w:val="28"/>
                </w:rPr>
                <w:t>5</w:t>
              </w:r>
              <w:r>
                <w:rPr>
                  <w:rFonts w:hint="eastAsia" w:eastAsia="仿宋_GB2312"/>
                  <w:color w:val="auto"/>
                  <w:sz w:val="28"/>
                  <w:szCs w:val="28"/>
                </w:rPr>
                <w:fldChar w:fldCharType="end"/>
              </w:r>
              <w:r>
                <w:rPr>
                  <w:rFonts w:hint="eastAsia" w:eastAsia="仿宋_GB2312"/>
                  <w:color w:val="auto"/>
                  <w:sz w:val="28"/>
                  <w:szCs w:val="28"/>
                </w:rPr>
                <w:t>5</w:t>
              </w:r>
            </w:p>
            <w:p w14:paraId="4F645E7E">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"_Toc1990247157" </w:instrText>
              </w:r>
              <w:r>
                <w:rPr>
                  <w:color w:val="auto"/>
                </w:rPr>
                <w:fldChar w:fldCharType="separate"/>
              </w:r>
              <w:r>
                <w:rPr>
                  <w:rFonts w:eastAsia="仿宋_GB2312"/>
                  <w:color w:val="auto"/>
                  <w:sz w:val="28"/>
                  <w:szCs w:val="28"/>
                </w:rPr>
                <w:t>第二节 优化城市载体功能</w:t>
              </w:r>
              <w:r>
                <w:rPr>
                  <w:rFonts w:eastAsia="仿宋_GB2312"/>
                  <w:color w:val="auto"/>
                  <w:sz w:val="28"/>
                  <w:szCs w:val="28"/>
                </w:rPr>
                <w:tab/>
              </w:r>
              <w:r>
                <w:rPr>
                  <w:rFonts w:hint="eastAsia" w:eastAsia="仿宋_GB2312"/>
                  <w:color w:val="auto"/>
                  <w:sz w:val="28"/>
                  <w:szCs w:val="28"/>
                </w:rPr>
                <w:t>5</w:t>
              </w:r>
              <w:r>
                <w:rPr>
                  <w:rFonts w:hint="eastAsia" w:eastAsia="仿宋_GB2312"/>
                  <w:color w:val="auto"/>
                  <w:sz w:val="28"/>
                  <w:szCs w:val="28"/>
                </w:rPr>
                <w:fldChar w:fldCharType="end"/>
              </w:r>
              <w:r>
                <w:rPr>
                  <w:rFonts w:hint="eastAsia" w:eastAsia="仿宋_GB2312"/>
                  <w:color w:val="auto"/>
                  <w:sz w:val="28"/>
                  <w:szCs w:val="28"/>
                </w:rPr>
                <w:t>6</w:t>
              </w:r>
            </w:p>
            <w:p w14:paraId="5889F82A">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"_Toc878682027" </w:instrText>
              </w:r>
              <w:r>
                <w:rPr>
                  <w:color w:val="auto"/>
                </w:rPr>
                <w:fldChar w:fldCharType="separate"/>
              </w:r>
              <w:r>
                <w:rPr>
                  <w:rFonts w:eastAsia="仿宋_GB2312"/>
                  <w:color w:val="auto"/>
                  <w:sz w:val="28"/>
                  <w:szCs w:val="28"/>
                </w:rPr>
                <w:t>第三节 大力实施城市更新</w:t>
              </w:r>
              <w:r>
                <w:rPr>
                  <w:rFonts w:eastAsia="仿宋_GB2312"/>
                  <w:color w:val="auto"/>
                  <w:sz w:val="28"/>
                  <w:szCs w:val="28"/>
                </w:rPr>
                <w:tab/>
              </w:r>
              <w:r>
                <w:rPr>
                  <w:rFonts w:hint="eastAsia" w:eastAsia="仿宋_GB2312"/>
                  <w:color w:val="auto"/>
                  <w:sz w:val="28"/>
                  <w:szCs w:val="28"/>
                </w:rPr>
                <w:t>5</w:t>
              </w:r>
              <w:r>
                <w:rPr>
                  <w:rFonts w:hint="eastAsia" w:eastAsia="仿宋_GB2312"/>
                  <w:color w:val="auto"/>
                  <w:sz w:val="28"/>
                  <w:szCs w:val="28"/>
                </w:rPr>
                <w:fldChar w:fldCharType="end"/>
              </w:r>
              <w:r>
                <w:rPr>
                  <w:rFonts w:hint="eastAsia" w:eastAsia="仿宋_GB2312"/>
                  <w:color w:val="auto"/>
                  <w:sz w:val="28"/>
                  <w:szCs w:val="28"/>
                </w:rPr>
                <w:t>7</w:t>
              </w:r>
            </w:p>
            <w:p w14:paraId="40024EC8">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"_Toc1911271017" </w:instrText>
              </w:r>
              <w:r>
                <w:rPr>
                  <w:color w:val="auto"/>
                </w:rPr>
                <w:fldChar w:fldCharType="separate"/>
              </w:r>
              <w:r>
                <w:rPr>
                  <w:rFonts w:eastAsia="仿宋_GB2312"/>
                  <w:color w:val="auto"/>
                  <w:sz w:val="28"/>
                  <w:szCs w:val="28"/>
                </w:rPr>
                <w:t>第四节 完善现代化基础设施</w:t>
              </w:r>
              <w:r>
                <w:rPr>
                  <w:rFonts w:eastAsia="仿宋_GB2312"/>
                  <w:color w:val="auto"/>
                  <w:sz w:val="28"/>
                  <w:szCs w:val="28"/>
                </w:rPr>
                <w:tab/>
              </w:r>
              <w:r>
                <w:rPr>
                  <w:rFonts w:hint="eastAsia" w:eastAsia="仿宋_GB2312"/>
                  <w:color w:val="auto"/>
                  <w:sz w:val="28"/>
                  <w:szCs w:val="28"/>
                </w:rPr>
                <w:t>5</w:t>
              </w:r>
              <w:r>
                <w:rPr>
                  <w:rFonts w:hint="eastAsia" w:eastAsia="仿宋_GB2312"/>
                  <w:color w:val="auto"/>
                  <w:sz w:val="28"/>
                  <w:szCs w:val="28"/>
                </w:rPr>
                <w:fldChar w:fldCharType="end"/>
              </w:r>
              <w:r>
                <w:rPr>
                  <w:rFonts w:hint="eastAsia" w:eastAsia="仿宋_GB2312"/>
                  <w:color w:val="auto"/>
                  <w:sz w:val="28"/>
                  <w:szCs w:val="28"/>
                </w:rPr>
                <w:t>8</w:t>
              </w:r>
            </w:p>
            <w:p w14:paraId="33951B3C">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"_Toc671590893" </w:instrText>
              </w:r>
              <w:r>
                <w:rPr>
                  <w:color w:val="auto"/>
                </w:rPr>
                <w:fldChar w:fldCharType="separate"/>
              </w:r>
              <w:r>
                <w:rPr>
                  <w:rFonts w:eastAsia="仿宋_GB2312"/>
                  <w:color w:val="auto"/>
                  <w:sz w:val="28"/>
                  <w:szCs w:val="28"/>
                </w:rPr>
                <w:t>第五节 推动城市治理精细化</w:t>
              </w:r>
              <w:r>
                <w:rPr>
                  <w:rFonts w:eastAsia="仿宋_GB2312"/>
                  <w:color w:val="auto"/>
                  <w:sz w:val="28"/>
                  <w:szCs w:val="28"/>
                </w:rPr>
                <w:tab/>
              </w:r>
              <w:r>
                <w:rPr>
                  <w:rFonts w:hint="eastAsia" w:eastAsia="仿宋_GB2312"/>
                  <w:color w:val="auto"/>
                  <w:sz w:val="28"/>
                  <w:szCs w:val="28"/>
                </w:rPr>
                <w:t>5</w:t>
              </w:r>
              <w:r>
                <w:rPr>
                  <w:rFonts w:hint="eastAsia" w:eastAsia="仿宋_GB2312"/>
                  <w:color w:val="auto"/>
                  <w:sz w:val="28"/>
                  <w:szCs w:val="28"/>
                </w:rPr>
                <w:fldChar w:fldCharType="end"/>
              </w:r>
              <w:r>
                <w:rPr>
                  <w:rFonts w:hint="eastAsia" w:eastAsia="仿宋_GB2312"/>
                  <w:color w:val="auto"/>
                  <w:sz w:val="28"/>
                  <w:szCs w:val="28"/>
                </w:rPr>
                <w:t>9</w:t>
              </w:r>
            </w:p>
            <w:p w14:paraId="7A4298B2">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"_Toc254090019" </w:instrText>
              </w:r>
              <w:r>
                <w:rPr>
                  <w:color w:val="auto"/>
                </w:rPr>
                <w:fldChar w:fldCharType="separate"/>
              </w:r>
              <w:r>
                <w:rPr>
                  <w:rFonts w:eastAsia="仿宋_GB2312"/>
                  <w:color w:val="auto"/>
                  <w:sz w:val="28"/>
                  <w:szCs w:val="28"/>
                </w:rPr>
                <w:t>第六节 强化有效投资支撑</w:t>
              </w:r>
              <w:r>
                <w:rPr>
                  <w:rFonts w:eastAsia="仿宋_GB2312"/>
                  <w:color w:val="auto"/>
                  <w:sz w:val="28"/>
                  <w:szCs w:val="28"/>
                </w:rPr>
                <w:tab/>
              </w:r>
              <w:r>
                <w:rPr>
                  <w:rFonts w:hint="eastAsia" w:eastAsia="仿宋_GB2312"/>
                  <w:color w:val="auto"/>
                  <w:sz w:val="28"/>
                  <w:szCs w:val="28"/>
                </w:rPr>
                <w:t>6</w:t>
              </w:r>
              <w:r>
                <w:rPr>
                  <w:rFonts w:hint="eastAsia" w:eastAsia="仿宋_GB2312"/>
                  <w:color w:val="auto"/>
                  <w:sz w:val="28"/>
                  <w:szCs w:val="28"/>
                </w:rPr>
                <w:fldChar w:fldCharType="end"/>
              </w:r>
              <w:r>
                <w:rPr>
                  <w:rFonts w:hint="eastAsia" w:eastAsia="仿宋_GB2312"/>
                  <w:color w:val="auto"/>
                  <w:sz w:val="28"/>
                  <w:szCs w:val="28"/>
                </w:rPr>
                <w:t>0</w:t>
              </w:r>
            </w:p>
            <w:p w14:paraId="67E8E4F0">
              <w:pPr>
                <w:pStyle w:val="7"/>
                <w:tabs>
                  <w:tab w:val="right" w:leader="dot" w:pos="8844"/>
                  <w:tab w:val="clear" w:pos="8296"/>
                </w:tabs>
                <w:spacing w:line="560" w:lineRule="exact"/>
                <w:ind w:firstLine="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fldChar w:fldCharType="begin"/>
              </w:r>
              <w:r>
                <w:rPr>
                  <w:rFonts w:hint="eastAsia" w:ascii="仿宋_GB2312" w:hAnsi="仿宋_GB2312" w:eastAsia="仿宋_GB2312" w:cs="仿宋_GB2312"/>
                  <w:color w:val="auto"/>
                  <w:sz w:val="28"/>
                  <w:szCs w:val="28"/>
                </w:rPr>
                <w:instrText xml:space="preserve"> HYPERLINK \l "_Toc1293459097" </w:instrText>
              </w:r>
              <w:r>
                <w:rPr>
                  <w:rFonts w:hint="eastAsia" w:ascii="仿宋_GB2312" w:hAnsi="仿宋_GB2312" w:eastAsia="仿宋_GB2312" w:cs="仿宋_GB2312"/>
                  <w:color w:val="auto"/>
                  <w:sz w:val="28"/>
                  <w:szCs w:val="28"/>
                </w:rPr>
                <w:fldChar w:fldCharType="separate"/>
              </w:r>
              <w:r>
                <w:rPr>
                  <w:rFonts w:hint="eastAsia" w:ascii="仿宋_GB2312" w:hAnsi="仿宋_GB2312" w:eastAsia="仿宋_GB2312" w:cs="仿宋_GB2312"/>
                  <w:color w:val="auto"/>
                  <w:sz w:val="28"/>
                  <w:szCs w:val="28"/>
                </w:rPr>
                <w:t>第八章 着力保障和改善民生，建设宜居宜业幸福新家园</w:t>
              </w:r>
              <w:r>
                <w:rPr>
                  <w:rFonts w:hint="eastAsia" w:ascii="仿宋_GB2312" w:hAnsi="仿宋_GB2312" w:eastAsia="仿宋_GB2312" w:cs="仿宋_GB2312"/>
                  <w:color w:val="auto"/>
                  <w:sz w:val="28"/>
                  <w:szCs w:val="28"/>
                </w:rPr>
                <w:tab/>
              </w:r>
              <w:r>
                <w:rPr>
                  <w:rFonts w:hint="eastAsia" w:ascii="Times New Roman" w:hAnsi="Times New Roman" w:eastAsia="仿宋_GB2312"/>
                  <w:color w:val="auto"/>
                  <w:sz w:val="28"/>
                  <w:szCs w:val="28"/>
                </w:rPr>
                <w:t>6</w:t>
              </w:r>
              <w:r>
                <w:rPr>
                  <w:rFonts w:hint="eastAsia" w:ascii="仿宋_GB2312" w:hAnsi="仿宋_GB2312" w:eastAsia="仿宋_GB2312" w:cs="仿宋_GB2312"/>
                  <w:color w:val="auto"/>
                  <w:sz w:val="28"/>
                  <w:szCs w:val="28"/>
                </w:rPr>
                <w:fldChar w:fldCharType="end"/>
              </w:r>
              <w:r>
                <w:rPr>
                  <w:rFonts w:hint="eastAsia" w:ascii="Times New Roman" w:hAnsi="Times New Roman" w:eastAsia="仿宋_GB2312"/>
                  <w:color w:val="auto"/>
                  <w:sz w:val="28"/>
                  <w:szCs w:val="28"/>
                </w:rPr>
                <w:t>1</w:t>
              </w:r>
            </w:p>
            <w:p w14:paraId="6CA3CA30">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"_Toc190084698" </w:instrText>
              </w:r>
              <w:r>
                <w:rPr>
                  <w:color w:val="auto"/>
                </w:rPr>
                <w:fldChar w:fldCharType="separate"/>
              </w:r>
              <w:r>
                <w:rPr>
                  <w:rFonts w:eastAsia="仿宋_GB2312"/>
                  <w:color w:val="auto"/>
                  <w:sz w:val="28"/>
                  <w:szCs w:val="28"/>
                </w:rPr>
                <w:t>第一节 促进高质量就业增收</w:t>
              </w:r>
              <w:r>
                <w:rPr>
                  <w:rFonts w:eastAsia="仿宋_GB2312"/>
                  <w:color w:val="auto"/>
                  <w:sz w:val="28"/>
                  <w:szCs w:val="28"/>
                </w:rPr>
                <w:tab/>
              </w:r>
              <w:r>
                <w:rPr>
                  <w:rFonts w:hint="eastAsia" w:eastAsia="仿宋_GB2312"/>
                  <w:color w:val="auto"/>
                  <w:sz w:val="28"/>
                  <w:szCs w:val="28"/>
                </w:rPr>
                <w:t>6</w:t>
              </w:r>
              <w:r>
                <w:rPr>
                  <w:rFonts w:hint="eastAsia" w:eastAsia="仿宋_GB2312"/>
                  <w:color w:val="auto"/>
                  <w:sz w:val="28"/>
                  <w:szCs w:val="28"/>
                </w:rPr>
                <w:fldChar w:fldCharType="end"/>
              </w:r>
              <w:r>
                <w:rPr>
                  <w:rFonts w:hint="eastAsia" w:eastAsia="仿宋_GB2312"/>
                  <w:color w:val="auto"/>
                  <w:sz w:val="28"/>
                  <w:szCs w:val="28"/>
                </w:rPr>
                <w:t>2</w:t>
              </w:r>
            </w:p>
            <w:p w14:paraId="62908F11">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"_Toc1445336197" </w:instrText>
              </w:r>
              <w:r>
                <w:rPr>
                  <w:color w:val="auto"/>
                </w:rPr>
                <w:fldChar w:fldCharType="separate"/>
              </w:r>
              <w:r>
                <w:rPr>
                  <w:rFonts w:eastAsia="仿宋_GB2312"/>
                  <w:color w:val="auto"/>
                  <w:sz w:val="28"/>
                  <w:szCs w:val="28"/>
                </w:rPr>
                <w:t>第二节 全面提高公共服务质量</w:t>
              </w:r>
              <w:r>
                <w:rPr>
                  <w:rFonts w:eastAsia="仿宋_GB2312"/>
                  <w:color w:val="auto"/>
                  <w:sz w:val="28"/>
                  <w:szCs w:val="28"/>
                </w:rPr>
                <w:tab/>
              </w:r>
              <w:r>
                <w:rPr>
                  <w:rFonts w:hint="eastAsia" w:eastAsia="仿宋_GB2312"/>
                  <w:color w:val="auto"/>
                  <w:sz w:val="28"/>
                  <w:szCs w:val="28"/>
                </w:rPr>
                <w:t>6</w:t>
              </w:r>
              <w:r>
                <w:rPr>
                  <w:rFonts w:hint="eastAsia" w:eastAsia="仿宋_GB2312"/>
                  <w:color w:val="auto"/>
                  <w:sz w:val="28"/>
                  <w:szCs w:val="28"/>
                </w:rPr>
                <w:fldChar w:fldCharType="end"/>
              </w:r>
              <w:r>
                <w:rPr>
                  <w:rFonts w:hint="eastAsia" w:eastAsia="仿宋_GB2312"/>
                  <w:color w:val="auto"/>
                  <w:sz w:val="28"/>
                  <w:szCs w:val="28"/>
                </w:rPr>
                <w:t>3</w:t>
              </w:r>
            </w:p>
            <w:p w14:paraId="5ECD744A">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"_Toc1577931762" </w:instrText>
              </w:r>
              <w:r>
                <w:rPr>
                  <w:color w:val="auto"/>
                </w:rPr>
                <w:fldChar w:fldCharType="separate"/>
              </w:r>
              <w:r>
                <w:rPr>
                  <w:rFonts w:eastAsia="仿宋_GB2312"/>
                  <w:color w:val="auto"/>
                  <w:sz w:val="28"/>
                  <w:szCs w:val="28"/>
                </w:rPr>
                <w:t>第三节 持续完善社会保障体系</w:t>
              </w:r>
              <w:r>
                <w:rPr>
                  <w:rFonts w:eastAsia="仿宋_GB2312"/>
                  <w:color w:val="auto"/>
                  <w:sz w:val="28"/>
                  <w:szCs w:val="28"/>
                </w:rPr>
                <w:tab/>
              </w:r>
              <w:r>
                <w:rPr>
                  <w:rFonts w:hint="eastAsia" w:eastAsia="仿宋_GB2312"/>
                  <w:color w:val="auto"/>
                  <w:sz w:val="28"/>
                  <w:szCs w:val="28"/>
                </w:rPr>
                <w:t>6</w:t>
              </w:r>
              <w:r>
                <w:rPr>
                  <w:rFonts w:hint="eastAsia" w:eastAsia="仿宋_GB2312"/>
                  <w:color w:val="auto"/>
                  <w:sz w:val="28"/>
                  <w:szCs w:val="28"/>
                </w:rPr>
                <w:fldChar w:fldCharType="end"/>
              </w:r>
              <w:r>
                <w:rPr>
                  <w:rFonts w:hint="eastAsia" w:eastAsia="仿宋_GB2312"/>
                  <w:color w:val="auto"/>
                  <w:sz w:val="28"/>
                  <w:szCs w:val="28"/>
                </w:rPr>
                <w:t>8</w:t>
              </w:r>
            </w:p>
            <w:p w14:paraId="0AF3110E">
              <w:pPr>
                <w:pStyle w:val="8"/>
                <w:tabs>
                  <w:tab w:val="right" w:leader="dot" w:pos="8844"/>
                </w:tabs>
                <w:spacing w:line="560" w:lineRule="exact"/>
                <w:rPr>
                  <w:rFonts w:eastAsia="仿宋_GB2312"/>
                  <w:color w:val="auto"/>
                  <w:sz w:val="28"/>
                  <w:szCs w:val="28"/>
                </w:rPr>
                <w:sectPr>
                  <w:footerReference r:id="rId4" w:type="default"/>
                  <w:pgSz w:w="11906" w:h="16838"/>
                  <w:pgMar w:top="2098" w:right="1531" w:bottom="1984" w:left="1531" w:header="851" w:footer="624" w:gutter="0"/>
                  <w:cols w:space="425" w:num="1"/>
                  <w:docGrid w:type="lines" w:linePitch="312" w:charSpace="0"/>
                </w:sectPr>
              </w:pPr>
            </w:p>
            <w:p w14:paraId="29E1F538">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"_Toc1023567131" </w:instrText>
              </w:r>
              <w:r>
                <w:rPr>
                  <w:color w:val="auto"/>
                </w:rPr>
                <w:fldChar w:fldCharType="separate"/>
              </w:r>
              <w:r>
                <w:rPr>
                  <w:rFonts w:eastAsia="仿宋_GB2312"/>
                  <w:color w:val="auto"/>
                  <w:sz w:val="28"/>
                  <w:szCs w:val="28"/>
                </w:rPr>
                <w:t>第四节 满足群众高品质居住需求</w:t>
              </w:r>
              <w:r>
                <w:rPr>
                  <w:rFonts w:eastAsia="仿宋_GB2312"/>
                  <w:color w:val="auto"/>
                  <w:sz w:val="28"/>
                  <w:szCs w:val="28"/>
                </w:rPr>
                <w:tab/>
              </w:r>
              <w:r>
                <w:rPr>
                  <w:rFonts w:hint="eastAsia" w:eastAsia="仿宋_GB2312"/>
                  <w:color w:val="auto"/>
                  <w:sz w:val="28"/>
                  <w:szCs w:val="28"/>
                </w:rPr>
                <w:t>6</w:t>
              </w:r>
              <w:r>
                <w:rPr>
                  <w:rFonts w:hint="eastAsia" w:eastAsia="仿宋_GB2312"/>
                  <w:color w:val="auto"/>
                  <w:sz w:val="28"/>
                  <w:szCs w:val="28"/>
                </w:rPr>
                <w:fldChar w:fldCharType="end"/>
              </w:r>
              <w:r>
                <w:rPr>
                  <w:rFonts w:hint="eastAsia" w:eastAsia="仿宋_GB2312"/>
                  <w:color w:val="auto"/>
                  <w:sz w:val="28"/>
                  <w:szCs w:val="28"/>
                </w:rPr>
                <w:t>9</w:t>
              </w:r>
            </w:p>
            <w:p w14:paraId="5C89227C">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"_Toc1748758247" </w:instrText>
              </w:r>
              <w:r>
                <w:rPr>
                  <w:color w:val="auto"/>
                </w:rPr>
                <w:fldChar w:fldCharType="separate"/>
              </w:r>
              <w:r>
                <w:rPr>
                  <w:rFonts w:eastAsia="仿宋_GB2312"/>
                  <w:color w:val="auto"/>
                  <w:sz w:val="28"/>
                  <w:szCs w:val="28"/>
                </w:rPr>
                <w:t>第五节 筑牢安全发展根基</w:t>
              </w:r>
              <w:r>
                <w:rPr>
                  <w:rFonts w:eastAsia="仿宋_GB2312"/>
                  <w:color w:val="auto"/>
                  <w:sz w:val="28"/>
                  <w:szCs w:val="28"/>
                </w:rPr>
                <w:tab/>
              </w:r>
              <w:r>
                <w:rPr>
                  <w:rFonts w:hint="eastAsia" w:eastAsia="仿宋_GB2312"/>
                  <w:color w:val="auto"/>
                  <w:sz w:val="28"/>
                  <w:szCs w:val="28"/>
                </w:rPr>
                <w:t>7</w:t>
              </w:r>
              <w:r>
                <w:rPr>
                  <w:rFonts w:hint="eastAsia" w:eastAsia="仿宋_GB2312"/>
                  <w:color w:val="auto"/>
                  <w:sz w:val="28"/>
                  <w:szCs w:val="28"/>
                </w:rPr>
                <w:fldChar w:fldCharType="end"/>
              </w:r>
              <w:r>
                <w:rPr>
                  <w:rFonts w:hint="eastAsia" w:eastAsia="仿宋_GB2312"/>
                  <w:color w:val="auto"/>
                  <w:sz w:val="28"/>
                  <w:szCs w:val="28"/>
                </w:rPr>
                <w:t>0</w:t>
              </w:r>
            </w:p>
            <w:p w14:paraId="13FCD148">
              <w:pPr>
                <w:pStyle w:val="8"/>
                <w:tabs>
                  <w:tab w:val="right" w:leader="dot" w:pos="8844"/>
                </w:tabs>
                <w:spacing w:line="560" w:lineRule="exact"/>
                <w:rPr>
                  <w:rFonts w:hint="eastAsia" w:eastAsia="仿宋_GB2312"/>
                  <w:color w:val="auto"/>
                  <w:sz w:val="28"/>
                  <w:szCs w:val="28"/>
                  <w:lang w:eastAsia="zh-CN"/>
                </w:rPr>
              </w:pPr>
              <w:r>
                <w:rPr>
                  <w:color w:val="auto"/>
                </w:rPr>
                <w:fldChar w:fldCharType="begin"/>
              </w:r>
              <w:r>
                <w:rPr>
                  <w:color w:val="auto"/>
                </w:rPr>
                <w:instrText xml:space="preserve"> HYPERLINK \l "_Toc918664487" </w:instrText>
              </w:r>
              <w:r>
                <w:rPr>
                  <w:color w:val="auto"/>
                </w:rPr>
                <w:fldChar w:fldCharType="separate"/>
              </w:r>
              <w:r>
                <w:rPr>
                  <w:rFonts w:eastAsia="仿宋_GB2312"/>
                  <w:color w:val="auto"/>
                  <w:sz w:val="28"/>
                  <w:szCs w:val="28"/>
                </w:rPr>
                <w:t>第六节 提升社会治理效能</w:t>
              </w:r>
              <w:r>
                <w:rPr>
                  <w:rFonts w:eastAsia="仿宋_GB2312"/>
                  <w:color w:val="auto"/>
                  <w:sz w:val="28"/>
                  <w:szCs w:val="28"/>
                </w:rPr>
                <w:tab/>
              </w:r>
              <w:r>
                <w:rPr>
                  <w:rFonts w:hint="eastAsia" w:eastAsia="仿宋_GB2312"/>
                  <w:color w:val="auto"/>
                  <w:sz w:val="28"/>
                  <w:szCs w:val="28"/>
                </w:rPr>
                <w:t>7</w:t>
              </w:r>
              <w:r>
                <w:rPr>
                  <w:rFonts w:hint="eastAsia" w:eastAsia="仿宋_GB2312"/>
                  <w:color w:val="auto"/>
                  <w:sz w:val="28"/>
                  <w:szCs w:val="28"/>
                </w:rPr>
                <w:fldChar w:fldCharType="end"/>
              </w:r>
              <w:r>
                <w:rPr>
                  <w:rFonts w:hint="eastAsia" w:eastAsia="仿宋_GB2312"/>
                  <w:color w:val="auto"/>
                  <w:sz w:val="28"/>
                  <w:szCs w:val="28"/>
                  <w:lang w:val="en-US" w:eastAsia="zh-CN"/>
                </w:rPr>
                <w:t>3</w:t>
              </w:r>
            </w:p>
            <w:p w14:paraId="64F56FA6">
              <w:pPr>
                <w:pStyle w:val="7"/>
                <w:tabs>
                  <w:tab w:val="right" w:leader="dot" w:pos="8844"/>
                  <w:tab w:val="clear" w:pos="8296"/>
                </w:tabs>
                <w:spacing w:line="560" w:lineRule="exact"/>
                <w:ind w:firstLine="0"/>
                <w:rPr>
                  <w:rFonts w:hint="eastAsia" w:ascii="Times New Roman" w:hAnsi="Times New Roman" w:eastAsia="仿宋_GB2312"/>
                  <w:color w:val="auto"/>
                  <w:sz w:val="28"/>
                  <w:szCs w:val="28"/>
                  <w:lang w:eastAsia="zh-CN"/>
                </w:rPr>
              </w:pPr>
              <w:r>
                <w:rPr>
                  <w:color w:val="auto"/>
                </w:rPr>
                <w:fldChar w:fldCharType="begin"/>
              </w:r>
              <w:r>
                <w:rPr>
                  <w:color w:val="auto"/>
                </w:rPr>
                <w:instrText xml:space="preserve"> HYPERLINK \l "_Toc1734094726" </w:instrText>
              </w:r>
              <w:r>
                <w:rPr>
                  <w:color w:val="auto"/>
                </w:rPr>
                <w:fldChar w:fldCharType="separate"/>
              </w:r>
              <w:r>
                <w:rPr>
                  <w:rFonts w:hint="eastAsia" w:ascii="仿宋_GB2312" w:hAnsi="仿宋_GB2312" w:eastAsia="仿宋_GB2312" w:cs="仿宋_GB2312"/>
                  <w:color w:val="auto"/>
                  <w:sz w:val="28"/>
                  <w:szCs w:val="28"/>
                </w:rPr>
                <w:t>第九章 推进绿色低碳转型，建设生态秀美新永吉</w:t>
              </w:r>
              <w:r>
                <w:rPr>
                  <w:rFonts w:hint="eastAsia" w:ascii="仿宋_GB2312" w:hAnsi="仿宋_GB2312" w:eastAsia="仿宋_GB2312" w:cs="仿宋_GB2312"/>
                  <w:color w:val="auto"/>
                  <w:sz w:val="28"/>
                  <w:szCs w:val="28"/>
                </w:rPr>
                <w:tab/>
              </w:r>
              <w:r>
                <w:rPr>
                  <w:rFonts w:hint="eastAsia" w:ascii="Times New Roman" w:hAnsi="Times New Roman" w:eastAsia="仿宋_GB2312"/>
                  <w:color w:val="auto"/>
                  <w:sz w:val="28"/>
                  <w:szCs w:val="28"/>
                </w:rPr>
                <w:t>7</w:t>
              </w:r>
              <w:r>
                <w:rPr>
                  <w:rFonts w:hint="eastAsia" w:ascii="Times New Roman" w:hAnsi="Times New Roman" w:eastAsia="仿宋_GB2312"/>
                  <w:color w:val="auto"/>
                  <w:sz w:val="28"/>
                  <w:szCs w:val="28"/>
                </w:rPr>
                <w:fldChar w:fldCharType="end"/>
              </w:r>
              <w:r>
                <w:rPr>
                  <w:rFonts w:hint="eastAsia" w:ascii="Times New Roman" w:hAnsi="Times New Roman" w:eastAsia="仿宋_GB2312"/>
                  <w:color w:val="auto"/>
                  <w:sz w:val="28"/>
                  <w:szCs w:val="28"/>
                  <w:lang w:val="en-US" w:eastAsia="zh-CN"/>
                </w:rPr>
                <w:t>5</w:t>
              </w:r>
            </w:p>
            <w:p w14:paraId="36C931DC">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"_Toc1429486445" </w:instrText>
              </w:r>
              <w:r>
                <w:rPr>
                  <w:color w:val="auto"/>
                </w:rPr>
                <w:fldChar w:fldCharType="separate"/>
              </w:r>
              <w:r>
                <w:rPr>
                  <w:rFonts w:eastAsia="仿宋_GB2312"/>
                  <w:color w:val="auto"/>
                  <w:sz w:val="28"/>
                  <w:szCs w:val="28"/>
                </w:rPr>
                <w:t>第一节 持续改善生态环境质量</w:t>
              </w:r>
              <w:r>
                <w:rPr>
                  <w:rFonts w:eastAsia="仿宋_GB2312"/>
                  <w:color w:val="auto"/>
                  <w:sz w:val="28"/>
                  <w:szCs w:val="28"/>
                </w:rPr>
                <w:tab/>
              </w:r>
              <w:r>
                <w:rPr>
                  <w:rFonts w:hint="eastAsia" w:eastAsia="仿宋_GB2312"/>
                  <w:color w:val="auto"/>
                  <w:sz w:val="28"/>
                  <w:szCs w:val="28"/>
                </w:rPr>
                <w:t>7</w:t>
              </w:r>
              <w:r>
                <w:rPr>
                  <w:rFonts w:hint="eastAsia" w:eastAsia="仿宋_GB2312"/>
                  <w:color w:val="auto"/>
                  <w:sz w:val="28"/>
                  <w:szCs w:val="28"/>
                </w:rPr>
                <w:fldChar w:fldCharType="end"/>
              </w:r>
              <w:r>
                <w:rPr>
                  <w:rFonts w:hint="eastAsia" w:eastAsia="仿宋_GB2312"/>
                  <w:color w:val="auto"/>
                  <w:sz w:val="28"/>
                  <w:szCs w:val="28"/>
                </w:rPr>
                <w:t>5</w:t>
              </w:r>
            </w:p>
            <w:p w14:paraId="5F8A96BE">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"_Toc1479122126" </w:instrText>
              </w:r>
              <w:r>
                <w:rPr>
                  <w:color w:val="auto"/>
                </w:rPr>
                <w:fldChar w:fldCharType="separate"/>
              </w:r>
              <w:r>
                <w:rPr>
                  <w:rFonts w:eastAsia="仿宋_GB2312"/>
                  <w:color w:val="auto"/>
                  <w:sz w:val="28"/>
                  <w:szCs w:val="28"/>
                </w:rPr>
                <w:t>第二节 提升生态系统质量和稳定性</w:t>
              </w:r>
              <w:r>
                <w:rPr>
                  <w:rFonts w:eastAsia="仿宋_GB2312"/>
                  <w:color w:val="auto"/>
                  <w:sz w:val="28"/>
                  <w:szCs w:val="28"/>
                </w:rPr>
                <w:tab/>
              </w:r>
              <w:r>
                <w:rPr>
                  <w:rFonts w:hint="eastAsia" w:eastAsia="仿宋_GB2312"/>
                  <w:color w:val="auto"/>
                  <w:sz w:val="28"/>
                  <w:szCs w:val="28"/>
                </w:rPr>
                <w:t>7</w:t>
              </w:r>
              <w:r>
                <w:rPr>
                  <w:rFonts w:hint="eastAsia" w:eastAsia="仿宋_GB2312"/>
                  <w:color w:val="auto"/>
                  <w:sz w:val="28"/>
                  <w:szCs w:val="28"/>
                </w:rPr>
                <w:fldChar w:fldCharType="end"/>
              </w:r>
              <w:r>
                <w:rPr>
                  <w:rFonts w:hint="eastAsia" w:eastAsia="仿宋_GB2312"/>
                  <w:color w:val="auto"/>
                  <w:sz w:val="28"/>
                  <w:szCs w:val="28"/>
                </w:rPr>
                <w:t>7</w:t>
              </w:r>
            </w:p>
            <w:p w14:paraId="62C5DE59">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"_Toc334874010" </w:instrText>
              </w:r>
              <w:r>
                <w:rPr>
                  <w:color w:val="auto"/>
                </w:rPr>
                <w:fldChar w:fldCharType="separate"/>
              </w:r>
              <w:r>
                <w:rPr>
                  <w:rFonts w:eastAsia="仿宋_GB2312"/>
                  <w:color w:val="auto"/>
                  <w:sz w:val="28"/>
                  <w:szCs w:val="28"/>
                </w:rPr>
                <w:t>第三节 推动经济社会绿色转型</w:t>
              </w:r>
              <w:r>
                <w:rPr>
                  <w:rFonts w:eastAsia="仿宋_GB2312"/>
                  <w:color w:val="auto"/>
                  <w:sz w:val="28"/>
                  <w:szCs w:val="28"/>
                </w:rPr>
                <w:tab/>
              </w:r>
              <w:r>
                <w:rPr>
                  <w:rFonts w:hint="eastAsia" w:eastAsia="仿宋_GB2312"/>
                  <w:color w:val="auto"/>
                  <w:sz w:val="28"/>
                  <w:szCs w:val="28"/>
                </w:rPr>
                <w:t>7</w:t>
              </w:r>
              <w:r>
                <w:rPr>
                  <w:rFonts w:hint="eastAsia" w:eastAsia="仿宋_GB2312"/>
                  <w:color w:val="auto"/>
                  <w:sz w:val="28"/>
                  <w:szCs w:val="28"/>
                </w:rPr>
                <w:fldChar w:fldCharType="end"/>
              </w:r>
              <w:r>
                <w:rPr>
                  <w:rFonts w:hint="eastAsia" w:eastAsia="仿宋_GB2312"/>
                  <w:color w:val="auto"/>
                  <w:sz w:val="28"/>
                  <w:szCs w:val="28"/>
                </w:rPr>
                <w:t>9</w:t>
              </w:r>
            </w:p>
            <w:p w14:paraId="5BEFE8AD">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"_Toc1820330930" </w:instrText>
              </w:r>
              <w:r>
                <w:rPr>
                  <w:color w:val="auto"/>
                </w:rPr>
                <w:fldChar w:fldCharType="separate"/>
              </w:r>
              <w:r>
                <w:rPr>
                  <w:rFonts w:eastAsia="仿宋_GB2312"/>
                  <w:color w:val="auto"/>
                  <w:sz w:val="28"/>
                  <w:szCs w:val="28"/>
                </w:rPr>
                <w:t>第四节 拓展生态价值转化路径</w:t>
              </w:r>
              <w:r>
                <w:rPr>
                  <w:rFonts w:eastAsia="仿宋_GB2312"/>
                  <w:color w:val="auto"/>
                  <w:sz w:val="28"/>
                  <w:szCs w:val="28"/>
                </w:rPr>
                <w:tab/>
              </w:r>
              <w:r>
                <w:rPr>
                  <w:rFonts w:hint="eastAsia" w:eastAsia="仿宋_GB2312"/>
                  <w:color w:val="auto"/>
                  <w:sz w:val="28"/>
                  <w:szCs w:val="28"/>
                </w:rPr>
                <w:t>8</w:t>
              </w:r>
              <w:r>
                <w:rPr>
                  <w:rFonts w:hint="eastAsia" w:eastAsia="仿宋_GB2312"/>
                  <w:color w:val="auto"/>
                  <w:sz w:val="28"/>
                  <w:szCs w:val="28"/>
                </w:rPr>
                <w:fldChar w:fldCharType="end"/>
              </w:r>
              <w:r>
                <w:rPr>
                  <w:rFonts w:hint="eastAsia" w:eastAsia="仿宋_GB2312"/>
                  <w:color w:val="auto"/>
                  <w:sz w:val="28"/>
                  <w:szCs w:val="28"/>
                </w:rPr>
                <w:t>1</w:t>
              </w:r>
            </w:p>
            <w:p w14:paraId="1DBE27B7">
              <w:pPr>
                <w:pStyle w:val="7"/>
                <w:tabs>
                  <w:tab w:val="right" w:leader="dot" w:pos="8844"/>
                  <w:tab w:val="clear" w:pos="8296"/>
                </w:tabs>
                <w:spacing w:line="560" w:lineRule="exact"/>
                <w:ind w:firstLine="0"/>
                <w:rPr>
                  <w:rFonts w:ascii="Times New Roman" w:hAnsi="Times New Roman" w:eastAsia="仿宋_GB2312"/>
                  <w:color w:val="auto"/>
                  <w:sz w:val="28"/>
                  <w:szCs w:val="28"/>
                </w:rPr>
              </w:pPr>
              <w:r>
                <w:rPr>
                  <w:color w:val="auto"/>
                </w:rPr>
                <w:fldChar w:fldCharType="begin"/>
              </w:r>
              <w:r>
                <w:rPr>
                  <w:color w:val="auto"/>
                </w:rPr>
                <w:instrText xml:space="preserve"> HYPERLINK \l "_Toc1249905348" </w:instrText>
              </w:r>
              <w:r>
                <w:rPr>
                  <w:color w:val="auto"/>
                </w:rPr>
                <w:fldChar w:fldCharType="separate"/>
              </w:r>
              <w:r>
                <w:rPr>
                  <w:rFonts w:hint="eastAsia" w:ascii="仿宋_GB2312" w:hAnsi="仿宋_GB2312" w:eastAsia="仿宋_GB2312" w:cs="仿宋_GB2312"/>
                  <w:color w:val="auto"/>
                  <w:sz w:val="28"/>
                  <w:szCs w:val="28"/>
                </w:rPr>
                <w:t>第十章 健全规划实施机制，确保规划蓝图落地见效</w:t>
              </w:r>
              <w:r>
                <w:rPr>
                  <w:rFonts w:hint="eastAsia" w:ascii="仿宋_GB2312" w:hAnsi="仿宋_GB2312" w:eastAsia="仿宋_GB2312" w:cs="仿宋_GB2312"/>
                  <w:color w:val="auto"/>
                  <w:sz w:val="28"/>
                  <w:szCs w:val="28"/>
                </w:rPr>
                <w:tab/>
              </w:r>
              <w:r>
                <w:rPr>
                  <w:rFonts w:hint="eastAsia" w:ascii="Times New Roman" w:hAnsi="Times New Roman" w:eastAsia="仿宋_GB2312"/>
                  <w:color w:val="auto"/>
                  <w:sz w:val="28"/>
                  <w:szCs w:val="28"/>
                </w:rPr>
                <w:t>8</w:t>
              </w:r>
              <w:r>
                <w:rPr>
                  <w:rFonts w:hint="eastAsia" w:ascii="Times New Roman" w:hAnsi="Times New Roman" w:eastAsia="仿宋_GB2312"/>
                  <w:color w:val="auto"/>
                  <w:sz w:val="28"/>
                  <w:szCs w:val="28"/>
                </w:rPr>
                <w:fldChar w:fldCharType="end"/>
              </w:r>
              <w:r>
                <w:rPr>
                  <w:rFonts w:hint="eastAsia" w:ascii="Times New Roman" w:hAnsi="Times New Roman" w:eastAsia="仿宋_GB2312"/>
                  <w:color w:val="auto"/>
                  <w:sz w:val="28"/>
                  <w:szCs w:val="28"/>
                </w:rPr>
                <w:t>2</w:t>
              </w:r>
            </w:p>
            <w:p w14:paraId="23065C6B">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"_Toc474148882" </w:instrText>
              </w:r>
              <w:r>
                <w:rPr>
                  <w:color w:val="auto"/>
                </w:rPr>
                <w:fldChar w:fldCharType="separate"/>
              </w:r>
              <w:r>
                <w:rPr>
                  <w:rFonts w:eastAsia="仿宋_GB2312"/>
                  <w:color w:val="auto"/>
                  <w:sz w:val="28"/>
                  <w:szCs w:val="28"/>
                </w:rPr>
                <w:t>第一节 加强党的全面领导</w:t>
              </w:r>
              <w:r>
                <w:rPr>
                  <w:rFonts w:eastAsia="仿宋_GB2312"/>
                  <w:color w:val="auto"/>
                  <w:sz w:val="28"/>
                  <w:szCs w:val="28"/>
                </w:rPr>
                <w:tab/>
              </w:r>
              <w:r>
                <w:rPr>
                  <w:rFonts w:hint="eastAsia" w:eastAsia="仿宋_GB2312"/>
                  <w:color w:val="auto"/>
                  <w:sz w:val="28"/>
                  <w:szCs w:val="28"/>
                </w:rPr>
                <w:t>8</w:t>
              </w:r>
              <w:r>
                <w:rPr>
                  <w:rFonts w:hint="eastAsia" w:eastAsia="仿宋_GB2312"/>
                  <w:color w:val="auto"/>
                  <w:sz w:val="28"/>
                  <w:szCs w:val="28"/>
                </w:rPr>
                <w:fldChar w:fldCharType="end"/>
              </w:r>
              <w:r>
                <w:rPr>
                  <w:rFonts w:hint="eastAsia" w:eastAsia="仿宋_GB2312"/>
                  <w:color w:val="auto"/>
                  <w:sz w:val="28"/>
                  <w:szCs w:val="28"/>
                </w:rPr>
                <w:t>3</w:t>
              </w:r>
            </w:p>
            <w:p w14:paraId="46142C8B">
              <w:pPr>
                <w:pStyle w:val="8"/>
                <w:tabs>
                  <w:tab w:val="right" w:leader="dot" w:pos="8844"/>
                </w:tabs>
                <w:spacing w:line="560" w:lineRule="exact"/>
                <w:rPr>
                  <w:rFonts w:eastAsia="仿宋_GB2312"/>
                  <w:color w:val="auto"/>
                  <w:sz w:val="28"/>
                  <w:szCs w:val="28"/>
                </w:rPr>
              </w:pPr>
              <w:r>
                <w:rPr>
                  <w:color w:val="auto"/>
                </w:rPr>
                <w:fldChar w:fldCharType="begin"/>
              </w:r>
              <w:r>
                <w:rPr>
                  <w:color w:val="auto"/>
                </w:rPr>
                <w:instrText xml:space="preserve"> HYPERLINK \l "_Toc1855929404" </w:instrText>
              </w:r>
              <w:r>
                <w:rPr>
                  <w:color w:val="auto"/>
                </w:rPr>
                <w:fldChar w:fldCharType="separate"/>
              </w:r>
              <w:r>
                <w:rPr>
                  <w:rFonts w:eastAsia="仿宋_GB2312"/>
                  <w:color w:val="auto"/>
                  <w:sz w:val="28"/>
                  <w:szCs w:val="28"/>
                </w:rPr>
                <w:t>第二节 强化规划统领与实施</w:t>
              </w:r>
              <w:r>
                <w:rPr>
                  <w:rFonts w:eastAsia="仿宋_GB2312"/>
                  <w:color w:val="auto"/>
                  <w:sz w:val="28"/>
                  <w:szCs w:val="28"/>
                </w:rPr>
                <w:tab/>
              </w:r>
              <w:r>
                <w:rPr>
                  <w:rFonts w:hint="eastAsia" w:eastAsia="仿宋_GB2312"/>
                  <w:color w:val="auto"/>
                  <w:sz w:val="28"/>
                  <w:szCs w:val="28"/>
                </w:rPr>
                <w:t>8</w:t>
              </w:r>
              <w:r>
                <w:rPr>
                  <w:rFonts w:hint="eastAsia" w:eastAsia="仿宋_GB2312"/>
                  <w:color w:val="auto"/>
                  <w:sz w:val="28"/>
                  <w:szCs w:val="28"/>
                </w:rPr>
                <w:fldChar w:fldCharType="end"/>
              </w:r>
              <w:r>
                <w:rPr>
                  <w:rFonts w:hint="eastAsia" w:eastAsia="仿宋_GB2312"/>
                  <w:color w:val="auto"/>
                  <w:sz w:val="28"/>
                  <w:szCs w:val="28"/>
                </w:rPr>
                <w:t>4</w:t>
              </w:r>
            </w:p>
            <w:p w14:paraId="0EFDA8C4">
              <w:pPr>
                <w:pStyle w:val="8"/>
                <w:tabs>
                  <w:tab w:val="right" w:leader="dot" w:pos="8844"/>
                </w:tabs>
                <w:spacing w:line="560" w:lineRule="exact"/>
                <w:rPr>
                  <w:rFonts w:hint="eastAsia" w:eastAsia="仿宋_GB2312"/>
                  <w:color w:val="auto"/>
                  <w:sz w:val="28"/>
                  <w:szCs w:val="28"/>
                  <w:lang w:val="en-US" w:eastAsia="zh-CN"/>
                </w:rPr>
              </w:pPr>
              <w:r>
                <w:rPr>
                  <w:color w:val="auto"/>
                </w:rPr>
                <w:fldChar w:fldCharType="begin"/>
              </w:r>
              <w:r>
                <w:rPr>
                  <w:color w:val="auto"/>
                </w:rPr>
                <w:instrText xml:space="preserve"> HYPERLINK \l "_Toc405520353" </w:instrText>
              </w:r>
              <w:r>
                <w:rPr>
                  <w:color w:val="auto"/>
                </w:rPr>
                <w:fldChar w:fldCharType="separate"/>
              </w:r>
              <w:r>
                <w:rPr>
                  <w:rFonts w:eastAsia="仿宋_GB2312"/>
                  <w:color w:val="auto"/>
                  <w:sz w:val="28"/>
                  <w:szCs w:val="28"/>
                </w:rPr>
                <w:t>第三节 广泛凝聚社会力量</w:t>
              </w:r>
              <w:r>
                <w:rPr>
                  <w:rFonts w:eastAsia="仿宋_GB2312"/>
                  <w:color w:val="auto"/>
                  <w:sz w:val="28"/>
                  <w:szCs w:val="28"/>
                </w:rPr>
                <w:tab/>
              </w:r>
              <w:r>
                <w:rPr>
                  <w:rFonts w:hint="eastAsia" w:eastAsia="仿宋_GB2312"/>
                  <w:color w:val="auto"/>
                  <w:sz w:val="28"/>
                  <w:szCs w:val="28"/>
                </w:rPr>
                <w:t>8</w:t>
              </w:r>
              <w:r>
                <w:rPr>
                  <w:rFonts w:hint="eastAsia" w:eastAsia="仿宋_GB2312"/>
                  <w:color w:val="auto"/>
                  <w:sz w:val="28"/>
                  <w:szCs w:val="28"/>
                </w:rPr>
                <w:fldChar w:fldCharType="end"/>
              </w:r>
              <w:r>
                <w:rPr>
                  <w:rFonts w:hint="eastAsia" w:eastAsia="仿宋_GB2312"/>
                  <w:color w:val="auto"/>
                  <w:sz w:val="28"/>
                  <w:szCs w:val="28"/>
                  <w:lang w:val="en-US" w:eastAsia="zh-CN"/>
                </w:rPr>
                <w:t>6</w:t>
              </w:r>
            </w:p>
            <w:p w14:paraId="344019A2">
              <w:pPr>
                <w:spacing w:line="560" w:lineRule="exact"/>
                <w:rPr>
                  <w:color w:val="auto"/>
                  <w:sz w:val="28"/>
                  <w:szCs w:val="28"/>
                </w:rPr>
                <w:sectPr>
                  <w:headerReference r:id="rId5" w:type="default"/>
                  <w:footerReference r:id="rId6" w:type="default"/>
                  <w:pgSz w:w="11906" w:h="16838"/>
                  <w:pgMar w:top="2098" w:right="1531" w:bottom="1984" w:left="1531" w:header="851" w:footer="624" w:gutter="0"/>
                  <w:cols w:space="425" w:num="1"/>
                  <w:docGrid w:type="lines" w:linePitch="312" w:charSpace="0"/>
                </w:sectPr>
              </w:pPr>
              <w:r>
                <w:rPr>
                  <w:rFonts w:eastAsia="仿宋_GB2312"/>
                  <w:color w:val="auto"/>
                  <w:sz w:val="28"/>
                  <w:szCs w:val="28"/>
                </w:rPr>
                <w:fldChar w:fldCharType="end"/>
              </w:r>
            </w:p>
          </w:sdtContent>
        </w:sdt>
      </w:sdtContent>
    </w:sdt>
    <w:p w14:paraId="1A2418B2">
      <w:pPr>
        <w:spacing w:line="576" w:lineRule="exact"/>
        <w:ind w:firstLine="640" w:firstLineChars="200"/>
        <w:rPr>
          <w:rFonts w:eastAsia="方正仿宋简体"/>
          <w:color w:val="auto"/>
          <w:sz w:val="32"/>
          <w:szCs w:val="32"/>
        </w:rPr>
        <w:sectPr>
          <w:footerReference r:id="rId7" w:type="default"/>
          <w:pgSz w:w="11906" w:h="16838"/>
          <w:pgMar w:top="2098" w:right="1531" w:bottom="1984" w:left="1531" w:header="851" w:footer="992" w:gutter="0"/>
          <w:pgNumType w:start="1"/>
          <w:cols w:space="425" w:num="1"/>
          <w:docGrid w:type="lines" w:linePitch="312" w:charSpace="0"/>
        </w:sectPr>
      </w:pPr>
    </w:p>
    <w:p w14:paraId="67834E28">
      <w:pPr>
        <w:spacing w:line="576" w:lineRule="exact"/>
        <w:ind w:firstLine="640" w:firstLineChars="200"/>
        <w:rPr>
          <w:rFonts w:eastAsia="方正黑体简体"/>
          <w:color w:val="auto"/>
          <w:sz w:val="32"/>
          <w:szCs w:val="32"/>
        </w:rPr>
      </w:pPr>
      <w:r>
        <w:rPr>
          <w:rFonts w:hint="eastAsia" w:eastAsia="方正仿宋简体"/>
          <w:color w:val="auto"/>
          <w:sz w:val="32"/>
          <w:szCs w:val="32"/>
        </w:rPr>
        <w:t>“</w:t>
      </w:r>
      <w:r>
        <w:rPr>
          <w:rFonts w:eastAsia="方正仿宋简体"/>
          <w:color w:val="auto"/>
          <w:sz w:val="32"/>
          <w:szCs w:val="32"/>
        </w:rPr>
        <w:t>十五五</w:t>
      </w:r>
      <w:r>
        <w:rPr>
          <w:rFonts w:hint="eastAsia" w:eastAsia="方正仿宋简体"/>
          <w:color w:val="auto"/>
          <w:sz w:val="32"/>
          <w:szCs w:val="32"/>
        </w:rPr>
        <w:t>”</w:t>
      </w:r>
      <w:r>
        <w:rPr>
          <w:rFonts w:eastAsia="方正仿宋简体"/>
          <w:color w:val="auto"/>
          <w:sz w:val="32"/>
          <w:szCs w:val="32"/>
        </w:rPr>
        <w:t>时期（2026—2030年）是我国基本实现社会主义现代化夯实基础、全面发力的关键时期，是全省实现高质量发展明显进位、全面振兴取得新突破的攻坚期，是吉林市建设形神兼备新时代省域副中心的突破期，更是永吉县高质量建设现代化市域副中心的重要机遇期。以习近平新时代中国特色社会主义思想为指导，科学制定和有效实施</w:t>
      </w:r>
      <w:r>
        <w:rPr>
          <w:rFonts w:hint="eastAsia" w:eastAsia="方正仿宋简体"/>
          <w:color w:val="auto"/>
          <w:sz w:val="32"/>
          <w:szCs w:val="32"/>
        </w:rPr>
        <w:t>“</w:t>
      </w:r>
      <w:r>
        <w:rPr>
          <w:rFonts w:eastAsia="方正仿宋简体"/>
          <w:color w:val="auto"/>
          <w:sz w:val="32"/>
          <w:szCs w:val="32"/>
        </w:rPr>
        <w:t>十五五</w:t>
      </w:r>
      <w:r>
        <w:rPr>
          <w:rFonts w:hint="eastAsia" w:eastAsia="方正仿宋简体"/>
          <w:color w:val="auto"/>
          <w:sz w:val="32"/>
          <w:szCs w:val="32"/>
        </w:rPr>
        <w:t>”</w:t>
      </w:r>
      <w:r>
        <w:rPr>
          <w:rFonts w:eastAsia="方正仿宋简体"/>
          <w:color w:val="auto"/>
          <w:sz w:val="32"/>
          <w:szCs w:val="32"/>
        </w:rPr>
        <w:t>规划，对于加快永吉县以更高站位融入国家和省市发展大局，建设社会主义现代化新永吉具有重大的现实意义和深远的历史意义。《永吉县国民经济和社会发展第十五个五年规划纲要》是根据《中共永吉县委关于制定国民经济和社会发展第十五个五年规划的建议》编制，主要阐明县委、县政府战略意图，明确未来五年经济社会发展宏伟目标、主要任务和重大举措，是市场主体的行为导向，是政府履行职责的重要依据，</w:t>
      </w:r>
      <w:r>
        <w:rPr>
          <w:rFonts w:hint="eastAsia" w:eastAsia="方正仿宋简体"/>
          <w:color w:val="auto"/>
          <w:sz w:val="32"/>
          <w:szCs w:val="32"/>
          <w:lang w:val="en-US" w:eastAsia="zh-CN"/>
        </w:rPr>
        <w:t>更</w:t>
      </w:r>
      <w:r>
        <w:rPr>
          <w:rFonts w:eastAsia="方正仿宋简体"/>
          <w:color w:val="auto"/>
          <w:sz w:val="32"/>
          <w:szCs w:val="32"/>
        </w:rPr>
        <w:t>是全县人民共同奋斗的行动纲领。</w:t>
      </w:r>
      <w:bookmarkStart w:id="0" w:name="_Toc101999969"/>
    </w:p>
    <w:p w14:paraId="2AFE8725">
      <w:pPr>
        <w:spacing w:line="576" w:lineRule="exact"/>
        <w:jc w:val="center"/>
        <w:rPr>
          <w:rFonts w:eastAsia="方正仿宋简体"/>
          <w:color w:val="auto"/>
          <w:sz w:val="32"/>
          <w:szCs w:val="32"/>
        </w:rPr>
      </w:pPr>
      <w:r>
        <w:rPr>
          <w:rFonts w:eastAsia="方正黑体简体"/>
          <w:color w:val="auto"/>
          <w:sz w:val="32"/>
          <w:szCs w:val="32"/>
        </w:rPr>
        <w:t>第一章  加快吉永同城化进程，开启市域副中心建设新征程</w:t>
      </w:r>
      <w:bookmarkEnd w:id="0"/>
    </w:p>
    <w:p w14:paraId="019354DC">
      <w:pPr>
        <w:spacing w:line="576" w:lineRule="exact"/>
        <w:ind w:firstLine="640" w:firstLineChars="200"/>
        <w:rPr>
          <w:rFonts w:eastAsia="方正仿宋简体"/>
          <w:color w:val="auto"/>
          <w:sz w:val="32"/>
          <w:szCs w:val="32"/>
        </w:rPr>
      </w:pPr>
      <w:r>
        <w:rPr>
          <w:rFonts w:hint="eastAsia" w:eastAsia="方正仿宋简体"/>
          <w:color w:val="auto"/>
          <w:sz w:val="32"/>
          <w:szCs w:val="32"/>
        </w:rPr>
        <w:t>“</w:t>
      </w:r>
      <w:r>
        <w:rPr>
          <w:rFonts w:eastAsia="方正仿宋简体"/>
          <w:color w:val="auto"/>
          <w:sz w:val="32"/>
          <w:szCs w:val="32"/>
        </w:rPr>
        <w:t>十五五</w:t>
      </w:r>
      <w:r>
        <w:rPr>
          <w:rFonts w:hint="eastAsia" w:eastAsia="方正仿宋简体"/>
          <w:color w:val="auto"/>
          <w:sz w:val="32"/>
          <w:szCs w:val="32"/>
        </w:rPr>
        <w:t>”</w:t>
      </w:r>
      <w:r>
        <w:rPr>
          <w:rFonts w:eastAsia="方正仿宋简体"/>
          <w:color w:val="auto"/>
          <w:sz w:val="32"/>
          <w:szCs w:val="32"/>
        </w:rPr>
        <w:t>期间，站在长吉一体化加速推进与区域发展格局深度重塑的新起点，把握东北振兴纵深突破、新质生产力蓬勃兴起的历史机遇，聚合区域联动新势能、驱动产业升级新动能、激发城乡融合新潜能，在新发展格局中赢得主动、进位赶超，加快推进吉永同城化进程，奋力建设现代化市域副中心。</w:t>
      </w:r>
    </w:p>
    <w:p w14:paraId="0C2B3B2A">
      <w:pPr>
        <w:spacing w:line="576" w:lineRule="exact"/>
        <w:jc w:val="center"/>
        <w:rPr>
          <w:rFonts w:eastAsia="方正楷体简体"/>
          <w:color w:val="auto"/>
          <w:sz w:val="32"/>
          <w:szCs w:val="32"/>
        </w:rPr>
      </w:pPr>
      <w:bookmarkStart w:id="1" w:name="_Toc204613324"/>
      <w:bookmarkStart w:id="2" w:name="_Toc621528677"/>
      <w:r>
        <w:rPr>
          <w:rFonts w:eastAsia="方正楷体简体"/>
          <w:color w:val="auto"/>
          <w:sz w:val="32"/>
          <w:szCs w:val="32"/>
        </w:rPr>
        <w:t>第一节  发展</w:t>
      </w:r>
      <w:bookmarkEnd w:id="1"/>
      <w:r>
        <w:rPr>
          <w:rFonts w:eastAsia="方正楷体简体"/>
          <w:color w:val="auto"/>
          <w:sz w:val="32"/>
          <w:szCs w:val="32"/>
        </w:rPr>
        <w:t>成就</w:t>
      </w:r>
      <w:bookmarkEnd w:id="2"/>
    </w:p>
    <w:p w14:paraId="7189796C">
      <w:pPr>
        <w:spacing w:line="576" w:lineRule="exact"/>
        <w:ind w:firstLine="640" w:firstLineChars="200"/>
        <w:rPr>
          <w:rFonts w:eastAsia="方正仿宋简体"/>
          <w:color w:val="auto"/>
          <w:sz w:val="32"/>
          <w:szCs w:val="32"/>
        </w:rPr>
      </w:pPr>
      <w:r>
        <w:rPr>
          <w:rFonts w:hint="eastAsia" w:eastAsia="方正仿宋简体"/>
          <w:color w:val="auto"/>
          <w:sz w:val="32"/>
          <w:szCs w:val="32"/>
        </w:rPr>
        <w:t>“</w:t>
      </w:r>
      <w:r>
        <w:rPr>
          <w:rFonts w:eastAsia="方正仿宋简体"/>
          <w:color w:val="auto"/>
          <w:sz w:val="32"/>
          <w:szCs w:val="32"/>
        </w:rPr>
        <w:t>十四五</w:t>
      </w:r>
      <w:r>
        <w:rPr>
          <w:rFonts w:hint="eastAsia" w:eastAsia="方正仿宋简体"/>
          <w:color w:val="auto"/>
          <w:sz w:val="32"/>
          <w:szCs w:val="32"/>
        </w:rPr>
        <w:t>”</w:t>
      </w:r>
      <w:r>
        <w:rPr>
          <w:rFonts w:eastAsia="方正仿宋简体"/>
          <w:color w:val="auto"/>
          <w:sz w:val="32"/>
          <w:szCs w:val="32"/>
        </w:rPr>
        <w:t>期间，面对国内外复杂严峻形势和艰巨繁重的改革发展稳定任务，全县上下始终牢记习近平总书记殷切嘱托，在县委、县政府的坚强领导下，砥砺奋进、攻坚克难，坚定信心、迎难而上，成功抵御世纪疫情严重冲击，有效应对一系列风险挑战，推动全县各项事业取得新的重大进展。五年来，全县经济社会发展呈现出总体平稳、稳中有进、进中提质的良好态势，综合实力迈上新台阶，为</w:t>
      </w:r>
      <w:r>
        <w:rPr>
          <w:rFonts w:hint="eastAsia" w:eastAsia="方正仿宋简体"/>
          <w:color w:val="auto"/>
          <w:sz w:val="32"/>
          <w:szCs w:val="32"/>
        </w:rPr>
        <w:t>“</w:t>
      </w:r>
      <w:r>
        <w:rPr>
          <w:rFonts w:eastAsia="方正仿宋简体"/>
          <w:color w:val="auto"/>
          <w:sz w:val="32"/>
          <w:szCs w:val="32"/>
        </w:rPr>
        <w:t>十五五</w:t>
      </w:r>
      <w:r>
        <w:rPr>
          <w:rFonts w:hint="eastAsia" w:eastAsia="方正仿宋简体"/>
          <w:color w:val="auto"/>
          <w:sz w:val="32"/>
          <w:szCs w:val="32"/>
        </w:rPr>
        <w:t>”</w:t>
      </w:r>
      <w:r>
        <w:rPr>
          <w:rFonts w:eastAsia="方正仿宋简体"/>
          <w:color w:val="auto"/>
          <w:sz w:val="32"/>
          <w:szCs w:val="32"/>
        </w:rPr>
        <w:t>时期实现更高质量发展奠定了坚实基础。</w:t>
      </w:r>
    </w:p>
    <w:p w14:paraId="42040E4C">
      <w:pPr>
        <w:spacing w:line="576" w:lineRule="exact"/>
        <w:ind w:firstLine="640" w:firstLineChars="200"/>
        <w:rPr>
          <w:rFonts w:eastAsia="方正仿宋简体"/>
          <w:color w:val="auto"/>
          <w:sz w:val="32"/>
          <w:szCs w:val="32"/>
        </w:rPr>
      </w:pPr>
      <w:r>
        <w:rPr>
          <w:rFonts w:eastAsia="方正仿宋简体"/>
          <w:color w:val="auto"/>
          <w:sz w:val="32"/>
          <w:szCs w:val="32"/>
          <w:highlight w:val="none"/>
        </w:rPr>
        <w:t>综合实力显著增强，产业转型升级步伐加快。</w:t>
      </w:r>
      <w:r>
        <w:rPr>
          <w:rFonts w:hint="eastAsia" w:eastAsia="方正仿宋简体"/>
          <w:color w:val="auto"/>
          <w:sz w:val="32"/>
          <w:szCs w:val="32"/>
          <w:highlight w:val="none"/>
        </w:rPr>
        <w:t>地区生产总值由70.7亿元跃升至</w:t>
      </w:r>
      <w:r>
        <w:rPr>
          <w:rFonts w:hint="eastAsia" w:eastAsia="方正仿宋简体"/>
          <w:color w:val="auto"/>
          <w:sz w:val="32"/>
          <w:szCs w:val="32"/>
          <w:highlight w:val="none"/>
          <w:lang w:val="en-US" w:eastAsia="zh-CN"/>
        </w:rPr>
        <w:t>84.6</w:t>
      </w:r>
      <w:r>
        <w:rPr>
          <w:rFonts w:hint="eastAsia" w:eastAsia="方正仿宋简体"/>
          <w:color w:val="auto"/>
          <w:sz w:val="32"/>
          <w:szCs w:val="32"/>
          <w:highlight w:val="none"/>
        </w:rPr>
        <w:t>亿元，</w:t>
      </w:r>
      <w:r>
        <w:rPr>
          <w:rFonts w:eastAsia="方正仿宋简体"/>
          <w:color w:val="auto"/>
          <w:sz w:val="32"/>
          <w:szCs w:val="32"/>
          <w:highlight w:val="none"/>
        </w:rPr>
        <w:t>经济运行总体平稳，实</w:t>
      </w:r>
      <w:r>
        <w:rPr>
          <w:rFonts w:eastAsia="方正仿宋简体"/>
          <w:color w:val="auto"/>
          <w:sz w:val="32"/>
          <w:szCs w:val="32"/>
        </w:rPr>
        <w:t>现稳中有进。工业转型升级、扩能增效步伐加快，金隅冀东含热值固废处置项目、TBM刀具生产线智能化升级项目投产达效，大黑山3.2万吨采选矿工程竣工</w:t>
      </w:r>
      <w:r>
        <w:rPr>
          <w:rFonts w:hint="eastAsia" w:eastAsia="方正仿宋简体"/>
          <w:color w:val="auto"/>
          <w:sz w:val="32"/>
          <w:szCs w:val="32"/>
        </w:rPr>
        <w:t>投产</w:t>
      </w:r>
      <w:r>
        <w:rPr>
          <w:rFonts w:eastAsia="方正仿宋简体"/>
          <w:color w:val="auto"/>
          <w:sz w:val="32"/>
          <w:szCs w:val="32"/>
        </w:rPr>
        <w:t>，瑞尔康智能全自动隐形眼镜检测线项目获评2023年度国家级智能制造优秀场景。现代服务业呈现多元发展格局，设计推介温泉康养民俗、农旅采摘等5条精品旅游路线，创新打造</w:t>
      </w:r>
      <w:r>
        <w:rPr>
          <w:rFonts w:hint="eastAsia" w:eastAsia="方正仿宋简体"/>
          <w:color w:val="auto"/>
          <w:sz w:val="32"/>
          <w:szCs w:val="32"/>
        </w:rPr>
        <w:t>“</w:t>
      </w:r>
      <w:r>
        <w:rPr>
          <w:rFonts w:eastAsia="方正仿宋简体"/>
          <w:color w:val="auto"/>
          <w:sz w:val="32"/>
          <w:szCs w:val="32"/>
        </w:rPr>
        <w:t>黑木耳文化节</w:t>
      </w:r>
      <w:r>
        <w:rPr>
          <w:rFonts w:hint="eastAsia" w:eastAsia="方正仿宋简体"/>
          <w:color w:val="auto"/>
          <w:sz w:val="32"/>
          <w:szCs w:val="32"/>
        </w:rPr>
        <w:t>”“</w:t>
      </w:r>
      <w:r>
        <w:rPr>
          <w:rFonts w:eastAsia="方正仿宋简体"/>
          <w:color w:val="auto"/>
          <w:sz w:val="32"/>
          <w:szCs w:val="32"/>
        </w:rPr>
        <w:t>稻花香里说丰年</w:t>
      </w:r>
      <w:r>
        <w:rPr>
          <w:rFonts w:hint="eastAsia" w:eastAsia="方正仿宋简体"/>
          <w:color w:val="auto"/>
          <w:sz w:val="32"/>
          <w:szCs w:val="32"/>
        </w:rPr>
        <w:t>”</w:t>
      </w:r>
      <w:r>
        <w:rPr>
          <w:rFonts w:eastAsia="方正仿宋简体"/>
          <w:color w:val="auto"/>
          <w:sz w:val="32"/>
          <w:szCs w:val="32"/>
        </w:rPr>
        <w:t>等文化</w:t>
      </w:r>
      <w:r>
        <w:rPr>
          <w:rFonts w:hint="eastAsia" w:eastAsia="方正仿宋简体"/>
          <w:color w:val="auto"/>
          <w:sz w:val="32"/>
          <w:szCs w:val="32"/>
          <w:lang w:val="en-US" w:eastAsia="zh-CN"/>
        </w:rPr>
        <w:t>品牌</w:t>
      </w:r>
      <w:r>
        <w:rPr>
          <w:rFonts w:eastAsia="方正仿宋简体"/>
          <w:color w:val="auto"/>
          <w:sz w:val="32"/>
          <w:szCs w:val="32"/>
        </w:rPr>
        <w:t>，</w:t>
      </w:r>
      <w:r>
        <w:rPr>
          <w:rFonts w:hint="eastAsia" w:eastAsia="方正仿宋简体"/>
          <w:color w:val="auto"/>
          <w:sz w:val="32"/>
          <w:szCs w:val="32"/>
          <w:lang w:val="en-US" w:eastAsia="zh-CN"/>
        </w:rPr>
        <w:t>持续</w:t>
      </w:r>
      <w:r>
        <w:rPr>
          <w:rFonts w:eastAsia="方正仿宋简体"/>
          <w:color w:val="auto"/>
          <w:sz w:val="32"/>
          <w:szCs w:val="32"/>
        </w:rPr>
        <w:t>扩大旅游品牌影响力。物流产业提质增效，形成覆盖全域、高效联动的物流服务体系。现代化大农业提效赋能，乡村全面振兴成果丰硕。成功获评首批</w:t>
      </w:r>
      <w:r>
        <w:rPr>
          <w:rFonts w:hint="eastAsia" w:eastAsia="方正仿宋简体"/>
          <w:color w:val="auto"/>
          <w:sz w:val="32"/>
          <w:szCs w:val="32"/>
        </w:rPr>
        <w:t>“</w:t>
      </w:r>
      <w:r>
        <w:rPr>
          <w:rFonts w:eastAsia="方正仿宋简体"/>
          <w:color w:val="auto"/>
          <w:sz w:val="32"/>
          <w:szCs w:val="32"/>
        </w:rPr>
        <w:t>国家农业现代化示范区</w:t>
      </w:r>
      <w:r>
        <w:rPr>
          <w:rFonts w:hint="eastAsia" w:eastAsia="方正仿宋简体"/>
          <w:color w:val="auto"/>
          <w:sz w:val="32"/>
          <w:szCs w:val="32"/>
        </w:rPr>
        <w:t>”</w:t>
      </w:r>
      <w:r>
        <w:rPr>
          <w:rFonts w:eastAsia="方正仿宋简体"/>
          <w:color w:val="auto"/>
          <w:sz w:val="32"/>
          <w:szCs w:val="32"/>
        </w:rPr>
        <w:t>，并获</w:t>
      </w:r>
      <w:r>
        <w:rPr>
          <w:rFonts w:hint="eastAsia" w:eastAsia="方正仿宋简体"/>
          <w:color w:val="auto"/>
          <w:sz w:val="32"/>
          <w:szCs w:val="32"/>
        </w:rPr>
        <w:t>“</w:t>
      </w:r>
      <w:r>
        <w:rPr>
          <w:rFonts w:eastAsia="方正仿宋简体"/>
          <w:color w:val="auto"/>
          <w:sz w:val="32"/>
          <w:szCs w:val="32"/>
        </w:rPr>
        <w:t>国家农业绿色发展先行区</w:t>
      </w:r>
      <w:r>
        <w:rPr>
          <w:rFonts w:hint="eastAsia" w:eastAsia="方正仿宋简体"/>
          <w:color w:val="auto"/>
          <w:sz w:val="32"/>
          <w:szCs w:val="32"/>
        </w:rPr>
        <w:t>”“</w:t>
      </w:r>
      <w:r>
        <w:rPr>
          <w:rFonts w:eastAsia="方正仿宋简体"/>
          <w:color w:val="auto"/>
          <w:sz w:val="32"/>
          <w:szCs w:val="32"/>
        </w:rPr>
        <w:t>全国农村创业创新典型县</w:t>
      </w:r>
      <w:r>
        <w:rPr>
          <w:rFonts w:hint="eastAsia" w:eastAsia="方正仿宋简体"/>
          <w:color w:val="auto"/>
          <w:sz w:val="32"/>
          <w:szCs w:val="32"/>
        </w:rPr>
        <w:t>”</w:t>
      </w:r>
      <w:r>
        <w:rPr>
          <w:rFonts w:eastAsia="方正仿宋简体"/>
          <w:color w:val="auto"/>
          <w:sz w:val="32"/>
          <w:szCs w:val="32"/>
        </w:rPr>
        <w:t>等10余项国省级荣誉。</w:t>
      </w:r>
    </w:p>
    <w:p w14:paraId="30A5449D">
      <w:pPr>
        <w:spacing w:line="576" w:lineRule="exact"/>
        <w:ind w:firstLine="640" w:firstLineChars="200"/>
        <w:rPr>
          <w:rFonts w:eastAsia="方正仿宋简体"/>
          <w:color w:val="auto"/>
          <w:sz w:val="32"/>
          <w:szCs w:val="32"/>
        </w:rPr>
      </w:pPr>
      <w:r>
        <w:rPr>
          <w:rFonts w:eastAsia="方正仿宋简体"/>
          <w:color w:val="auto"/>
          <w:sz w:val="32"/>
          <w:szCs w:val="32"/>
        </w:rPr>
        <w:t>创新驱动战略深入实施，发展新动能加速集聚。创新投入量质齐升，规上工业企业研发投入突破1.7亿元，累计增长89%。研发活动企业数量增长75%，知识产权总量翻番，技术交易规模持续扩大。产业创新深度融通，精准链接吉林大学、长春光机所等18家高校院所，有效推动金洪、瑞尔康等龙头企业技术攻坚，产学研合作覆盖全县先进制造、医药健康等关键领域。企业创新主体地位凸显，累计培育国家高新技术企业21户，国家级、省级专精特新</w:t>
      </w:r>
      <w:r>
        <w:rPr>
          <w:rFonts w:hint="eastAsia" w:eastAsia="方正仿宋简体"/>
          <w:color w:val="auto"/>
          <w:sz w:val="32"/>
          <w:szCs w:val="32"/>
        </w:rPr>
        <w:t>“</w:t>
      </w:r>
      <w:r>
        <w:rPr>
          <w:rFonts w:eastAsia="方正仿宋简体"/>
          <w:color w:val="auto"/>
          <w:sz w:val="32"/>
          <w:szCs w:val="32"/>
        </w:rPr>
        <w:t>小巨人</w:t>
      </w:r>
      <w:r>
        <w:rPr>
          <w:rFonts w:hint="eastAsia" w:eastAsia="方正仿宋简体"/>
          <w:color w:val="auto"/>
          <w:sz w:val="32"/>
          <w:szCs w:val="32"/>
        </w:rPr>
        <w:t>”</w:t>
      </w:r>
      <w:r>
        <w:rPr>
          <w:rFonts w:eastAsia="方正仿宋简体"/>
          <w:color w:val="auto"/>
          <w:sz w:val="32"/>
          <w:szCs w:val="32"/>
        </w:rPr>
        <w:t>企业分别为2户、23户；3户企业跻身省科技型中小企业500强。平台载体能级跃迁，新建省级科技创新中心、市级新型研发机构等平台载体7个，市级新型研发机构数量占全市31%。人才高地加速构筑，科创专员选派数量居全市首位。创新成果丰硕，</w:t>
      </w:r>
      <w:r>
        <w:rPr>
          <w:rFonts w:hint="eastAsia" w:eastAsia="方正仿宋简体"/>
          <w:color w:val="auto"/>
          <w:sz w:val="32"/>
          <w:szCs w:val="32"/>
          <w:lang w:val="en-US" w:eastAsia="zh-CN"/>
        </w:rPr>
        <w:t>荣获</w:t>
      </w:r>
      <w:r>
        <w:rPr>
          <w:rFonts w:eastAsia="方正仿宋简体"/>
          <w:color w:val="auto"/>
          <w:sz w:val="32"/>
          <w:szCs w:val="32"/>
        </w:rPr>
        <w:t>省级科学技术进步奖4项、成果转化贡献奖2项。</w:t>
      </w:r>
    </w:p>
    <w:p w14:paraId="4F460E0E">
      <w:pPr>
        <w:spacing w:line="576" w:lineRule="exact"/>
        <w:ind w:firstLine="640" w:firstLineChars="200"/>
        <w:rPr>
          <w:rFonts w:eastAsia="方正仿宋简体"/>
          <w:color w:val="auto"/>
          <w:sz w:val="32"/>
          <w:szCs w:val="32"/>
        </w:rPr>
      </w:pPr>
      <w:r>
        <w:rPr>
          <w:rFonts w:eastAsia="方正仿宋简体"/>
          <w:color w:val="auto"/>
          <w:sz w:val="32"/>
          <w:szCs w:val="32"/>
        </w:rPr>
        <w:t>城乡发展更加协调，融合格局持续优化。城市承载功能显著增强，基础设施网络日臻完善。永吉大桥竣工通车，兴凯路、滨北路等道路实现全线贯通，国道珲乌公路二期工程吉林至饮马河段、长春经济圈环线高速公路九台至双阳段建成通车，新建和改造农村公路202公里，农村路网逐步完善。城市更新有序实施，老旧小区改造和智慧社区建设任务序时推进。乡村振兴战略深入实施，</w:t>
      </w:r>
      <w:r>
        <w:rPr>
          <w:rFonts w:hint="eastAsia" w:eastAsia="方正仿宋简体"/>
          <w:color w:val="auto"/>
          <w:sz w:val="32"/>
          <w:szCs w:val="32"/>
        </w:rPr>
        <w:t>“</w:t>
      </w:r>
      <w:r>
        <w:rPr>
          <w:rFonts w:eastAsia="方正仿宋简体"/>
          <w:color w:val="auto"/>
          <w:sz w:val="32"/>
          <w:szCs w:val="32"/>
        </w:rPr>
        <w:t>3544工程</w:t>
      </w:r>
      <w:r>
        <w:rPr>
          <w:rFonts w:hint="eastAsia" w:eastAsia="方正仿宋简体"/>
          <w:color w:val="auto"/>
          <w:sz w:val="32"/>
          <w:szCs w:val="32"/>
        </w:rPr>
        <w:t>”“</w:t>
      </w:r>
      <w:r>
        <w:rPr>
          <w:rFonts w:eastAsia="方正仿宋简体"/>
          <w:color w:val="auto"/>
          <w:sz w:val="32"/>
          <w:szCs w:val="32"/>
        </w:rPr>
        <w:t>双百攻坚</w:t>
      </w:r>
      <w:r>
        <w:rPr>
          <w:rFonts w:hint="eastAsia" w:eastAsia="方正仿宋简体"/>
          <w:color w:val="auto"/>
          <w:sz w:val="32"/>
          <w:szCs w:val="32"/>
        </w:rPr>
        <w:t>”</w:t>
      </w:r>
      <w:r>
        <w:rPr>
          <w:rFonts w:hint="eastAsia" w:eastAsia="方正仿宋简体"/>
          <w:color w:val="auto"/>
          <w:sz w:val="32"/>
          <w:szCs w:val="32"/>
          <w:lang w:val="en-US" w:eastAsia="zh-CN"/>
        </w:rPr>
        <w:t>扎实</w:t>
      </w:r>
      <w:r>
        <w:rPr>
          <w:rFonts w:eastAsia="方正仿宋简体"/>
          <w:color w:val="auto"/>
          <w:sz w:val="32"/>
          <w:szCs w:val="32"/>
        </w:rPr>
        <w:t>推进，创建</w:t>
      </w:r>
      <w:r>
        <w:rPr>
          <w:rFonts w:hint="eastAsia" w:eastAsia="方正仿宋简体"/>
          <w:color w:val="auto"/>
          <w:sz w:val="32"/>
          <w:szCs w:val="32"/>
        </w:rPr>
        <w:t>“</w:t>
      </w:r>
      <w:r>
        <w:rPr>
          <w:rFonts w:eastAsia="方正仿宋简体"/>
          <w:color w:val="auto"/>
          <w:sz w:val="32"/>
          <w:szCs w:val="32"/>
        </w:rPr>
        <w:t>千村美丽村</w:t>
      </w:r>
      <w:r>
        <w:rPr>
          <w:rFonts w:hint="eastAsia" w:eastAsia="方正仿宋简体"/>
          <w:color w:val="auto"/>
          <w:sz w:val="32"/>
          <w:szCs w:val="32"/>
        </w:rPr>
        <w:t>”</w:t>
      </w:r>
      <w:r>
        <w:rPr>
          <w:rFonts w:eastAsia="方正仿宋简体"/>
          <w:color w:val="auto"/>
          <w:sz w:val="32"/>
          <w:szCs w:val="32"/>
        </w:rPr>
        <w:t>53个、</w:t>
      </w:r>
      <w:r>
        <w:rPr>
          <w:rFonts w:hint="eastAsia" w:eastAsia="方正仿宋简体"/>
          <w:color w:val="auto"/>
          <w:sz w:val="32"/>
          <w:szCs w:val="32"/>
        </w:rPr>
        <w:t>“</w:t>
      </w:r>
      <w:r>
        <w:rPr>
          <w:rFonts w:eastAsia="方正仿宋简体"/>
          <w:color w:val="auto"/>
          <w:sz w:val="32"/>
          <w:szCs w:val="32"/>
        </w:rPr>
        <w:t>百村提升村</w:t>
      </w:r>
      <w:r>
        <w:rPr>
          <w:rFonts w:hint="eastAsia" w:eastAsia="方正仿宋简体"/>
          <w:color w:val="auto"/>
          <w:sz w:val="32"/>
          <w:szCs w:val="32"/>
        </w:rPr>
        <w:t>”</w:t>
      </w:r>
      <w:r>
        <w:rPr>
          <w:rFonts w:eastAsia="方正仿宋简体"/>
          <w:color w:val="auto"/>
          <w:sz w:val="32"/>
          <w:szCs w:val="32"/>
        </w:rPr>
        <w:t>18个、5条美丽乡村风景线，评选美丽庭院1300个、干净人家2.52万户。城乡通信、供热、供水、环卫等服务能力显著增强。脱贫攻坚成果有效巩固拓展，落实防返贫动态监测</w:t>
      </w:r>
      <w:r>
        <w:rPr>
          <w:rFonts w:hint="eastAsia" w:eastAsia="方正仿宋简体"/>
          <w:color w:val="auto"/>
          <w:sz w:val="32"/>
          <w:szCs w:val="32"/>
          <w:lang w:val="en-US" w:eastAsia="zh-CN"/>
        </w:rPr>
        <w:t>机制</w:t>
      </w:r>
      <w:r>
        <w:rPr>
          <w:rFonts w:eastAsia="方正仿宋简体"/>
          <w:color w:val="auto"/>
          <w:sz w:val="32"/>
          <w:szCs w:val="32"/>
        </w:rPr>
        <w:t>，深入推进</w:t>
      </w:r>
      <w:r>
        <w:rPr>
          <w:rFonts w:hint="eastAsia" w:eastAsia="方正仿宋简体"/>
          <w:color w:val="auto"/>
          <w:sz w:val="32"/>
          <w:szCs w:val="32"/>
        </w:rPr>
        <w:t>“</w:t>
      </w:r>
      <w:r>
        <w:rPr>
          <w:rFonts w:eastAsia="方正仿宋简体"/>
          <w:color w:val="auto"/>
          <w:sz w:val="32"/>
          <w:szCs w:val="32"/>
        </w:rPr>
        <w:t>庭院经济</w:t>
      </w:r>
      <w:r>
        <w:rPr>
          <w:rFonts w:hint="eastAsia" w:eastAsia="方正仿宋简体"/>
          <w:color w:val="auto"/>
          <w:sz w:val="32"/>
          <w:szCs w:val="32"/>
        </w:rPr>
        <w:t>”</w:t>
      </w:r>
      <w:r>
        <w:rPr>
          <w:rFonts w:eastAsia="方正仿宋简体"/>
          <w:color w:val="auto"/>
          <w:sz w:val="32"/>
          <w:szCs w:val="32"/>
        </w:rPr>
        <w:t>建设，增加脱贫人口收入。</w:t>
      </w:r>
    </w:p>
    <w:p w14:paraId="4D9612D1">
      <w:pPr>
        <w:spacing w:line="576" w:lineRule="exact"/>
        <w:ind w:firstLine="640" w:firstLineChars="200"/>
        <w:rPr>
          <w:rFonts w:eastAsia="方正仿宋简体"/>
          <w:color w:val="auto"/>
          <w:sz w:val="32"/>
          <w:szCs w:val="32"/>
        </w:rPr>
      </w:pPr>
      <w:r>
        <w:rPr>
          <w:rFonts w:eastAsia="方正仿宋简体"/>
          <w:color w:val="auto"/>
          <w:sz w:val="32"/>
          <w:szCs w:val="32"/>
        </w:rPr>
        <w:t>生态环境质量持续改善，绿色本底不断厚植。持续推进温德河、岔路河、鳌龙河流域综合治理，整治山洪沟6条、侵蚀沟591条，治理中小河流53.979公里，</w:t>
      </w:r>
      <w:r>
        <w:rPr>
          <w:rFonts w:hint="eastAsia" w:eastAsia="方正仿宋简体"/>
          <w:color w:val="auto"/>
          <w:sz w:val="32"/>
          <w:szCs w:val="32"/>
          <w:lang w:val="en-US" w:eastAsia="zh-CN"/>
        </w:rPr>
        <w:t>实现</w:t>
      </w:r>
      <w:r>
        <w:rPr>
          <w:rFonts w:eastAsia="方正仿宋简体"/>
          <w:color w:val="auto"/>
          <w:sz w:val="32"/>
          <w:szCs w:val="32"/>
        </w:rPr>
        <w:t>河湖管理常态化、规范化，国控断面优良水体比例100%。修复历史遗留矿山8处。森林资源质量稳步提升，持续开展中幼龄林抚育，新增迹地更新、补植补造10005亩。污染防治攻坚战成果巩固，正泰实业、金隅冀东</w:t>
      </w:r>
      <w:r>
        <w:rPr>
          <w:rFonts w:hint="eastAsia" w:eastAsia="方正仿宋简体"/>
          <w:color w:val="auto"/>
          <w:sz w:val="32"/>
          <w:szCs w:val="32"/>
        </w:rPr>
        <w:t>完成超低排放改造</w:t>
      </w:r>
      <w:r>
        <w:rPr>
          <w:rFonts w:eastAsia="方正仿宋简体"/>
          <w:color w:val="auto"/>
          <w:sz w:val="32"/>
          <w:szCs w:val="32"/>
        </w:rPr>
        <w:t>，秸秆禁烧</w:t>
      </w:r>
      <w:r>
        <w:rPr>
          <w:rFonts w:hint="eastAsia" w:eastAsia="方正仿宋简体"/>
          <w:color w:val="auto"/>
          <w:sz w:val="32"/>
          <w:szCs w:val="32"/>
        </w:rPr>
        <w:t>“</w:t>
      </w:r>
      <w:r>
        <w:rPr>
          <w:rFonts w:eastAsia="方正仿宋简体"/>
          <w:color w:val="auto"/>
          <w:sz w:val="32"/>
          <w:szCs w:val="32"/>
        </w:rPr>
        <w:t>两图册、三清单</w:t>
      </w:r>
      <w:r>
        <w:rPr>
          <w:rFonts w:hint="eastAsia" w:eastAsia="方正仿宋简体"/>
          <w:color w:val="auto"/>
          <w:sz w:val="32"/>
          <w:szCs w:val="32"/>
        </w:rPr>
        <w:t>”</w:t>
      </w:r>
      <w:r>
        <w:rPr>
          <w:rFonts w:eastAsia="方正仿宋简体"/>
          <w:color w:val="auto"/>
          <w:sz w:val="32"/>
          <w:szCs w:val="32"/>
        </w:rPr>
        <w:t>全面落实，空气优良天数比率达92.7%。城乡人居环境持续改善，</w:t>
      </w:r>
      <w:r>
        <w:rPr>
          <w:rFonts w:hint="eastAsia" w:eastAsia="方正仿宋简体"/>
          <w:color w:val="auto"/>
          <w:sz w:val="32"/>
          <w:szCs w:val="32"/>
        </w:rPr>
        <w:t>新增城市绿地25.67公顷，建成绿道总长7.1公里，</w:t>
      </w:r>
      <w:r>
        <w:rPr>
          <w:rFonts w:eastAsia="方正仿宋简体"/>
          <w:color w:val="auto"/>
          <w:sz w:val="32"/>
          <w:szCs w:val="32"/>
        </w:rPr>
        <w:t>新增绿化村屯8个。开展畜禽养殖污染防治执法专项行动，启动运营畜禽粪污</w:t>
      </w:r>
      <w:r>
        <w:rPr>
          <w:rFonts w:hint="eastAsia" w:eastAsia="方正仿宋简体"/>
          <w:color w:val="auto"/>
          <w:sz w:val="32"/>
          <w:szCs w:val="32"/>
        </w:rPr>
        <w:t>“</w:t>
      </w:r>
      <w:r>
        <w:rPr>
          <w:rFonts w:eastAsia="方正仿宋简体"/>
          <w:color w:val="auto"/>
          <w:sz w:val="32"/>
          <w:szCs w:val="32"/>
        </w:rPr>
        <w:t>2+27</w:t>
      </w:r>
      <w:r>
        <w:rPr>
          <w:rFonts w:hint="eastAsia" w:eastAsia="方正仿宋简体"/>
          <w:color w:val="auto"/>
          <w:sz w:val="32"/>
          <w:szCs w:val="32"/>
        </w:rPr>
        <w:t>”</w:t>
      </w:r>
      <w:r>
        <w:rPr>
          <w:rFonts w:eastAsia="方正仿宋简体"/>
          <w:color w:val="auto"/>
          <w:sz w:val="32"/>
          <w:szCs w:val="32"/>
        </w:rPr>
        <w:t>收储模式，规模化养殖场检查覆盖率100%。</w:t>
      </w:r>
      <w:r>
        <w:rPr>
          <w:rFonts w:hint="eastAsia" w:eastAsia="方正仿宋简体"/>
          <w:color w:val="auto"/>
          <w:sz w:val="32"/>
          <w:szCs w:val="32"/>
        </w:rPr>
        <w:t>“</w:t>
      </w:r>
      <w:r>
        <w:rPr>
          <w:rFonts w:eastAsia="方正仿宋简体"/>
          <w:color w:val="auto"/>
          <w:sz w:val="32"/>
          <w:szCs w:val="32"/>
        </w:rPr>
        <w:t>绿色企业</w:t>
      </w:r>
      <w:r>
        <w:rPr>
          <w:rFonts w:hint="eastAsia" w:eastAsia="方正仿宋简体"/>
          <w:color w:val="auto"/>
          <w:sz w:val="32"/>
          <w:szCs w:val="32"/>
        </w:rPr>
        <w:t>”</w:t>
      </w:r>
      <w:r>
        <w:rPr>
          <w:rFonts w:eastAsia="方正仿宋简体"/>
          <w:color w:val="auto"/>
          <w:sz w:val="32"/>
          <w:szCs w:val="32"/>
        </w:rPr>
        <w:t>创建工作成效显著。培育国家级绿色示范项目3个；省级绿色制造示范项目15个，数量占全市36%。</w:t>
      </w:r>
    </w:p>
    <w:p w14:paraId="115CACB4">
      <w:pPr>
        <w:spacing w:line="576" w:lineRule="exact"/>
        <w:ind w:firstLine="640" w:firstLineChars="200"/>
        <w:rPr>
          <w:rFonts w:eastAsia="方正仿宋简体"/>
          <w:color w:val="auto"/>
          <w:sz w:val="32"/>
          <w:szCs w:val="32"/>
        </w:rPr>
      </w:pPr>
      <w:r>
        <w:rPr>
          <w:rFonts w:eastAsia="方正仿宋简体"/>
          <w:color w:val="auto"/>
          <w:sz w:val="32"/>
          <w:szCs w:val="32"/>
        </w:rPr>
        <w:t>改革开放持续深化，发展活力显著增强。营商环境系统性重塑，政务服务高频事项全程网办率达100%，政务服务事项进厅率98.5%，提前办结率100%。重点领域改革取得突破，经济开发区创新推行</w:t>
      </w:r>
      <w:r>
        <w:rPr>
          <w:rFonts w:hint="eastAsia" w:eastAsia="方正仿宋简体"/>
          <w:color w:val="auto"/>
          <w:sz w:val="32"/>
          <w:szCs w:val="32"/>
        </w:rPr>
        <w:t>“</w:t>
      </w:r>
      <w:r>
        <w:rPr>
          <w:rFonts w:eastAsia="方正仿宋简体"/>
          <w:color w:val="auto"/>
          <w:sz w:val="32"/>
          <w:szCs w:val="32"/>
        </w:rPr>
        <w:t>管委会+公司</w:t>
      </w:r>
      <w:r>
        <w:rPr>
          <w:rFonts w:hint="eastAsia" w:eastAsia="方正仿宋简体"/>
          <w:color w:val="auto"/>
          <w:sz w:val="32"/>
          <w:szCs w:val="32"/>
        </w:rPr>
        <w:t>”</w:t>
      </w:r>
      <w:r>
        <w:rPr>
          <w:rFonts w:eastAsia="方正仿宋简体"/>
          <w:color w:val="auto"/>
          <w:sz w:val="32"/>
          <w:szCs w:val="32"/>
        </w:rPr>
        <w:t>市场化运营模式，</w:t>
      </w:r>
      <w:r>
        <w:rPr>
          <w:rFonts w:hint="eastAsia" w:eastAsia="方正仿宋简体"/>
          <w:color w:val="auto"/>
          <w:sz w:val="32"/>
          <w:szCs w:val="32"/>
        </w:rPr>
        <w:t>全面剥离社会职能，聚焦经济发展主责主业</w:t>
      </w:r>
      <w:r>
        <w:rPr>
          <w:rFonts w:eastAsia="方正仿宋简体"/>
          <w:color w:val="auto"/>
          <w:sz w:val="32"/>
          <w:szCs w:val="32"/>
        </w:rPr>
        <w:t>；推行</w:t>
      </w:r>
      <w:r>
        <w:rPr>
          <w:rFonts w:hint="eastAsia" w:eastAsia="方正仿宋简体"/>
          <w:color w:val="auto"/>
          <w:sz w:val="32"/>
          <w:szCs w:val="32"/>
        </w:rPr>
        <w:t>“</w:t>
      </w:r>
      <w:r>
        <w:rPr>
          <w:rFonts w:eastAsia="方正仿宋简体"/>
          <w:color w:val="auto"/>
          <w:sz w:val="32"/>
          <w:szCs w:val="32"/>
        </w:rPr>
        <w:t>干部+专家</w:t>
      </w:r>
      <w:r>
        <w:rPr>
          <w:rFonts w:hint="eastAsia" w:eastAsia="方正仿宋简体"/>
          <w:color w:val="auto"/>
          <w:sz w:val="32"/>
          <w:szCs w:val="32"/>
        </w:rPr>
        <w:t>”</w:t>
      </w:r>
      <w:r>
        <w:rPr>
          <w:rFonts w:eastAsia="方正仿宋简体"/>
          <w:color w:val="auto"/>
          <w:sz w:val="32"/>
          <w:szCs w:val="32"/>
        </w:rPr>
        <w:t>安全监管范式，连续五年不发生较大以上安全生产事故。成功创建全省林业碳汇试点县，县国有林总场获评</w:t>
      </w:r>
      <w:r>
        <w:rPr>
          <w:rFonts w:hint="eastAsia" w:eastAsia="方正仿宋简体"/>
          <w:color w:val="auto"/>
          <w:sz w:val="32"/>
          <w:szCs w:val="32"/>
        </w:rPr>
        <w:t>“</w:t>
      </w:r>
      <w:r>
        <w:rPr>
          <w:rFonts w:eastAsia="方正仿宋简体"/>
          <w:color w:val="auto"/>
          <w:sz w:val="32"/>
          <w:szCs w:val="32"/>
        </w:rPr>
        <w:t>全国十佳林场</w:t>
      </w:r>
      <w:r>
        <w:rPr>
          <w:rFonts w:hint="eastAsia" w:eastAsia="方正仿宋简体"/>
          <w:color w:val="auto"/>
          <w:sz w:val="32"/>
          <w:szCs w:val="32"/>
        </w:rPr>
        <w:t>”</w:t>
      </w:r>
      <w:r>
        <w:rPr>
          <w:rFonts w:eastAsia="方正仿宋简体"/>
          <w:color w:val="auto"/>
          <w:sz w:val="32"/>
          <w:szCs w:val="32"/>
        </w:rPr>
        <w:t>。扎实推进农村集体经营性建设用地入市试点，土地资源配置效率显著优化。开放合作水平提升，组建专业招商队伍，探索招商新路径，赴广东、北京等地开展专题招商活动，区域合作与交流进一步深化。</w:t>
      </w:r>
    </w:p>
    <w:p w14:paraId="2B5A2186">
      <w:pPr>
        <w:spacing w:line="576" w:lineRule="exact"/>
        <w:ind w:firstLine="640" w:firstLineChars="200"/>
        <w:rPr>
          <w:rFonts w:eastAsia="方正仿宋简体"/>
          <w:color w:val="auto"/>
          <w:sz w:val="32"/>
          <w:szCs w:val="32"/>
        </w:rPr>
      </w:pPr>
      <w:r>
        <w:rPr>
          <w:rFonts w:eastAsia="方正仿宋简体"/>
          <w:color w:val="auto"/>
          <w:sz w:val="32"/>
          <w:szCs w:val="32"/>
        </w:rPr>
        <w:t>民生福祉达到新水平，社会大局和谐稳定。城乡居民收入增速高于经济增速。就业形势总体稳定，累计城镇新增就业1.1万人，农村劳动力转移就业36.8万人次。教育事业高质量发展，获评</w:t>
      </w:r>
      <w:r>
        <w:rPr>
          <w:rFonts w:hint="eastAsia" w:eastAsia="方正仿宋简体"/>
          <w:color w:val="auto"/>
          <w:sz w:val="32"/>
          <w:szCs w:val="32"/>
        </w:rPr>
        <w:t>“</w:t>
      </w:r>
      <w:r>
        <w:rPr>
          <w:rFonts w:eastAsia="方正仿宋简体"/>
          <w:color w:val="auto"/>
          <w:sz w:val="32"/>
          <w:szCs w:val="32"/>
        </w:rPr>
        <w:t>全国义务教育优质均衡发展县</w:t>
      </w:r>
      <w:r>
        <w:rPr>
          <w:rFonts w:hint="eastAsia" w:eastAsia="方正仿宋简体"/>
          <w:color w:val="auto"/>
          <w:sz w:val="32"/>
          <w:szCs w:val="32"/>
        </w:rPr>
        <w:t>”</w:t>
      </w:r>
      <w:r>
        <w:rPr>
          <w:rFonts w:eastAsia="方正仿宋简体"/>
          <w:color w:val="auto"/>
          <w:sz w:val="32"/>
          <w:szCs w:val="32"/>
        </w:rPr>
        <w:t>，实验高中连续8年获得吉林市优秀教学成果奖和教学质量提高奖。卫生健康服务体系提质增效，</w:t>
      </w:r>
      <w:r>
        <w:rPr>
          <w:rFonts w:hint="eastAsia" w:eastAsia="方正仿宋简体"/>
          <w:color w:val="auto"/>
          <w:sz w:val="32"/>
          <w:szCs w:val="32"/>
        </w:rPr>
        <w:t>“</w:t>
      </w:r>
      <w:r>
        <w:rPr>
          <w:rFonts w:eastAsia="方正仿宋简体"/>
          <w:color w:val="auto"/>
          <w:sz w:val="32"/>
          <w:szCs w:val="32"/>
        </w:rPr>
        <w:t>县医院+中医院+乡镇卫生院</w:t>
      </w:r>
      <w:r>
        <w:rPr>
          <w:rFonts w:hint="eastAsia" w:eastAsia="方正仿宋简体"/>
          <w:color w:val="auto"/>
          <w:sz w:val="32"/>
          <w:szCs w:val="32"/>
        </w:rPr>
        <w:t>”体系</w:t>
      </w:r>
      <w:r>
        <w:rPr>
          <w:rFonts w:eastAsia="方正仿宋简体"/>
          <w:color w:val="auto"/>
          <w:sz w:val="32"/>
          <w:szCs w:val="32"/>
        </w:rPr>
        <w:t>有机联动，岔路河镇中心卫生院荣获</w:t>
      </w:r>
      <w:r>
        <w:rPr>
          <w:rFonts w:hint="eastAsia" w:eastAsia="方正仿宋简体"/>
          <w:color w:val="auto"/>
          <w:sz w:val="32"/>
          <w:szCs w:val="32"/>
        </w:rPr>
        <w:t>“</w:t>
      </w:r>
      <w:r>
        <w:rPr>
          <w:rFonts w:eastAsia="方正仿宋简体"/>
          <w:color w:val="auto"/>
          <w:sz w:val="32"/>
          <w:szCs w:val="32"/>
        </w:rPr>
        <w:t>全国卫生健康系统先进集体</w:t>
      </w:r>
      <w:r>
        <w:rPr>
          <w:rFonts w:hint="eastAsia" w:eastAsia="方正仿宋简体"/>
          <w:color w:val="auto"/>
          <w:sz w:val="32"/>
          <w:szCs w:val="32"/>
        </w:rPr>
        <w:t>”</w:t>
      </w:r>
      <w:r>
        <w:rPr>
          <w:rFonts w:eastAsia="方正仿宋简体"/>
          <w:color w:val="auto"/>
          <w:sz w:val="32"/>
          <w:szCs w:val="32"/>
        </w:rPr>
        <w:t>称号。残疾人事业创新发展，永吉县被确定为2024—2028年全国孤独症儿童关爱促进行动先行先试地区。DRG医保支付方式改革全面推行，县域医共体建设不断深入。全县基本养老保险参保率达95%，城乡低保标准均达到省定最低指导标准。公共文化服务繁荣发展，县乡村三级公共文化服务网络基本形成，开展</w:t>
      </w:r>
      <w:r>
        <w:rPr>
          <w:rFonts w:hint="eastAsia" w:eastAsia="方正仿宋简体"/>
          <w:color w:val="auto"/>
          <w:sz w:val="32"/>
          <w:szCs w:val="32"/>
        </w:rPr>
        <w:t>“</w:t>
      </w:r>
      <w:r>
        <w:rPr>
          <w:rFonts w:eastAsia="方正仿宋简体"/>
          <w:color w:val="auto"/>
          <w:sz w:val="32"/>
          <w:szCs w:val="32"/>
        </w:rPr>
        <w:t>红色文艺轻骑兵</w:t>
      </w:r>
      <w:r>
        <w:rPr>
          <w:rFonts w:hint="eastAsia" w:eastAsia="方正仿宋简体"/>
          <w:color w:val="auto"/>
          <w:sz w:val="32"/>
          <w:szCs w:val="32"/>
        </w:rPr>
        <w:t>”“</w:t>
      </w:r>
      <w:r>
        <w:rPr>
          <w:rFonts w:eastAsia="方正仿宋简体"/>
          <w:color w:val="auto"/>
          <w:sz w:val="32"/>
          <w:szCs w:val="32"/>
        </w:rPr>
        <w:t>农民文化节</w:t>
      </w:r>
      <w:r>
        <w:rPr>
          <w:rFonts w:hint="eastAsia" w:eastAsia="方正仿宋简体"/>
          <w:color w:val="auto"/>
          <w:sz w:val="32"/>
          <w:szCs w:val="32"/>
        </w:rPr>
        <w:t>”</w:t>
      </w:r>
      <w:r>
        <w:rPr>
          <w:rFonts w:eastAsia="方正仿宋简体"/>
          <w:color w:val="auto"/>
          <w:sz w:val="32"/>
          <w:szCs w:val="32"/>
        </w:rPr>
        <w:t>等新时代文明实践活动，年累计受益群众达15万人次，城乡文明程度不断提升。</w:t>
      </w:r>
    </w:p>
    <w:p w14:paraId="3BC4EAFF">
      <w:pPr>
        <w:spacing w:line="576" w:lineRule="exact"/>
        <w:ind w:firstLine="640" w:firstLineChars="200"/>
        <w:rPr>
          <w:rFonts w:eastAsia="方正仿宋简体"/>
          <w:color w:val="auto"/>
          <w:sz w:val="32"/>
          <w:szCs w:val="32"/>
        </w:rPr>
      </w:pPr>
      <w:r>
        <w:rPr>
          <w:rFonts w:eastAsia="方正仿宋简体"/>
          <w:color w:val="auto"/>
          <w:sz w:val="32"/>
          <w:szCs w:val="32"/>
        </w:rPr>
        <w:t>安全底线得到新保障，社会治理效能增强。粮食安全根基不断夯实，综合生产能力稳定在17亿斤以上，典型黑土地保护面积达到90.5万亩。安全生产工作责任全面压实，先后开展安全隐患</w:t>
      </w:r>
      <w:r>
        <w:rPr>
          <w:rFonts w:hint="eastAsia" w:eastAsia="方正仿宋简体"/>
          <w:color w:val="auto"/>
          <w:sz w:val="32"/>
          <w:szCs w:val="32"/>
        </w:rPr>
        <w:t>“</w:t>
      </w:r>
      <w:r>
        <w:rPr>
          <w:rFonts w:eastAsia="方正仿宋简体"/>
          <w:color w:val="auto"/>
          <w:sz w:val="32"/>
          <w:szCs w:val="32"/>
        </w:rPr>
        <w:t>百日攻坚</w:t>
      </w:r>
      <w:r>
        <w:rPr>
          <w:rFonts w:hint="eastAsia" w:eastAsia="方正仿宋简体"/>
          <w:color w:val="auto"/>
          <w:sz w:val="32"/>
          <w:szCs w:val="32"/>
        </w:rPr>
        <w:t>”</w:t>
      </w:r>
      <w:r>
        <w:rPr>
          <w:rFonts w:eastAsia="方正仿宋简体"/>
          <w:color w:val="auto"/>
          <w:sz w:val="32"/>
          <w:szCs w:val="32"/>
        </w:rPr>
        <w:t>、治本攻坚等系列专项行动，21个重点行业领域工作专班、3个综合督导组不间断检查。社会治安环境持续向好，</w:t>
      </w:r>
      <w:r>
        <w:rPr>
          <w:rFonts w:hint="eastAsia" w:eastAsia="方正仿宋简体"/>
          <w:color w:val="auto"/>
          <w:sz w:val="32"/>
          <w:szCs w:val="32"/>
        </w:rPr>
        <w:t>“</w:t>
      </w:r>
      <w:r>
        <w:rPr>
          <w:rFonts w:eastAsia="方正仿宋简体"/>
          <w:color w:val="auto"/>
          <w:sz w:val="32"/>
          <w:szCs w:val="32"/>
        </w:rPr>
        <w:t>警地融合</w:t>
      </w:r>
      <w:r>
        <w:rPr>
          <w:rFonts w:hint="eastAsia" w:eastAsia="方正仿宋简体"/>
          <w:color w:val="auto"/>
          <w:sz w:val="32"/>
          <w:szCs w:val="32"/>
        </w:rPr>
        <w:t>”“</w:t>
      </w:r>
      <w:r>
        <w:rPr>
          <w:rFonts w:eastAsia="方正仿宋简体"/>
          <w:color w:val="auto"/>
          <w:sz w:val="32"/>
          <w:szCs w:val="32"/>
        </w:rPr>
        <w:t>警民融合</w:t>
      </w:r>
      <w:r>
        <w:rPr>
          <w:rFonts w:hint="eastAsia" w:eastAsia="方正仿宋简体"/>
          <w:color w:val="auto"/>
          <w:sz w:val="32"/>
          <w:szCs w:val="32"/>
        </w:rPr>
        <w:t>”</w:t>
      </w:r>
      <w:r>
        <w:rPr>
          <w:rFonts w:eastAsia="方正仿宋简体"/>
          <w:color w:val="auto"/>
          <w:sz w:val="32"/>
          <w:szCs w:val="32"/>
        </w:rPr>
        <w:t>不断深化，</w:t>
      </w:r>
      <w:r>
        <w:rPr>
          <w:rFonts w:hint="eastAsia" w:eastAsia="方正仿宋简体"/>
          <w:color w:val="auto"/>
          <w:sz w:val="32"/>
          <w:szCs w:val="32"/>
        </w:rPr>
        <w:t>实现警务站全面覆盖</w:t>
      </w:r>
      <w:r>
        <w:rPr>
          <w:rFonts w:eastAsia="方正仿宋简体"/>
          <w:color w:val="auto"/>
          <w:sz w:val="32"/>
          <w:szCs w:val="32"/>
        </w:rPr>
        <w:t>，3起沉积20年以上的要案成功侦破，社会治安持续稳定。社会治理稳步加强，坚持领导接访常态化、信访联席会议制度，信访工作及时受理率、按期答复率均为100%，一次性化解率达到99.57%。地方债务、金融、房地产等重点领域风险得到有效防控，</w:t>
      </w:r>
      <w:r>
        <w:rPr>
          <w:rFonts w:hint="eastAsia" w:eastAsia="方正仿宋简体"/>
          <w:color w:val="auto"/>
          <w:sz w:val="32"/>
          <w:szCs w:val="32"/>
          <w:lang w:val="en-US" w:eastAsia="zh-CN"/>
        </w:rPr>
        <w:t>牢牢守住</w:t>
      </w:r>
      <w:r>
        <w:rPr>
          <w:rFonts w:eastAsia="方正仿宋简体"/>
          <w:color w:val="auto"/>
          <w:sz w:val="32"/>
          <w:szCs w:val="32"/>
        </w:rPr>
        <w:t>不发生区域性系统性风险底线。</w:t>
      </w:r>
    </w:p>
    <w:p w14:paraId="0C77FFE6">
      <w:pPr>
        <w:spacing w:line="576" w:lineRule="exact"/>
        <w:ind w:firstLine="640" w:firstLineChars="200"/>
        <w:rPr>
          <w:rFonts w:eastAsia="方正仿宋简体"/>
          <w:color w:val="auto"/>
          <w:sz w:val="32"/>
          <w:szCs w:val="32"/>
        </w:rPr>
      </w:pPr>
      <w:r>
        <w:rPr>
          <w:rFonts w:eastAsia="方正仿宋简体"/>
          <w:color w:val="auto"/>
          <w:sz w:val="32"/>
          <w:szCs w:val="32"/>
        </w:rPr>
        <w:t>党的建设全面加强，政治生态持续向好。始终把党的政治建设摆在首位，高质量开展习近平新时代中国特色社会主义思想主题教育、党纪学习教育、深入贯彻中央八项规定精神学习教育活动，引导广大党员干部坚定拥护</w:t>
      </w:r>
      <w:r>
        <w:rPr>
          <w:rFonts w:hint="eastAsia" w:eastAsia="方正仿宋简体"/>
          <w:color w:val="auto"/>
          <w:sz w:val="32"/>
          <w:szCs w:val="32"/>
        </w:rPr>
        <w:t>“</w:t>
      </w:r>
      <w:r>
        <w:rPr>
          <w:rFonts w:eastAsia="方正仿宋简体"/>
          <w:color w:val="auto"/>
          <w:sz w:val="32"/>
          <w:szCs w:val="32"/>
        </w:rPr>
        <w:t>两个确立</w:t>
      </w:r>
      <w:r>
        <w:rPr>
          <w:rFonts w:hint="eastAsia" w:eastAsia="方正仿宋简体"/>
          <w:color w:val="auto"/>
          <w:sz w:val="32"/>
          <w:szCs w:val="32"/>
        </w:rPr>
        <w:t>”</w:t>
      </w:r>
      <w:r>
        <w:rPr>
          <w:rFonts w:eastAsia="方正仿宋简体"/>
          <w:color w:val="auto"/>
          <w:sz w:val="32"/>
          <w:szCs w:val="32"/>
        </w:rPr>
        <w:t>、坚决做到</w:t>
      </w:r>
      <w:r>
        <w:rPr>
          <w:rFonts w:hint="eastAsia" w:eastAsia="方正仿宋简体"/>
          <w:color w:val="auto"/>
          <w:sz w:val="32"/>
          <w:szCs w:val="32"/>
        </w:rPr>
        <w:t>“</w:t>
      </w:r>
      <w:r>
        <w:rPr>
          <w:rFonts w:eastAsia="方正仿宋简体"/>
          <w:color w:val="auto"/>
          <w:sz w:val="32"/>
          <w:szCs w:val="32"/>
        </w:rPr>
        <w:t>两个维护</w:t>
      </w:r>
      <w:r>
        <w:rPr>
          <w:rFonts w:hint="eastAsia" w:eastAsia="方正仿宋简体"/>
          <w:color w:val="auto"/>
          <w:sz w:val="32"/>
          <w:szCs w:val="32"/>
        </w:rPr>
        <w:t>”</w:t>
      </w:r>
      <w:r>
        <w:rPr>
          <w:rFonts w:eastAsia="方正仿宋简体"/>
          <w:color w:val="auto"/>
          <w:sz w:val="32"/>
          <w:szCs w:val="32"/>
        </w:rPr>
        <w:t>。实干导向鲜明树立，干部干事创业热情有效激发、工作状态全面提振，主动作为、争先进位的氛围日益浓厚，全县各级党组织的创造力、凝聚力、战斗力明显提高。始终保持惩治腐败高压态势，一体推进</w:t>
      </w:r>
      <w:r>
        <w:rPr>
          <w:rFonts w:hint="eastAsia" w:eastAsia="方正仿宋简体"/>
          <w:color w:val="auto"/>
          <w:sz w:val="32"/>
          <w:szCs w:val="32"/>
        </w:rPr>
        <w:t>“</w:t>
      </w:r>
      <w:r>
        <w:rPr>
          <w:rFonts w:eastAsia="方正仿宋简体"/>
          <w:color w:val="auto"/>
          <w:sz w:val="32"/>
          <w:szCs w:val="32"/>
        </w:rPr>
        <w:t>三不腐</w:t>
      </w:r>
      <w:r>
        <w:rPr>
          <w:rFonts w:hint="eastAsia" w:eastAsia="方正仿宋简体"/>
          <w:color w:val="auto"/>
          <w:sz w:val="32"/>
          <w:szCs w:val="32"/>
        </w:rPr>
        <w:t>”</w:t>
      </w:r>
      <w:r>
        <w:rPr>
          <w:rFonts w:eastAsia="方正仿宋简体"/>
          <w:color w:val="auto"/>
          <w:sz w:val="32"/>
          <w:szCs w:val="32"/>
        </w:rPr>
        <w:t>，贯通运用监督执纪</w:t>
      </w:r>
      <w:r>
        <w:rPr>
          <w:rFonts w:hint="eastAsia" w:eastAsia="方正仿宋简体"/>
          <w:color w:val="auto"/>
          <w:sz w:val="32"/>
          <w:szCs w:val="32"/>
        </w:rPr>
        <w:t>“</w:t>
      </w:r>
      <w:r>
        <w:rPr>
          <w:rFonts w:eastAsia="方正仿宋简体"/>
          <w:color w:val="auto"/>
          <w:sz w:val="32"/>
          <w:szCs w:val="32"/>
        </w:rPr>
        <w:t>四种形态</w:t>
      </w:r>
      <w:r>
        <w:rPr>
          <w:rFonts w:hint="eastAsia" w:eastAsia="方正仿宋简体"/>
          <w:color w:val="auto"/>
          <w:sz w:val="32"/>
          <w:szCs w:val="32"/>
        </w:rPr>
        <w:t>”</w:t>
      </w:r>
      <w:r>
        <w:rPr>
          <w:rFonts w:eastAsia="方正仿宋简体"/>
          <w:color w:val="auto"/>
          <w:sz w:val="32"/>
          <w:szCs w:val="32"/>
        </w:rPr>
        <w:t>，坚决纠治群众身边不正之风和腐败问题，县域政治生态得到有力净化，干净干事、踏实做事的氛围进一步浓厚。</w:t>
      </w:r>
    </w:p>
    <w:p w14:paraId="72A0C410">
      <w:pPr>
        <w:spacing w:line="576" w:lineRule="exact"/>
        <w:ind w:firstLine="640" w:firstLineChars="200"/>
        <w:rPr>
          <w:rFonts w:eastAsia="方正仿宋简体"/>
          <w:color w:val="auto"/>
          <w:sz w:val="32"/>
          <w:szCs w:val="32"/>
        </w:rPr>
      </w:pPr>
      <w:r>
        <w:rPr>
          <w:rFonts w:eastAsia="方正仿宋简体"/>
          <w:color w:val="auto"/>
          <w:sz w:val="32"/>
          <w:szCs w:val="32"/>
        </w:rPr>
        <w:t>五年来，县委、县政府团结带领全县人民妥善应对了一系列重大挑战，全县综合实力实现历史性跃升，产业能级跨越式攀升，城乡面貌发生格局性改善，民生保障取得突破性进展，生态质量达到标志性提升，治理效能实现整体性优化，为开启</w:t>
      </w:r>
      <w:r>
        <w:rPr>
          <w:rFonts w:hint="eastAsia" w:eastAsia="方正仿宋简体"/>
          <w:color w:val="auto"/>
          <w:sz w:val="32"/>
          <w:szCs w:val="32"/>
        </w:rPr>
        <w:t>“</w:t>
      </w:r>
      <w:r>
        <w:rPr>
          <w:rFonts w:eastAsia="方正仿宋简体"/>
          <w:color w:val="auto"/>
          <w:sz w:val="32"/>
          <w:szCs w:val="32"/>
        </w:rPr>
        <w:t>十五五</w:t>
      </w:r>
      <w:r>
        <w:rPr>
          <w:rFonts w:hint="eastAsia" w:eastAsia="方正仿宋简体"/>
          <w:color w:val="auto"/>
          <w:sz w:val="32"/>
          <w:szCs w:val="32"/>
        </w:rPr>
        <w:t>”</w:t>
      </w:r>
      <w:r>
        <w:rPr>
          <w:rFonts w:eastAsia="方正仿宋简体"/>
          <w:color w:val="auto"/>
          <w:sz w:val="32"/>
          <w:szCs w:val="32"/>
        </w:rPr>
        <w:t>更高水平发展新征程、谱写高质量发展新篇章奠定了坚实基础、积蓄了强劲动能。</w:t>
      </w:r>
    </w:p>
    <w:p w14:paraId="1C8E8BC8">
      <w:pPr>
        <w:spacing w:line="576" w:lineRule="exact"/>
        <w:jc w:val="center"/>
        <w:rPr>
          <w:rFonts w:eastAsia="方正楷体简体"/>
          <w:color w:val="auto"/>
          <w:sz w:val="32"/>
          <w:szCs w:val="32"/>
        </w:rPr>
      </w:pPr>
      <w:bookmarkStart w:id="3" w:name="_Toc672015331"/>
      <w:r>
        <w:rPr>
          <w:rFonts w:eastAsia="方正楷体简体"/>
          <w:color w:val="auto"/>
          <w:sz w:val="32"/>
          <w:szCs w:val="32"/>
        </w:rPr>
        <w:t>第二节  发展环境</w:t>
      </w:r>
      <w:bookmarkEnd w:id="3"/>
    </w:p>
    <w:p w14:paraId="239535C6">
      <w:pPr>
        <w:spacing w:line="576" w:lineRule="exact"/>
        <w:ind w:firstLine="640" w:firstLineChars="200"/>
        <w:rPr>
          <w:rFonts w:eastAsia="方正仿宋简体"/>
          <w:color w:val="auto"/>
          <w:sz w:val="32"/>
          <w:szCs w:val="32"/>
        </w:rPr>
      </w:pPr>
      <w:r>
        <w:rPr>
          <w:rFonts w:hint="eastAsia" w:eastAsia="方正仿宋简体"/>
          <w:color w:val="auto"/>
          <w:sz w:val="32"/>
          <w:szCs w:val="32"/>
        </w:rPr>
        <w:t>“</w:t>
      </w:r>
      <w:r>
        <w:rPr>
          <w:rFonts w:eastAsia="方正仿宋简体"/>
          <w:color w:val="auto"/>
          <w:sz w:val="32"/>
          <w:szCs w:val="32"/>
        </w:rPr>
        <w:t>十五五</w:t>
      </w:r>
      <w:r>
        <w:rPr>
          <w:rFonts w:hint="eastAsia" w:eastAsia="方正仿宋简体"/>
          <w:color w:val="auto"/>
          <w:sz w:val="32"/>
          <w:szCs w:val="32"/>
        </w:rPr>
        <w:t>”</w:t>
      </w:r>
      <w:r>
        <w:rPr>
          <w:rFonts w:eastAsia="方正仿宋简体"/>
          <w:color w:val="auto"/>
          <w:sz w:val="32"/>
          <w:szCs w:val="32"/>
        </w:rPr>
        <w:t>时期，全球科技革命与产业变革加速演进，中国式现代化建设进程深入推进，发展环境发生深刻复杂变化，</w:t>
      </w:r>
      <w:r>
        <w:rPr>
          <w:rFonts w:hint="eastAsia" w:eastAsia="方正仿宋简体"/>
          <w:color w:val="auto"/>
          <w:sz w:val="32"/>
          <w:szCs w:val="32"/>
          <w:lang w:val="en-US" w:eastAsia="zh-CN"/>
        </w:rPr>
        <w:t>是</w:t>
      </w:r>
      <w:r>
        <w:rPr>
          <w:rFonts w:eastAsia="方正仿宋简体"/>
          <w:color w:val="auto"/>
          <w:sz w:val="32"/>
          <w:szCs w:val="32"/>
        </w:rPr>
        <w:t>战略机遇和风险挑战并存、不确定难预料因素增多的时期。永吉县发展内生动力迎来系统性重塑的历史性机遇，立足永吉实际，需科学研判、精准把握发展大势。</w:t>
      </w:r>
    </w:p>
    <w:p w14:paraId="2E3CB6A9">
      <w:pPr>
        <w:spacing w:line="576" w:lineRule="exact"/>
        <w:ind w:firstLine="640" w:firstLineChars="200"/>
        <w:rPr>
          <w:rFonts w:eastAsia="方正仿宋简体"/>
          <w:color w:val="auto"/>
          <w:sz w:val="32"/>
          <w:szCs w:val="32"/>
        </w:rPr>
      </w:pPr>
      <w:r>
        <w:rPr>
          <w:rFonts w:eastAsia="方正仿宋简体"/>
          <w:color w:val="auto"/>
          <w:sz w:val="32"/>
          <w:szCs w:val="32"/>
        </w:rPr>
        <w:t>从外部环境来看，</w:t>
      </w:r>
      <w:r>
        <w:rPr>
          <w:rFonts w:hint="eastAsia" w:eastAsia="方正仿宋简体"/>
          <w:color w:val="auto"/>
          <w:sz w:val="32"/>
          <w:szCs w:val="32"/>
        </w:rPr>
        <w:t>“</w:t>
      </w:r>
      <w:r>
        <w:rPr>
          <w:rFonts w:eastAsia="方正仿宋简体"/>
          <w:color w:val="auto"/>
          <w:sz w:val="32"/>
          <w:szCs w:val="32"/>
        </w:rPr>
        <w:t>五大机遇</w:t>
      </w:r>
      <w:r>
        <w:rPr>
          <w:rFonts w:hint="eastAsia" w:eastAsia="方正仿宋简体"/>
          <w:color w:val="auto"/>
          <w:sz w:val="32"/>
          <w:szCs w:val="32"/>
        </w:rPr>
        <w:t>”</w:t>
      </w:r>
      <w:r>
        <w:rPr>
          <w:rFonts w:eastAsia="方正仿宋简体"/>
          <w:color w:val="auto"/>
          <w:sz w:val="32"/>
          <w:szCs w:val="32"/>
        </w:rPr>
        <w:t>叠加赋能，筑牢发展基底，塑造核心动能。</w:t>
      </w:r>
    </w:p>
    <w:p w14:paraId="6A38410B">
      <w:pPr>
        <w:spacing w:line="576" w:lineRule="exact"/>
        <w:ind w:firstLine="640" w:firstLineChars="200"/>
        <w:rPr>
          <w:rFonts w:eastAsia="方正仿宋简体"/>
          <w:color w:val="auto"/>
          <w:sz w:val="32"/>
          <w:szCs w:val="32"/>
        </w:rPr>
      </w:pPr>
      <w:r>
        <w:rPr>
          <w:rFonts w:eastAsia="方正仿宋简体"/>
          <w:color w:val="auto"/>
          <w:sz w:val="32"/>
          <w:szCs w:val="32"/>
        </w:rPr>
        <w:t>习近平总书记莅临吉林带来强大动力。党的十八大以来，习近平总书记先后四次视察吉林，亲自擘画新时代东北全面振兴宏伟蓝图，党中央对吉林全面振兴和现代化建设始终寄予厚望，赋予吉林</w:t>
      </w:r>
      <w:r>
        <w:rPr>
          <w:rFonts w:hint="eastAsia" w:eastAsia="方正仿宋简体"/>
          <w:color w:val="auto"/>
          <w:sz w:val="32"/>
          <w:szCs w:val="32"/>
        </w:rPr>
        <w:t>“</w:t>
      </w:r>
      <w:r>
        <w:rPr>
          <w:rFonts w:eastAsia="方正仿宋简体"/>
          <w:color w:val="auto"/>
          <w:sz w:val="32"/>
          <w:szCs w:val="32"/>
        </w:rPr>
        <w:t>新担当、新突破、新作为</w:t>
      </w:r>
      <w:r>
        <w:rPr>
          <w:rFonts w:hint="eastAsia" w:eastAsia="方正仿宋简体"/>
          <w:color w:val="auto"/>
          <w:sz w:val="32"/>
          <w:szCs w:val="32"/>
        </w:rPr>
        <w:t>”</w:t>
      </w:r>
      <w:r>
        <w:rPr>
          <w:rFonts w:eastAsia="方正仿宋简体"/>
          <w:color w:val="auto"/>
          <w:sz w:val="32"/>
          <w:szCs w:val="32"/>
        </w:rPr>
        <w:t>重大责任使命，为吉林振兴发展坚定了必胜信心、注入了强大动力、带来了难得机遇。</w:t>
      </w:r>
      <w:r>
        <w:rPr>
          <w:rFonts w:hint="eastAsia" w:eastAsia="方正仿宋简体"/>
          <w:color w:val="auto"/>
          <w:sz w:val="32"/>
          <w:szCs w:val="32"/>
        </w:rPr>
        <w:t>“</w:t>
      </w:r>
      <w:r>
        <w:rPr>
          <w:rFonts w:eastAsia="方正仿宋简体"/>
          <w:color w:val="auto"/>
          <w:sz w:val="32"/>
          <w:szCs w:val="32"/>
        </w:rPr>
        <w:t>十五五</w:t>
      </w:r>
      <w:r>
        <w:rPr>
          <w:rFonts w:hint="eastAsia" w:eastAsia="方正仿宋简体"/>
          <w:color w:val="auto"/>
          <w:sz w:val="32"/>
          <w:szCs w:val="32"/>
        </w:rPr>
        <w:t>”</w:t>
      </w:r>
      <w:r>
        <w:rPr>
          <w:rFonts w:eastAsia="方正仿宋简体"/>
          <w:color w:val="auto"/>
          <w:sz w:val="32"/>
          <w:szCs w:val="32"/>
        </w:rPr>
        <w:t>期间将永吉县所能和国家、省市所需相统筹，加快将习近平总书记的殷切期望、禀赋优势和决心意志转化为推动县域高质量发展的强大动能和生动现实。</w:t>
      </w:r>
    </w:p>
    <w:p w14:paraId="0B242010">
      <w:pPr>
        <w:spacing w:line="576" w:lineRule="exact"/>
        <w:ind w:firstLine="640" w:firstLineChars="200"/>
        <w:rPr>
          <w:rFonts w:eastAsia="方正仿宋简体"/>
          <w:color w:val="auto"/>
          <w:sz w:val="32"/>
          <w:szCs w:val="32"/>
        </w:rPr>
      </w:pPr>
      <w:r>
        <w:rPr>
          <w:rFonts w:eastAsia="方正仿宋简体"/>
          <w:color w:val="auto"/>
          <w:sz w:val="32"/>
          <w:szCs w:val="32"/>
        </w:rPr>
        <w:t>宏观政策红利持续释放新机遇。国家持续推出支持东北振兴的专项政策，在化解地方债务、扩大有效投资、保障粮食安全、促进产业升级等方面</w:t>
      </w:r>
      <w:r>
        <w:rPr>
          <w:rFonts w:hint="eastAsia" w:eastAsia="方正仿宋简体"/>
          <w:color w:val="auto"/>
          <w:sz w:val="32"/>
          <w:szCs w:val="32"/>
        </w:rPr>
        <w:t>支持</w:t>
      </w:r>
      <w:r>
        <w:rPr>
          <w:rFonts w:eastAsia="方正仿宋简体"/>
          <w:color w:val="auto"/>
          <w:sz w:val="32"/>
          <w:szCs w:val="32"/>
        </w:rPr>
        <w:t>力度空前，为地方逆周期调节提供强支撑。永吉需把握此轮战略窗口期，聚焦产业基建、农田水利、城市更新、社会事业及设备更新、消费品以旧换新等重点领域，精准高效</w:t>
      </w:r>
      <w:r>
        <w:rPr>
          <w:rFonts w:hint="eastAsia" w:eastAsia="方正仿宋简体"/>
          <w:color w:val="auto"/>
          <w:sz w:val="32"/>
          <w:szCs w:val="32"/>
          <w:lang w:val="en-US" w:eastAsia="zh-CN"/>
        </w:rPr>
        <w:t>配置</w:t>
      </w:r>
      <w:r>
        <w:rPr>
          <w:rFonts w:eastAsia="方正仿宋简体"/>
          <w:color w:val="auto"/>
          <w:sz w:val="32"/>
          <w:szCs w:val="32"/>
        </w:rPr>
        <w:t>资源，全面支撑产业能级跃升、县域功能迭代、粮食安全保障和民生福祉增进，筑牢高质量发展坚实基础。</w:t>
      </w:r>
    </w:p>
    <w:p w14:paraId="03EEA9DB">
      <w:pPr>
        <w:spacing w:line="576" w:lineRule="exact"/>
        <w:ind w:firstLine="640" w:firstLineChars="200"/>
        <w:rPr>
          <w:rFonts w:eastAsia="方正仿宋简体"/>
          <w:color w:val="auto"/>
          <w:sz w:val="32"/>
          <w:szCs w:val="32"/>
        </w:rPr>
      </w:pPr>
      <w:r>
        <w:rPr>
          <w:rFonts w:eastAsia="方正仿宋简体"/>
          <w:color w:val="auto"/>
          <w:sz w:val="32"/>
          <w:szCs w:val="32"/>
        </w:rPr>
        <w:t>科技创新驱动产业转型突破新机遇。新科技革命与产业变革加速，推动产业形态向多点支撑、多链融合方向演变。永吉处于新旧动能转换关键期，数智化进程提速，产业融合态势深化，可充分</w:t>
      </w:r>
      <w:r>
        <w:rPr>
          <w:rFonts w:hint="eastAsia" w:eastAsia="方正仿宋简体"/>
          <w:color w:val="auto"/>
          <w:sz w:val="32"/>
          <w:szCs w:val="32"/>
          <w:lang w:val="en-US" w:eastAsia="zh-CN"/>
        </w:rPr>
        <w:t>发挥</w:t>
      </w:r>
      <w:r>
        <w:rPr>
          <w:rFonts w:eastAsia="方正仿宋简体"/>
          <w:color w:val="auto"/>
          <w:sz w:val="32"/>
          <w:szCs w:val="32"/>
        </w:rPr>
        <w:t>毗邻长吉两市的区位优势，集聚区域创新资源，积极融入协同创新格局，培育新质生产力，开辟发展新领域新赛道，加快形成永吉振兴发展核心新动能。</w:t>
      </w:r>
    </w:p>
    <w:p w14:paraId="75F6F831">
      <w:pPr>
        <w:spacing w:line="576" w:lineRule="exact"/>
        <w:ind w:firstLine="640" w:firstLineChars="200"/>
        <w:rPr>
          <w:rFonts w:eastAsia="方正仿宋简体"/>
          <w:color w:val="auto"/>
          <w:sz w:val="32"/>
          <w:szCs w:val="32"/>
        </w:rPr>
      </w:pPr>
      <w:r>
        <w:rPr>
          <w:rFonts w:eastAsia="方正仿宋简体"/>
          <w:color w:val="auto"/>
          <w:sz w:val="32"/>
          <w:szCs w:val="32"/>
        </w:rPr>
        <w:t>区域协同深化重塑开放新机遇。区域发展格局正经历深度重构，长春现代化都市圈战略全面实施，为永吉提升区域地位、增强辐射能力提供重大契机。市层面强力推动吉永同城化战略升级，为永吉突破传统城郊县域发展模式与空间桎梏，迈向都市功能核心拓展区</w:t>
      </w:r>
      <w:r>
        <w:rPr>
          <w:rFonts w:hint="eastAsia" w:eastAsia="方正仿宋简体"/>
          <w:color w:val="auto"/>
          <w:sz w:val="32"/>
          <w:szCs w:val="32"/>
          <w:lang w:eastAsia="zh-CN"/>
        </w:rPr>
        <w:t>、</w:t>
      </w:r>
      <w:r>
        <w:rPr>
          <w:rFonts w:eastAsia="方正仿宋简体"/>
          <w:color w:val="auto"/>
          <w:sz w:val="32"/>
          <w:szCs w:val="32"/>
        </w:rPr>
        <w:t>承接高能级资源辐射提供了历史机遇。永吉应借此机遇重构产业格局，深度嵌入新兴产业链条，打造区域冷链物流与绿色农产品核心节点，完成从</w:t>
      </w:r>
      <w:r>
        <w:rPr>
          <w:rFonts w:hint="eastAsia" w:eastAsia="方正仿宋简体"/>
          <w:color w:val="auto"/>
          <w:sz w:val="32"/>
          <w:szCs w:val="32"/>
        </w:rPr>
        <w:t>“</w:t>
      </w:r>
      <w:r>
        <w:rPr>
          <w:rFonts w:eastAsia="方正仿宋简体"/>
          <w:color w:val="auto"/>
          <w:sz w:val="32"/>
          <w:szCs w:val="32"/>
        </w:rPr>
        <w:t>内陆腹地</w:t>
      </w:r>
      <w:r>
        <w:rPr>
          <w:rFonts w:hint="eastAsia" w:eastAsia="方正仿宋简体"/>
          <w:color w:val="auto"/>
          <w:sz w:val="32"/>
          <w:szCs w:val="32"/>
        </w:rPr>
        <w:t>”</w:t>
      </w:r>
      <w:r>
        <w:rPr>
          <w:rFonts w:eastAsia="方正仿宋简体"/>
          <w:color w:val="auto"/>
          <w:sz w:val="32"/>
          <w:szCs w:val="32"/>
        </w:rPr>
        <w:t>向</w:t>
      </w:r>
      <w:r>
        <w:rPr>
          <w:rFonts w:hint="eastAsia" w:eastAsia="方正仿宋简体"/>
          <w:color w:val="auto"/>
          <w:sz w:val="32"/>
          <w:szCs w:val="32"/>
        </w:rPr>
        <w:t>“</w:t>
      </w:r>
      <w:r>
        <w:rPr>
          <w:rFonts w:eastAsia="方正仿宋简体"/>
          <w:color w:val="auto"/>
          <w:sz w:val="32"/>
          <w:szCs w:val="32"/>
        </w:rPr>
        <w:t>开放支点</w:t>
      </w:r>
      <w:r>
        <w:rPr>
          <w:rFonts w:hint="eastAsia" w:eastAsia="方正仿宋简体"/>
          <w:color w:val="auto"/>
          <w:sz w:val="32"/>
          <w:szCs w:val="32"/>
        </w:rPr>
        <w:t>”</w:t>
      </w:r>
      <w:r>
        <w:rPr>
          <w:rFonts w:eastAsia="方正仿宋简体"/>
          <w:color w:val="auto"/>
          <w:sz w:val="32"/>
          <w:szCs w:val="32"/>
        </w:rPr>
        <w:t>的历史性转型。</w:t>
      </w:r>
    </w:p>
    <w:p w14:paraId="1E9C7480">
      <w:pPr>
        <w:spacing w:line="576" w:lineRule="exact"/>
        <w:ind w:firstLine="640" w:firstLineChars="200"/>
        <w:rPr>
          <w:rFonts w:eastAsia="方正仿宋简体"/>
          <w:color w:val="auto"/>
          <w:sz w:val="32"/>
          <w:szCs w:val="32"/>
        </w:rPr>
      </w:pPr>
      <w:r>
        <w:rPr>
          <w:rFonts w:eastAsia="方正仿宋简体"/>
          <w:color w:val="auto"/>
          <w:sz w:val="32"/>
          <w:szCs w:val="32"/>
        </w:rPr>
        <w:t>绿色低碳驱动价值转化新机遇。国家</w:t>
      </w:r>
      <w:r>
        <w:rPr>
          <w:rFonts w:hint="eastAsia" w:eastAsia="方正仿宋简体"/>
          <w:color w:val="auto"/>
          <w:sz w:val="32"/>
          <w:szCs w:val="32"/>
        </w:rPr>
        <w:t>“</w:t>
      </w:r>
      <w:r>
        <w:rPr>
          <w:rFonts w:eastAsia="方正仿宋简体"/>
          <w:color w:val="auto"/>
          <w:sz w:val="32"/>
          <w:szCs w:val="32"/>
        </w:rPr>
        <w:t>双碳</w:t>
      </w:r>
      <w:r>
        <w:rPr>
          <w:rFonts w:hint="eastAsia" w:eastAsia="方正仿宋简体"/>
          <w:color w:val="auto"/>
          <w:sz w:val="32"/>
          <w:szCs w:val="32"/>
        </w:rPr>
        <w:t>”</w:t>
      </w:r>
      <w:r>
        <w:rPr>
          <w:rFonts w:eastAsia="方正仿宋简体"/>
          <w:color w:val="auto"/>
          <w:sz w:val="32"/>
          <w:szCs w:val="32"/>
        </w:rPr>
        <w:t>战略深化实施，为永吉带来了生态价值重估与绿色崛起的历史窗口。依托北大湖冰雪资源、松花江生态廊道与黑土地核心保护区，借势物流信息流加速汇聚的区位优势，积极探索生态产品价值实现路径，加速推动资源资本化进程，发展冰雪旅游、康养休闲、循环经济。以</w:t>
      </w:r>
      <w:r>
        <w:rPr>
          <w:rFonts w:hint="eastAsia" w:eastAsia="方正仿宋简体"/>
          <w:color w:val="auto"/>
          <w:sz w:val="32"/>
          <w:szCs w:val="32"/>
        </w:rPr>
        <w:t>“</w:t>
      </w:r>
      <w:r>
        <w:rPr>
          <w:rFonts w:eastAsia="方正仿宋简体"/>
          <w:color w:val="auto"/>
          <w:sz w:val="32"/>
          <w:szCs w:val="32"/>
        </w:rPr>
        <w:t>资源+技术+场景</w:t>
      </w:r>
      <w:r>
        <w:rPr>
          <w:rFonts w:hint="eastAsia" w:eastAsia="方正仿宋简体"/>
          <w:color w:val="auto"/>
          <w:sz w:val="32"/>
          <w:szCs w:val="32"/>
        </w:rPr>
        <w:t>”</w:t>
      </w:r>
      <w:r>
        <w:rPr>
          <w:rFonts w:eastAsia="方正仿宋简体"/>
          <w:color w:val="auto"/>
          <w:sz w:val="32"/>
          <w:szCs w:val="32"/>
        </w:rPr>
        <w:t>融合催生绿色新质生产力，有助于永吉塑造独特的绿色竞争新优势。</w:t>
      </w:r>
    </w:p>
    <w:p w14:paraId="732E2059">
      <w:pPr>
        <w:spacing w:line="576" w:lineRule="exact"/>
        <w:ind w:firstLine="640" w:firstLineChars="200"/>
        <w:rPr>
          <w:rFonts w:eastAsia="方正仿宋简体"/>
          <w:color w:val="auto"/>
          <w:sz w:val="32"/>
          <w:szCs w:val="32"/>
        </w:rPr>
      </w:pPr>
      <w:r>
        <w:rPr>
          <w:rFonts w:eastAsia="方正仿宋简体"/>
          <w:color w:val="auto"/>
          <w:sz w:val="32"/>
          <w:szCs w:val="32"/>
        </w:rPr>
        <w:t>从内部看，永吉县处于建设市域副中心的全面发力阶段，主要呈现</w:t>
      </w:r>
      <w:r>
        <w:rPr>
          <w:rFonts w:hint="eastAsia" w:eastAsia="方正仿宋简体"/>
          <w:color w:val="auto"/>
          <w:sz w:val="32"/>
          <w:szCs w:val="32"/>
        </w:rPr>
        <w:t>“</w:t>
      </w:r>
      <w:r>
        <w:rPr>
          <w:rFonts w:eastAsia="方正仿宋简体"/>
          <w:color w:val="auto"/>
          <w:sz w:val="32"/>
          <w:szCs w:val="32"/>
        </w:rPr>
        <w:t>五期交融</w:t>
      </w:r>
      <w:r>
        <w:rPr>
          <w:rFonts w:hint="eastAsia" w:eastAsia="方正仿宋简体"/>
          <w:color w:val="auto"/>
          <w:sz w:val="32"/>
          <w:szCs w:val="32"/>
        </w:rPr>
        <w:t>”</w:t>
      </w:r>
      <w:r>
        <w:rPr>
          <w:rFonts w:eastAsia="方正仿宋简体"/>
          <w:color w:val="auto"/>
          <w:sz w:val="32"/>
          <w:szCs w:val="32"/>
        </w:rPr>
        <w:t>的阶段性新特征。</w:t>
      </w:r>
    </w:p>
    <w:p w14:paraId="4B9BEBF8">
      <w:pPr>
        <w:spacing w:line="576" w:lineRule="exact"/>
        <w:ind w:firstLine="640" w:firstLineChars="200"/>
        <w:rPr>
          <w:rFonts w:eastAsia="方正仿宋简体"/>
          <w:color w:val="auto"/>
          <w:sz w:val="32"/>
          <w:szCs w:val="32"/>
        </w:rPr>
      </w:pPr>
      <w:r>
        <w:rPr>
          <w:rFonts w:eastAsia="方正仿宋简体"/>
          <w:color w:val="auto"/>
          <w:sz w:val="32"/>
          <w:szCs w:val="32"/>
        </w:rPr>
        <w:t>吉永同城化进入加快突破期。吉永同城化进入纵深推进、全域功能深度整合的关键阶段，也是突破核心制约、实现质效跃升的攻坚期。这要求全面提升服务全市战略大局的能力，着力畅通交通链接效率、产业协作深度、服务共享水平等关键要素通道，加速锻造市域副中心核心功能，推动永吉从地理接壤向功能融合的历史性跨越。</w:t>
      </w:r>
    </w:p>
    <w:p w14:paraId="37B869D4">
      <w:pPr>
        <w:spacing w:line="576" w:lineRule="exact"/>
        <w:ind w:firstLine="640" w:firstLineChars="200"/>
        <w:rPr>
          <w:rFonts w:eastAsia="方正仿宋简体"/>
          <w:color w:val="auto"/>
          <w:sz w:val="32"/>
          <w:szCs w:val="32"/>
        </w:rPr>
      </w:pPr>
      <w:r>
        <w:rPr>
          <w:rFonts w:eastAsia="方正仿宋简体"/>
          <w:color w:val="auto"/>
          <w:sz w:val="32"/>
          <w:szCs w:val="32"/>
        </w:rPr>
        <w:t>产业能级进入创新跃升期。永吉正处于新旧动能转换承压前行、结构优化攻坚克难的关键节点，需以技术革命为引领，依托长吉两大都市圈区域创新资源赋能，聚焦制造业</w:t>
      </w:r>
      <w:r>
        <w:rPr>
          <w:rFonts w:hint="eastAsia" w:eastAsia="方正仿宋简体"/>
          <w:color w:val="auto"/>
          <w:sz w:val="32"/>
          <w:szCs w:val="32"/>
          <w:lang w:eastAsia="zh-CN"/>
        </w:rPr>
        <w:t>“</w:t>
      </w:r>
      <w:r>
        <w:rPr>
          <w:rFonts w:eastAsia="方正仿宋简体"/>
          <w:color w:val="auto"/>
          <w:sz w:val="32"/>
          <w:szCs w:val="32"/>
        </w:rPr>
        <w:t>专精特新</w:t>
      </w:r>
      <w:r>
        <w:rPr>
          <w:rFonts w:hint="eastAsia" w:eastAsia="方正仿宋简体"/>
          <w:color w:val="auto"/>
          <w:sz w:val="32"/>
          <w:szCs w:val="32"/>
          <w:lang w:eastAsia="zh-CN"/>
        </w:rPr>
        <w:t>”</w:t>
      </w:r>
      <w:r>
        <w:rPr>
          <w:rFonts w:eastAsia="方正仿宋简体"/>
          <w:color w:val="auto"/>
          <w:sz w:val="32"/>
          <w:szCs w:val="32"/>
        </w:rPr>
        <w:t>集聚与细分领域</w:t>
      </w:r>
      <w:r>
        <w:rPr>
          <w:rFonts w:hint="eastAsia" w:eastAsia="方正仿宋简体"/>
          <w:color w:val="auto"/>
          <w:sz w:val="32"/>
          <w:szCs w:val="32"/>
        </w:rPr>
        <w:t>“</w:t>
      </w:r>
      <w:r>
        <w:rPr>
          <w:rFonts w:eastAsia="方正仿宋简体"/>
          <w:color w:val="auto"/>
          <w:sz w:val="32"/>
          <w:szCs w:val="32"/>
        </w:rPr>
        <w:t>单项冠军</w:t>
      </w:r>
      <w:r>
        <w:rPr>
          <w:rFonts w:hint="eastAsia" w:eastAsia="方正仿宋简体"/>
          <w:color w:val="auto"/>
          <w:sz w:val="32"/>
          <w:szCs w:val="32"/>
        </w:rPr>
        <w:t>”</w:t>
      </w:r>
      <w:r>
        <w:rPr>
          <w:rFonts w:eastAsia="方正仿宋简体"/>
          <w:color w:val="auto"/>
          <w:sz w:val="32"/>
          <w:szCs w:val="32"/>
        </w:rPr>
        <w:t>培育、现代服务业冰雪文旅康养新生态构建、现代</w:t>
      </w:r>
      <w:r>
        <w:rPr>
          <w:rFonts w:hint="eastAsia" w:eastAsia="方正仿宋简体"/>
          <w:color w:val="auto"/>
          <w:sz w:val="32"/>
          <w:szCs w:val="32"/>
        </w:rPr>
        <w:t>大</w:t>
      </w:r>
      <w:r>
        <w:rPr>
          <w:rFonts w:eastAsia="方正仿宋简体"/>
          <w:color w:val="auto"/>
          <w:sz w:val="32"/>
          <w:szCs w:val="32"/>
        </w:rPr>
        <w:t>农业智慧品牌化与精深加工双轮驱动升级，加速推动产业链、创新链、价值链深度融合，加快构建具有永吉特色的融合创新现代产业体系，全面提升产业核心竞争力。</w:t>
      </w:r>
    </w:p>
    <w:p w14:paraId="38C0B099">
      <w:pPr>
        <w:spacing w:line="576" w:lineRule="exact"/>
        <w:ind w:firstLine="640" w:firstLineChars="200"/>
        <w:rPr>
          <w:rFonts w:eastAsia="方正仿宋简体"/>
          <w:color w:val="auto"/>
          <w:sz w:val="32"/>
          <w:szCs w:val="32"/>
        </w:rPr>
      </w:pPr>
      <w:r>
        <w:rPr>
          <w:rFonts w:eastAsia="方正仿宋简体"/>
          <w:color w:val="auto"/>
          <w:sz w:val="32"/>
          <w:szCs w:val="32"/>
        </w:rPr>
        <w:t>城乡融合进入提质关键期。国家新型城镇化与乡村振兴战略进入深度交织、协同发力的新阶段。强化中心城区核心承载功能，提升重点乡镇核心支撑功能，构建多元节点全域联动格局，破解基础设施、公共服务、发展要素城乡不均衡矛盾，</w:t>
      </w:r>
      <w:r>
        <w:rPr>
          <w:rFonts w:hint="eastAsia" w:eastAsia="方正仿宋简体"/>
          <w:color w:val="auto"/>
          <w:sz w:val="32"/>
          <w:szCs w:val="32"/>
          <w:lang w:val="en-US" w:eastAsia="zh-CN"/>
        </w:rPr>
        <w:t>加快</w:t>
      </w:r>
      <w:r>
        <w:rPr>
          <w:rFonts w:eastAsia="方正仿宋简体"/>
          <w:color w:val="auto"/>
          <w:sz w:val="32"/>
          <w:szCs w:val="32"/>
        </w:rPr>
        <w:t>形成</w:t>
      </w:r>
      <w:r>
        <w:rPr>
          <w:rFonts w:hint="eastAsia" w:eastAsia="方正仿宋简体"/>
          <w:color w:val="auto"/>
          <w:sz w:val="32"/>
          <w:szCs w:val="32"/>
        </w:rPr>
        <w:t>“</w:t>
      </w:r>
      <w:r>
        <w:rPr>
          <w:rFonts w:eastAsia="方正仿宋简体"/>
          <w:color w:val="auto"/>
          <w:sz w:val="32"/>
          <w:szCs w:val="32"/>
        </w:rPr>
        <w:t>中心辐射、轴带串联、全域共进</w:t>
      </w:r>
      <w:r>
        <w:rPr>
          <w:rFonts w:hint="eastAsia" w:eastAsia="方正仿宋简体"/>
          <w:color w:val="auto"/>
          <w:sz w:val="32"/>
          <w:szCs w:val="32"/>
        </w:rPr>
        <w:t>”</w:t>
      </w:r>
      <w:r>
        <w:rPr>
          <w:rFonts w:eastAsia="方正仿宋简体"/>
          <w:color w:val="auto"/>
          <w:sz w:val="32"/>
          <w:szCs w:val="32"/>
        </w:rPr>
        <w:t>的城乡一体振兴发展新形态，促进共同富裕。</w:t>
      </w:r>
    </w:p>
    <w:p w14:paraId="5343BB77">
      <w:pPr>
        <w:spacing w:line="576" w:lineRule="exact"/>
        <w:ind w:firstLine="640" w:firstLineChars="200"/>
        <w:rPr>
          <w:rFonts w:eastAsia="方正仿宋简体"/>
          <w:color w:val="auto"/>
          <w:sz w:val="32"/>
          <w:szCs w:val="32"/>
        </w:rPr>
      </w:pPr>
      <w:r>
        <w:rPr>
          <w:rFonts w:eastAsia="方正仿宋简体"/>
          <w:color w:val="auto"/>
          <w:sz w:val="32"/>
          <w:szCs w:val="32"/>
        </w:rPr>
        <w:t>改革开放进入系统深化期。重点领域改革需要突破，开放对经济拉动作用需要强化，需要把改革开放作为关键一招，加快破除体制机制瓶颈障碍，推动改革由夯基垒台、立柱架梁、全面推进向系统集成、积厚成势、协同高效转变，深化农村改革与开发区管理创新，推动土地、人才</w:t>
      </w:r>
      <w:r>
        <w:rPr>
          <w:rFonts w:hint="eastAsia" w:eastAsia="方正仿宋简体"/>
          <w:color w:val="auto"/>
          <w:sz w:val="32"/>
          <w:szCs w:val="32"/>
          <w:lang w:val="en-US" w:eastAsia="zh-CN"/>
        </w:rPr>
        <w:t>等</w:t>
      </w:r>
      <w:r>
        <w:rPr>
          <w:rFonts w:eastAsia="方正仿宋简体"/>
          <w:color w:val="auto"/>
          <w:sz w:val="32"/>
          <w:szCs w:val="32"/>
        </w:rPr>
        <w:t>要素市场化配置</w:t>
      </w:r>
      <w:r>
        <w:rPr>
          <w:rFonts w:hint="eastAsia" w:eastAsia="方正仿宋简体"/>
          <w:color w:val="auto"/>
          <w:sz w:val="32"/>
          <w:szCs w:val="32"/>
          <w:lang w:val="en-US" w:eastAsia="zh-CN"/>
        </w:rPr>
        <w:t>上取得</w:t>
      </w:r>
      <w:r>
        <w:rPr>
          <w:rFonts w:eastAsia="方正仿宋简体"/>
          <w:color w:val="auto"/>
          <w:sz w:val="32"/>
          <w:szCs w:val="32"/>
        </w:rPr>
        <w:t>突破；扩大特色农产品出口，推进先进制造业、冰雪文旅康养</w:t>
      </w:r>
      <w:r>
        <w:rPr>
          <w:rFonts w:hint="eastAsia" w:eastAsia="方正仿宋简体"/>
          <w:color w:val="auto"/>
          <w:sz w:val="32"/>
          <w:szCs w:val="32"/>
          <w:lang w:val="en-US" w:eastAsia="zh-CN"/>
        </w:rPr>
        <w:t>等</w:t>
      </w:r>
      <w:r>
        <w:rPr>
          <w:rFonts w:eastAsia="方正仿宋简体"/>
          <w:color w:val="auto"/>
          <w:sz w:val="32"/>
          <w:szCs w:val="32"/>
        </w:rPr>
        <w:t>优势产业开放合作，努力</w:t>
      </w:r>
      <w:r>
        <w:rPr>
          <w:rFonts w:hint="eastAsia" w:eastAsia="方正仿宋简体"/>
          <w:color w:val="auto"/>
          <w:sz w:val="32"/>
          <w:szCs w:val="32"/>
        </w:rPr>
        <w:t>跻身</w:t>
      </w:r>
      <w:r>
        <w:rPr>
          <w:rFonts w:eastAsia="方正仿宋简体"/>
          <w:color w:val="auto"/>
          <w:sz w:val="32"/>
          <w:szCs w:val="32"/>
        </w:rPr>
        <w:t>全省营商环境第一方阵，为高质量发展注入新动力、拓展新空间。</w:t>
      </w:r>
    </w:p>
    <w:p w14:paraId="687BB4EC">
      <w:pPr>
        <w:spacing w:line="576" w:lineRule="exact"/>
        <w:ind w:firstLine="640" w:firstLineChars="200"/>
        <w:rPr>
          <w:rFonts w:eastAsia="方正仿宋简体"/>
          <w:color w:val="auto"/>
          <w:sz w:val="32"/>
          <w:szCs w:val="32"/>
        </w:rPr>
      </w:pPr>
      <w:r>
        <w:rPr>
          <w:rFonts w:eastAsia="方正仿宋简体"/>
          <w:color w:val="auto"/>
          <w:sz w:val="32"/>
          <w:szCs w:val="32"/>
        </w:rPr>
        <w:t>民生福祉进入提质升级期。人民群众对美好生活的向往呈现品质化、多元化特征，社会治理现代化需求日益迫切，需锚定共同富裕目标，着力补齐民生领域短板弱项，持续提高就业、教育、医疗、养老、托育等基本公共服务均等化、优质化水平，健全多层次社会保障体系，全面提升社会治理现代化水平，切实增强人民群众获得感、幸福感、安全感，使发展成果更多更公平惠及全县人民。</w:t>
      </w:r>
    </w:p>
    <w:p w14:paraId="6CD8A2C4">
      <w:pPr>
        <w:spacing w:line="576" w:lineRule="exact"/>
        <w:ind w:firstLine="640" w:firstLineChars="200"/>
        <w:rPr>
          <w:rFonts w:eastAsia="方正仿宋简体"/>
          <w:color w:val="auto"/>
          <w:sz w:val="32"/>
          <w:szCs w:val="32"/>
        </w:rPr>
      </w:pPr>
      <w:r>
        <w:rPr>
          <w:rFonts w:eastAsia="方正仿宋简体"/>
          <w:color w:val="auto"/>
          <w:sz w:val="32"/>
          <w:szCs w:val="32"/>
        </w:rPr>
        <w:t>综合研判，</w:t>
      </w:r>
      <w:r>
        <w:rPr>
          <w:rFonts w:hint="eastAsia" w:eastAsia="方正仿宋简体"/>
          <w:color w:val="auto"/>
          <w:sz w:val="32"/>
          <w:szCs w:val="32"/>
        </w:rPr>
        <w:t>“</w:t>
      </w:r>
      <w:r>
        <w:rPr>
          <w:rFonts w:eastAsia="方正仿宋简体"/>
          <w:color w:val="auto"/>
          <w:sz w:val="32"/>
          <w:szCs w:val="32"/>
        </w:rPr>
        <w:t>十五五</w:t>
      </w:r>
      <w:r>
        <w:rPr>
          <w:rFonts w:hint="eastAsia" w:eastAsia="方正仿宋简体"/>
          <w:color w:val="auto"/>
          <w:sz w:val="32"/>
          <w:szCs w:val="32"/>
        </w:rPr>
        <w:t>”</w:t>
      </w:r>
      <w:r>
        <w:rPr>
          <w:rFonts w:eastAsia="方正仿宋简体"/>
          <w:color w:val="auto"/>
          <w:sz w:val="32"/>
          <w:szCs w:val="32"/>
        </w:rPr>
        <w:t>时期，永吉县正处于战略机遇加速转化、新旧动能深度转换的黄金窗口阶段，振兴突破其时已至、其基已固、其势已成。同时必须清醒认识到，永吉仍面临经济体量偏小、产业结构不优，投资增长后劲乏力，缺少立县的优质项目；农业农村现代化步伐有待加快，农业产业层次</w:t>
      </w:r>
      <w:r>
        <w:rPr>
          <w:rFonts w:hint="eastAsia" w:eastAsia="方正仿宋简体"/>
          <w:color w:val="auto"/>
          <w:sz w:val="32"/>
          <w:szCs w:val="32"/>
          <w:lang w:val="en-US" w:eastAsia="zh-CN"/>
        </w:rPr>
        <w:t>偏</w:t>
      </w:r>
      <w:r>
        <w:rPr>
          <w:rFonts w:eastAsia="方正仿宋简体"/>
          <w:color w:val="auto"/>
          <w:sz w:val="32"/>
          <w:szCs w:val="32"/>
        </w:rPr>
        <w:t>低，特色产业</w:t>
      </w:r>
      <w:r>
        <w:rPr>
          <w:rFonts w:hint="eastAsia" w:eastAsia="方正仿宋简体"/>
          <w:color w:val="auto"/>
          <w:sz w:val="32"/>
          <w:szCs w:val="32"/>
          <w:lang w:val="en-US" w:eastAsia="zh-CN"/>
        </w:rPr>
        <w:t>尚</w:t>
      </w:r>
      <w:r>
        <w:rPr>
          <w:rFonts w:eastAsia="方正仿宋简体"/>
          <w:color w:val="auto"/>
          <w:sz w:val="32"/>
          <w:szCs w:val="32"/>
        </w:rPr>
        <w:t>未形成品牌化、规模化效应；民生保障存在短板，基本公共服务均等化水平不高，社会治理能力亟待提升；城乡融合发展深度不够，城市建设水平有待提升，城市功能与特色尚未充分彰显；</w:t>
      </w:r>
      <w:r>
        <w:rPr>
          <w:rFonts w:hint="eastAsia" w:eastAsia="方正仿宋简体"/>
          <w:color w:val="auto"/>
          <w:sz w:val="32"/>
          <w:szCs w:val="32"/>
          <w:lang w:val="en-US" w:eastAsia="zh-CN"/>
        </w:rPr>
        <w:t>部分</w:t>
      </w:r>
      <w:r>
        <w:rPr>
          <w:rFonts w:eastAsia="方正仿宋简体"/>
          <w:color w:val="auto"/>
          <w:sz w:val="32"/>
          <w:szCs w:val="32"/>
        </w:rPr>
        <w:t>历史遗留问题化解不够到位，重点领域还存在风险隐患</w:t>
      </w:r>
      <w:r>
        <w:rPr>
          <w:rFonts w:hint="eastAsia" w:eastAsia="方正仿宋简体"/>
          <w:color w:val="auto"/>
          <w:sz w:val="32"/>
          <w:szCs w:val="32"/>
          <w:lang w:eastAsia="zh-CN"/>
        </w:rPr>
        <w:t>。</w:t>
      </w:r>
      <w:r>
        <w:rPr>
          <w:rFonts w:eastAsia="方正仿宋简体"/>
          <w:color w:val="auto"/>
          <w:sz w:val="32"/>
          <w:szCs w:val="32"/>
        </w:rPr>
        <w:t>这些深层次矛盾和问题必须高度重视，靶向施策、系统解决。</w:t>
      </w:r>
      <w:bookmarkStart w:id="4" w:name="_Toc204613327"/>
    </w:p>
    <w:p w14:paraId="4DE91BA9">
      <w:pPr>
        <w:spacing w:line="576" w:lineRule="exact"/>
        <w:jc w:val="center"/>
        <w:rPr>
          <w:rFonts w:eastAsia="方正楷体简体"/>
          <w:color w:val="auto"/>
          <w:sz w:val="32"/>
          <w:szCs w:val="32"/>
        </w:rPr>
      </w:pPr>
      <w:bookmarkStart w:id="5" w:name="_Toc945168544"/>
      <w:r>
        <w:rPr>
          <w:rFonts w:eastAsia="方正楷体简体"/>
          <w:color w:val="auto"/>
          <w:sz w:val="32"/>
          <w:szCs w:val="32"/>
        </w:rPr>
        <w:t>第三节  总体要求</w:t>
      </w:r>
      <w:bookmarkEnd w:id="4"/>
      <w:bookmarkEnd w:id="5"/>
    </w:p>
    <w:p w14:paraId="02D6EFF3">
      <w:pPr>
        <w:spacing w:line="576" w:lineRule="exact"/>
        <w:ind w:firstLine="640" w:firstLineChars="200"/>
        <w:rPr>
          <w:rFonts w:eastAsia="方正仿宋简体"/>
          <w:color w:val="auto"/>
          <w:sz w:val="32"/>
          <w:szCs w:val="32"/>
        </w:rPr>
      </w:pPr>
      <w:bookmarkStart w:id="6" w:name="_Toc204613328"/>
      <w:r>
        <w:rPr>
          <w:rFonts w:eastAsia="方正仿宋简体"/>
          <w:color w:val="auto"/>
          <w:sz w:val="32"/>
          <w:szCs w:val="32"/>
        </w:rPr>
        <w:t>1.指导思想</w:t>
      </w:r>
      <w:bookmarkEnd w:id="6"/>
    </w:p>
    <w:p w14:paraId="0ABFF0AF">
      <w:pPr>
        <w:spacing w:line="576" w:lineRule="exact"/>
        <w:ind w:firstLine="640" w:firstLineChars="200"/>
        <w:rPr>
          <w:rFonts w:eastAsia="方正仿宋简体"/>
          <w:color w:val="auto"/>
          <w:sz w:val="32"/>
          <w:szCs w:val="32"/>
        </w:rPr>
      </w:pPr>
      <w:bookmarkStart w:id="7" w:name="_Hlk208670831"/>
      <w:r>
        <w:rPr>
          <w:rFonts w:eastAsia="方正仿宋简体"/>
          <w:color w:val="auto"/>
          <w:sz w:val="32"/>
          <w:szCs w:val="32"/>
        </w:rPr>
        <w:t>坚持马克思列宁主义、毛泽东思想、邓小平理论、</w:t>
      </w:r>
      <w:r>
        <w:rPr>
          <w:rFonts w:hint="eastAsia" w:eastAsia="方正仿宋简体"/>
          <w:color w:val="auto"/>
          <w:sz w:val="32"/>
          <w:szCs w:val="32"/>
        </w:rPr>
        <w:t>“</w:t>
      </w:r>
      <w:r>
        <w:rPr>
          <w:rFonts w:eastAsia="方正仿宋简体"/>
          <w:color w:val="auto"/>
          <w:sz w:val="32"/>
          <w:szCs w:val="32"/>
        </w:rPr>
        <w:t>三个代表</w:t>
      </w:r>
      <w:r>
        <w:rPr>
          <w:rFonts w:hint="eastAsia" w:eastAsia="方正仿宋简体"/>
          <w:color w:val="auto"/>
          <w:sz w:val="32"/>
          <w:szCs w:val="32"/>
        </w:rPr>
        <w:t>”</w:t>
      </w:r>
      <w:r>
        <w:rPr>
          <w:rFonts w:eastAsia="方正仿宋简体"/>
          <w:color w:val="auto"/>
          <w:sz w:val="32"/>
          <w:szCs w:val="32"/>
        </w:rPr>
        <w:t>重要思想、科学发展观，全面贯彻习近平新时代中国特色社会主义思想，深入贯彻党的二十大和二十届历次全会精神，认真落实习近平总书记关于东北全面振兴和吉林工作的系列重要指示精神，统筹推进</w:t>
      </w:r>
      <w:r>
        <w:rPr>
          <w:rFonts w:hint="eastAsia" w:eastAsia="方正仿宋简体"/>
          <w:color w:val="auto"/>
          <w:sz w:val="32"/>
          <w:szCs w:val="32"/>
        </w:rPr>
        <w:t>“</w:t>
      </w:r>
      <w:r>
        <w:rPr>
          <w:rFonts w:eastAsia="方正仿宋简体"/>
          <w:color w:val="auto"/>
          <w:sz w:val="32"/>
          <w:szCs w:val="32"/>
        </w:rPr>
        <w:t>五位一体</w:t>
      </w:r>
      <w:r>
        <w:rPr>
          <w:rFonts w:hint="eastAsia" w:eastAsia="方正仿宋简体"/>
          <w:color w:val="auto"/>
          <w:sz w:val="32"/>
          <w:szCs w:val="32"/>
        </w:rPr>
        <w:t>”</w:t>
      </w:r>
      <w:r>
        <w:rPr>
          <w:rFonts w:eastAsia="方正仿宋简体"/>
          <w:color w:val="auto"/>
          <w:sz w:val="32"/>
          <w:szCs w:val="32"/>
        </w:rPr>
        <w:t>总体布局，协调推进</w:t>
      </w:r>
      <w:r>
        <w:rPr>
          <w:rFonts w:hint="eastAsia" w:eastAsia="方正仿宋简体"/>
          <w:color w:val="auto"/>
          <w:sz w:val="32"/>
          <w:szCs w:val="32"/>
        </w:rPr>
        <w:t>“</w:t>
      </w:r>
      <w:r>
        <w:rPr>
          <w:rFonts w:eastAsia="方正仿宋简体"/>
          <w:color w:val="auto"/>
          <w:sz w:val="32"/>
          <w:szCs w:val="32"/>
        </w:rPr>
        <w:t>四个全面</w:t>
      </w:r>
      <w:r>
        <w:rPr>
          <w:rFonts w:hint="eastAsia" w:eastAsia="方正仿宋简体"/>
          <w:color w:val="auto"/>
          <w:sz w:val="32"/>
          <w:szCs w:val="32"/>
        </w:rPr>
        <w:t>”</w:t>
      </w:r>
      <w:r>
        <w:rPr>
          <w:rFonts w:eastAsia="方正仿宋简体"/>
          <w:color w:val="auto"/>
          <w:sz w:val="32"/>
          <w:szCs w:val="32"/>
        </w:rPr>
        <w:t>战略布局，完整准确全面贯彻新发展理念，积极服务和融入新发展格局，坚持稳中求进工作总基调，坚持以经济建设为中心，以推动高质量发展为主题，以改革创新为根本动力，以满足人民日益增长的美好生活需要为根本目的，以全面从严治党为根本保障，坚决扛稳维护国家</w:t>
      </w:r>
      <w:r>
        <w:rPr>
          <w:rFonts w:hint="eastAsia" w:eastAsia="方正仿宋简体"/>
          <w:color w:val="auto"/>
          <w:sz w:val="32"/>
          <w:szCs w:val="32"/>
        </w:rPr>
        <w:t>“</w:t>
      </w:r>
      <w:r>
        <w:rPr>
          <w:rFonts w:eastAsia="方正仿宋简体"/>
          <w:color w:val="auto"/>
          <w:sz w:val="32"/>
          <w:szCs w:val="32"/>
        </w:rPr>
        <w:t>五大安全</w:t>
      </w:r>
      <w:r>
        <w:rPr>
          <w:rFonts w:hint="eastAsia" w:eastAsia="方正仿宋简体"/>
          <w:color w:val="auto"/>
          <w:sz w:val="32"/>
          <w:szCs w:val="32"/>
        </w:rPr>
        <w:t>”</w:t>
      </w:r>
      <w:r>
        <w:rPr>
          <w:rFonts w:eastAsia="方正仿宋简体"/>
          <w:color w:val="auto"/>
          <w:sz w:val="32"/>
          <w:szCs w:val="32"/>
        </w:rPr>
        <w:t>重要使命，聚焦</w:t>
      </w:r>
      <w:r>
        <w:rPr>
          <w:rFonts w:hint="eastAsia" w:eastAsia="方正仿宋简体"/>
          <w:color w:val="auto"/>
          <w:sz w:val="32"/>
          <w:szCs w:val="32"/>
        </w:rPr>
        <w:t>“</w:t>
      </w:r>
      <w:r>
        <w:rPr>
          <w:rFonts w:eastAsia="方正仿宋简体"/>
          <w:color w:val="auto"/>
          <w:sz w:val="32"/>
          <w:szCs w:val="32"/>
        </w:rPr>
        <w:t>规划布局合理、区域功能突出、产业特色鲜明、城乡深度融合、山水人文和谐、人民安居乐业</w:t>
      </w:r>
      <w:r>
        <w:rPr>
          <w:rFonts w:hint="eastAsia" w:eastAsia="方正仿宋简体"/>
          <w:color w:val="auto"/>
          <w:sz w:val="32"/>
          <w:szCs w:val="32"/>
        </w:rPr>
        <w:t>”</w:t>
      </w:r>
      <w:r>
        <w:rPr>
          <w:rFonts w:eastAsia="方正仿宋简体"/>
          <w:color w:val="auto"/>
          <w:sz w:val="32"/>
          <w:szCs w:val="32"/>
        </w:rPr>
        <w:t>六大要素，坚定实施市域副中心、</w:t>
      </w:r>
      <w:r>
        <w:rPr>
          <w:rFonts w:hint="eastAsia" w:eastAsia="方正仿宋简体"/>
          <w:color w:val="auto"/>
          <w:sz w:val="32"/>
          <w:szCs w:val="32"/>
        </w:rPr>
        <w:t>“</w:t>
      </w:r>
      <w:r>
        <w:rPr>
          <w:rFonts w:eastAsia="方正仿宋简体"/>
          <w:color w:val="auto"/>
          <w:sz w:val="32"/>
          <w:szCs w:val="32"/>
        </w:rPr>
        <w:t>一体两翼</w:t>
      </w:r>
      <w:r>
        <w:rPr>
          <w:rFonts w:hint="eastAsia" w:eastAsia="方正仿宋简体"/>
          <w:color w:val="auto"/>
          <w:sz w:val="32"/>
          <w:szCs w:val="32"/>
        </w:rPr>
        <w:t>”</w:t>
      </w:r>
      <w:r>
        <w:rPr>
          <w:rFonts w:eastAsia="方正仿宋简体"/>
          <w:color w:val="auto"/>
          <w:sz w:val="32"/>
          <w:szCs w:val="32"/>
        </w:rPr>
        <w:t>发展战略，加快建设高端制造高地、冰雪旅游枢纽、生态康养胜地、宜居宜业新城，在服务全省、全市大局中扛起新担当、展现新作为，奋力推动市域副中心建设取得明显成效、永吉高质量发展取得新突破。</w:t>
      </w:r>
    </w:p>
    <w:bookmarkEnd w:id="7"/>
    <w:p w14:paraId="00810DEC">
      <w:pPr>
        <w:spacing w:line="576" w:lineRule="exact"/>
        <w:ind w:firstLine="640" w:firstLineChars="200"/>
        <w:rPr>
          <w:rFonts w:eastAsia="方正仿宋简体"/>
          <w:color w:val="auto"/>
          <w:sz w:val="32"/>
          <w:szCs w:val="32"/>
        </w:rPr>
      </w:pPr>
      <w:bookmarkStart w:id="8" w:name="_Toc204613329"/>
      <w:r>
        <w:rPr>
          <w:rFonts w:eastAsia="方正仿宋简体"/>
          <w:color w:val="auto"/>
          <w:sz w:val="32"/>
          <w:szCs w:val="32"/>
        </w:rPr>
        <w:t>2.基本原则</w:t>
      </w:r>
      <w:bookmarkEnd w:id="8"/>
    </w:p>
    <w:p w14:paraId="71FFBE82">
      <w:pPr>
        <w:spacing w:line="576" w:lineRule="exact"/>
        <w:ind w:firstLine="640" w:firstLineChars="200"/>
        <w:rPr>
          <w:rFonts w:eastAsia="方正仿宋简体"/>
          <w:color w:val="auto"/>
          <w:sz w:val="32"/>
          <w:szCs w:val="32"/>
        </w:rPr>
      </w:pPr>
      <w:bookmarkStart w:id="9" w:name="_Toc204613330"/>
      <w:r>
        <w:rPr>
          <w:rFonts w:eastAsia="方正仿宋简体"/>
          <w:color w:val="auto"/>
          <w:sz w:val="32"/>
          <w:szCs w:val="32"/>
        </w:rPr>
        <w:t>——坚持党的全面领导。坚决维护党中央权威和集中统一领导，把党的领导贯穿经济社会发展各方面全过程，充分发挥自身区位优势、资源优势、比较优势，主动融入、积极服务全省、全市大局，为全面建设社会主义现代化新吉林贡献永吉力量。</w:t>
      </w:r>
    </w:p>
    <w:p w14:paraId="7B3C837A">
      <w:pPr>
        <w:spacing w:line="576" w:lineRule="exact"/>
        <w:ind w:firstLine="640" w:firstLineChars="200"/>
        <w:rPr>
          <w:rFonts w:eastAsia="方正仿宋简体"/>
          <w:color w:val="auto"/>
          <w:sz w:val="32"/>
          <w:szCs w:val="32"/>
        </w:rPr>
      </w:pPr>
      <w:r>
        <w:rPr>
          <w:rFonts w:eastAsia="方正仿宋简体"/>
          <w:color w:val="auto"/>
          <w:sz w:val="32"/>
          <w:szCs w:val="32"/>
        </w:rPr>
        <w:t>——坚持人民至上。尊重人民主体地位，紧紧依靠人民，维护人民根本利益，促进人的全面发展和社会公平正义，注重在发展中保障和改善民生，在满足民生需求中拓展发展空间，推动经济和社会协调发展、物质文明和精神文明相得益彰，让现代化建设成果更多更公平惠及全体人民。</w:t>
      </w:r>
    </w:p>
    <w:p w14:paraId="5B8CE6B7">
      <w:pPr>
        <w:spacing w:line="576" w:lineRule="exact"/>
        <w:ind w:firstLine="640" w:firstLineChars="200"/>
        <w:rPr>
          <w:rFonts w:eastAsia="方正仿宋简体"/>
          <w:color w:val="auto"/>
          <w:sz w:val="32"/>
          <w:szCs w:val="32"/>
        </w:rPr>
      </w:pPr>
      <w:r>
        <w:rPr>
          <w:rFonts w:eastAsia="方正仿宋简体"/>
          <w:color w:val="auto"/>
          <w:sz w:val="32"/>
          <w:szCs w:val="32"/>
        </w:rPr>
        <w:t>——坚持高质量发展。始终把发展的立足点放在高质量发展上，以新发展理念为指挥棒、红绿灯，因地制宜发展新质生产力，统筹扩大内需和深化供给侧结构性改革，持续优化经济结构，推动经济持续健康发展和社会全面进步。</w:t>
      </w:r>
    </w:p>
    <w:p w14:paraId="477BDD03">
      <w:pPr>
        <w:spacing w:line="576" w:lineRule="exact"/>
        <w:ind w:firstLine="640" w:firstLineChars="200"/>
        <w:rPr>
          <w:rFonts w:eastAsia="方正仿宋简体"/>
          <w:color w:val="auto"/>
          <w:sz w:val="32"/>
          <w:szCs w:val="32"/>
        </w:rPr>
      </w:pPr>
      <w:r>
        <w:rPr>
          <w:rFonts w:eastAsia="方正仿宋简体"/>
          <w:color w:val="auto"/>
          <w:sz w:val="32"/>
          <w:szCs w:val="32"/>
        </w:rPr>
        <w:t>——坚持进一步全面深化改革。积极解放思想、实干笃行，一切从实际出发，瞄准制约构建新发展格局、推动高质量发展的堵点卡点和民生领域的难点痛点问题，以小切口破题、大纵深发力，锲而不舍、久久为功，全力推动重大改革举措落地见效，进一步激发永吉高质量发展动力和社会活力。</w:t>
      </w:r>
    </w:p>
    <w:p w14:paraId="75DA9075">
      <w:pPr>
        <w:spacing w:line="576" w:lineRule="exact"/>
        <w:ind w:firstLine="640" w:firstLineChars="200"/>
        <w:rPr>
          <w:rFonts w:eastAsia="方正仿宋简体"/>
          <w:color w:val="auto"/>
          <w:sz w:val="32"/>
          <w:szCs w:val="32"/>
        </w:rPr>
      </w:pPr>
      <w:r>
        <w:rPr>
          <w:rFonts w:eastAsia="方正仿宋简体"/>
          <w:color w:val="auto"/>
          <w:sz w:val="32"/>
          <w:szCs w:val="32"/>
        </w:rPr>
        <w:t>——坚持有效市场和有为政府相结合。充分发挥市场在资源配置中的决定性作用，更好发挥政府作用，积极融入全国统一大市场建设，打造市场化法治化营商环境，引导市场资本、技术、劳动力等要素向优势领域集聚，形成适配县域发展的良性经济秩序。</w:t>
      </w:r>
    </w:p>
    <w:p w14:paraId="5CE4C692">
      <w:pPr>
        <w:spacing w:line="576" w:lineRule="exact"/>
        <w:ind w:firstLine="640" w:firstLineChars="200"/>
        <w:rPr>
          <w:rFonts w:eastAsia="方正仿宋简体"/>
          <w:color w:val="auto"/>
          <w:sz w:val="32"/>
          <w:szCs w:val="32"/>
        </w:rPr>
      </w:pPr>
      <w:r>
        <w:rPr>
          <w:rFonts w:eastAsia="方正仿宋简体"/>
          <w:color w:val="auto"/>
          <w:sz w:val="32"/>
          <w:szCs w:val="32"/>
        </w:rPr>
        <w:t>——坚持统筹发展和安全。在发展中固安全，在安全中谋发展，强化底线思维、极限思维，守牢安全底线、生态红线、耕地红线、地方政府债务警戒线和统计数据质量线，有效防范化解各类风险，增强经济和社会韧性，促进高质量发展、高水平安全、高效能治理良性互动。</w:t>
      </w:r>
    </w:p>
    <w:p w14:paraId="4FA2C8CC">
      <w:pPr>
        <w:spacing w:line="576" w:lineRule="exact"/>
        <w:jc w:val="center"/>
        <w:rPr>
          <w:rFonts w:eastAsia="方正楷体简体"/>
          <w:color w:val="auto"/>
          <w:sz w:val="32"/>
          <w:szCs w:val="32"/>
        </w:rPr>
      </w:pPr>
      <w:bookmarkStart w:id="10" w:name="_Toc511182149"/>
      <w:r>
        <w:rPr>
          <w:rFonts w:eastAsia="方正楷体简体"/>
          <w:color w:val="auto"/>
          <w:sz w:val="32"/>
          <w:szCs w:val="32"/>
        </w:rPr>
        <w:t>第四节  发展目标</w:t>
      </w:r>
      <w:bookmarkEnd w:id="9"/>
      <w:bookmarkEnd w:id="10"/>
    </w:p>
    <w:p w14:paraId="32FE1A52">
      <w:pPr>
        <w:spacing w:line="576" w:lineRule="exact"/>
        <w:ind w:firstLine="640" w:firstLineChars="200"/>
        <w:rPr>
          <w:rFonts w:eastAsia="方正仿宋简体"/>
          <w:color w:val="auto"/>
          <w:sz w:val="32"/>
          <w:szCs w:val="32"/>
        </w:rPr>
      </w:pPr>
      <w:r>
        <w:rPr>
          <w:rFonts w:eastAsia="方正仿宋简体"/>
          <w:color w:val="auto"/>
          <w:sz w:val="32"/>
          <w:szCs w:val="32"/>
        </w:rPr>
        <w:t>——经济发展实现新进位。经济增速跑赢全市平均水平，实体经济基础更加牢固，经济结构进一步优化，工业产业竞争力更加强劲、农业产业特色更加突出、现代服务业供给更加多元，全要素生产率稳步提高，居民消费率不断增长，</w:t>
      </w:r>
      <w:r>
        <w:rPr>
          <w:rFonts w:hint="eastAsia" w:eastAsia="方正仿宋简体"/>
          <w:color w:val="auto"/>
          <w:sz w:val="32"/>
          <w:szCs w:val="32"/>
        </w:rPr>
        <w:t>在</w:t>
      </w:r>
      <w:r>
        <w:rPr>
          <w:rFonts w:eastAsia="方正仿宋简体"/>
          <w:color w:val="auto"/>
          <w:sz w:val="32"/>
          <w:szCs w:val="32"/>
        </w:rPr>
        <w:t>发展新质生产力、构建新发展格局、建设现代化经济体系</w:t>
      </w:r>
      <w:r>
        <w:rPr>
          <w:rFonts w:hint="eastAsia" w:eastAsia="方正仿宋简体"/>
          <w:color w:val="auto"/>
          <w:sz w:val="32"/>
          <w:szCs w:val="32"/>
          <w:lang w:val="en-US" w:eastAsia="zh-CN"/>
        </w:rPr>
        <w:t>上</w:t>
      </w:r>
      <w:r>
        <w:rPr>
          <w:rFonts w:eastAsia="方正仿宋简体"/>
          <w:color w:val="auto"/>
          <w:sz w:val="32"/>
          <w:szCs w:val="32"/>
        </w:rPr>
        <w:t>取得明显进展。</w:t>
      </w:r>
    </w:p>
    <w:p w14:paraId="594477F5">
      <w:pPr>
        <w:spacing w:line="576" w:lineRule="exact"/>
        <w:ind w:firstLine="640" w:firstLineChars="200"/>
        <w:rPr>
          <w:rFonts w:eastAsia="方正仿宋简体"/>
          <w:color w:val="auto"/>
          <w:sz w:val="32"/>
          <w:szCs w:val="32"/>
        </w:rPr>
      </w:pPr>
      <w:r>
        <w:rPr>
          <w:rFonts w:eastAsia="方正仿宋简体"/>
          <w:color w:val="auto"/>
          <w:sz w:val="32"/>
          <w:szCs w:val="32"/>
        </w:rPr>
        <w:t>——科技创新达到新高度。科技创新体系更加健全，科技创新联合攻关、聚力攻关机制不断完善，教育科技人才一体发展格局基本形成，基础研究和原始创新能力持续增强，科技创新和产业创新深度融合，科技成果转化效能大幅提升，创新驱动作用明显增强。</w:t>
      </w:r>
    </w:p>
    <w:p w14:paraId="32BAC660">
      <w:pPr>
        <w:spacing w:line="576" w:lineRule="exact"/>
        <w:ind w:firstLine="640" w:firstLineChars="200"/>
        <w:rPr>
          <w:rFonts w:eastAsia="方正仿宋简体"/>
          <w:color w:val="auto"/>
          <w:sz w:val="32"/>
          <w:szCs w:val="32"/>
        </w:rPr>
      </w:pPr>
      <w:r>
        <w:rPr>
          <w:rFonts w:eastAsia="方正仿宋简体"/>
          <w:color w:val="auto"/>
          <w:sz w:val="32"/>
          <w:szCs w:val="32"/>
        </w:rPr>
        <w:t>——改革开放取得新突破。治理体系和治理能力现代化扎实推进，城乡融合发展取得明显进展，区域协调发展节点作用不断凸显，市域副中心的作用显著增强，对接国家和省、市重大区域发展战略取得积极进展，国家级无疫区价值得到有效发挥，对外经贸合作渠道有效拓宽，开放型经济水平进一步提升。</w:t>
      </w:r>
    </w:p>
    <w:p w14:paraId="42591895">
      <w:pPr>
        <w:spacing w:line="576" w:lineRule="exact"/>
        <w:ind w:firstLine="640" w:firstLineChars="200"/>
        <w:rPr>
          <w:rFonts w:eastAsia="方正仿宋简体"/>
          <w:color w:val="auto"/>
          <w:sz w:val="32"/>
          <w:szCs w:val="32"/>
        </w:rPr>
      </w:pPr>
      <w:r>
        <w:rPr>
          <w:rFonts w:eastAsia="方正仿宋简体"/>
          <w:color w:val="auto"/>
          <w:sz w:val="32"/>
          <w:szCs w:val="32"/>
        </w:rPr>
        <w:t>——文化建设迈上新台阶。主流思想舆论不断巩固壮大，社会主义核心价值观广泛践行，历史文化遗产保护传承利用持续加强，文旅资源整合和要素配置更加高效，人民精神文化生活更加丰富，社会文明程度明显提升。</w:t>
      </w:r>
    </w:p>
    <w:p w14:paraId="6F10DF72">
      <w:pPr>
        <w:spacing w:line="576" w:lineRule="exact"/>
        <w:ind w:firstLine="640" w:firstLineChars="200"/>
        <w:rPr>
          <w:rFonts w:eastAsia="方正仿宋简体"/>
          <w:color w:val="auto"/>
          <w:sz w:val="32"/>
          <w:szCs w:val="32"/>
        </w:rPr>
      </w:pPr>
      <w:r>
        <w:rPr>
          <w:rFonts w:eastAsia="方正仿宋简体"/>
          <w:color w:val="auto"/>
          <w:sz w:val="32"/>
          <w:szCs w:val="32"/>
        </w:rPr>
        <w:t>——民生保障得到新提升。高质量充分就业提质扩容，城乡居民收入和经济增长基本同步，社会保障制度更加优化，基本公共服务均等化稳步推进，民生福祉不断增强，人民生活品质进一步提高，民生实事更加可感可及。</w:t>
      </w:r>
    </w:p>
    <w:p w14:paraId="75591804">
      <w:pPr>
        <w:spacing w:line="576" w:lineRule="exact"/>
        <w:ind w:firstLine="640" w:firstLineChars="200"/>
        <w:rPr>
          <w:rFonts w:eastAsia="方正仿宋简体"/>
          <w:color w:val="auto"/>
          <w:sz w:val="32"/>
          <w:szCs w:val="32"/>
        </w:rPr>
      </w:pPr>
      <w:r>
        <w:rPr>
          <w:rFonts w:eastAsia="方正仿宋简体"/>
          <w:color w:val="auto"/>
          <w:sz w:val="32"/>
          <w:szCs w:val="32"/>
        </w:rPr>
        <w:t>——生态环境展现新面貌。</w:t>
      </w:r>
      <w:r>
        <w:rPr>
          <w:rFonts w:hint="eastAsia" w:eastAsia="方正仿宋简体"/>
          <w:color w:val="auto"/>
          <w:sz w:val="32"/>
          <w:szCs w:val="32"/>
        </w:rPr>
        <w:t>“</w:t>
      </w:r>
      <w:r>
        <w:rPr>
          <w:rFonts w:eastAsia="方正仿宋简体"/>
          <w:color w:val="auto"/>
          <w:sz w:val="32"/>
          <w:szCs w:val="32"/>
        </w:rPr>
        <w:t>两山</w:t>
      </w:r>
      <w:r>
        <w:rPr>
          <w:rFonts w:hint="eastAsia" w:eastAsia="方正仿宋简体"/>
          <w:color w:val="auto"/>
          <w:sz w:val="32"/>
          <w:szCs w:val="32"/>
        </w:rPr>
        <w:t>”</w:t>
      </w:r>
      <w:r>
        <w:rPr>
          <w:rFonts w:eastAsia="方正仿宋简体"/>
          <w:color w:val="auto"/>
          <w:sz w:val="32"/>
          <w:szCs w:val="32"/>
        </w:rPr>
        <w:t>实践更加深入，重点领域绿色转型取得显著进展，绿色生产生活方式基本形成，低碳转型发展逐步深入，新型能源体系加快构建，污染</w:t>
      </w:r>
      <w:r>
        <w:rPr>
          <w:rFonts w:hint="eastAsia" w:eastAsia="方正仿宋简体"/>
          <w:color w:val="auto"/>
          <w:sz w:val="32"/>
          <w:szCs w:val="32"/>
          <w:lang w:val="en-US" w:eastAsia="zh-CN"/>
        </w:rPr>
        <w:t>防治</w:t>
      </w:r>
      <w:r>
        <w:rPr>
          <w:rFonts w:eastAsia="方正仿宋简体"/>
          <w:color w:val="auto"/>
          <w:sz w:val="32"/>
          <w:szCs w:val="32"/>
        </w:rPr>
        <w:t>水平进一步提升，生态系统多样性稳定性持续性不断提升。</w:t>
      </w:r>
    </w:p>
    <w:p w14:paraId="75FB382D">
      <w:pPr>
        <w:spacing w:line="576" w:lineRule="exact"/>
        <w:ind w:firstLine="640" w:firstLineChars="200"/>
        <w:rPr>
          <w:rFonts w:eastAsia="方正仿宋简体"/>
          <w:color w:val="auto"/>
          <w:sz w:val="32"/>
          <w:szCs w:val="32"/>
        </w:rPr>
      </w:pPr>
      <w:r>
        <w:rPr>
          <w:rFonts w:eastAsia="方正仿宋简体"/>
          <w:color w:val="auto"/>
          <w:sz w:val="32"/>
          <w:szCs w:val="32"/>
        </w:rPr>
        <w:t>——治理效能跃上新水平。民主法治更加健全，社会公平正义进一步彰显，重点领域风险得到有效防范化解，社会治理和公共安全治理水平明显提高，更高水平平安永吉、法治永吉建设扎实推进。</w:t>
      </w:r>
    </w:p>
    <w:p w14:paraId="41A717C0">
      <w:pPr>
        <w:spacing w:line="576" w:lineRule="exact"/>
        <w:ind w:firstLine="640" w:firstLineChars="200"/>
        <w:rPr>
          <w:rFonts w:eastAsia="方正仿宋简体"/>
          <w:color w:val="auto"/>
          <w:sz w:val="32"/>
          <w:szCs w:val="32"/>
        </w:rPr>
      </w:pPr>
      <w:r>
        <w:rPr>
          <w:rFonts w:hint="eastAsia" w:eastAsia="方正仿宋简体"/>
          <w:color w:val="auto"/>
          <w:sz w:val="32"/>
          <w:szCs w:val="32"/>
          <w:lang w:val="en-US" w:eastAsia="zh-CN"/>
        </w:rPr>
        <w:t>展望</w:t>
      </w:r>
      <w:r>
        <w:rPr>
          <w:rFonts w:eastAsia="方正仿宋简体"/>
          <w:color w:val="auto"/>
          <w:sz w:val="32"/>
          <w:szCs w:val="32"/>
        </w:rPr>
        <w:t>二〇三五年</w:t>
      </w:r>
      <w:r>
        <w:rPr>
          <w:rFonts w:hint="eastAsia" w:eastAsia="方正仿宋简体"/>
          <w:color w:val="auto"/>
          <w:sz w:val="32"/>
          <w:szCs w:val="32"/>
          <w:lang w:eastAsia="zh-CN"/>
        </w:rPr>
        <w:t>，</w:t>
      </w:r>
      <w:r>
        <w:rPr>
          <w:rFonts w:eastAsia="方正仿宋简体"/>
          <w:color w:val="auto"/>
          <w:sz w:val="32"/>
          <w:szCs w:val="32"/>
        </w:rPr>
        <w:t>全县经济实力、创新能力、发展活力、治理能力</w:t>
      </w:r>
      <w:r>
        <w:rPr>
          <w:rFonts w:hint="eastAsia" w:eastAsia="方正仿宋简体"/>
          <w:color w:val="auto"/>
          <w:sz w:val="32"/>
          <w:szCs w:val="32"/>
          <w:lang w:val="en-US" w:eastAsia="zh-CN"/>
        </w:rPr>
        <w:t>实现</w:t>
      </w:r>
      <w:r>
        <w:rPr>
          <w:rFonts w:eastAsia="方正仿宋简体"/>
          <w:color w:val="auto"/>
          <w:sz w:val="32"/>
          <w:szCs w:val="32"/>
        </w:rPr>
        <w:t>大幅攀升，人民生活更加幸福美好，进一步实现市域副中心城市建设目标，与全国全省全市一道基本实现社会主义现代化。</w:t>
      </w:r>
    </w:p>
    <w:p w14:paraId="4246EEE7">
      <w:pPr>
        <w:rPr>
          <w:rFonts w:eastAsia="方正小标宋简体"/>
          <w:color w:val="auto"/>
          <w:sz w:val="44"/>
          <w:szCs w:val="44"/>
        </w:rPr>
      </w:pPr>
    </w:p>
    <w:p w14:paraId="3647D8B4">
      <w:pPr>
        <w:rPr>
          <w:rFonts w:eastAsia="方正小标宋简体"/>
          <w:color w:val="auto"/>
          <w:sz w:val="44"/>
          <w:szCs w:val="44"/>
        </w:rPr>
      </w:pPr>
    </w:p>
    <w:p w14:paraId="3F65D505">
      <w:pPr>
        <w:spacing w:line="576" w:lineRule="exact"/>
        <w:jc w:val="center"/>
        <w:rPr>
          <w:rFonts w:hint="eastAsia" w:eastAsia="方正小标宋简体"/>
          <w:color w:val="auto"/>
          <w:sz w:val="44"/>
          <w:szCs w:val="44"/>
        </w:rPr>
      </w:pPr>
    </w:p>
    <w:p w14:paraId="408D0435">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color w:val="auto"/>
          <w:sz w:val="32"/>
          <w:szCs w:val="32"/>
        </w:rPr>
      </w:pPr>
    </w:p>
    <w:p w14:paraId="314A38EB">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“十五五”时期永吉县经济社会发展主要指标表</w:t>
      </w:r>
    </w:p>
    <w:tbl>
      <w:tblPr>
        <w:tblStyle w:val="11"/>
        <w:tblpPr w:leftFromText="180" w:rightFromText="180" w:vertAnchor="text" w:horzAnchor="page" w:tblpX="779" w:tblpY="231"/>
        <w:tblOverlap w:val="never"/>
        <w:tblW w:w="106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708"/>
        <w:gridCol w:w="2151"/>
        <w:gridCol w:w="1826"/>
        <w:gridCol w:w="1094"/>
        <w:gridCol w:w="1000"/>
        <w:gridCol w:w="1283"/>
        <w:gridCol w:w="1341"/>
      </w:tblGrid>
      <w:tr w14:paraId="26ECA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exact"/>
          <w:tblHeader/>
        </w:trPr>
        <w:tc>
          <w:tcPr>
            <w:tcW w:w="1276" w:type="dxa"/>
            <w:vAlign w:val="center"/>
          </w:tcPr>
          <w:p w14:paraId="0776676A">
            <w:pPr>
              <w:spacing w:after="160" w:line="278" w:lineRule="auto"/>
              <w:jc w:val="center"/>
              <w:rPr>
                <w:rFonts w:eastAsia="方正黑体简体"/>
                <w:color w:val="auto"/>
                <w:sz w:val="24"/>
                <w:szCs w:val="24"/>
              </w:rPr>
            </w:pPr>
            <w:r>
              <w:rPr>
                <w:rFonts w:eastAsia="方正黑体简体"/>
                <w:color w:val="auto"/>
                <w:sz w:val="24"/>
                <w:szCs w:val="24"/>
              </w:rPr>
              <w:t>类别</w:t>
            </w:r>
          </w:p>
        </w:tc>
        <w:tc>
          <w:tcPr>
            <w:tcW w:w="708" w:type="dxa"/>
            <w:vAlign w:val="center"/>
          </w:tcPr>
          <w:p w14:paraId="646A1164">
            <w:pPr>
              <w:spacing w:after="160" w:line="278" w:lineRule="auto"/>
              <w:jc w:val="center"/>
              <w:rPr>
                <w:rFonts w:eastAsia="方正黑体简体"/>
                <w:color w:val="auto"/>
                <w:sz w:val="24"/>
                <w:szCs w:val="24"/>
              </w:rPr>
            </w:pPr>
            <w:r>
              <w:rPr>
                <w:rFonts w:eastAsia="方正黑体简体"/>
                <w:color w:val="auto"/>
                <w:sz w:val="24"/>
                <w:szCs w:val="24"/>
              </w:rPr>
              <w:t>序号</w:t>
            </w:r>
          </w:p>
        </w:tc>
        <w:tc>
          <w:tcPr>
            <w:tcW w:w="3977" w:type="dxa"/>
            <w:gridSpan w:val="2"/>
            <w:vAlign w:val="center"/>
          </w:tcPr>
          <w:p w14:paraId="542A18E5">
            <w:pPr>
              <w:spacing w:after="160" w:line="278" w:lineRule="auto"/>
              <w:jc w:val="center"/>
              <w:rPr>
                <w:rFonts w:eastAsia="方正黑体简体"/>
                <w:color w:val="auto"/>
                <w:sz w:val="24"/>
                <w:szCs w:val="24"/>
              </w:rPr>
            </w:pPr>
            <w:r>
              <w:rPr>
                <w:rFonts w:eastAsia="方正黑体简体"/>
                <w:color w:val="auto"/>
                <w:sz w:val="24"/>
                <w:szCs w:val="24"/>
              </w:rPr>
              <w:t>指标</w:t>
            </w:r>
          </w:p>
        </w:tc>
        <w:tc>
          <w:tcPr>
            <w:tcW w:w="1094" w:type="dxa"/>
            <w:vAlign w:val="center"/>
          </w:tcPr>
          <w:p w14:paraId="6E09F4C9">
            <w:pPr>
              <w:spacing w:after="160" w:line="120" w:lineRule="auto"/>
              <w:jc w:val="center"/>
              <w:rPr>
                <w:rFonts w:eastAsia="方正黑体简体"/>
                <w:color w:val="auto"/>
                <w:sz w:val="24"/>
                <w:szCs w:val="24"/>
              </w:rPr>
            </w:pPr>
            <w:r>
              <w:rPr>
                <w:rFonts w:eastAsia="方正黑体简体"/>
                <w:color w:val="auto"/>
                <w:sz w:val="24"/>
                <w:szCs w:val="24"/>
              </w:rPr>
              <w:t>2025年预计</w:t>
            </w:r>
          </w:p>
        </w:tc>
        <w:tc>
          <w:tcPr>
            <w:tcW w:w="1000" w:type="dxa"/>
            <w:vAlign w:val="center"/>
          </w:tcPr>
          <w:p w14:paraId="0F00BCEE">
            <w:pPr>
              <w:spacing w:after="160" w:line="240" w:lineRule="auto"/>
              <w:jc w:val="center"/>
              <w:rPr>
                <w:rFonts w:eastAsia="方正黑体简体"/>
                <w:color w:val="auto"/>
                <w:sz w:val="24"/>
                <w:szCs w:val="24"/>
              </w:rPr>
            </w:pPr>
            <w:r>
              <w:rPr>
                <w:rFonts w:eastAsia="方正黑体简体"/>
                <w:color w:val="auto"/>
                <w:sz w:val="24"/>
                <w:szCs w:val="24"/>
              </w:rPr>
              <w:t>2030年</w:t>
            </w:r>
            <w:r>
              <w:rPr>
                <w:rFonts w:hint="eastAsia" w:eastAsia="方正黑体简体"/>
                <w:color w:val="auto"/>
                <w:sz w:val="24"/>
                <w:szCs w:val="24"/>
              </w:rPr>
              <w:t>目标</w:t>
            </w:r>
          </w:p>
        </w:tc>
        <w:tc>
          <w:tcPr>
            <w:tcW w:w="1283" w:type="dxa"/>
            <w:vAlign w:val="center"/>
          </w:tcPr>
          <w:p w14:paraId="2A5CBE52">
            <w:pPr>
              <w:spacing w:after="160" w:line="240" w:lineRule="auto"/>
              <w:jc w:val="center"/>
              <w:rPr>
                <w:rFonts w:eastAsia="方正黑体简体"/>
                <w:color w:val="auto"/>
                <w:sz w:val="24"/>
                <w:szCs w:val="24"/>
              </w:rPr>
            </w:pPr>
            <w:r>
              <w:rPr>
                <w:rFonts w:hint="eastAsia" w:eastAsia="方正黑体简体"/>
                <w:color w:val="auto"/>
                <w:sz w:val="24"/>
                <w:szCs w:val="24"/>
              </w:rPr>
              <w:t>年均/累计</w:t>
            </w:r>
          </w:p>
        </w:tc>
        <w:tc>
          <w:tcPr>
            <w:tcW w:w="1341" w:type="dxa"/>
            <w:vAlign w:val="center"/>
          </w:tcPr>
          <w:p w14:paraId="42FE0AAF">
            <w:pPr>
              <w:spacing w:after="160" w:line="278" w:lineRule="auto"/>
              <w:jc w:val="center"/>
              <w:rPr>
                <w:rFonts w:eastAsia="方正黑体简体"/>
                <w:color w:val="auto"/>
                <w:sz w:val="24"/>
                <w:szCs w:val="24"/>
              </w:rPr>
            </w:pPr>
            <w:r>
              <w:rPr>
                <w:rFonts w:eastAsia="方正黑体简体"/>
                <w:color w:val="auto"/>
                <w:sz w:val="24"/>
                <w:szCs w:val="24"/>
              </w:rPr>
              <w:t>属性</w:t>
            </w:r>
          </w:p>
        </w:tc>
      </w:tr>
      <w:tr w14:paraId="524EB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exact"/>
        </w:trPr>
        <w:tc>
          <w:tcPr>
            <w:tcW w:w="1276" w:type="dxa"/>
            <w:vMerge w:val="restart"/>
            <w:vAlign w:val="center"/>
          </w:tcPr>
          <w:p w14:paraId="60A54470">
            <w:pPr>
              <w:spacing w:after="160" w:line="278" w:lineRule="auto"/>
              <w:rPr>
                <w:rFonts w:eastAsia="方正黑体简体"/>
                <w:color w:val="auto"/>
                <w:sz w:val="24"/>
                <w:szCs w:val="24"/>
              </w:rPr>
            </w:pPr>
            <w:r>
              <w:rPr>
                <w:rFonts w:eastAsia="方正黑体简体"/>
                <w:color w:val="auto"/>
                <w:sz w:val="24"/>
                <w:szCs w:val="24"/>
              </w:rPr>
              <w:t>经济发展</w:t>
            </w:r>
          </w:p>
        </w:tc>
        <w:tc>
          <w:tcPr>
            <w:tcW w:w="708" w:type="dxa"/>
            <w:vAlign w:val="center"/>
          </w:tcPr>
          <w:p w14:paraId="3F3F7001">
            <w:pPr>
              <w:spacing w:after="160" w:line="278" w:lineRule="auto"/>
              <w:rPr>
                <w:rFonts w:eastAsia="方正仿宋简体"/>
                <w:color w:val="auto"/>
                <w:sz w:val="24"/>
                <w:szCs w:val="24"/>
              </w:rPr>
            </w:pPr>
            <w:r>
              <w:rPr>
                <w:rFonts w:eastAsia="方正仿宋简体"/>
                <w:color w:val="auto"/>
                <w:sz w:val="24"/>
                <w:szCs w:val="24"/>
              </w:rPr>
              <w:t>1</w:t>
            </w:r>
          </w:p>
        </w:tc>
        <w:tc>
          <w:tcPr>
            <w:tcW w:w="3977" w:type="dxa"/>
            <w:gridSpan w:val="2"/>
            <w:vAlign w:val="center"/>
          </w:tcPr>
          <w:p w14:paraId="7FB89EBE">
            <w:pPr>
              <w:spacing w:after="160" w:line="278" w:lineRule="auto"/>
              <w:rPr>
                <w:rFonts w:eastAsia="方正仿宋简体"/>
                <w:color w:val="auto"/>
                <w:sz w:val="24"/>
                <w:szCs w:val="24"/>
              </w:rPr>
            </w:pPr>
            <w:r>
              <w:rPr>
                <w:rFonts w:eastAsia="方正仿宋简体"/>
                <w:color w:val="auto"/>
                <w:sz w:val="24"/>
                <w:szCs w:val="24"/>
              </w:rPr>
              <w:t>地区生产总值（GDP）增</w:t>
            </w:r>
            <w:r>
              <w:rPr>
                <w:rFonts w:hint="eastAsia" w:eastAsia="方正仿宋简体"/>
                <w:color w:val="auto"/>
                <w:sz w:val="24"/>
                <w:szCs w:val="24"/>
                <w:lang w:val="en-US" w:eastAsia="zh-CN"/>
              </w:rPr>
              <w:t>长</w:t>
            </w:r>
            <w:r>
              <w:rPr>
                <w:rFonts w:eastAsia="方正仿宋简体"/>
                <w:color w:val="auto"/>
                <w:sz w:val="24"/>
                <w:szCs w:val="24"/>
              </w:rPr>
              <w:t>（%）</w:t>
            </w:r>
          </w:p>
        </w:tc>
        <w:tc>
          <w:tcPr>
            <w:tcW w:w="1094" w:type="dxa"/>
            <w:vAlign w:val="center"/>
          </w:tcPr>
          <w:p w14:paraId="68AECAB1">
            <w:pPr>
              <w:keepNext w:val="0"/>
              <w:keepLines w:val="0"/>
              <w:pageBreakBefore w:val="0"/>
              <w:widowControl w:val="0"/>
              <w:kinsoku/>
              <w:wordWrap/>
              <w:overflowPunct/>
              <w:topLinePunct w:val="0"/>
              <w:autoSpaceDE/>
              <w:autoSpaceDN/>
              <w:bidi w:val="0"/>
              <w:adjustRightInd/>
              <w:snapToGrid/>
              <w:spacing w:before="157" w:beforeLines="50" w:after="160" w:line="279" w:lineRule="auto"/>
              <w:jc w:val="center"/>
              <w:textAlignment w:val="auto"/>
              <w:rPr>
                <w:rFonts w:hint="eastAsia" w:eastAsia="方正仿宋简体"/>
                <w:color w:val="auto"/>
                <w:sz w:val="24"/>
                <w:szCs w:val="24"/>
                <w:lang w:eastAsia="zh-CN"/>
              </w:rPr>
            </w:pPr>
            <w:r>
              <w:rPr>
                <w:rFonts w:hint="eastAsia" w:eastAsia="方正仿宋简体"/>
                <w:color w:val="auto"/>
                <w:sz w:val="24"/>
                <w:szCs w:val="24"/>
                <w:highlight w:val="none"/>
                <w:lang w:val="en-US" w:eastAsia="zh-CN"/>
              </w:rPr>
              <w:t>5.6</w:t>
            </w:r>
          </w:p>
        </w:tc>
        <w:tc>
          <w:tcPr>
            <w:tcW w:w="1000" w:type="dxa"/>
            <w:vAlign w:val="center"/>
          </w:tcPr>
          <w:p w14:paraId="14A2E941">
            <w:pPr>
              <w:keepNext w:val="0"/>
              <w:keepLines w:val="0"/>
              <w:pageBreakBefore w:val="0"/>
              <w:widowControl w:val="0"/>
              <w:kinsoku/>
              <w:wordWrap/>
              <w:overflowPunct/>
              <w:topLinePunct w:val="0"/>
              <w:autoSpaceDE/>
              <w:autoSpaceDN/>
              <w:bidi w:val="0"/>
              <w:adjustRightInd/>
              <w:snapToGrid/>
              <w:spacing w:before="157" w:beforeLines="50" w:after="160" w:line="279" w:lineRule="auto"/>
              <w:jc w:val="center"/>
              <w:textAlignment w:val="auto"/>
              <w:rPr>
                <w:rFonts w:eastAsia="方正仿宋简体"/>
                <w:color w:val="auto"/>
                <w:sz w:val="24"/>
                <w:szCs w:val="24"/>
              </w:rPr>
            </w:pPr>
            <w:r>
              <w:rPr>
                <w:rFonts w:eastAsia="方正仿宋简体"/>
                <w:color w:val="auto"/>
                <w:sz w:val="24"/>
                <w:szCs w:val="24"/>
              </w:rPr>
              <w:t>--</w:t>
            </w:r>
          </w:p>
        </w:tc>
        <w:tc>
          <w:tcPr>
            <w:tcW w:w="1283" w:type="dxa"/>
            <w:vAlign w:val="center"/>
          </w:tcPr>
          <w:p w14:paraId="48DB2D3E">
            <w:pPr>
              <w:keepNext w:val="0"/>
              <w:keepLines w:val="0"/>
              <w:pageBreakBefore w:val="0"/>
              <w:widowControl w:val="0"/>
              <w:kinsoku/>
              <w:wordWrap/>
              <w:overflowPunct/>
              <w:topLinePunct w:val="0"/>
              <w:autoSpaceDE/>
              <w:autoSpaceDN/>
              <w:bidi w:val="0"/>
              <w:adjustRightInd/>
              <w:snapToGrid/>
              <w:spacing w:before="157" w:beforeLines="50" w:after="160" w:line="279" w:lineRule="auto"/>
              <w:jc w:val="center"/>
              <w:textAlignment w:val="auto"/>
              <w:rPr>
                <w:rFonts w:eastAsia="方正仿宋简体"/>
                <w:color w:val="auto"/>
                <w:sz w:val="24"/>
                <w:szCs w:val="24"/>
              </w:rPr>
            </w:pPr>
            <w:r>
              <w:rPr>
                <w:rFonts w:eastAsia="方正仿宋简体"/>
                <w:color w:val="auto"/>
                <w:sz w:val="24"/>
                <w:szCs w:val="24"/>
              </w:rPr>
              <w:t>6.0</w:t>
            </w:r>
          </w:p>
        </w:tc>
        <w:tc>
          <w:tcPr>
            <w:tcW w:w="1341" w:type="dxa"/>
            <w:vAlign w:val="center"/>
          </w:tcPr>
          <w:p w14:paraId="1B637A11">
            <w:pPr>
              <w:spacing w:after="160" w:line="278" w:lineRule="auto"/>
              <w:ind w:firstLine="240" w:firstLineChars="100"/>
              <w:rPr>
                <w:rFonts w:eastAsia="方正仿宋简体"/>
                <w:color w:val="auto"/>
                <w:sz w:val="24"/>
                <w:szCs w:val="24"/>
              </w:rPr>
            </w:pPr>
            <w:r>
              <w:rPr>
                <w:rFonts w:eastAsia="方正仿宋简体"/>
                <w:color w:val="auto"/>
                <w:sz w:val="24"/>
                <w:szCs w:val="24"/>
              </w:rPr>
              <w:t>预期性</w:t>
            </w:r>
          </w:p>
        </w:tc>
      </w:tr>
      <w:tr w14:paraId="1AB23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1276" w:type="dxa"/>
            <w:vMerge w:val="continue"/>
            <w:vAlign w:val="center"/>
          </w:tcPr>
          <w:p w14:paraId="2FC870B5">
            <w:pPr>
              <w:spacing w:after="160" w:line="278" w:lineRule="auto"/>
              <w:rPr>
                <w:rFonts w:eastAsia="方正黑体简体"/>
                <w:color w:val="auto"/>
                <w:sz w:val="24"/>
                <w:szCs w:val="24"/>
              </w:rPr>
            </w:pPr>
          </w:p>
        </w:tc>
        <w:tc>
          <w:tcPr>
            <w:tcW w:w="708" w:type="dxa"/>
            <w:vAlign w:val="center"/>
          </w:tcPr>
          <w:p w14:paraId="37988D7F">
            <w:pPr>
              <w:spacing w:after="160" w:line="278" w:lineRule="auto"/>
              <w:rPr>
                <w:rFonts w:eastAsia="方正仿宋简体"/>
                <w:color w:val="auto"/>
                <w:sz w:val="24"/>
                <w:szCs w:val="24"/>
              </w:rPr>
            </w:pPr>
            <w:r>
              <w:rPr>
                <w:rFonts w:eastAsia="方正仿宋简体"/>
                <w:color w:val="auto"/>
                <w:sz w:val="24"/>
                <w:szCs w:val="24"/>
              </w:rPr>
              <w:t>2</w:t>
            </w:r>
          </w:p>
        </w:tc>
        <w:tc>
          <w:tcPr>
            <w:tcW w:w="3977" w:type="dxa"/>
            <w:gridSpan w:val="2"/>
            <w:vAlign w:val="center"/>
          </w:tcPr>
          <w:p w14:paraId="72790E63">
            <w:pPr>
              <w:spacing w:after="160" w:line="278" w:lineRule="auto"/>
              <w:rPr>
                <w:rFonts w:eastAsia="方正仿宋简体"/>
                <w:color w:val="auto"/>
                <w:sz w:val="24"/>
                <w:szCs w:val="24"/>
              </w:rPr>
            </w:pPr>
            <w:r>
              <w:rPr>
                <w:rFonts w:eastAsia="方正仿宋简体"/>
                <w:color w:val="auto"/>
                <w:sz w:val="24"/>
                <w:szCs w:val="24"/>
              </w:rPr>
              <w:t>全员劳动生产率增长（%）</w:t>
            </w:r>
          </w:p>
        </w:tc>
        <w:tc>
          <w:tcPr>
            <w:tcW w:w="1094" w:type="dxa"/>
            <w:vAlign w:val="center"/>
          </w:tcPr>
          <w:p w14:paraId="2929D038">
            <w:pPr>
              <w:keepNext w:val="0"/>
              <w:keepLines w:val="0"/>
              <w:pageBreakBefore w:val="0"/>
              <w:widowControl w:val="0"/>
              <w:kinsoku/>
              <w:wordWrap/>
              <w:overflowPunct/>
              <w:topLinePunct w:val="0"/>
              <w:autoSpaceDE/>
              <w:autoSpaceDN/>
              <w:bidi w:val="0"/>
              <w:adjustRightInd/>
              <w:snapToGrid/>
              <w:spacing w:before="63" w:beforeLines="20" w:after="160" w:line="278" w:lineRule="auto"/>
              <w:jc w:val="center"/>
              <w:textAlignment w:val="auto"/>
              <w:rPr>
                <w:rFonts w:eastAsia="方正仿宋简体"/>
                <w:color w:val="auto"/>
                <w:sz w:val="24"/>
                <w:szCs w:val="24"/>
              </w:rPr>
            </w:pPr>
            <w:r>
              <w:rPr>
                <w:rFonts w:eastAsia="方正仿宋简体"/>
                <w:color w:val="auto"/>
                <w:sz w:val="24"/>
                <w:szCs w:val="24"/>
              </w:rPr>
              <w:t>--</w:t>
            </w:r>
          </w:p>
        </w:tc>
        <w:tc>
          <w:tcPr>
            <w:tcW w:w="1000" w:type="dxa"/>
            <w:vAlign w:val="center"/>
          </w:tcPr>
          <w:p w14:paraId="4425CFAE">
            <w:pPr>
              <w:keepNext w:val="0"/>
              <w:keepLines w:val="0"/>
              <w:pageBreakBefore w:val="0"/>
              <w:widowControl w:val="0"/>
              <w:kinsoku/>
              <w:wordWrap/>
              <w:overflowPunct/>
              <w:topLinePunct w:val="0"/>
              <w:autoSpaceDE/>
              <w:autoSpaceDN/>
              <w:bidi w:val="0"/>
              <w:adjustRightInd/>
              <w:snapToGrid/>
              <w:spacing w:before="63" w:beforeLines="20" w:after="160" w:line="278" w:lineRule="auto"/>
              <w:jc w:val="center"/>
              <w:textAlignment w:val="auto"/>
              <w:rPr>
                <w:rFonts w:eastAsia="方正仿宋简体"/>
                <w:color w:val="auto"/>
                <w:sz w:val="24"/>
                <w:szCs w:val="24"/>
              </w:rPr>
            </w:pPr>
            <w:r>
              <w:rPr>
                <w:rFonts w:eastAsia="方正仿宋简体"/>
                <w:color w:val="auto"/>
                <w:sz w:val="24"/>
                <w:szCs w:val="24"/>
              </w:rPr>
              <w:t>--</w:t>
            </w:r>
          </w:p>
        </w:tc>
        <w:tc>
          <w:tcPr>
            <w:tcW w:w="1283" w:type="dxa"/>
            <w:vAlign w:val="center"/>
          </w:tcPr>
          <w:p w14:paraId="799D3028">
            <w:pPr>
              <w:keepNext w:val="0"/>
              <w:keepLines w:val="0"/>
              <w:pageBreakBefore w:val="0"/>
              <w:widowControl w:val="0"/>
              <w:kinsoku/>
              <w:wordWrap/>
              <w:overflowPunct/>
              <w:topLinePunct w:val="0"/>
              <w:autoSpaceDE/>
              <w:autoSpaceDN/>
              <w:bidi w:val="0"/>
              <w:adjustRightInd/>
              <w:snapToGrid/>
              <w:spacing w:before="63" w:beforeLines="20" w:after="160" w:line="120" w:lineRule="auto"/>
              <w:jc w:val="center"/>
              <w:textAlignment w:val="auto"/>
              <w:rPr>
                <w:rFonts w:eastAsia="方正仿宋简体"/>
                <w:color w:val="auto"/>
                <w:sz w:val="24"/>
                <w:szCs w:val="24"/>
              </w:rPr>
            </w:pPr>
            <w:r>
              <w:rPr>
                <w:rFonts w:eastAsia="方正仿宋简体"/>
                <w:color w:val="auto"/>
                <w:szCs w:val="21"/>
              </w:rPr>
              <w:t>高于GDP增长</w:t>
            </w:r>
          </w:p>
        </w:tc>
        <w:tc>
          <w:tcPr>
            <w:tcW w:w="1341" w:type="dxa"/>
            <w:vAlign w:val="center"/>
          </w:tcPr>
          <w:p w14:paraId="1E4D6898">
            <w:pPr>
              <w:spacing w:after="160" w:line="278" w:lineRule="auto"/>
              <w:ind w:firstLine="240" w:firstLineChars="100"/>
              <w:rPr>
                <w:rFonts w:eastAsia="方正仿宋简体"/>
                <w:color w:val="auto"/>
                <w:sz w:val="24"/>
                <w:szCs w:val="24"/>
              </w:rPr>
            </w:pPr>
            <w:r>
              <w:rPr>
                <w:rFonts w:eastAsia="方正仿宋简体"/>
                <w:color w:val="auto"/>
                <w:sz w:val="24"/>
                <w:szCs w:val="24"/>
              </w:rPr>
              <w:t>预期性</w:t>
            </w:r>
          </w:p>
        </w:tc>
      </w:tr>
      <w:tr w14:paraId="3AB6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6" w:type="dxa"/>
            <w:vMerge w:val="continue"/>
            <w:vAlign w:val="center"/>
          </w:tcPr>
          <w:p w14:paraId="431A3F52">
            <w:pPr>
              <w:spacing w:after="160" w:line="278" w:lineRule="auto"/>
              <w:rPr>
                <w:rFonts w:eastAsia="方正黑体简体"/>
                <w:color w:val="auto"/>
                <w:sz w:val="24"/>
                <w:szCs w:val="24"/>
              </w:rPr>
            </w:pPr>
          </w:p>
        </w:tc>
        <w:tc>
          <w:tcPr>
            <w:tcW w:w="708" w:type="dxa"/>
            <w:vAlign w:val="center"/>
          </w:tcPr>
          <w:p w14:paraId="60FBFE89">
            <w:pPr>
              <w:spacing w:after="160" w:line="278" w:lineRule="auto"/>
              <w:rPr>
                <w:rFonts w:eastAsia="方正仿宋简体"/>
                <w:color w:val="auto"/>
                <w:sz w:val="24"/>
                <w:szCs w:val="24"/>
              </w:rPr>
            </w:pPr>
            <w:r>
              <w:rPr>
                <w:rFonts w:eastAsia="方正仿宋简体"/>
                <w:color w:val="auto"/>
                <w:sz w:val="24"/>
                <w:szCs w:val="24"/>
              </w:rPr>
              <w:t>3</w:t>
            </w:r>
          </w:p>
        </w:tc>
        <w:tc>
          <w:tcPr>
            <w:tcW w:w="3977" w:type="dxa"/>
            <w:gridSpan w:val="2"/>
            <w:vAlign w:val="center"/>
          </w:tcPr>
          <w:p w14:paraId="3E60AE21">
            <w:pPr>
              <w:spacing w:after="160" w:line="278" w:lineRule="auto"/>
              <w:rPr>
                <w:rFonts w:eastAsia="方正仿宋简体"/>
                <w:color w:val="auto"/>
                <w:sz w:val="24"/>
                <w:szCs w:val="24"/>
              </w:rPr>
            </w:pPr>
            <w:r>
              <w:rPr>
                <w:rFonts w:eastAsia="方正仿宋简体"/>
                <w:color w:val="auto"/>
                <w:sz w:val="24"/>
                <w:szCs w:val="24"/>
              </w:rPr>
              <w:t>常住人口城镇化率（%）</w:t>
            </w:r>
          </w:p>
        </w:tc>
        <w:tc>
          <w:tcPr>
            <w:tcW w:w="1094" w:type="dxa"/>
            <w:vAlign w:val="center"/>
          </w:tcPr>
          <w:p w14:paraId="1E04F218">
            <w:pPr>
              <w:spacing w:after="160" w:line="278" w:lineRule="auto"/>
              <w:jc w:val="center"/>
              <w:rPr>
                <w:rFonts w:eastAsia="方正仿宋简体"/>
                <w:color w:val="auto"/>
                <w:sz w:val="24"/>
                <w:szCs w:val="24"/>
              </w:rPr>
            </w:pPr>
            <w:r>
              <w:rPr>
                <w:rFonts w:eastAsia="方正仿宋简体"/>
                <w:color w:val="auto"/>
                <w:sz w:val="24"/>
                <w:szCs w:val="24"/>
              </w:rPr>
              <w:t>43.5</w:t>
            </w:r>
          </w:p>
        </w:tc>
        <w:tc>
          <w:tcPr>
            <w:tcW w:w="1000" w:type="dxa"/>
            <w:vAlign w:val="center"/>
          </w:tcPr>
          <w:p w14:paraId="3EC84ED9">
            <w:pPr>
              <w:spacing w:after="160" w:line="278" w:lineRule="auto"/>
              <w:jc w:val="center"/>
              <w:rPr>
                <w:rFonts w:hint="default" w:eastAsia="方正仿宋简体"/>
                <w:color w:val="auto"/>
                <w:sz w:val="24"/>
                <w:szCs w:val="24"/>
                <w:lang w:val="en-US" w:eastAsia="zh-CN"/>
              </w:rPr>
            </w:pPr>
            <w:r>
              <w:rPr>
                <w:rFonts w:hint="eastAsia" w:eastAsia="方正仿宋简体"/>
                <w:color w:val="auto"/>
                <w:sz w:val="24"/>
                <w:szCs w:val="24"/>
                <w:lang w:val="en-US" w:eastAsia="zh-CN"/>
              </w:rPr>
              <w:t>47</w:t>
            </w:r>
          </w:p>
        </w:tc>
        <w:tc>
          <w:tcPr>
            <w:tcW w:w="1283" w:type="dxa"/>
            <w:vAlign w:val="center"/>
          </w:tcPr>
          <w:p w14:paraId="2585A34A">
            <w:pPr>
              <w:spacing w:after="160" w:line="278" w:lineRule="auto"/>
              <w:jc w:val="center"/>
              <w:rPr>
                <w:rFonts w:eastAsia="方正仿宋简体"/>
                <w:color w:val="auto"/>
                <w:sz w:val="24"/>
                <w:szCs w:val="24"/>
              </w:rPr>
            </w:pPr>
            <w:r>
              <w:rPr>
                <w:rFonts w:eastAsia="方正仿宋简体"/>
                <w:color w:val="auto"/>
                <w:sz w:val="24"/>
                <w:szCs w:val="24"/>
              </w:rPr>
              <w:t>--</w:t>
            </w:r>
          </w:p>
        </w:tc>
        <w:tc>
          <w:tcPr>
            <w:tcW w:w="1341" w:type="dxa"/>
            <w:vAlign w:val="center"/>
          </w:tcPr>
          <w:p w14:paraId="12D61A2A">
            <w:pPr>
              <w:spacing w:after="160" w:line="278" w:lineRule="auto"/>
              <w:ind w:firstLine="240" w:firstLineChars="100"/>
              <w:rPr>
                <w:rFonts w:eastAsia="方正仿宋简体"/>
                <w:color w:val="auto"/>
                <w:sz w:val="24"/>
                <w:szCs w:val="24"/>
              </w:rPr>
            </w:pPr>
            <w:r>
              <w:rPr>
                <w:rFonts w:eastAsia="方正仿宋简体"/>
                <w:color w:val="auto"/>
                <w:sz w:val="24"/>
                <w:szCs w:val="24"/>
              </w:rPr>
              <w:t>预期性</w:t>
            </w:r>
          </w:p>
        </w:tc>
      </w:tr>
      <w:tr w14:paraId="5E90F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6" w:type="dxa"/>
            <w:vMerge w:val="restart"/>
            <w:vAlign w:val="center"/>
          </w:tcPr>
          <w:p w14:paraId="038B73EC">
            <w:pPr>
              <w:spacing w:after="160" w:line="278" w:lineRule="auto"/>
              <w:rPr>
                <w:rFonts w:eastAsia="方正黑体简体"/>
                <w:color w:val="auto"/>
                <w:sz w:val="24"/>
                <w:szCs w:val="24"/>
              </w:rPr>
            </w:pPr>
            <w:r>
              <w:rPr>
                <w:rFonts w:eastAsia="方正黑体简体"/>
                <w:color w:val="auto"/>
                <w:sz w:val="24"/>
                <w:szCs w:val="24"/>
              </w:rPr>
              <w:t>创新驱动</w:t>
            </w:r>
          </w:p>
        </w:tc>
        <w:tc>
          <w:tcPr>
            <w:tcW w:w="708" w:type="dxa"/>
            <w:vAlign w:val="center"/>
          </w:tcPr>
          <w:p w14:paraId="17EAD584">
            <w:pPr>
              <w:spacing w:after="160" w:line="278" w:lineRule="auto"/>
              <w:rPr>
                <w:rFonts w:eastAsia="方正仿宋简体"/>
                <w:color w:val="auto"/>
                <w:sz w:val="24"/>
                <w:szCs w:val="24"/>
              </w:rPr>
            </w:pPr>
            <w:r>
              <w:rPr>
                <w:rFonts w:eastAsia="方正仿宋简体"/>
                <w:color w:val="auto"/>
                <w:sz w:val="24"/>
                <w:szCs w:val="24"/>
              </w:rPr>
              <w:t>4</w:t>
            </w:r>
          </w:p>
        </w:tc>
        <w:tc>
          <w:tcPr>
            <w:tcW w:w="3977" w:type="dxa"/>
            <w:gridSpan w:val="2"/>
            <w:vAlign w:val="center"/>
          </w:tcPr>
          <w:p w14:paraId="270DE5F2">
            <w:pPr>
              <w:spacing w:after="160" w:line="278" w:lineRule="auto"/>
              <w:rPr>
                <w:rFonts w:eastAsia="方正仿宋简体"/>
                <w:color w:val="auto"/>
                <w:sz w:val="24"/>
                <w:szCs w:val="24"/>
              </w:rPr>
            </w:pPr>
            <w:r>
              <w:rPr>
                <w:rFonts w:eastAsia="方正仿宋简体"/>
                <w:color w:val="auto"/>
                <w:sz w:val="24"/>
                <w:szCs w:val="24"/>
              </w:rPr>
              <w:t>全社会研发经费投入增长（%）</w:t>
            </w:r>
          </w:p>
        </w:tc>
        <w:tc>
          <w:tcPr>
            <w:tcW w:w="1094" w:type="dxa"/>
            <w:vAlign w:val="center"/>
          </w:tcPr>
          <w:p w14:paraId="5B3B4935">
            <w:pPr>
              <w:spacing w:after="160" w:line="278" w:lineRule="auto"/>
              <w:jc w:val="center"/>
              <w:rPr>
                <w:rFonts w:eastAsia="方正仿宋简体"/>
                <w:color w:val="auto"/>
                <w:sz w:val="24"/>
                <w:szCs w:val="24"/>
              </w:rPr>
            </w:pPr>
            <w:r>
              <w:rPr>
                <w:rFonts w:eastAsia="方正仿宋简体"/>
                <w:color w:val="auto"/>
                <w:sz w:val="24"/>
                <w:szCs w:val="24"/>
              </w:rPr>
              <w:t>--</w:t>
            </w:r>
          </w:p>
        </w:tc>
        <w:tc>
          <w:tcPr>
            <w:tcW w:w="1000" w:type="dxa"/>
            <w:vAlign w:val="center"/>
          </w:tcPr>
          <w:p w14:paraId="0C745D5C">
            <w:pPr>
              <w:spacing w:after="160" w:line="278" w:lineRule="auto"/>
              <w:jc w:val="center"/>
              <w:rPr>
                <w:rFonts w:eastAsia="方正仿宋简体"/>
                <w:color w:val="auto"/>
                <w:sz w:val="24"/>
                <w:szCs w:val="24"/>
              </w:rPr>
            </w:pPr>
            <w:r>
              <w:rPr>
                <w:rFonts w:eastAsia="方正仿宋简体"/>
                <w:color w:val="auto"/>
                <w:sz w:val="24"/>
                <w:szCs w:val="24"/>
              </w:rPr>
              <w:t>5</w:t>
            </w:r>
          </w:p>
        </w:tc>
        <w:tc>
          <w:tcPr>
            <w:tcW w:w="1283" w:type="dxa"/>
            <w:vAlign w:val="center"/>
          </w:tcPr>
          <w:p w14:paraId="672E437F">
            <w:pPr>
              <w:spacing w:after="160" w:line="278" w:lineRule="auto"/>
              <w:jc w:val="center"/>
              <w:rPr>
                <w:rFonts w:eastAsia="方正仿宋简体"/>
                <w:color w:val="auto"/>
                <w:sz w:val="24"/>
                <w:szCs w:val="24"/>
              </w:rPr>
            </w:pPr>
            <w:r>
              <w:rPr>
                <w:rFonts w:eastAsia="方正仿宋简体"/>
                <w:color w:val="auto"/>
                <w:sz w:val="24"/>
                <w:szCs w:val="24"/>
              </w:rPr>
              <w:t>--</w:t>
            </w:r>
          </w:p>
        </w:tc>
        <w:tc>
          <w:tcPr>
            <w:tcW w:w="1341" w:type="dxa"/>
            <w:vAlign w:val="center"/>
          </w:tcPr>
          <w:p w14:paraId="74E05E5D">
            <w:pPr>
              <w:spacing w:after="160" w:line="278" w:lineRule="auto"/>
              <w:ind w:firstLine="240" w:firstLineChars="100"/>
              <w:rPr>
                <w:rFonts w:eastAsia="方正仿宋简体"/>
                <w:color w:val="auto"/>
                <w:sz w:val="24"/>
                <w:szCs w:val="24"/>
              </w:rPr>
            </w:pPr>
            <w:r>
              <w:rPr>
                <w:rFonts w:eastAsia="方正仿宋简体"/>
                <w:color w:val="auto"/>
                <w:sz w:val="24"/>
                <w:szCs w:val="24"/>
              </w:rPr>
              <w:t>预期性</w:t>
            </w:r>
          </w:p>
        </w:tc>
      </w:tr>
      <w:tr w14:paraId="6A2BD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6" w:type="dxa"/>
            <w:vMerge w:val="continue"/>
            <w:vAlign w:val="center"/>
          </w:tcPr>
          <w:p w14:paraId="7BB842AD">
            <w:pPr>
              <w:spacing w:after="160" w:line="278" w:lineRule="auto"/>
              <w:rPr>
                <w:rFonts w:eastAsia="方正黑体简体"/>
                <w:color w:val="auto"/>
                <w:sz w:val="24"/>
                <w:szCs w:val="24"/>
              </w:rPr>
            </w:pPr>
          </w:p>
        </w:tc>
        <w:tc>
          <w:tcPr>
            <w:tcW w:w="708" w:type="dxa"/>
            <w:vAlign w:val="center"/>
          </w:tcPr>
          <w:p w14:paraId="66E2DD88">
            <w:pPr>
              <w:spacing w:after="160" w:line="278" w:lineRule="auto"/>
              <w:rPr>
                <w:rFonts w:eastAsia="方正仿宋简体"/>
                <w:color w:val="auto"/>
                <w:sz w:val="24"/>
                <w:szCs w:val="24"/>
              </w:rPr>
            </w:pPr>
            <w:r>
              <w:rPr>
                <w:rFonts w:eastAsia="方正仿宋简体"/>
                <w:color w:val="auto"/>
                <w:sz w:val="24"/>
                <w:szCs w:val="24"/>
              </w:rPr>
              <w:t>5</w:t>
            </w:r>
          </w:p>
        </w:tc>
        <w:tc>
          <w:tcPr>
            <w:tcW w:w="3977" w:type="dxa"/>
            <w:gridSpan w:val="2"/>
            <w:vAlign w:val="center"/>
          </w:tcPr>
          <w:p w14:paraId="28599FD2">
            <w:pPr>
              <w:spacing w:after="160" w:line="278" w:lineRule="auto"/>
              <w:rPr>
                <w:rFonts w:eastAsia="方正仿宋简体"/>
                <w:color w:val="auto"/>
                <w:sz w:val="24"/>
                <w:szCs w:val="24"/>
              </w:rPr>
            </w:pPr>
            <w:r>
              <w:rPr>
                <w:rFonts w:eastAsia="方正仿宋简体"/>
                <w:color w:val="auto"/>
                <w:sz w:val="24"/>
                <w:szCs w:val="24"/>
              </w:rPr>
              <w:t>高新技术企业数（家）</w:t>
            </w:r>
          </w:p>
        </w:tc>
        <w:tc>
          <w:tcPr>
            <w:tcW w:w="1094" w:type="dxa"/>
            <w:vAlign w:val="center"/>
          </w:tcPr>
          <w:p w14:paraId="115506F8">
            <w:pPr>
              <w:spacing w:after="160" w:line="278" w:lineRule="auto"/>
              <w:jc w:val="center"/>
              <w:rPr>
                <w:rFonts w:eastAsia="方正仿宋简体"/>
                <w:color w:val="auto"/>
                <w:sz w:val="24"/>
                <w:szCs w:val="24"/>
              </w:rPr>
            </w:pPr>
            <w:r>
              <w:rPr>
                <w:rFonts w:eastAsia="方正仿宋简体"/>
                <w:color w:val="auto"/>
                <w:sz w:val="24"/>
                <w:szCs w:val="24"/>
              </w:rPr>
              <w:t>24</w:t>
            </w:r>
          </w:p>
        </w:tc>
        <w:tc>
          <w:tcPr>
            <w:tcW w:w="1000" w:type="dxa"/>
            <w:vAlign w:val="center"/>
          </w:tcPr>
          <w:p w14:paraId="05F91D1B">
            <w:pPr>
              <w:spacing w:after="160" w:line="278" w:lineRule="auto"/>
              <w:jc w:val="center"/>
              <w:rPr>
                <w:rFonts w:eastAsia="方正仿宋简体"/>
                <w:color w:val="auto"/>
                <w:sz w:val="24"/>
                <w:szCs w:val="24"/>
              </w:rPr>
            </w:pPr>
            <w:r>
              <w:rPr>
                <w:rFonts w:eastAsia="方正仿宋简体"/>
                <w:color w:val="auto"/>
                <w:sz w:val="24"/>
                <w:szCs w:val="24"/>
              </w:rPr>
              <w:t>30</w:t>
            </w:r>
          </w:p>
        </w:tc>
        <w:tc>
          <w:tcPr>
            <w:tcW w:w="1283" w:type="dxa"/>
            <w:vAlign w:val="center"/>
          </w:tcPr>
          <w:p w14:paraId="40DE5373">
            <w:pPr>
              <w:spacing w:after="160" w:line="278" w:lineRule="auto"/>
              <w:jc w:val="center"/>
              <w:rPr>
                <w:rFonts w:eastAsia="方正仿宋简体"/>
                <w:color w:val="auto"/>
                <w:sz w:val="24"/>
                <w:szCs w:val="24"/>
              </w:rPr>
            </w:pPr>
            <w:r>
              <w:rPr>
                <w:rFonts w:eastAsia="方正仿宋简体"/>
                <w:color w:val="auto"/>
                <w:sz w:val="24"/>
                <w:szCs w:val="24"/>
              </w:rPr>
              <w:t>--</w:t>
            </w:r>
          </w:p>
        </w:tc>
        <w:tc>
          <w:tcPr>
            <w:tcW w:w="1341" w:type="dxa"/>
            <w:vAlign w:val="center"/>
          </w:tcPr>
          <w:p w14:paraId="2C3436EC">
            <w:pPr>
              <w:spacing w:after="160" w:line="278" w:lineRule="auto"/>
              <w:ind w:firstLine="240" w:firstLineChars="100"/>
              <w:rPr>
                <w:rFonts w:eastAsia="方正仿宋简体"/>
                <w:color w:val="auto"/>
                <w:sz w:val="24"/>
                <w:szCs w:val="24"/>
              </w:rPr>
            </w:pPr>
            <w:r>
              <w:rPr>
                <w:rFonts w:eastAsia="方正仿宋简体"/>
                <w:color w:val="auto"/>
                <w:sz w:val="24"/>
                <w:szCs w:val="24"/>
              </w:rPr>
              <w:t>预期性</w:t>
            </w:r>
          </w:p>
        </w:tc>
      </w:tr>
      <w:tr w14:paraId="56861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6" w:type="dxa"/>
            <w:vMerge w:val="continue"/>
            <w:vAlign w:val="center"/>
          </w:tcPr>
          <w:p w14:paraId="2E935B3D">
            <w:pPr>
              <w:spacing w:after="160" w:line="278" w:lineRule="auto"/>
              <w:rPr>
                <w:rFonts w:eastAsia="方正黑体简体"/>
                <w:color w:val="auto"/>
                <w:sz w:val="24"/>
                <w:szCs w:val="24"/>
              </w:rPr>
            </w:pPr>
          </w:p>
        </w:tc>
        <w:tc>
          <w:tcPr>
            <w:tcW w:w="708" w:type="dxa"/>
            <w:vAlign w:val="center"/>
          </w:tcPr>
          <w:p w14:paraId="66200B46">
            <w:pPr>
              <w:spacing w:after="160" w:line="278" w:lineRule="auto"/>
              <w:rPr>
                <w:rFonts w:eastAsia="方正仿宋简体"/>
                <w:color w:val="auto"/>
                <w:sz w:val="24"/>
                <w:szCs w:val="24"/>
              </w:rPr>
            </w:pPr>
            <w:r>
              <w:rPr>
                <w:rFonts w:eastAsia="方正仿宋简体"/>
                <w:color w:val="auto"/>
                <w:sz w:val="24"/>
                <w:szCs w:val="24"/>
              </w:rPr>
              <w:t>6</w:t>
            </w:r>
          </w:p>
        </w:tc>
        <w:tc>
          <w:tcPr>
            <w:tcW w:w="3977" w:type="dxa"/>
            <w:gridSpan w:val="2"/>
            <w:vAlign w:val="center"/>
          </w:tcPr>
          <w:p w14:paraId="765D6DA5">
            <w:pPr>
              <w:spacing w:after="160" w:line="278" w:lineRule="auto"/>
              <w:rPr>
                <w:rFonts w:eastAsia="方正仿宋简体"/>
                <w:color w:val="auto"/>
                <w:sz w:val="24"/>
                <w:szCs w:val="24"/>
              </w:rPr>
            </w:pPr>
            <w:r>
              <w:rPr>
                <w:rFonts w:eastAsia="方正仿宋简体"/>
                <w:color w:val="auto"/>
                <w:sz w:val="24"/>
                <w:szCs w:val="24"/>
              </w:rPr>
              <w:t>每万人高价值发明专利拥有量（件）</w:t>
            </w:r>
          </w:p>
        </w:tc>
        <w:tc>
          <w:tcPr>
            <w:tcW w:w="1094" w:type="dxa"/>
            <w:vAlign w:val="center"/>
          </w:tcPr>
          <w:p w14:paraId="79443E63">
            <w:pPr>
              <w:spacing w:after="160" w:line="278" w:lineRule="auto"/>
              <w:jc w:val="center"/>
              <w:rPr>
                <w:rFonts w:eastAsia="方正仿宋简体"/>
                <w:color w:val="auto"/>
                <w:sz w:val="24"/>
                <w:szCs w:val="24"/>
              </w:rPr>
            </w:pPr>
            <w:r>
              <w:rPr>
                <w:rFonts w:eastAsia="方正仿宋简体"/>
                <w:color w:val="auto"/>
                <w:sz w:val="24"/>
                <w:szCs w:val="24"/>
              </w:rPr>
              <w:t>1.18</w:t>
            </w:r>
          </w:p>
        </w:tc>
        <w:tc>
          <w:tcPr>
            <w:tcW w:w="1000" w:type="dxa"/>
            <w:vAlign w:val="center"/>
          </w:tcPr>
          <w:p w14:paraId="4A1A4816">
            <w:pPr>
              <w:spacing w:after="160" w:line="278" w:lineRule="auto"/>
              <w:jc w:val="center"/>
              <w:rPr>
                <w:rFonts w:eastAsia="方正仿宋简体"/>
                <w:color w:val="auto"/>
                <w:sz w:val="24"/>
                <w:szCs w:val="24"/>
              </w:rPr>
            </w:pPr>
            <w:r>
              <w:rPr>
                <w:rFonts w:eastAsia="方正仿宋简体"/>
                <w:color w:val="auto"/>
                <w:sz w:val="24"/>
                <w:szCs w:val="24"/>
              </w:rPr>
              <w:t>1.5</w:t>
            </w:r>
          </w:p>
        </w:tc>
        <w:tc>
          <w:tcPr>
            <w:tcW w:w="1283" w:type="dxa"/>
            <w:vAlign w:val="center"/>
          </w:tcPr>
          <w:p w14:paraId="6D4C5206">
            <w:pPr>
              <w:spacing w:after="160" w:line="278" w:lineRule="auto"/>
              <w:jc w:val="center"/>
              <w:rPr>
                <w:rFonts w:eastAsia="方正仿宋简体"/>
                <w:color w:val="auto"/>
                <w:sz w:val="24"/>
                <w:szCs w:val="24"/>
              </w:rPr>
            </w:pPr>
            <w:r>
              <w:rPr>
                <w:rFonts w:eastAsia="方正仿宋简体"/>
                <w:color w:val="auto"/>
                <w:sz w:val="24"/>
                <w:szCs w:val="24"/>
              </w:rPr>
              <w:t>--</w:t>
            </w:r>
          </w:p>
        </w:tc>
        <w:tc>
          <w:tcPr>
            <w:tcW w:w="1341" w:type="dxa"/>
            <w:vAlign w:val="center"/>
          </w:tcPr>
          <w:p w14:paraId="23F3AED0">
            <w:pPr>
              <w:spacing w:after="160" w:line="278" w:lineRule="auto"/>
              <w:ind w:firstLine="240" w:firstLineChars="100"/>
              <w:rPr>
                <w:rFonts w:eastAsia="方正仿宋简体"/>
                <w:color w:val="auto"/>
                <w:sz w:val="24"/>
                <w:szCs w:val="24"/>
              </w:rPr>
            </w:pPr>
            <w:r>
              <w:rPr>
                <w:rFonts w:eastAsia="方正仿宋简体"/>
                <w:color w:val="auto"/>
                <w:sz w:val="24"/>
                <w:szCs w:val="24"/>
              </w:rPr>
              <w:t>预期性</w:t>
            </w:r>
          </w:p>
        </w:tc>
      </w:tr>
      <w:tr w14:paraId="1CD77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trPr>
        <w:tc>
          <w:tcPr>
            <w:tcW w:w="1276" w:type="dxa"/>
            <w:vMerge w:val="continue"/>
            <w:vAlign w:val="center"/>
          </w:tcPr>
          <w:p w14:paraId="70BF73DB">
            <w:pPr>
              <w:spacing w:after="160" w:line="278" w:lineRule="auto"/>
              <w:rPr>
                <w:rFonts w:eastAsia="方正黑体简体"/>
                <w:color w:val="auto"/>
                <w:sz w:val="24"/>
                <w:szCs w:val="24"/>
                <w:highlight w:val="none"/>
              </w:rPr>
            </w:pPr>
          </w:p>
        </w:tc>
        <w:tc>
          <w:tcPr>
            <w:tcW w:w="708" w:type="dxa"/>
            <w:vAlign w:val="center"/>
          </w:tcPr>
          <w:p w14:paraId="7BCC7D09">
            <w:pPr>
              <w:spacing w:after="160" w:line="278" w:lineRule="auto"/>
              <w:rPr>
                <w:rFonts w:eastAsia="方正仿宋简体"/>
                <w:color w:val="auto"/>
                <w:sz w:val="24"/>
                <w:szCs w:val="24"/>
                <w:highlight w:val="none"/>
              </w:rPr>
            </w:pPr>
            <w:r>
              <w:rPr>
                <w:rFonts w:eastAsia="方正仿宋简体"/>
                <w:color w:val="auto"/>
                <w:sz w:val="24"/>
                <w:szCs w:val="24"/>
                <w:highlight w:val="none"/>
              </w:rPr>
              <w:t>7</w:t>
            </w:r>
          </w:p>
        </w:tc>
        <w:tc>
          <w:tcPr>
            <w:tcW w:w="3977" w:type="dxa"/>
            <w:gridSpan w:val="2"/>
            <w:vAlign w:val="center"/>
          </w:tcPr>
          <w:p w14:paraId="6EE5B26F">
            <w:pPr>
              <w:spacing w:after="160" w:line="278" w:lineRule="auto"/>
              <w:rPr>
                <w:rFonts w:eastAsia="方正仿宋简体"/>
                <w:color w:val="auto"/>
                <w:szCs w:val="21"/>
                <w:highlight w:val="none"/>
              </w:rPr>
            </w:pPr>
            <w:r>
              <w:rPr>
                <w:rFonts w:eastAsia="方正仿宋简体"/>
                <w:color w:val="auto"/>
                <w:sz w:val="24"/>
                <w:szCs w:val="24"/>
                <w:highlight w:val="none"/>
              </w:rPr>
              <w:t>数字经济产业营业收入</w:t>
            </w:r>
            <w:r>
              <w:rPr>
                <w:rFonts w:hint="eastAsia" w:eastAsia="方正仿宋简体"/>
                <w:color w:val="auto"/>
                <w:sz w:val="24"/>
                <w:szCs w:val="24"/>
                <w:highlight w:val="none"/>
              </w:rPr>
              <w:t>增长</w:t>
            </w:r>
            <w:r>
              <w:rPr>
                <w:rFonts w:eastAsia="方正仿宋简体"/>
                <w:color w:val="auto"/>
                <w:sz w:val="24"/>
                <w:szCs w:val="24"/>
                <w:highlight w:val="none"/>
              </w:rPr>
              <w:t>(</w:t>
            </w:r>
            <w:r>
              <w:rPr>
                <w:rFonts w:hint="eastAsia" w:eastAsia="方正仿宋简体"/>
                <w:color w:val="auto"/>
                <w:sz w:val="24"/>
                <w:szCs w:val="24"/>
                <w:highlight w:val="none"/>
              </w:rPr>
              <w:t>%</w:t>
            </w:r>
            <w:r>
              <w:rPr>
                <w:rFonts w:eastAsia="方正仿宋简体"/>
                <w:color w:val="auto"/>
                <w:sz w:val="24"/>
                <w:szCs w:val="24"/>
                <w:highlight w:val="none"/>
              </w:rPr>
              <w:t>)</w:t>
            </w:r>
          </w:p>
        </w:tc>
        <w:tc>
          <w:tcPr>
            <w:tcW w:w="1094" w:type="dxa"/>
            <w:vAlign w:val="center"/>
          </w:tcPr>
          <w:p w14:paraId="7CFB4960">
            <w:pPr>
              <w:spacing w:after="160" w:line="278" w:lineRule="auto"/>
              <w:jc w:val="center"/>
              <w:rPr>
                <w:rFonts w:eastAsia="方正仿宋简体"/>
                <w:color w:val="auto"/>
                <w:sz w:val="24"/>
                <w:szCs w:val="24"/>
                <w:highlight w:val="none"/>
              </w:rPr>
            </w:pPr>
            <w:r>
              <w:rPr>
                <w:rFonts w:eastAsia="方正仿宋简体"/>
                <w:color w:val="auto"/>
                <w:sz w:val="24"/>
                <w:szCs w:val="24"/>
                <w:highlight w:val="none"/>
              </w:rPr>
              <w:t>--</w:t>
            </w:r>
          </w:p>
        </w:tc>
        <w:tc>
          <w:tcPr>
            <w:tcW w:w="1000" w:type="dxa"/>
            <w:vAlign w:val="center"/>
          </w:tcPr>
          <w:p w14:paraId="4F3AEE39">
            <w:pPr>
              <w:spacing w:after="160" w:line="278" w:lineRule="auto"/>
              <w:jc w:val="center"/>
              <w:rPr>
                <w:rFonts w:eastAsia="方正仿宋简体"/>
                <w:color w:val="auto"/>
                <w:sz w:val="24"/>
                <w:szCs w:val="24"/>
                <w:highlight w:val="none"/>
              </w:rPr>
            </w:pPr>
            <w:r>
              <w:rPr>
                <w:rFonts w:eastAsia="方正仿宋简体"/>
                <w:color w:val="auto"/>
                <w:sz w:val="24"/>
                <w:szCs w:val="24"/>
                <w:highlight w:val="none"/>
              </w:rPr>
              <w:t>--</w:t>
            </w:r>
          </w:p>
        </w:tc>
        <w:tc>
          <w:tcPr>
            <w:tcW w:w="1283" w:type="dxa"/>
            <w:vAlign w:val="center"/>
          </w:tcPr>
          <w:p w14:paraId="22D1CE69">
            <w:pPr>
              <w:spacing w:after="160" w:line="278" w:lineRule="auto"/>
              <w:jc w:val="center"/>
              <w:rPr>
                <w:rFonts w:eastAsia="方正仿宋简体"/>
                <w:color w:val="auto"/>
                <w:sz w:val="24"/>
                <w:szCs w:val="24"/>
                <w:highlight w:val="none"/>
              </w:rPr>
            </w:pPr>
            <w:r>
              <w:rPr>
                <w:rFonts w:eastAsia="方正仿宋简体"/>
                <w:color w:val="auto"/>
                <w:szCs w:val="21"/>
                <w:highlight w:val="none"/>
              </w:rPr>
              <w:t>高于GDP增长</w:t>
            </w:r>
          </w:p>
        </w:tc>
        <w:tc>
          <w:tcPr>
            <w:tcW w:w="1341" w:type="dxa"/>
            <w:vAlign w:val="center"/>
          </w:tcPr>
          <w:p w14:paraId="65E8537B">
            <w:pPr>
              <w:spacing w:after="160" w:line="278" w:lineRule="auto"/>
              <w:ind w:firstLine="240" w:firstLineChars="100"/>
              <w:rPr>
                <w:rFonts w:eastAsia="方正仿宋简体"/>
                <w:color w:val="auto"/>
                <w:sz w:val="24"/>
                <w:szCs w:val="24"/>
              </w:rPr>
            </w:pPr>
            <w:r>
              <w:rPr>
                <w:rFonts w:eastAsia="方正仿宋简体"/>
                <w:color w:val="auto"/>
                <w:sz w:val="24"/>
                <w:szCs w:val="24"/>
              </w:rPr>
              <w:t>预期性</w:t>
            </w:r>
          </w:p>
        </w:tc>
      </w:tr>
      <w:tr w14:paraId="544EA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6" w:type="dxa"/>
            <w:vMerge w:val="restart"/>
            <w:vAlign w:val="center"/>
          </w:tcPr>
          <w:p w14:paraId="121D1F7D">
            <w:pPr>
              <w:spacing w:after="160" w:line="278" w:lineRule="auto"/>
              <w:rPr>
                <w:rFonts w:eastAsia="方正黑体简体"/>
                <w:color w:val="auto"/>
                <w:sz w:val="24"/>
                <w:szCs w:val="24"/>
                <w:highlight w:val="none"/>
              </w:rPr>
            </w:pPr>
            <w:r>
              <w:rPr>
                <w:rFonts w:eastAsia="方正黑体简体"/>
                <w:color w:val="auto"/>
                <w:sz w:val="24"/>
                <w:szCs w:val="24"/>
                <w:highlight w:val="none"/>
              </w:rPr>
              <w:t>民生福祉</w:t>
            </w:r>
          </w:p>
        </w:tc>
        <w:tc>
          <w:tcPr>
            <w:tcW w:w="708" w:type="dxa"/>
            <w:vAlign w:val="center"/>
          </w:tcPr>
          <w:p w14:paraId="024DC539">
            <w:pPr>
              <w:spacing w:after="160" w:line="278" w:lineRule="auto"/>
              <w:rPr>
                <w:rFonts w:eastAsia="方正仿宋简体"/>
                <w:color w:val="auto"/>
                <w:sz w:val="24"/>
                <w:szCs w:val="24"/>
                <w:highlight w:val="none"/>
              </w:rPr>
            </w:pPr>
            <w:r>
              <w:rPr>
                <w:rFonts w:eastAsia="方正仿宋简体"/>
                <w:color w:val="auto"/>
                <w:sz w:val="24"/>
                <w:szCs w:val="24"/>
                <w:highlight w:val="none"/>
              </w:rPr>
              <w:t>8</w:t>
            </w:r>
          </w:p>
        </w:tc>
        <w:tc>
          <w:tcPr>
            <w:tcW w:w="3977" w:type="dxa"/>
            <w:gridSpan w:val="2"/>
            <w:vAlign w:val="center"/>
          </w:tcPr>
          <w:p w14:paraId="7C93C1C4">
            <w:pPr>
              <w:spacing w:after="160" w:line="278" w:lineRule="auto"/>
              <w:rPr>
                <w:rFonts w:eastAsia="方正仿宋简体"/>
                <w:color w:val="auto"/>
                <w:sz w:val="24"/>
                <w:szCs w:val="24"/>
                <w:highlight w:val="none"/>
              </w:rPr>
            </w:pPr>
            <w:bookmarkStart w:id="11" w:name="_Hlk207961780"/>
            <w:r>
              <w:rPr>
                <w:rFonts w:hint="eastAsia" w:eastAsia="方正仿宋简体"/>
                <w:color w:val="auto"/>
                <w:sz w:val="24"/>
                <w:szCs w:val="24"/>
                <w:highlight w:val="none"/>
                <w:lang w:val="en-US" w:eastAsia="zh-CN"/>
              </w:rPr>
              <w:t>累计</w:t>
            </w:r>
            <w:r>
              <w:rPr>
                <w:rFonts w:eastAsia="方正仿宋简体"/>
                <w:color w:val="auto"/>
                <w:sz w:val="24"/>
                <w:szCs w:val="24"/>
                <w:highlight w:val="none"/>
              </w:rPr>
              <w:t>城</w:t>
            </w:r>
            <w:r>
              <w:rPr>
                <w:rFonts w:hint="eastAsia" w:eastAsia="方正仿宋简体"/>
                <w:color w:val="auto"/>
                <w:sz w:val="24"/>
                <w:szCs w:val="24"/>
                <w:highlight w:val="none"/>
                <w:lang w:val="en-US" w:eastAsia="zh-CN"/>
              </w:rPr>
              <w:t>镇新增</w:t>
            </w:r>
            <w:r>
              <w:rPr>
                <w:rFonts w:eastAsia="方正仿宋简体"/>
                <w:color w:val="auto"/>
                <w:sz w:val="24"/>
                <w:szCs w:val="24"/>
                <w:highlight w:val="none"/>
              </w:rPr>
              <w:t>就业人数（个）</w:t>
            </w:r>
            <w:bookmarkEnd w:id="11"/>
          </w:p>
        </w:tc>
        <w:tc>
          <w:tcPr>
            <w:tcW w:w="1094" w:type="dxa"/>
            <w:vAlign w:val="center"/>
          </w:tcPr>
          <w:p w14:paraId="4B7D86E6">
            <w:pPr>
              <w:spacing w:after="160" w:line="278" w:lineRule="auto"/>
              <w:jc w:val="center"/>
              <w:rPr>
                <w:rFonts w:hint="default" w:eastAsia="方正仿宋简体"/>
                <w:color w:val="auto"/>
                <w:sz w:val="24"/>
                <w:szCs w:val="24"/>
                <w:highlight w:val="none"/>
                <w:lang w:val="en-US" w:eastAsia="zh-CN"/>
              </w:rPr>
            </w:pPr>
            <w:r>
              <w:rPr>
                <w:rFonts w:hint="eastAsia" w:eastAsia="方正仿宋简体"/>
                <w:color w:val="auto"/>
                <w:sz w:val="24"/>
                <w:szCs w:val="24"/>
                <w:highlight w:val="none"/>
                <w:lang w:val="en-US" w:eastAsia="zh-CN"/>
              </w:rPr>
              <w:t>1500</w:t>
            </w:r>
          </w:p>
        </w:tc>
        <w:tc>
          <w:tcPr>
            <w:tcW w:w="1000" w:type="dxa"/>
            <w:vAlign w:val="center"/>
          </w:tcPr>
          <w:p w14:paraId="29ACF85A">
            <w:pPr>
              <w:spacing w:after="160" w:line="278" w:lineRule="auto"/>
              <w:jc w:val="center"/>
              <w:rPr>
                <w:rFonts w:hint="default" w:eastAsia="方正仿宋简体"/>
                <w:color w:val="auto"/>
                <w:sz w:val="24"/>
                <w:szCs w:val="24"/>
                <w:highlight w:val="none"/>
                <w:lang w:val="en-US" w:eastAsia="zh-CN"/>
              </w:rPr>
            </w:pPr>
            <w:r>
              <w:rPr>
                <w:rFonts w:hint="eastAsia" w:eastAsia="方正仿宋简体"/>
                <w:color w:val="auto"/>
                <w:sz w:val="24"/>
                <w:szCs w:val="24"/>
                <w:highlight w:val="none"/>
                <w:lang w:val="en-US" w:eastAsia="zh-CN"/>
              </w:rPr>
              <w:t>8250</w:t>
            </w:r>
          </w:p>
        </w:tc>
        <w:tc>
          <w:tcPr>
            <w:tcW w:w="1283" w:type="dxa"/>
            <w:vAlign w:val="center"/>
          </w:tcPr>
          <w:p w14:paraId="6BC06384">
            <w:pPr>
              <w:spacing w:after="160" w:line="278" w:lineRule="auto"/>
              <w:jc w:val="center"/>
              <w:rPr>
                <w:rFonts w:eastAsia="方正仿宋简体"/>
                <w:color w:val="auto"/>
                <w:sz w:val="24"/>
                <w:szCs w:val="24"/>
                <w:highlight w:val="none"/>
              </w:rPr>
            </w:pPr>
            <w:r>
              <w:rPr>
                <w:rFonts w:eastAsia="方正仿宋简体"/>
                <w:color w:val="auto"/>
                <w:sz w:val="24"/>
                <w:szCs w:val="24"/>
                <w:highlight w:val="none"/>
              </w:rPr>
              <w:t>--</w:t>
            </w:r>
          </w:p>
        </w:tc>
        <w:tc>
          <w:tcPr>
            <w:tcW w:w="1341" w:type="dxa"/>
            <w:vAlign w:val="center"/>
          </w:tcPr>
          <w:p w14:paraId="4EB6C274">
            <w:pPr>
              <w:spacing w:after="160" w:line="278" w:lineRule="auto"/>
              <w:ind w:firstLine="240" w:firstLineChars="100"/>
              <w:rPr>
                <w:rFonts w:eastAsia="方正仿宋简体"/>
                <w:color w:val="auto"/>
                <w:sz w:val="24"/>
                <w:szCs w:val="24"/>
              </w:rPr>
            </w:pPr>
            <w:r>
              <w:rPr>
                <w:rFonts w:eastAsia="方正仿宋简体"/>
                <w:color w:val="auto"/>
                <w:sz w:val="24"/>
                <w:szCs w:val="24"/>
              </w:rPr>
              <w:t>预期性</w:t>
            </w:r>
          </w:p>
        </w:tc>
      </w:tr>
      <w:tr w14:paraId="0A58C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exact"/>
        </w:trPr>
        <w:tc>
          <w:tcPr>
            <w:tcW w:w="1276" w:type="dxa"/>
            <w:vMerge w:val="continue"/>
            <w:vAlign w:val="center"/>
          </w:tcPr>
          <w:p w14:paraId="69663E56">
            <w:pPr>
              <w:spacing w:after="160" w:line="278" w:lineRule="auto"/>
              <w:rPr>
                <w:rFonts w:eastAsia="方正黑体简体"/>
                <w:color w:val="auto"/>
                <w:sz w:val="24"/>
                <w:szCs w:val="24"/>
              </w:rPr>
            </w:pPr>
          </w:p>
        </w:tc>
        <w:tc>
          <w:tcPr>
            <w:tcW w:w="708" w:type="dxa"/>
            <w:vMerge w:val="restart"/>
            <w:vAlign w:val="center"/>
          </w:tcPr>
          <w:p w14:paraId="12726A32">
            <w:pPr>
              <w:spacing w:after="160" w:line="278" w:lineRule="auto"/>
              <w:rPr>
                <w:rFonts w:eastAsia="方正仿宋简体"/>
                <w:color w:val="auto"/>
                <w:sz w:val="24"/>
                <w:szCs w:val="24"/>
              </w:rPr>
            </w:pPr>
            <w:r>
              <w:rPr>
                <w:rFonts w:eastAsia="方正仿宋简体"/>
                <w:color w:val="auto"/>
                <w:sz w:val="24"/>
                <w:szCs w:val="24"/>
              </w:rPr>
              <w:t>9</w:t>
            </w:r>
          </w:p>
        </w:tc>
        <w:tc>
          <w:tcPr>
            <w:tcW w:w="2151" w:type="dxa"/>
            <w:vMerge w:val="restart"/>
            <w:vAlign w:val="center"/>
          </w:tcPr>
          <w:p w14:paraId="4A60CACB">
            <w:pPr>
              <w:spacing w:after="160" w:line="278" w:lineRule="auto"/>
              <w:rPr>
                <w:rFonts w:eastAsia="方正仿宋简体"/>
                <w:color w:val="auto"/>
                <w:sz w:val="24"/>
                <w:szCs w:val="24"/>
              </w:rPr>
            </w:pPr>
            <w:r>
              <w:rPr>
                <w:rFonts w:eastAsia="方正仿宋简体"/>
                <w:color w:val="auto"/>
                <w:sz w:val="24"/>
                <w:szCs w:val="24"/>
              </w:rPr>
              <w:t>居民人均可支配收入增长（%）</w:t>
            </w:r>
          </w:p>
        </w:tc>
        <w:tc>
          <w:tcPr>
            <w:tcW w:w="1826" w:type="dxa"/>
            <w:vAlign w:val="center"/>
          </w:tcPr>
          <w:p w14:paraId="7E50A449">
            <w:pPr>
              <w:spacing w:after="160" w:line="278" w:lineRule="auto"/>
              <w:rPr>
                <w:rFonts w:eastAsia="方正仿宋简体"/>
                <w:color w:val="auto"/>
                <w:sz w:val="24"/>
                <w:szCs w:val="24"/>
              </w:rPr>
            </w:pPr>
            <w:r>
              <w:rPr>
                <w:rFonts w:eastAsia="方正仿宋简体"/>
                <w:color w:val="auto"/>
                <w:sz w:val="24"/>
                <w:szCs w:val="24"/>
              </w:rPr>
              <w:t>城镇常住居民</w:t>
            </w:r>
          </w:p>
        </w:tc>
        <w:tc>
          <w:tcPr>
            <w:tcW w:w="1094" w:type="dxa"/>
            <w:vAlign w:val="center"/>
          </w:tcPr>
          <w:p w14:paraId="76BB7CDA">
            <w:pPr>
              <w:spacing w:after="160" w:line="240" w:lineRule="auto"/>
              <w:jc w:val="center"/>
              <w:rPr>
                <w:rFonts w:eastAsia="方正仿宋简体"/>
                <w:color w:val="auto"/>
                <w:sz w:val="18"/>
                <w:szCs w:val="18"/>
              </w:rPr>
            </w:pPr>
            <w:r>
              <w:rPr>
                <w:rFonts w:eastAsia="方正仿宋简体"/>
                <w:color w:val="auto"/>
                <w:sz w:val="18"/>
                <w:szCs w:val="18"/>
              </w:rPr>
              <w:t>与经济增长同步</w:t>
            </w:r>
          </w:p>
        </w:tc>
        <w:tc>
          <w:tcPr>
            <w:tcW w:w="1000" w:type="dxa"/>
            <w:vAlign w:val="center"/>
          </w:tcPr>
          <w:p w14:paraId="11B1AC9C">
            <w:pPr>
              <w:spacing w:after="160" w:line="278" w:lineRule="auto"/>
              <w:jc w:val="center"/>
              <w:rPr>
                <w:rFonts w:eastAsia="方正仿宋简体"/>
                <w:color w:val="auto"/>
                <w:sz w:val="24"/>
                <w:szCs w:val="24"/>
              </w:rPr>
            </w:pPr>
            <w:r>
              <w:rPr>
                <w:rFonts w:eastAsia="方正仿宋简体"/>
                <w:color w:val="auto"/>
                <w:sz w:val="24"/>
                <w:szCs w:val="24"/>
              </w:rPr>
              <w:t>--</w:t>
            </w:r>
          </w:p>
        </w:tc>
        <w:tc>
          <w:tcPr>
            <w:tcW w:w="1283" w:type="dxa"/>
            <w:vMerge w:val="restart"/>
            <w:vAlign w:val="center"/>
          </w:tcPr>
          <w:p w14:paraId="6837A86C">
            <w:pPr>
              <w:spacing w:after="160" w:line="120" w:lineRule="auto"/>
              <w:jc w:val="center"/>
              <w:rPr>
                <w:rFonts w:eastAsia="方正仿宋简体"/>
                <w:color w:val="auto"/>
                <w:sz w:val="24"/>
                <w:szCs w:val="24"/>
              </w:rPr>
            </w:pPr>
            <w:r>
              <w:rPr>
                <w:rFonts w:eastAsia="方正仿宋简体"/>
                <w:color w:val="auto"/>
                <w:szCs w:val="21"/>
              </w:rPr>
              <w:t>与GDP增长基本同步</w:t>
            </w:r>
          </w:p>
        </w:tc>
        <w:tc>
          <w:tcPr>
            <w:tcW w:w="1341" w:type="dxa"/>
            <w:vMerge w:val="restart"/>
            <w:vAlign w:val="center"/>
          </w:tcPr>
          <w:p w14:paraId="3A452993">
            <w:pPr>
              <w:spacing w:after="160" w:line="278" w:lineRule="auto"/>
              <w:ind w:firstLine="240" w:firstLineChars="100"/>
              <w:rPr>
                <w:rFonts w:eastAsia="方正仿宋简体"/>
                <w:color w:val="auto"/>
                <w:sz w:val="24"/>
                <w:szCs w:val="24"/>
              </w:rPr>
            </w:pPr>
            <w:r>
              <w:rPr>
                <w:rFonts w:eastAsia="方正仿宋简体"/>
                <w:color w:val="auto"/>
                <w:sz w:val="24"/>
                <w:szCs w:val="24"/>
              </w:rPr>
              <w:t>预期性</w:t>
            </w:r>
          </w:p>
        </w:tc>
      </w:tr>
      <w:tr w14:paraId="1D0B0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trPr>
        <w:tc>
          <w:tcPr>
            <w:tcW w:w="1276" w:type="dxa"/>
            <w:vMerge w:val="continue"/>
            <w:vAlign w:val="center"/>
          </w:tcPr>
          <w:p w14:paraId="0BC83E0B">
            <w:pPr>
              <w:spacing w:after="160" w:line="278" w:lineRule="auto"/>
              <w:rPr>
                <w:rFonts w:eastAsia="方正黑体简体"/>
                <w:color w:val="auto"/>
                <w:sz w:val="24"/>
                <w:szCs w:val="24"/>
              </w:rPr>
            </w:pPr>
          </w:p>
        </w:tc>
        <w:tc>
          <w:tcPr>
            <w:tcW w:w="708" w:type="dxa"/>
            <w:vMerge w:val="continue"/>
            <w:vAlign w:val="center"/>
          </w:tcPr>
          <w:p w14:paraId="1C00DB47">
            <w:pPr>
              <w:spacing w:after="160" w:line="278" w:lineRule="auto"/>
              <w:rPr>
                <w:rFonts w:eastAsia="方正仿宋简体"/>
                <w:color w:val="auto"/>
                <w:sz w:val="24"/>
                <w:szCs w:val="24"/>
              </w:rPr>
            </w:pPr>
          </w:p>
        </w:tc>
        <w:tc>
          <w:tcPr>
            <w:tcW w:w="2151" w:type="dxa"/>
            <w:vMerge w:val="continue"/>
            <w:vAlign w:val="center"/>
          </w:tcPr>
          <w:p w14:paraId="67E8FDDE">
            <w:pPr>
              <w:spacing w:after="160" w:line="278" w:lineRule="auto"/>
              <w:rPr>
                <w:rFonts w:eastAsia="方正仿宋简体"/>
                <w:color w:val="auto"/>
                <w:sz w:val="24"/>
                <w:szCs w:val="24"/>
              </w:rPr>
            </w:pPr>
          </w:p>
        </w:tc>
        <w:tc>
          <w:tcPr>
            <w:tcW w:w="1826" w:type="dxa"/>
            <w:vAlign w:val="center"/>
          </w:tcPr>
          <w:p w14:paraId="70602DFF">
            <w:pPr>
              <w:spacing w:after="160" w:line="278" w:lineRule="auto"/>
              <w:rPr>
                <w:rFonts w:eastAsia="方正仿宋简体"/>
                <w:color w:val="auto"/>
                <w:sz w:val="24"/>
                <w:szCs w:val="24"/>
              </w:rPr>
            </w:pPr>
            <w:r>
              <w:rPr>
                <w:rFonts w:eastAsia="方正仿宋简体"/>
                <w:color w:val="auto"/>
                <w:sz w:val="24"/>
                <w:szCs w:val="24"/>
              </w:rPr>
              <w:t>农村常住居民</w:t>
            </w:r>
          </w:p>
        </w:tc>
        <w:tc>
          <w:tcPr>
            <w:tcW w:w="1094" w:type="dxa"/>
            <w:vAlign w:val="center"/>
          </w:tcPr>
          <w:p w14:paraId="34D1959C">
            <w:pPr>
              <w:spacing w:after="160" w:line="240" w:lineRule="auto"/>
              <w:jc w:val="center"/>
              <w:rPr>
                <w:rFonts w:eastAsia="方正仿宋简体"/>
                <w:color w:val="auto"/>
                <w:sz w:val="18"/>
                <w:szCs w:val="18"/>
              </w:rPr>
            </w:pPr>
            <w:r>
              <w:rPr>
                <w:rFonts w:eastAsia="方正仿宋简体"/>
                <w:color w:val="auto"/>
                <w:sz w:val="18"/>
                <w:szCs w:val="18"/>
              </w:rPr>
              <w:t>高于经济增长</w:t>
            </w:r>
          </w:p>
        </w:tc>
        <w:tc>
          <w:tcPr>
            <w:tcW w:w="1000" w:type="dxa"/>
            <w:vAlign w:val="center"/>
          </w:tcPr>
          <w:p w14:paraId="676552D1">
            <w:pPr>
              <w:spacing w:after="160" w:line="278" w:lineRule="auto"/>
              <w:jc w:val="center"/>
              <w:rPr>
                <w:rFonts w:eastAsia="方正仿宋简体"/>
                <w:color w:val="auto"/>
                <w:sz w:val="24"/>
                <w:szCs w:val="24"/>
              </w:rPr>
            </w:pPr>
            <w:r>
              <w:rPr>
                <w:rFonts w:eastAsia="方正仿宋简体"/>
                <w:color w:val="auto"/>
                <w:sz w:val="24"/>
                <w:szCs w:val="24"/>
              </w:rPr>
              <w:t>--</w:t>
            </w:r>
          </w:p>
        </w:tc>
        <w:tc>
          <w:tcPr>
            <w:tcW w:w="1283" w:type="dxa"/>
            <w:vMerge w:val="continue"/>
            <w:vAlign w:val="center"/>
          </w:tcPr>
          <w:p w14:paraId="35271144">
            <w:pPr>
              <w:spacing w:after="160" w:line="278" w:lineRule="auto"/>
              <w:jc w:val="center"/>
              <w:rPr>
                <w:rFonts w:eastAsia="方正仿宋简体"/>
                <w:color w:val="auto"/>
                <w:sz w:val="24"/>
                <w:szCs w:val="24"/>
              </w:rPr>
            </w:pPr>
          </w:p>
        </w:tc>
        <w:tc>
          <w:tcPr>
            <w:tcW w:w="1341" w:type="dxa"/>
            <w:vMerge w:val="continue"/>
            <w:vAlign w:val="center"/>
          </w:tcPr>
          <w:p w14:paraId="36CE226A">
            <w:pPr>
              <w:spacing w:after="160" w:line="278" w:lineRule="auto"/>
              <w:rPr>
                <w:rFonts w:eastAsia="方正仿宋简体"/>
                <w:color w:val="auto"/>
                <w:sz w:val="24"/>
                <w:szCs w:val="24"/>
              </w:rPr>
            </w:pPr>
          </w:p>
        </w:tc>
      </w:tr>
      <w:tr w14:paraId="5FE3B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6" w:type="dxa"/>
            <w:vMerge w:val="continue"/>
            <w:vAlign w:val="center"/>
          </w:tcPr>
          <w:p w14:paraId="4AE422D8">
            <w:pPr>
              <w:spacing w:after="160" w:line="278" w:lineRule="auto"/>
              <w:rPr>
                <w:rFonts w:eastAsia="方正黑体简体"/>
                <w:color w:val="auto"/>
                <w:sz w:val="24"/>
                <w:szCs w:val="24"/>
              </w:rPr>
            </w:pPr>
          </w:p>
        </w:tc>
        <w:tc>
          <w:tcPr>
            <w:tcW w:w="708" w:type="dxa"/>
            <w:vAlign w:val="center"/>
          </w:tcPr>
          <w:p w14:paraId="2D199023">
            <w:pPr>
              <w:spacing w:after="160" w:line="278" w:lineRule="auto"/>
              <w:rPr>
                <w:rFonts w:eastAsia="方正仿宋简体"/>
                <w:color w:val="auto"/>
                <w:sz w:val="24"/>
                <w:szCs w:val="24"/>
              </w:rPr>
            </w:pPr>
            <w:r>
              <w:rPr>
                <w:rFonts w:eastAsia="方正仿宋简体"/>
                <w:color w:val="auto"/>
                <w:sz w:val="24"/>
                <w:szCs w:val="24"/>
              </w:rPr>
              <w:t>10</w:t>
            </w:r>
          </w:p>
        </w:tc>
        <w:tc>
          <w:tcPr>
            <w:tcW w:w="3977" w:type="dxa"/>
            <w:gridSpan w:val="2"/>
            <w:vAlign w:val="center"/>
          </w:tcPr>
          <w:p w14:paraId="48BB561F">
            <w:pPr>
              <w:spacing w:after="160" w:line="278" w:lineRule="auto"/>
              <w:rPr>
                <w:rFonts w:eastAsia="方正仿宋简体"/>
                <w:color w:val="auto"/>
                <w:sz w:val="24"/>
                <w:szCs w:val="24"/>
              </w:rPr>
            </w:pPr>
            <w:r>
              <w:rPr>
                <w:rFonts w:eastAsia="方正仿宋简体"/>
                <w:color w:val="auto"/>
                <w:sz w:val="24"/>
                <w:szCs w:val="24"/>
              </w:rPr>
              <w:t>劳动年龄人口平均受教育年限（年）</w:t>
            </w:r>
          </w:p>
        </w:tc>
        <w:tc>
          <w:tcPr>
            <w:tcW w:w="1094" w:type="dxa"/>
            <w:vAlign w:val="center"/>
          </w:tcPr>
          <w:p w14:paraId="55E3C112">
            <w:pPr>
              <w:keepNext w:val="0"/>
              <w:keepLines w:val="0"/>
              <w:pageBreakBefore w:val="0"/>
              <w:widowControl w:val="0"/>
              <w:kinsoku/>
              <w:wordWrap/>
              <w:overflowPunct/>
              <w:topLinePunct w:val="0"/>
              <w:autoSpaceDE/>
              <w:autoSpaceDN/>
              <w:bidi w:val="0"/>
              <w:adjustRightInd/>
              <w:snapToGrid/>
              <w:spacing w:before="95" w:beforeLines="30" w:after="160" w:line="279" w:lineRule="auto"/>
              <w:jc w:val="center"/>
              <w:textAlignment w:val="auto"/>
              <w:rPr>
                <w:rFonts w:eastAsia="方正仿宋简体"/>
                <w:color w:val="auto"/>
                <w:sz w:val="24"/>
                <w:szCs w:val="24"/>
              </w:rPr>
            </w:pPr>
            <w:r>
              <w:rPr>
                <w:rFonts w:eastAsia="方正仿宋简体"/>
                <w:color w:val="auto"/>
                <w:sz w:val="24"/>
                <w:szCs w:val="24"/>
              </w:rPr>
              <w:t>11.1</w:t>
            </w:r>
          </w:p>
        </w:tc>
        <w:tc>
          <w:tcPr>
            <w:tcW w:w="1000" w:type="dxa"/>
            <w:vAlign w:val="center"/>
          </w:tcPr>
          <w:p w14:paraId="1D72B944">
            <w:pPr>
              <w:keepNext w:val="0"/>
              <w:keepLines w:val="0"/>
              <w:pageBreakBefore w:val="0"/>
              <w:widowControl w:val="0"/>
              <w:kinsoku/>
              <w:wordWrap/>
              <w:overflowPunct/>
              <w:topLinePunct w:val="0"/>
              <w:autoSpaceDE/>
              <w:autoSpaceDN/>
              <w:bidi w:val="0"/>
              <w:adjustRightInd/>
              <w:snapToGrid/>
              <w:spacing w:before="95" w:beforeLines="30" w:after="160" w:line="279" w:lineRule="auto"/>
              <w:jc w:val="center"/>
              <w:textAlignment w:val="auto"/>
              <w:rPr>
                <w:rFonts w:hint="default" w:eastAsia="方正仿宋简体"/>
                <w:color w:val="auto"/>
                <w:sz w:val="24"/>
                <w:szCs w:val="24"/>
                <w:lang w:val="en-US" w:eastAsia="zh-CN"/>
              </w:rPr>
            </w:pPr>
            <w:r>
              <w:rPr>
                <w:rFonts w:eastAsia="方正仿宋简体"/>
                <w:color w:val="auto"/>
                <w:sz w:val="24"/>
                <w:szCs w:val="24"/>
              </w:rPr>
              <w:t>1</w:t>
            </w:r>
            <w:r>
              <w:rPr>
                <w:rFonts w:hint="eastAsia" w:eastAsia="方正仿宋简体"/>
                <w:color w:val="auto"/>
                <w:sz w:val="24"/>
                <w:szCs w:val="24"/>
                <w:lang w:val="en-US" w:eastAsia="zh-CN"/>
              </w:rPr>
              <w:t>1.7</w:t>
            </w:r>
          </w:p>
        </w:tc>
        <w:tc>
          <w:tcPr>
            <w:tcW w:w="1283" w:type="dxa"/>
            <w:vAlign w:val="center"/>
          </w:tcPr>
          <w:p w14:paraId="553A247E">
            <w:pPr>
              <w:keepNext w:val="0"/>
              <w:keepLines w:val="0"/>
              <w:pageBreakBefore w:val="0"/>
              <w:widowControl w:val="0"/>
              <w:kinsoku/>
              <w:wordWrap/>
              <w:overflowPunct/>
              <w:topLinePunct w:val="0"/>
              <w:autoSpaceDE/>
              <w:autoSpaceDN/>
              <w:bidi w:val="0"/>
              <w:adjustRightInd/>
              <w:snapToGrid/>
              <w:spacing w:before="95" w:beforeLines="30" w:after="160" w:line="279" w:lineRule="auto"/>
              <w:jc w:val="center"/>
              <w:textAlignment w:val="auto"/>
              <w:rPr>
                <w:rFonts w:eastAsia="方正仿宋简体"/>
                <w:color w:val="auto"/>
                <w:sz w:val="24"/>
                <w:szCs w:val="24"/>
              </w:rPr>
            </w:pPr>
            <w:r>
              <w:rPr>
                <w:rFonts w:eastAsia="方正仿宋简体"/>
                <w:color w:val="auto"/>
                <w:sz w:val="24"/>
                <w:szCs w:val="24"/>
              </w:rPr>
              <w:t>--</w:t>
            </w:r>
          </w:p>
        </w:tc>
        <w:tc>
          <w:tcPr>
            <w:tcW w:w="1341" w:type="dxa"/>
            <w:vAlign w:val="center"/>
          </w:tcPr>
          <w:p w14:paraId="3296D7DB">
            <w:pPr>
              <w:spacing w:after="160" w:line="278" w:lineRule="auto"/>
              <w:ind w:firstLine="240" w:firstLineChars="100"/>
              <w:rPr>
                <w:rFonts w:eastAsia="方正仿宋简体"/>
                <w:color w:val="auto"/>
                <w:sz w:val="24"/>
                <w:szCs w:val="24"/>
              </w:rPr>
            </w:pPr>
            <w:r>
              <w:rPr>
                <w:rFonts w:eastAsia="方正仿宋简体"/>
                <w:color w:val="auto"/>
                <w:sz w:val="24"/>
                <w:szCs w:val="24"/>
              </w:rPr>
              <w:t>约束性</w:t>
            </w:r>
          </w:p>
        </w:tc>
      </w:tr>
      <w:tr w14:paraId="1D908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6" w:type="dxa"/>
            <w:vMerge w:val="continue"/>
            <w:vAlign w:val="center"/>
          </w:tcPr>
          <w:p w14:paraId="3EE8F81E">
            <w:pPr>
              <w:spacing w:after="160" w:line="278" w:lineRule="auto"/>
              <w:rPr>
                <w:rFonts w:eastAsia="方正黑体简体"/>
                <w:color w:val="auto"/>
                <w:sz w:val="24"/>
                <w:szCs w:val="24"/>
              </w:rPr>
            </w:pPr>
          </w:p>
        </w:tc>
        <w:tc>
          <w:tcPr>
            <w:tcW w:w="708" w:type="dxa"/>
            <w:vMerge w:val="restart"/>
            <w:vAlign w:val="center"/>
          </w:tcPr>
          <w:p w14:paraId="0A8367F9">
            <w:pPr>
              <w:spacing w:after="160" w:line="278" w:lineRule="auto"/>
              <w:rPr>
                <w:rFonts w:eastAsia="方正仿宋简体"/>
                <w:color w:val="auto"/>
                <w:sz w:val="24"/>
                <w:szCs w:val="24"/>
              </w:rPr>
            </w:pPr>
            <w:r>
              <w:rPr>
                <w:rFonts w:eastAsia="方正仿宋简体"/>
                <w:color w:val="auto"/>
                <w:sz w:val="24"/>
                <w:szCs w:val="24"/>
              </w:rPr>
              <w:t>11</w:t>
            </w:r>
          </w:p>
        </w:tc>
        <w:tc>
          <w:tcPr>
            <w:tcW w:w="2151" w:type="dxa"/>
            <w:vMerge w:val="restart"/>
            <w:vAlign w:val="center"/>
          </w:tcPr>
          <w:p w14:paraId="6E388376">
            <w:pPr>
              <w:spacing w:after="160" w:line="278" w:lineRule="auto"/>
              <w:rPr>
                <w:rFonts w:eastAsia="方正仿宋简体"/>
                <w:color w:val="auto"/>
                <w:sz w:val="24"/>
                <w:szCs w:val="24"/>
              </w:rPr>
            </w:pPr>
            <w:r>
              <w:rPr>
                <w:rFonts w:eastAsia="方正仿宋简体"/>
                <w:color w:val="auto"/>
                <w:sz w:val="24"/>
                <w:szCs w:val="24"/>
              </w:rPr>
              <w:t>每千人口拥有医护人员数</w:t>
            </w:r>
            <w:r>
              <w:rPr>
                <w:rFonts w:hint="eastAsia" w:eastAsia="方正仿宋简体"/>
                <w:color w:val="auto"/>
                <w:sz w:val="24"/>
                <w:szCs w:val="24"/>
              </w:rPr>
              <w:t>（人）</w:t>
            </w:r>
          </w:p>
        </w:tc>
        <w:tc>
          <w:tcPr>
            <w:tcW w:w="1826" w:type="dxa"/>
            <w:vAlign w:val="center"/>
          </w:tcPr>
          <w:p w14:paraId="09183510">
            <w:pPr>
              <w:spacing w:after="160" w:line="278" w:lineRule="auto"/>
              <w:rPr>
                <w:rFonts w:eastAsia="方正仿宋简体"/>
                <w:color w:val="auto"/>
                <w:sz w:val="24"/>
                <w:szCs w:val="24"/>
              </w:rPr>
            </w:pPr>
            <w:r>
              <w:rPr>
                <w:rFonts w:eastAsia="方正仿宋简体"/>
                <w:color w:val="auto"/>
                <w:sz w:val="24"/>
                <w:szCs w:val="24"/>
              </w:rPr>
              <w:t>执业医师数（人）</w:t>
            </w:r>
          </w:p>
        </w:tc>
        <w:tc>
          <w:tcPr>
            <w:tcW w:w="1094" w:type="dxa"/>
            <w:vAlign w:val="center"/>
          </w:tcPr>
          <w:p w14:paraId="00B86F92">
            <w:pPr>
              <w:spacing w:after="160" w:line="278" w:lineRule="auto"/>
              <w:jc w:val="center"/>
              <w:rPr>
                <w:rFonts w:eastAsia="方正仿宋简体"/>
                <w:color w:val="auto"/>
                <w:sz w:val="24"/>
                <w:szCs w:val="24"/>
              </w:rPr>
            </w:pPr>
            <w:r>
              <w:rPr>
                <w:rFonts w:eastAsia="方正仿宋简体"/>
                <w:color w:val="auto"/>
                <w:sz w:val="24"/>
                <w:szCs w:val="24"/>
              </w:rPr>
              <w:t>4.11</w:t>
            </w:r>
          </w:p>
        </w:tc>
        <w:tc>
          <w:tcPr>
            <w:tcW w:w="1000" w:type="dxa"/>
            <w:vAlign w:val="center"/>
          </w:tcPr>
          <w:p w14:paraId="3E9CF5D4">
            <w:pPr>
              <w:spacing w:after="160" w:line="278" w:lineRule="auto"/>
              <w:jc w:val="center"/>
              <w:rPr>
                <w:rFonts w:eastAsia="方正仿宋简体"/>
                <w:color w:val="auto"/>
                <w:sz w:val="24"/>
                <w:szCs w:val="24"/>
              </w:rPr>
            </w:pPr>
            <w:r>
              <w:rPr>
                <w:rFonts w:eastAsia="方正仿宋简体"/>
                <w:color w:val="auto"/>
                <w:sz w:val="24"/>
                <w:szCs w:val="24"/>
              </w:rPr>
              <w:t>4.2</w:t>
            </w:r>
          </w:p>
        </w:tc>
        <w:tc>
          <w:tcPr>
            <w:tcW w:w="1283" w:type="dxa"/>
            <w:vAlign w:val="center"/>
          </w:tcPr>
          <w:p w14:paraId="268F8BED">
            <w:pPr>
              <w:spacing w:after="160" w:line="278" w:lineRule="auto"/>
              <w:jc w:val="center"/>
              <w:rPr>
                <w:rFonts w:eastAsia="方正仿宋简体"/>
                <w:color w:val="auto"/>
                <w:sz w:val="24"/>
                <w:szCs w:val="24"/>
              </w:rPr>
            </w:pPr>
            <w:r>
              <w:rPr>
                <w:rFonts w:eastAsia="方正仿宋简体"/>
                <w:color w:val="auto"/>
                <w:sz w:val="24"/>
                <w:szCs w:val="24"/>
              </w:rPr>
              <w:t>--</w:t>
            </w:r>
          </w:p>
        </w:tc>
        <w:tc>
          <w:tcPr>
            <w:tcW w:w="1341" w:type="dxa"/>
            <w:vMerge w:val="restart"/>
            <w:vAlign w:val="center"/>
          </w:tcPr>
          <w:p w14:paraId="6BF7D418">
            <w:pPr>
              <w:spacing w:after="160" w:line="278" w:lineRule="auto"/>
              <w:ind w:firstLine="240" w:firstLineChars="100"/>
              <w:rPr>
                <w:rFonts w:eastAsia="方正仿宋简体"/>
                <w:color w:val="auto"/>
                <w:sz w:val="24"/>
                <w:szCs w:val="24"/>
              </w:rPr>
            </w:pPr>
            <w:r>
              <w:rPr>
                <w:rFonts w:eastAsia="方正仿宋简体"/>
                <w:color w:val="auto"/>
                <w:sz w:val="24"/>
                <w:szCs w:val="24"/>
              </w:rPr>
              <w:t>预期性</w:t>
            </w:r>
          </w:p>
        </w:tc>
      </w:tr>
      <w:tr w14:paraId="6145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6" w:type="dxa"/>
            <w:vMerge w:val="continue"/>
            <w:vAlign w:val="center"/>
          </w:tcPr>
          <w:p w14:paraId="4C296636">
            <w:pPr>
              <w:spacing w:after="160" w:line="278" w:lineRule="auto"/>
              <w:rPr>
                <w:rFonts w:eastAsia="方正黑体简体"/>
                <w:color w:val="auto"/>
                <w:sz w:val="24"/>
                <w:szCs w:val="24"/>
              </w:rPr>
            </w:pPr>
          </w:p>
        </w:tc>
        <w:tc>
          <w:tcPr>
            <w:tcW w:w="708" w:type="dxa"/>
            <w:vMerge w:val="continue"/>
            <w:vAlign w:val="center"/>
          </w:tcPr>
          <w:p w14:paraId="6B43145C">
            <w:pPr>
              <w:spacing w:after="160" w:line="278" w:lineRule="auto"/>
              <w:rPr>
                <w:rFonts w:eastAsia="方正仿宋简体"/>
                <w:color w:val="auto"/>
                <w:sz w:val="24"/>
                <w:szCs w:val="24"/>
              </w:rPr>
            </w:pPr>
          </w:p>
        </w:tc>
        <w:tc>
          <w:tcPr>
            <w:tcW w:w="2151" w:type="dxa"/>
            <w:vMerge w:val="continue"/>
            <w:vAlign w:val="center"/>
          </w:tcPr>
          <w:p w14:paraId="0770F919">
            <w:pPr>
              <w:spacing w:after="160" w:line="278" w:lineRule="auto"/>
              <w:rPr>
                <w:rFonts w:eastAsia="方正仿宋简体"/>
                <w:color w:val="auto"/>
                <w:sz w:val="24"/>
                <w:szCs w:val="24"/>
              </w:rPr>
            </w:pPr>
          </w:p>
        </w:tc>
        <w:tc>
          <w:tcPr>
            <w:tcW w:w="1826" w:type="dxa"/>
            <w:vAlign w:val="center"/>
          </w:tcPr>
          <w:p w14:paraId="1410E84F">
            <w:pPr>
              <w:spacing w:after="160" w:line="278" w:lineRule="auto"/>
              <w:rPr>
                <w:rFonts w:eastAsia="方正仿宋简体"/>
                <w:color w:val="auto"/>
                <w:sz w:val="24"/>
                <w:szCs w:val="24"/>
              </w:rPr>
            </w:pPr>
            <w:r>
              <w:rPr>
                <w:rFonts w:eastAsia="方正仿宋简体"/>
                <w:color w:val="auto"/>
                <w:sz w:val="24"/>
                <w:szCs w:val="24"/>
              </w:rPr>
              <w:t>注册护士数（人）</w:t>
            </w:r>
          </w:p>
        </w:tc>
        <w:tc>
          <w:tcPr>
            <w:tcW w:w="1094" w:type="dxa"/>
            <w:vAlign w:val="center"/>
          </w:tcPr>
          <w:p w14:paraId="67ACE953">
            <w:pPr>
              <w:spacing w:after="160" w:line="278" w:lineRule="auto"/>
              <w:jc w:val="center"/>
              <w:rPr>
                <w:rFonts w:eastAsia="方正仿宋简体"/>
                <w:color w:val="auto"/>
                <w:sz w:val="24"/>
                <w:szCs w:val="24"/>
              </w:rPr>
            </w:pPr>
            <w:r>
              <w:rPr>
                <w:rFonts w:eastAsia="方正仿宋简体"/>
                <w:color w:val="auto"/>
                <w:sz w:val="24"/>
                <w:szCs w:val="24"/>
              </w:rPr>
              <w:t>3.62</w:t>
            </w:r>
          </w:p>
        </w:tc>
        <w:tc>
          <w:tcPr>
            <w:tcW w:w="1000" w:type="dxa"/>
            <w:vAlign w:val="center"/>
          </w:tcPr>
          <w:p w14:paraId="6F80120E">
            <w:pPr>
              <w:spacing w:after="160" w:line="278" w:lineRule="auto"/>
              <w:jc w:val="center"/>
              <w:rPr>
                <w:rFonts w:eastAsia="方正仿宋简体"/>
                <w:color w:val="auto"/>
                <w:sz w:val="24"/>
                <w:szCs w:val="24"/>
              </w:rPr>
            </w:pPr>
            <w:r>
              <w:rPr>
                <w:rFonts w:eastAsia="方正仿宋简体"/>
                <w:color w:val="auto"/>
                <w:sz w:val="24"/>
                <w:szCs w:val="24"/>
              </w:rPr>
              <w:t>4</w:t>
            </w:r>
          </w:p>
        </w:tc>
        <w:tc>
          <w:tcPr>
            <w:tcW w:w="1283" w:type="dxa"/>
            <w:vAlign w:val="center"/>
          </w:tcPr>
          <w:p w14:paraId="1F419B6C">
            <w:pPr>
              <w:spacing w:after="160" w:line="278" w:lineRule="auto"/>
              <w:jc w:val="center"/>
              <w:rPr>
                <w:rFonts w:eastAsia="方正仿宋简体"/>
                <w:color w:val="auto"/>
                <w:sz w:val="24"/>
                <w:szCs w:val="24"/>
              </w:rPr>
            </w:pPr>
            <w:r>
              <w:rPr>
                <w:rFonts w:eastAsia="方正仿宋简体"/>
                <w:color w:val="auto"/>
                <w:sz w:val="24"/>
                <w:szCs w:val="24"/>
              </w:rPr>
              <w:t>--</w:t>
            </w:r>
          </w:p>
        </w:tc>
        <w:tc>
          <w:tcPr>
            <w:tcW w:w="1341" w:type="dxa"/>
            <w:vMerge w:val="continue"/>
            <w:vAlign w:val="center"/>
          </w:tcPr>
          <w:p w14:paraId="32F44D49">
            <w:pPr>
              <w:spacing w:after="160" w:line="278" w:lineRule="auto"/>
              <w:rPr>
                <w:rFonts w:eastAsia="方正仿宋简体"/>
                <w:color w:val="auto"/>
                <w:sz w:val="24"/>
                <w:szCs w:val="24"/>
              </w:rPr>
            </w:pPr>
          </w:p>
        </w:tc>
      </w:tr>
      <w:tr w14:paraId="786D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6" w:type="dxa"/>
            <w:vMerge w:val="continue"/>
            <w:vAlign w:val="center"/>
          </w:tcPr>
          <w:p w14:paraId="4A452A89">
            <w:pPr>
              <w:spacing w:after="160" w:line="278" w:lineRule="auto"/>
              <w:rPr>
                <w:rFonts w:eastAsia="方正黑体简体"/>
                <w:color w:val="auto"/>
                <w:sz w:val="24"/>
                <w:szCs w:val="24"/>
              </w:rPr>
            </w:pPr>
          </w:p>
        </w:tc>
        <w:tc>
          <w:tcPr>
            <w:tcW w:w="708" w:type="dxa"/>
            <w:vAlign w:val="center"/>
          </w:tcPr>
          <w:p w14:paraId="5A7DAEC6">
            <w:pPr>
              <w:spacing w:after="160" w:line="278" w:lineRule="auto"/>
              <w:rPr>
                <w:rFonts w:eastAsia="方正仿宋简体"/>
                <w:color w:val="auto"/>
                <w:sz w:val="24"/>
                <w:szCs w:val="24"/>
              </w:rPr>
            </w:pPr>
            <w:r>
              <w:rPr>
                <w:rFonts w:eastAsia="方正仿宋简体"/>
                <w:color w:val="auto"/>
                <w:sz w:val="24"/>
                <w:szCs w:val="24"/>
              </w:rPr>
              <w:t>12</w:t>
            </w:r>
          </w:p>
        </w:tc>
        <w:tc>
          <w:tcPr>
            <w:tcW w:w="3977" w:type="dxa"/>
            <w:gridSpan w:val="2"/>
            <w:vAlign w:val="center"/>
          </w:tcPr>
          <w:p w14:paraId="22A6B614">
            <w:pPr>
              <w:spacing w:after="160" w:line="278" w:lineRule="auto"/>
              <w:rPr>
                <w:rFonts w:eastAsia="方正仿宋简体"/>
                <w:color w:val="auto"/>
                <w:sz w:val="24"/>
                <w:szCs w:val="24"/>
              </w:rPr>
            </w:pPr>
            <w:r>
              <w:rPr>
                <w:rFonts w:eastAsia="方正仿宋简体"/>
                <w:color w:val="auto"/>
                <w:sz w:val="24"/>
                <w:szCs w:val="24"/>
              </w:rPr>
              <w:t>养老机构护理型床位占比（%）</w:t>
            </w:r>
          </w:p>
        </w:tc>
        <w:tc>
          <w:tcPr>
            <w:tcW w:w="1094" w:type="dxa"/>
            <w:vAlign w:val="center"/>
          </w:tcPr>
          <w:p w14:paraId="70A3D010">
            <w:pPr>
              <w:spacing w:after="160" w:line="278" w:lineRule="auto"/>
              <w:jc w:val="center"/>
              <w:rPr>
                <w:rFonts w:eastAsia="方正仿宋简体"/>
                <w:color w:val="auto"/>
                <w:sz w:val="24"/>
                <w:szCs w:val="24"/>
              </w:rPr>
            </w:pPr>
            <w:r>
              <w:rPr>
                <w:rFonts w:eastAsia="方正仿宋简体"/>
                <w:color w:val="auto"/>
                <w:sz w:val="24"/>
                <w:szCs w:val="24"/>
              </w:rPr>
              <w:t>60</w:t>
            </w:r>
          </w:p>
        </w:tc>
        <w:tc>
          <w:tcPr>
            <w:tcW w:w="1000" w:type="dxa"/>
            <w:vAlign w:val="center"/>
          </w:tcPr>
          <w:p w14:paraId="5771FBDC">
            <w:pPr>
              <w:spacing w:after="160" w:line="278" w:lineRule="auto"/>
              <w:jc w:val="center"/>
              <w:rPr>
                <w:rFonts w:eastAsia="方正仿宋简体"/>
                <w:color w:val="auto"/>
                <w:sz w:val="24"/>
                <w:szCs w:val="24"/>
              </w:rPr>
            </w:pPr>
            <w:r>
              <w:rPr>
                <w:rFonts w:eastAsia="方正仿宋简体"/>
                <w:color w:val="auto"/>
                <w:sz w:val="24"/>
                <w:szCs w:val="24"/>
              </w:rPr>
              <w:t>70</w:t>
            </w:r>
          </w:p>
        </w:tc>
        <w:tc>
          <w:tcPr>
            <w:tcW w:w="1283" w:type="dxa"/>
            <w:vAlign w:val="center"/>
          </w:tcPr>
          <w:p w14:paraId="4AD7FF1D">
            <w:pPr>
              <w:spacing w:after="160" w:line="278" w:lineRule="auto"/>
              <w:jc w:val="center"/>
              <w:rPr>
                <w:rFonts w:eastAsia="方正仿宋简体"/>
                <w:color w:val="auto"/>
                <w:sz w:val="24"/>
                <w:szCs w:val="24"/>
              </w:rPr>
            </w:pPr>
            <w:r>
              <w:rPr>
                <w:rFonts w:eastAsia="方正仿宋简体"/>
                <w:color w:val="auto"/>
                <w:sz w:val="24"/>
                <w:szCs w:val="24"/>
              </w:rPr>
              <w:t>--</w:t>
            </w:r>
          </w:p>
        </w:tc>
        <w:tc>
          <w:tcPr>
            <w:tcW w:w="1341" w:type="dxa"/>
            <w:vAlign w:val="center"/>
          </w:tcPr>
          <w:p w14:paraId="5B62CD5B">
            <w:pPr>
              <w:spacing w:after="160" w:line="278" w:lineRule="auto"/>
              <w:ind w:firstLine="240" w:firstLineChars="100"/>
              <w:rPr>
                <w:rFonts w:eastAsia="方正仿宋简体"/>
                <w:color w:val="auto"/>
                <w:sz w:val="24"/>
                <w:szCs w:val="24"/>
              </w:rPr>
            </w:pPr>
            <w:r>
              <w:rPr>
                <w:rFonts w:eastAsia="方正仿宋简体"/>
                <w:color w:val="auto"/>
                <w:sz w:val="24"/>
                <w:szCs w:val="24"/>
              </w:rPr>
              <w:t>预期性</w:t>
            </w:r>
          </w:p>
        </w:tc>
      </w:tr>
      <w:tr w14:paraId="087C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6" w:type="dxa"/>
            <w:vMerge w:val="continue"/>
            <w:vAlign w:val="center"/>
          </w:tcPr>
          <w:p w14:paraId="0927B2F4">
            <w:pPr>
              <w:spacing w:after="160" w:line="278" w:lineRule="auto"/>
              <w:rPr>
                <w:rFonts w:eastAsia="方正黑体简体"/>
                <w:color w:val="auto"/>
                <w:sz w:val="24"/>
                <w:szCs w:val="24"/>
              </w:rPr>
            </w:pPr>
          </w:p>
        </w:tc>
        <w:tc>
          <w:tcPr>
            <w:tcW w:w="708" w:type="dxa"/>
            <w:vAlign w:val="center"/>
          </w:tcPr>
          <w:p w14:paraId="5308E0EE">
            <w:pPr>
              <w:spacing w:after="160" w:line="278" w:lineRule="auto"/>
              <w:rPr>
                <w:rFonts w:eastAsia="方正仿宋简体"/>
                <w:color w:val="auto"/>
                <w:sz w:val="24"/>
                <w:szCs w:val="24"/>
                <w:highlight w:val="none"/>
              </w:rPr>
            </w:pPr>
            <w:r>
              <w:rPr>
                <w:rFonts w:eastAsia="方正仿宋简体"/>
                <w:color w:val="auto"/>
                <w:sz w:val="24"/>
                <w:szCs w:val="24"/>
                <w:highlight w:val="none"/>
              </w:rPr>
              <w:t>13</w:t>
            </w:r>
          </w:p>
        </w:tc>
        <w:tc>
          <w:tcPr>
            <w:tcW w:w="3977" w:type="dxa"/>
            <w:gridSpan w:val="2"/>
            <w:vAlign w:val="center"/>
          </w:tcPr>
          <w:p w14:paraId="16A9DD56">
            <w:pPr>
              <w:spacing w:after="160" w:line="278" w:lineRule="auto"/>
              <w:rPr>
                <w:rFonts w:hint="eastAsia" w:eastAsia="方正仿宋简体"/>
                <w:color w:val="auto"/>
                <w:sz w:val="24"/>
                <w:szCs w:val="24"/>
                <w:highlight w:val="none"/>
                <w:lang w:eastAsia="zh-CN"/>
              </w:rPr>
            </w:pPr>
            <w:r>
              <w:rPr>
                <w:rFonts w:eastAsia="方正仿宋简体"/>
                <w:color w:val="auto"/>
                <w:sz w:val="24"/>
                <w:szCs w:val="24"/>
                <w:highlight w:val="none"/>
              </w:rPr>
              <w:t>3岁</w:t>
            </w:r>
            <w:r>
              <w:rPr>
                <w:rFonts w:hint="eastAsia" w:eastAsia="方正仿宋简体"/>
                <w:color w:val="auto"/>
                <w:sz w:val="24"/>
                <w:szCs w:val="24"/>
                <w:highlight w:val="none"/>
                <w:lang w:eastAsia="zh-CN"/>
              </w:rPr>
              <w:t>以下</w:t>
            </w:r>
            <w:r>
              <w:rPr>
                <w:rFonts w:eastAsia="方正仿宋简体"/>
                <w:color w:val="auto"/>
                <w:sz w:val="24"/>
                <w:szCs w:val="24"/>
                <w:highlight w:val="none"/>
              </w:rPr>
              <w:t>婴幼儿入托率</w:t>
            </w:r>
            <w:r>
              <w:rPr>
                <w:rFonts w:hint="eastAsia" w:eastAsia="方正仿宋简体"/>
                <w:color w:val="auto"/>
                <w:sz w:val="24"/>
                <w:szCs w:val="24"/>
                <w:highlight w:val="none"/>
                <w:lang w:eastAsia="zh-CN"/>
              </w:rPr>
              <w:t>提高</w:t>
            </w:r>
            <w:r>
              <w:rPr>
                <w:rFonts w:eastAsia="方正仿宋简体"/>
                <w:color w:val="auto"/>
                <w:sz w:val="24"/>
                <w:szCs w:val="24"/>
                <w:highlight w:val="none"/>
              </w:rPr>
              <w:t>（</w:t>
            </w:r>
            <w:r>
              <w:rPr>
                <w:rFonts w:hint="eastAsia" w:eastAsia="方正仿宋简体"/>
                <w:color w:val="auto"/>
                <w:sz w:val="24"/>
                <w:szCs w:val="24"/>
                <w:highlight w:val="none"/>
                <w:lang w:val="en-US" w:eastAsia="zh-CN"/>
              </w:rPr>
              <w:t>百分点</w:t>
            </w:r>
            <w:r>
              <w:rPr>
                <w:rFonts w:eastAsia="方正仿宋简体"/>
                <w:color w:val="auto"/>
                <w:sz w:val="24"/>
                <w:szCs w:val="24"/>
                <w:highlight w:val="none"/>
              </w:rPr>
              <w:t>）</w:t>
            </w:r>
          </w:p>
        </w:tc>
        <w:tc>
          <w:tcPr>
            <w:tcW w:w="1094" w:type="dxa"/>
            <w:vAlign w:val="center"/>
          </w:tcPr>
          <w:p w14:paraId="0D9CDBAD">
            <w:pPr>
              <w:keepNext w:val="0"/>
              <w:keepLines w:val="0"/>
              <w:pageBreakBefore w:val="0"/>
              <w:widowControl w:val="0"/>
              <w:kinsoku/>
              <w:wordWrap/>
              <w:overflowPunct/>
              <w:topLinePunct w:val="0"/>
              <w:autoSpaceDE/>
              <w:autoSpaceDN/>
              <w:bidi w:val="0"/>
              <w:adjustRightInd/>
              <w:snapToGrid/>
              <w:spacing w:before="63" w:beforeLines="20" w:after="160" w:line="279" w:lineRule="auto"/>
              <w:jc w:val="center"/>
              <w:textAlignment w:val="auto"/>
              <w:rPr>
                <w:rFonts w:hint="default" w:eastAsia="方正仿宋简体"/>
                <w:color w:val="auto"/>
                <w:sz w:val="24"/>
                <w:szCs w:val="24"/>
                <w:highlight w:val="none"/>
                <w:lang w:val="en-US" w:eastAsia="zh-CN"/>
              </w:rPr>
            </w:pPr>
            <w:r>
              <w:rPr>
                <w:rFonts w:hint="eastAsia" w:eastAsia="方正仿宋简体"/>
                <w:color w:val="auto"/>
                <w:sz w:val="24"/>
                <w:szCs w:val="24"/>
                <w:highlight w:val="none"/>
                <w:lang w:val="en-US" w:eastAsia="zh-CN"/>
              </w:rPr>
              <w:t>--</w:t>
            </w:r>
          </w:p>
        </w:tc>
        <w:tc>
          <w:tcPr>
            <w:tcW w:w="1000" w:type="dxa"/>
            <w:vAlign w:val="center"/>
          </w:tcPr>
          <w:p w14:paraId="55A42E80">
            <w:pPr>
              <w:keepNext w:val="0"/>
              <w:keepLines w:val="0"/>
              <w:pageBreakBefore w:val="0"/>
              <w:widowControl w:val="0"/>
              <w:kinsoku/>
              <w:wordWrap/>
              <w:overflowPunct/>
              <w:topLinePunct w:val="0"/>
              <w:autoSpaceDE/>
              <w:autoSpaceDN/>
              <w:bidi w:val="0"/>
              <w:adjustRightInd/>
              <w:snapToGrid/>
              <w:spacing w:before="63" w:beforeLines="20" w:after="160" w:line="279" w:lineRule="auto"/>
              <w:jc w:val="center"/>
              <w:textAlignment w:val="auto"/>
              <w:rPr>
                <w:rFonts w:hint="default" w:eastAsia="方正仿宋简体"/>
                <w:color w:val="auto"/>
                <w:sz w:val="24"/>
                <w:szCs w:val="24"/>
                <w:highlight w:val="none"/>
                <w:lang w:val="en-US" w:eastAsia="zh-CN"/>
              </w:rPr>
            </w:pPr>
            <w:r>
              <w:rPr>
                <w:rFonts w:hint="eastAsia" w:eastAsia="方正仿宋简体"/>
                <w:color w:val="auto"/>
                <w:sz w:val="24"/>
                <w:szCs w:val="24"/>
                <w:highlight w:val="none"/>
                <w:lang w:val="en-US" w:eastAsia="zh-CN"/>
              </w:rPr>
              <w:t>--</w:t>
            </w:r>
          </w:p>
        </w:tc>
        <w:tc>
          <w:tcPr>
            <w:tcW w:w="1283" w:type="dxa"/>
            <w:vAlign w:val="center"/>
          </w:tcPr>
          <w:p w14:paraId="1698B640">
            <w:pPr>
              <w:keepNext w:val="0"/>
              <w:keepLines w:val="0"/>
              <w:pageBreakBefore w:val="0"/>
              <w:widowControl w:val="0"/>
              <w:kinsoku/>
              <w:wordWrap/>
              <w:overflowPunct/>
              <w:topLinePunct w:val="0"/>
              <w:autoSpaceDE/>
              <w:autoSpaceDN/>
              <w:bidi w:val="0"/>
              <w:adjustRightInd/>
              <w:snapToGrid/>
              <w:spacing w:after="120" w:line="279" w:lineRule="auto"/>
              <w:jc w:val="center"/>
              <w:textAlignment w:val="auto"/>
              <w:rPr>
                <w:rFonts w:hint="default" w:eastAsia="方正仿宋简体"/>
                <w:color w:val="auto"/>
                <w:sz w:val="24"/>
                <w:szCs w:val="24"/>
                <w:highlight w:val="none"/>
                <w:lang w:val="en-US" w:eastAsia="zh-CN"/>
              </w:rPr>
            </w:pPr>
            <w:r>
              <w:rPr>
                <w:rFonts w:hint="eastAsia" w:eastAsia="方正仿宋简体"/>
                <w:color w:val="auto"/>
                <w:sz w:val="24"/>
                <w:szCs w:val="24"/>
                <w:highlight w:val="none"/>
                <w:lang w:val="en-US" w:eastAsia="zh-CN"/>
              </w:rPr>
              <w:t>累计5.5</w:t>
            </w:r>
          </w:p>
        </w:tc>
        <w:tc>
          <w:tcPr>
            <w:tcW w:w="1341" w:type="dxa"/>
            <w:vAlign w:val="center"/>
          </w:tcPr>
          <w:p w14:paraId="7B946F3E">
            <w:pPr>
              <w:spacing w:after="160" w:line="278" w:lineRule="auto"/>
              <w:ind w:firstLine="240" w:firstLineChars="100"/>
              <w:rPr>
                <w:rFonts w:eastAsia="方正仿宋简体"/>
                <w:color w:val="auto"/>
                <w:sz w:val="24"/>
                <w:szCs w:val="24"/>
              </w:rPr>
            </w:pPr>
            <w:r>
              <w:rPr>
                <w:rFonts w:eastAsia="方正仿宋简体"/>
                <w:color w:val="auto"/>
                <w:sz w:val="24"/>
                <w:szCs w:val="24"/>
              </w:rPr>
              <w:t>预期性</w:t>
            </w:r>
          </w:p>
        </w:tc>
      </w:tr>
      <w:tr w14:paraId="14041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6" w:type="dxa"/>
            <w:vMerge w:val="continue"/>
            <w:vAlign w:val="center"/>
          </w:tcPr>
          <w:p w14:paraId="2D60157A">
            <w:pPr>
              <w:spacing w:after="160" w:line="278" w:lineRule="auto"/>
              <w:rPr>
                <w:rFonts w:eastAsia="方正黑体简体"/>
                <w:color w:val="auto"/>
                <w:sz w:val="24"/>
                <w:szCs w:val="24"/>
              </w:rPr>
            </w:pPr>
          </w:p>
        </w:tc>
        <w:tc>
          <w:tcPr>
            <w:tcW w:w="708" w:type="dxa"/>
            <w:vAlign w:val="center"/>
          </w:tcPr>
          <w:p w14:paraId="5A24B8BE">
            <w:pPr>
              <w:spacing w:after="160" w:line="278" w:lineRule="auto"/>
              <w:rPr>
                <w:rFonts w:eastAsia="方正仿宋简体"/>
                <w:color w:val="auto"/>
                <w:sz w:val="24"/>
                <w:szCs w:val="24"/>
              </w:rPr>
            </w:pPr>
            <w:r>
              <w:rPr>
                <w:rFonts w:eastAsia="方正仿宋简体"/>
                <w:color w:val="auto"/>
                <w:sz w:val="24"/>
                <w:szCs w:val="24"/>
              </w:rPr>
              <w:t>14</w:t>
            </w:r>
          </w:p>
        </w:tc>
        <w:tc>
          <w:tcPr>
            <w:tcW w:w="3977" w:type="dxa"/>
            <w:gridSpan w:val="2"/>
            <w:vAlign w:val="center"/>
          </w:tcPr>
          <w:p w14:paraId="4DD03F8B">
            <w:pPr>
              <w:spacing w:after="160" w:line="278" w:lineRule="auto"/>
              <w:rPr>
                <w:rFonts w:eastAsia="方正仿宋简体"/>
                <w:color w:val="auto"/>
                <w:sz w:val="24"/>
                <w:szCs w:val="24"/>
              </w:rPr>
            </w:pPr>
            <w:r>
              <w:rPr>
                <w:rFonts w:eastAsia="方正仿宋简体"/>
                <w:color w:val="auto"/>
                <w:sz w:val="24"/>
                <w:szCs w:val="24"/>
              </w:rPr>
              <w:t>人均预期寿命（岁）</w:t>
            </w:r>
          </w:p>
        </w:tc>
        <w:tc>
          <w:tcPr>
            <w:tcW w:w="1094" w:type="dxa"/>
            <w:vAlign w:val="center"/>
          </w:tcPr>
          <w:p w14:paraId="49228E43">
            <w:pPr>
              <w:keepNext w:val="0"/>
              <w:keepLines w:val="0"/>
              <w:pageBreakBefore w:val="0"/>
              <w:widowControl w:val="0"/>
              <w:kinsoku/>
              <w:wordWrap/>
              <w:overflowPunct/>
              <w:topLinePunct w:val="0"/>
              <w:autoSpaceDE/>
              <w:autoSpaceDN/>
              <w:bidi w:val="0"/>
              <w:adjustRightInd/>
              <w:snapToGrid/>
              <w:spacing w:before="95" w:beforeLines="30" w:after="160" w:line="279" w:lineRule="auto"/>
              <w:jc w:val="center"/>
              <w:textAlignment w:val="auto"/>
              <w:rPr>
                <w:rFonts w:eastAsia="方正仿宋简体"/>
                <w:color w:val="auto"/>
                <w:sz w:val="24"/>
                <w:szCs w:val="24"/>
              </w:rPr>
            </w:pPr>
            <w:r>
              <w:rPr>
                <w:rFonts w:eastAsia="方正仿宋简体"/>
                <w:color w:val="auto"/>
                <w:sz w:val="24"/>
                <w:szCs w:val="24"/>
              </w:rPr>
              <w:t>80</w:t>
            </w:r>
          </w:p>
        </w:tc>
        <w:tc>
          <w:tcPr>
            <w:tcW w:w="1000" w:type="dxa"/>
            <w:vAlign w:val="center"/>
          </w:tcPr>
          <w:p w14:paraId="4DB88737">
            <w:pPr>
              <w:keepNext w:val="0"/>
              <w:keepLines w:val="0"/>
              <w:pageBreakBefore w:val="0"/>
              <w:widowControl w:val="0"/>
              <w:kinsoku/>
              <w:wordWrap/>
              <w:overflowPunct/>
              <w:topLinePunct w:val="0"/>
              <w:autoSpaceDE/>
              <w:autoSpaceDN/>
              <w:bidi w:val="0"/>
              <w:adjustRightInd/>
              <w:snapToGrid/>
              <w:spacing w:before="95" w:beforeLines="30" w:after="160" w:line="279" w:lineRule="auto"/>
              <w:jc w:val="center"/>
              <w:textAlignment w:val="auto"/>
              <w:rPr>
                <w:rFonts w:hint="default" w:eastAsia="方正仿宋简体"/>
                <w:color w:val="auto"/>
                <w:sz w:val="24"/>
                <w:szCs w:val="24"/>
                <w:lang w:val="en-US" w:eastAsia="zh-CN"/>
              </w:rPr>
            </w:pPr>
            <w:r>
              <w:rPr>
                <w:rFonts w:eastAsia="方正仿宋简体"/>
                <w:color w:val="auto"/>
                <w:sz w:val="24"/>
                <w:szCs w:val="24"/>
              </w:rPr>
              <w:t>8</w:t>
            </w:r>
            <w:r>
              <w:rPr>
                <w:rFonts w:hint="eastAsia" w:eastAsia="方正仿宋简体"/>
                <w:color w:val="auto"/>
                <w:sz w:val="24"/>
                <w:szCs w:val="24"/>
                <w:lang w:val="en-US" w:eastAsia="zh-CN"/>
              </w:rPr>
              <w:t>0.3</w:t>
            </w:r>
          </w:p>
        </w:tc>
        <w:tc>
          <w:tcPr>
            <w:tcW w:w="1283" w:type="dxa"/>
            <w:vAlign w:val="center"/>
          </w:tcPr>
          <w:p w14:paraId="3B2831E1">
            <w:pPr>
              <w:keepNext w:val="0"/>
              <w:keepLines w:val="0"/>
              <w:pageBreakBefore w:val="0"/>
              <w:widowControl w:val="0"/>
              <w:kinsoku/>
              <w:wordWrap/>
              <w:overflowPunct/>
              <w:topLinePunct w:val="0"/>
              <w:autoSpaceDE/>
              <w:autoSpaceDN/>
              <w:bidi w:val="0"/>
              <w:adjustRightInd/>
              <w:snapToGrid/>
              <w:spacing w:before="95" w:beforeLines="30" w:after="160" w:line="279" w:lineRule="auto"/>
              <w:jc w:val="center"/>
              <w:textAlignment w:val="auto"/>
              <w:rPr>
                <w:rFonts w:eastAsia="方正仿宋简体"/>
                <w:color w:val="auto"/>
                <w:sz w:val="24"/>
                <w:szCs w:val="24"/>
              </w:rPr>
            </w:pPr>
            <w:r>
              <w:rPr>
                <w:rFonts w:eastAsia="方正仿宋简体"/>
                <w:color w:val="auto"/>
                <w:sz w:val="24"/>
                <w:szCs w:val="24"/>
              </w:rPr>
              <w:t>--</w:t>
            </w:r>
          </w:p>
        </w:tc>
        <w:tc>
          <w:tcPr>
            <w:tcW w:w="1341" w:type="dxa"/>
            <w:vAlign w:val="center"/>
          </w:tcPr>
          <w:p w14:paraId="100E69F8">
            <w:pPr>
              <w:spacing w:after="160" w:line="278" w:lineRule="auto"/>
              <w:ind w:firstLine="240" w:firstLineChars="100"/>
              <w:rPr>
                <w:rFonts w:eastAsia="方正仿宋简体"/>
                <w:color w:val="auto"/>
                <w:sz w:val="24"/>
                <w:szCs w:val="24"/>
              </w:rPr>
            </w:pPr>
            <w:r>
              <w:rPr>
                <w:rFonts w:eastAsia="方正仿宋简体"/>
                <w:color w:val="auto"/>
                <w:sz w:val="24"/>
                <w:szCs w:val="24"/>
              </w:rPr>
              <w:t>预期性</w:t>
            </w:r>
          </w:p>
        </w:tc>
      </w:tr>
      <w:tr w14:paraId="51C06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6" w:type="dxa"/>
            <w:vMerge w:val="restart"/>
            <w:vAlign w:val="center"/>
          </w:tcPr>
          <w:p w14:paraId="7B2AF274">
            <w:pPr>
              <w:spacing w:after="160" w:line="278" w:lineRule="auto"/>
              <w:rPr>
                <w:rFonts w:eastAsia="方正黑体简体"/>
                <w:color w:val="auto"/>
                <w:sz w:val="24"/>
                <w:szCs w:val="24"/>
              </w:rPr>
            </w:pPr>
            <w:r>
              <w:rPr>
                <w:rFonts w:eastAsia="方正黑体简体"/>
                <w:color w:val="auto"/>
                <w:sz w:val="24"/>
                <w:szCs w:val="24"/>
              </w:rPr>
              <w:t>绿色低碳</w:t>
            </w:r>
          </w:p>
        </w:tc>
        <w:tc>
          <w:tcPr>
            <w:tcW w:w="708" w:type="dxa"/>
            <w:vAlign w:val="center"/>
          </w:tcPr>
          <w:p w14:paraId="39A45350">
            <w:pPr>
              <w:spacing w:after="160" w:line="278" w:lineRule="auto"/>
              <w:rPr>
                <w:rFonts w:eastAsia="方正仿宋简体"/>
                <w:color w:val="auto"/>
                <w:sz w:val="24"/>
                <w:szCs w:val="24"/>
              </w:rPr>
            </w:pPr>
            <w:r>
              <w:rPr>
                <w:rFonts w:eastAsia="方正仿宋简体"/>
                <w:color w:val="auto"/>
                <w:sz w:val="24"/>
                <w:szCs w:val="24"/>
              </w:rPr>
              <w:t>15</w:t>
            </w:r>
          </w:p>
        </w:tc>
        <w:tc>
          <w:tcPr>
            <w:tcW w:w="3977" w:type="dxa"/>
            <w:gridSpan w:val="2"/>
            <w:vAlign w:val="center"/>
          </w:tcPr>
          <w:p w14:paraId="701CF19C">
            <w:pPr>
              <w:spacing w:after="160" w:line="278" w:lineRule="auto"/>
              <w:rPr>
                <w:rFonts w:eastAsia="方正仿宋简体"/>
                <w:color w:val="auto"/>
                <w:sz w:val="24"/>
                <w:szCs w:val="24"/>
              </w:rPr>
            </w:pPr>
            <w:r>
              <w:rPr>
                <w:rFonts w:eastAsia="方正仿宋简体"/>
                <w:color w:val="auto"/>
                <w:sz w:val="24"/>
                <w:szCs w:val="24"/>
              </w:rPr>
              <w:t>单位GDP二氧化碳排放降低（%）</w:t>
            </w:r>
          </w:p>
        </w:tc>
        <w:tc>
          <w:tcPr>
            <w:tcW w:w="1094" w:type="dxa"/>
            <w:vAlign w:val="center"/>
          </w:tcPr>
          <w:p w14:paraId="216DEDCD">
            <w:pPr>
              <w:spacing w:after="160" w:line="278" w:lineRule="auto"/>
              <w:jc w:val="center"/>
              <w:rPr>
                <w:rFonts w:eastAsia="方正仿宋简体"/>
                <w:color w:val="auto"/>
                <w:sz w:val="24"/>
                <w:szCs w:val="24"/>
              </w:rPr>
            </w:pPr>
            <w:r>
              <w:rPr>
                <w:rFonts w:eastAsia="方正仿宋简体"/>
                <w:color w:val="auto"/>
                <w:sz w:val="24"/>
                <w:szCs w:val="24"/>
              </w:rPr>
              <w:t>--</w:t>
            </w:r>
          </w:p>
        </w:tc>
        <w:tc>
          <w:tcPr>
            <w:tcW w:w="1000" w:type="dxa"/>
            <w:vAlign w:val="center"/>
          </w:tcPr>
          <w:p w14:paraId="11489C54">
            <w:pPr>
              <w:spacing w:after="160" w:line="240" w:lineRule="auto"/>
              <w:jc w:val="center"/>
              <w:rPr>
                <w:rFonts w:eastAsia="方正仿宋简体"/>
                <w:color w:val="auto"/>
                <w:sz w:val="18"/>
                <w:szCs w:val="18"/>
              </w:rPr>
            </w:pPr>
            <w:r>
              <w:rPr>
                <w:rFonts w:eastAsia="方正仿宋简体"/>
                <w:color w:val="auto"/>
                <w:sz w:val="18"/>
                <w:szCs w:val="18"/>
              </w:rPr>
              <w:t>达到省考核要求</w:t>
            </w:r>
          </w:p>
        </w:tc>
        <w:tc>
          <w:tcPr>
            <w:tcW w:w="1283" w:type="dxa"/>
            <w:vAlign w:val="center"/>
          </w:tcPr>
          <w:p w14:paraId="29A2079A">
            <w:pPr>
              <w:spacing w:after="160" w:line="278" w:lineRule="auto"/>
              <w:jc w:val="center"/>
              <w:rPr>
                <w:rFonts w:eastAsia="方正仿宋简体"/>
                <w:color w:val="auto"/>
                <w:sz w:val="24"/>
                <w:szCs w:val="24"/>
              </w:rPr>
            </w:pPr>
            <w:r>
              <w:rPr>
                <w:rFonts w:eastAsia="方正仿宋简体"/>
                <w:color w:val="auto"/>
                <w:sz w:val="24"/>
                <w:szCs w:val="24"/>
              </w:rPr>
              <w:t>--</w:t>
            </w:r>
          </w:p>
        </w:tc>
        <w:tc>
          <w:tcPr>
            <w:tcW w:w="1341" w:type="dxa"/>
            <w:vAlign w:val="center"/>
          </w:tcPr>
          <w:p w14:paraId="480A648E">
            <w:pPr>
              <w:spacing w:after="160" w:line="278" w:lineRule="auto"/>
              <w:ind w:firstLine="240" w:firstLineChars="100"/>
              <w:rPr>
                <w:rFonts w:eastAsia="方正仿宋简体"/>
                <w:color w:val="auto"/>
                <w:sz w:val="24"/>
                <w:szCs w:val="24"/>
              </w:rPr>
            </w:pPr>
            <w:r>
              <w:rPr>
                <w:rFonts w:eastAsia="方正仿宋简体"/>
                <w:color w:val="auto"/>
                <w:sz w:val="24"/>
                <w:szCs w:val="24"/>
              </w:rPr>
              <w:t>约束性</w:t>
            </w:r>
          </w:p>
        </w:tc>
      </w:tr>
      <w:tr w14:paraId="53712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6" w:type="dxa"/>
            <w:vMerge w:val="continue"/>
            <w:vAlign w:val="center"/>
          </w:tcPr>
          <w:p w14:paraId="5DED1936">
            <w:pPr>
              <w:spacing w:after="160" w:line="278" w:lineRule="auto"/>
              <w:rPr>
                <w:rFonts w:eastAsia="方正黑体简体"/>
                <w:color w:val="auto"/>
                <w:sz w:val="24"/>
                <w:szCs w:val="24"/>
              </w:rPr>
            </w:pPr>
          </w:p>
        </w:tc>
        <w:tc>
          <w:tcPr>
            <w:tcW w:w="708" w:type="dxa"/>
            <w:vAlign w:val="center"/>
          </w:tcPr>
          <w:p w14:paraId="6BED08C7">
            <w:pPr>
              <w:spacing w:after="160" w:line="278" w:lineRule="auto"/>
              <w:rPr>
                <w:rFonts w:eastAsia="方正仿宋简体"/>
                <w:color w:val="auto"/>
                <w:sz w:val="24"/>
                <w:szCs w:val="24"/>
              </w:rPr>
            </w:pPr>
            <w:r>
              <w:rPr>
                <w:rFonts w:eastAsia="方正仿宋简体"/>
                <w:color w:val="auto"/>
                <w:sz w:val="24"/>
                <w:szCs w:val="24"/>
              </w:rPr>
              <w:t>16</w:t>
            </w:r>
          </w:p>
        </w:tc>
        <w:tc>
          <w:tcPr>
            <w:tcW w:w="3977" w:type="dxa"/>
            <w:gridSpan w:val="2"/>
            <w:vAlign w:val="center"/>
          </w:tcPr>
          <w:p w14:paraId="7F76A42A">
            <w:pPr>
              <w:spacing w:after="160" w:line="278" w:lineRule="auto"/>
              <w:rPr>
                <w:rFonts w:eastAsia="方正仿宋简体"/>
                <w:color w:val="auto"/>
                <w:sz w:val="24"/>
                <w:szCs w:val="24"/>
              </w:rPr>
            </w:pPr>
            <w:r>
              <w:rPr>
                <w:rFonts w:eastAsia="方正仿宋简体"/>
                <w:color w:val="auto"/>
                <w:sz w:val="22"/>
              </w:rPr>
              <w:t>非化石能源占能源消费总量比重</w:t>
            </w:r>
            <w:r>
              <w:rPr>
                <w:rFonts w:eastAsia="方正仿宋简体"/>
                <w:color w:val="auto"/>
                <w:sz w:val="24"/>
                <w:szCs w:val="24"/>
              </w:rPr>
              <w:t>（%）</w:t>
            </w:r>
          </w:p>
        </w:tc>
        <w:tc>
          <w:tcPr>
            <w:tcW w:w="1094" w:type="dxa"/>
            <w:vAlign w:val="center"/>
          </w:tcPr>
          <w:p w14:paraId="0584D26D">
            <w:pPr>
              <w:spacing w:after="160" w:line="278" w:lineRule="auto"/>
              <w:jc w:val="center"/>
              <w:rPr>
                <w:rFonts w:eastAsia="方正仿宋简体"/>
                <w:color w:val="auto"/>
                <w:sz w:val="24"/>
                <w:szCs w:val="24"/>
              </w:rPr>
            </w:pPr>
            <w:r>
              <w:rPr>
                <w:rFonts w:eastAsia="方正仿宋简体"/>
                <w:color w:val="auto"/>
                <w:sz w:val="24"/>
                <w:szCs w:val="24"/>
              </w:rPr>
              <w:t>--</w:t>
            </w:r>
          </w:p>
        </w:tc>
        <w:tc>
          <w:tcPr>
            <w:tcW w:w="1000" w:type="dxa"/>
            <w:vAlign w:val="center"/>
          </w:tcPr>
          <w:p w14:paraId="53895A1E">
            <w:pPr>
              <w:spacing w:after="160" w:line="240" w:lineRule="auto"/>
              <w:jc w:val="center"/>
              <w:rPr>
                <w:rFonts w:eastAsia="方正仿宋简体"/>
                <w:color w:val="auto"/>
                <w:sz w:val="18"/>
                <w:szCs w:val="18"/>
              </w:rPr>
            </w:pPr>
            <w:r>
              <w:rPr>
                <w:rFonts w:eastAsia="方正仿宋简体"/>
                <w:color w:val="auto"/>
                <w:sz w:val="18"/>
                <w:szCs w:val="18"/>
              </w:rPr>
              <w:t>达到省考核要求</w:t>
            </w:r>
          </w:p>
        </w:tc>
        <w:tc>
          <w:tcPr>
            <w:tcW w:w="1283" w:type="dxa"/>
            <w:vAlign w:val="center"/>
          </w:tcPr>
          <w:p w14:paraId="5753056B">
            <w:pPr>
              <w:spacing w:after="160" w:line="278" w:lineRule="auto"/>
              <w:jc w:val="center"/>
              <w:rPr>
                <w:rFonts w:eastAsia="方正仿宋简体"/>
                <w:color w:val="auto"/>
                <w:sz w:val="24"/>
                <w:szCs w:val="24"/>
              </w:rPr>
            </w:pPr>
            <w:r>
              <w:rPr>
                <w:rFonts w:eastAsia="方正仿宋简体"/>
                <w:color w:val="auto"/>
                <w:sz w:val="24"/>
                <w:szCs w:val="24"/>
              </w:rPr>
              <w:t>--</w:t>
            </w:r>
          </w:p>
        </w:tc>
        <w:tc>
          <w:tcPr>
            <w:tcW w:w="1341" w:type="dxa"/>
            <w:vAlign w:val="center"/>
          </w:tcPr>
          <w:p w14:paraId="2703AF84">
            <w:pPr>
              <w:spacing w:after="160" w:line="278" w:lineRule="auto"/>
              <w:ind w:firstLine="240" w:firstLineChars="100"/>
              <w:rPr>
                <w:rFonts w:eastAsia="方正仿宋简体"/>
                <w:color w:val="auto"/>
                <w:sz w:val="24"/>
                <w:szCs w:val="24"/>
              </w:rPr>
            </w:pPr>
            <w:r>
              <w:rPr>
                <w:rFonts w:eastAsia="方正仿宋简体"/>
                <w:color w:val="auto"/>
                <w:sz w:val="24"/>
                <w:szCs w:val="24"/>
                <w:highlight w:val="none"/>
              </w:rPr>
              <w:t>约束性</w:t>
            </w:r>
          </w:p>
        </w:tc>
      </w:tr>
      <w:tr w14:paraId="23822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exact"/>
        </w:trPr>
        <w:tc>
          <w:tcPr>
            <w:tcW w:w="1276" w:type="dxa"/>
            <w:vMerge w:val="continue"/>
            <w:vAlign w:val="center"/>
          </w:tcPr>
          <w:p w14:paraId="36CCDAE5">
            <w:pPr>
              <w:spacing w:after="160" w:line="278" w:lineRule="auto"/>
              <w:rPr>
                <w:rFonts w:eastAsia="方正黑体简体"/>
                <w:color w:val="auto"/>
                <w:sz w:val="24"/>
                <w:szCs w:val="24"/>
              </w:rPr>
            </w:pPr>
          </w:p>
        </w:tc>
        <w:tc>
          <w:tcPr>
            <w:tcW w:w="708" w:type="dxa"/>
            <w:vAlign w:val="center"/>
          </w:tcPr>
          <w:p w14:paraId="6BF662CC">
            <w:pPr>
              <w:spacing w:after="160" w:line="278" w:lineRule="auto"/>
              <w:rPr>
                <w:rFonts w:eastAsia="方正仿宋简体"/>
                <w:color w:val="auto"/>
                <w:sz w:val="24"/>
                <w:szCs w:val="24"/>
              </w:rPr>
            </w:pPr>
            <w:r>
              <w:rPr>
                <w:rFonts w:eastAsia="方正仿宋简体"/>
                <w:color w:val="auto"/>
                <w:sz w:val="24"/>
                <w:szCs w:val="24"/>
              </w:rPr>
              <w:t>17</w:t>
            </w:r>
          </w:p>
        </w:tc>
        <w:tc>
          <w:tcPr>
            <w:tcW w:w="3977" w:type="dxa"/>
            <w:gridSpan w:val="2"/>
            <w:vAlign w:val="center"/>
          </w:tcPr>
          <w:p w14:paraId="6639239E">
            <w:pPr>
              <w:keepNext w:val="0"/>
              <w:keepLines w:val="0"/>
              <w:pageBreakBefore w:val="0"/>
              <w:widowControl w:val="0"/>
              <w:kinsoku/>
              <w:wordWrap/>
              <w:overflowPunct/>
              <w:topLinePunct w:val="0"/>
              <w:autoSpaceDE/>
              <w:autoSpaceDN/>
              <w:bidi w:val="0"/>
              <w:adjustRightInd/>
              <w:snapToGrid/>
              <w:spacing w:after="160" w:line="279" w:lineRule="auto"/>
              <w:textAlignment w:val="auto"/>
              <w:rPr>
                <w:rFonts w:eastAsia="方正仿宋简体"/>
                <w:color w:val="auto"/>
                <w:sz w:val="20"/>
                <w:szCs w:val="20"/>
              </w:rPr>
            </w:pPr>
            <w:r>
              <w:rPr>
                <w:rFonts w:eastAsia="方正仿宋简体"/>
                <w:color w:val="auto"/>
                <w:sz w:val="20"/>
                <w:szCs w:val="20"/>
              </w:rPr>
              <w:t>城市细颗粒物（PM2.5）平均浓度（微克/立方米）</w:t>
            </w:r>
          </w:p>
        </w:tc>
        <w:tc>
          <w:tcPr>
            <w:tcW w:w="1094" w:type="dxa"/>
            <w:vAlign w:val="center"/>
          </w:tcPr>
          <w:p w14:paraId="391859D0">
            <w:pPr>
              <w:spacing w:after="160" w:line="278" w:lineRule="auto"/>
              <w:jc w:val="center"/>
              <w:rPr>
                <w:rFonts w:eastAsia="方正仿宋简体"/>
                <w:color w:val="auto"/>
                <w:sz w:val="24"/>
                <w:szCs w:val="24"/>
              </w:rPr>
            </w:pPr>
            <w:r>
              <w:rPr>
                <w:rFonts w:eastAsia="方正仿宋简体"/>
                <w:color w:val="auto"/>
                <w:sz w:val="24"/>
                <w:szCs w:val="24"/>
              </w:rPr>
              <w:t>29</w:t>
            </w:r>
          </w:p>
        </w:tc>
        <w:tc>
          <w:tcPr>
            <w:tcW w:w="1000" w:type="dxa"/>
            <w:vAlign w:val="center"/>
          </w:tcPr>
          <w:p w14:paraId="763A4C3D">
            <w:pPr>
              <w:spacing w:after="160" w:line="240" w:lineRule="auto"/>
              <w:jc w:val="center"/>
              <w:rPr>
                <w:rFonts w:eastAsia="方正仿宋简体"/>
                <w:color w:val="auto"/>
                <w:sz w:val="18"/>
                <w:szCs w:val="18"/>
              </w:rPr>
            </w:pPr>
            <w:r>
              <w:rPr>
                <w:rFonts w:eastAsia="方正仿宋简体"/>
                <w:color w:val="auto"/>
                <w:sz w:val="18"/>
                <w:szCs w:val="18"/>
              </w:rPr>
              <w:t>达到国家考核要求</w:t>
            </w:r>
          </w:p>
        </w:tc>
        <w:tc>
          <w:tcPr>
            <w:tcW w:w="1283" w:type="dxa"/>
            <w:vAlign w:val="center"/>
          </w:tcPr>
          <w:p w14:paraId="358BAB89">
            <w:pPr>
              <w:spacing w:after="160" w:line="278" w:lineRule="auto"/>
              <w:jc w:val="center"/>
              <w:rPr>
                <w:rFonts w:eastAsia="方正仿宋简体"/>
                <w:color w:val="auto"/>
                <w:sz w:val="24"/>
                <w:szCs w:val="24"/>
              </w:rPr>
            </w:pPr>
            <w:r>
              <w:rPr>
                <w:rFonts w:eastAsia="方正仿宋简体"/>
                <w:color w:val="auto"/>
                <w:sz w:val="24"/>
                <w:szCs w:val="24"/>
              </w:rPr>
              <w:t>--</w:t>
            </w:r>
          </w:p>
        </w:tc>
        <w:tc>
          <w:tcPr>
            <w:tcW w:w="1341" w:type="dxa"/>
            <w:vAlign w:val="center"/>
          </w:tcPr>
          <w:p w14:paraId="4A40657C">
            <w:pPr>
              <w:spacing w:after="160" w:line="278" w:lineRule="auto"/>
              <w:ind w:firstLine="240" w:firstLineChars="100"/>
              <w:rPr>
                <w:rFonts w:eastAsia="方正仿宋简体"/>
                <w:color w:val="auto"/>
                <w:sz w:val="24"/>
                <w:szCs w:val="24"/>
              </w:rPr>
            </w:pPr>
            <w:r>
              <w:rPr>
                <w:rFonts w:eastAsia="方正仿宋简体"/>
                <w:color w:val="auto"/>
                <w:sz w:val="24"/>
                <w:szCs w:val="24"/>
              </w:rPr>
              <w:t>约束性</w:t>
            </w:r>
          </w:p>
        </w:tc>
      </w:tr>
      <w:tr w14:paraId="3EDE9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6" w:type="dxa"/>
            <w:vMerge w:val="continue"/>
            <w:vAlign w:val="center"/>
          </w:tcPr>
          <w:p w14:paraId="523EF6F0">
            <w:pPr>
              <w:spacing w:after="160" w:line="278" w:lineRule="auto"/>
              <w:rPr>
                <w:rFonts w:eastAsia="方正黑体简体"/>
                <w:color w:val="auto"/>
                <w:sz w:val="24"/>
                <w:szCs w:val="24"/>
              </w:rPr>
            </w:pPr>
          </w:p>
        </w:tc>
        <w:tc>
          <w:tcPr>
            <w:tcW w:w="708" w:type="dxa"/>
            <w:vAlign w:val="center"/>
          </w:tcPr>
          <w:p w14:paraId="5494353F">
            <w:pPr>
              <w:spacing w:after="160" w:line="278" w:lineRule="auto"/>
              <w:rPr>
                <w:rFonts w:eastAsia="方正仿宋简体"/>
                <w:color w:val="auto"/>
                <w:sz w:val="24"/>
                <w:szCs w:val="24"/>
              </w:rPr>
            </w:pPr>
            <w:r>
              <w:rPr>
                <w:rFonts w:eastAsia="方正仿宋简体"/>
                <w:color w:val="auto"/>
                <w:sz w:val="24"/>
                <w:szCs w:val="24"/>
              </w:rPr>
              <w:t>18</w:t>
            </w:r>
          </w:p>
        </w:tc>
        <w:tc>
          <w:tcPr>
            <w:tcW w:w="3977" w:type="dxa"/>
            <w:gridSpan w:val="2"/>
            <w:vAlign w:val="center"/>
          </w:tcPr>
          <w:p w14:paraId="54CB867B">
            <w:pPr>
              <w:spacing w:after="160" w:line="278" w:lineRule="auto"/>
              <w:rPr>
                <w:rFonts w:eastAsia="方正仿宋简体"/>
                <w:color w:val="auto"/>
                <w:sz w:val="24"/>
                <w:szCs w:val="24"/>
              </w:rPr>
            </w:pPr>
            <w:r>
              <w:rPr>
                <w:rFonts w:eastAsia="方正仿宋简体"/>
                <w:color w:val="auto"/>
                <w:sz w:val="24"/>
                <w:szCs w:val="24"/>
              </w:rPr>
              <w:t>优良水体比例（%）</w:t>
            </w:r>
          </w:p>
        </w:tc>
        <w:tc>
          <w:tcPr>
            <w:tcW w:w="1094" w:type="dxa"/>
            <w:vAlign w:val="center"/>
          </w:tcPr>
          <w:p w14:paraId="1EF2F94C">
            <w:pPr>
              <w:spacing w:after="160" w:line="278" w:lineRule="auto"/>
              <w:jc w:val="center"/>
              <w:rPr>
                <w:rFonts w:eastAsia="方正仿宋简体"/>
                <w:color w:val="auto"/>
                <w:sz w:val="24"/>
                <w:szCs w:val="24"/>
              </w:rPr>
            </w:pPr>
            <w:r>
              <w:rPr>
                <w:rFonts w:eastAsia="方正仿宋简体"/>
                <w:color w:val="auto"/>
                <w:sz w:val="24"/>
                <w:szCs w:val="24"/>
              </w:rPr>
              <w:t>--</w:t>
            </w:r>
          </w:p>
        </w:tc>
        <w:tc>
          <w:tcPr>
            <w:tcW w:w="1000" w:type="dxa"/>
            <w:vAlign w:val="center"/>
          </w:tcPr>
          <w:p w14:paraId="6A529F90">
            <w:pPr>
              <w:spacing w:after="160" w:line="240" w:lineRule="auto"/>
              <w:jc w:val="center"/>
              <w:rPr>
                <w:rFonts w:eastAsia="方正仿宋简体"/>
                <w:color w:val="auto"/>
                <w:sz w:val="18"/>
                <w:szCs w:val="18"/>
              </w:rPr>
            </w:pPr>
            <w:r>
              <w:rPr>
                <w:rFonts w:eastAsia="方正仿宋简体"/>
                <w:color w:val="auto"/>
                <w:sz w:val="18"/>
                <w:szCs w:val="18"/>
              </w:rPr>
              <w:t>达到国家考核要求</w:t>
            </w:r>
          </w:p>
        </w:tc>
        <w:tc>
          <w:tcPr>
            <w:tcW w:w="1283" w:type="dxa"/>
            <w:vAlign w:val="center"/>
          </w:tcPr>
          <w:p w14:paraId="7EC05809">
            <w:pPr>
              <w:spacing w:after="160" w:line="278" w:lineRule="auto"/>
              <w:jc w:val="center"/>
              <w:rPr>
                <w:rFonts w:eastAsia="方正仿宋简体"/>
                <w:color w:val="auto"/>
                <w:sz w:val="24"/>
                <w:szCs w:val="24"/>
              </w:rPr>
            </w:pPr>
            <w:r>
              <w:rPr>
                <w:rFonts w:eastAsia="方正仿宋简体"/>
                <w:color w:val="auto"/>
                <w:sz w:val="24"/>
                <w:szCs w:val="24"/>
              </w:rPr>
              <w:t>--</w:t>
            </w:r>
          </w:p>
        </w:tc>
        <w:tc>
          <w:tcPr>
            <w:tcW w:w="1341" w:type="dxa"/>
            <w:vAlign w:val="center"/>
          </w:tcPr>
          <w:p w14:paraId="33FE53B9">
            <w:pPr>
              <w:spacing w:after="160" w:line="278" w:lineRule="auto"/>
              <w:ind w:firstLine="240" w:firstLineChars="100"/>
              <w:rPr>
                <w:rFonts w:eastAsia="方正仿宋简体"/>
                <w:color w:val="auto"/>
                <w:sz w:val="24"/>
                <w:szCs w:val="24"/>
              </w:rPr>
            </w:pPr>
            <w:r>
              <w:rPr>
                <w:rFonts w:eastAsia="方正仿宋简体"/>
                <w:color w:val="auto"/>
                <w:sz w:val="24"/>
                <w:szCs w:val="24"/>
              </w:rPr>
              <w:t>约束性</w:t>
            </w:r>
          </w:p>
        </w:tc>
      </w:tr>
      <w:tr w14:paraId="38BCB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6" w:type="dxa"/>
            <w:vMerge w:val="continue"/>
            <w:vAlign w:val="center"/>
          </w:tcPr>
          <w:p w14:paraId="7D332277">
            <w:pPr>
              <w:spacing w:after="160" w:line="278" w:lineRule="auto"/>
              <w:rPr>
                <w:rFonts w:eastAsia="方正黑体简体"/>
                <w:color w:val="auto"/>
                <w:sz w:val="24"/>
                <w:szCs w:val="24"/>
              </w:rPr>
            </w:pPr>
          </w:p>
        </w:tc>
        <w:tc>
          <w:tcPr>
            <w:tcW w:w="708" w:type="dxa"/>
            <w:vAlign w:val="center"/>
          </w:tcPr>
          <w:p w14:paraId="2DBE2AF0">
            <w:pPr>
              <w:spacing w:after="160" w:line="278" w:lineRule="auto"/>
              <w:rPr>
                <w:rFonts w:eastAsia="方正仿宋简体"/>
                <w:color w:val="auto"/>
                <w:sz w:val="24"/>
                <w:szCs w:val="24"/>
              </w:rPr>
            </w:pPr>
            <w:r>
              <w:rPr>
                <w:rFonts w:eastAsia="方正仿宋简体"/>
                <w:color w:val="auto"/>
                <w:sz w:val="24"/>
                <w:szCs w:val="24"/>
              </w:rPr>
              <w:t>19</w:t>
            </w:r>
          </w:p>
        </w:tc>
        <w:tc>
          <w:tcPr>
            <w:tcW w:w="3977" w:type="dxa"/>
            <w:gridSpan w:val="2"/>
            <w:vAlign w:val="center"/>
          </w:tcPr>
          <w:p w14:paraId="73820ED4">
            <w:pPr>
              <w:spacing w:after="160" w:line="278" w:lineRule="auto"/>
              <w:rPr>
                <w:rFonts w:eastAsia="方正仿宋简体"/>
                <w:color w:val="auto"/>
                <w:sz w:val="24"/>
                <w:szCs w:val="24"/>
              </w:rPr>
            </w:pPr>
            <w:r>
              <w:rPr>
                <w:rFonts w:eastAsia="方正仿宋简体"/>
                <w:color w:val="auto"/>
                <w:sz w:val="24"/>
                <w:szCs w:val="24"/>
              </w:rPr>
              <w:t>森林覆盖率（%）</w:t>
            </w:r>
          </w:p>
        </w:tc>
        <w:tc>
          <w:tcPr>
            <w:tcW w:w="1094" w:type="dxa"/>
            <w:vAlign w:val="center"/>
          </w:tcPr>
          <w:p w14:paraId="5F7FCC75">
            <w:pPr>
              <w:keepNext w:val="0"/>
              <w:keepLines w:val="0"/>
              <w:pageBreakBefore w:val="0"/>
              <w:widowControl w:val="0"/>
              <w:kinsoku/>
              <w:wordWrap/>
              <w:overflowPunct/>
              <w:topLinePunct w:val="0"/>
              <w:autoSpaceDE/>
              <w:autoSpaceDN/>
              <w:bidi w:val="0"/>
              <w:adjustRightInd/>
              <w:snapToGrid/>
              <w:spacing w:before="95" w:beforeLines="30" w:after="160" w:line="279" w:lineRule="auto"/>
              <w:jc w:val="center"/>
              <w:textAlignment w:val="auto"/>
              <w:rPr>
                <w:rFonts w:eastAsia="方正仿宋简体"/>
                <w:color w:val="auto"/>
                <w:sz w:val="24"/>
                <w:szCs w:val="24"/>
              </w:rPr>
            </w:pPr>
            <w:r>
              <w:rPr>
                <w:rFonts w:eastAsia="方正仿宋简体"/>
                <w:color w:val="auto"/>
                <w:sz w:val="24"/>
                <w:szCs w:val="24"/>
              </w:rPr>
              <w:t>43.1</w:t>
            </w:r>
          </w:p>
        </w:tc>
        <w:tc>
          <w:tcPr>
            <w:tcW w:w="1000" w:type="dxa"/>
            <w:vAlign w:val="center"/>
          </w:tcPr>
          <w:p w14:paraId="44D37EA5">
            <w:pPr>
              <w:keepNext w:val="0"/>
              <w:keepLines w:val="0"/>
              <w:pageBreakBefore w:val="0"/>
              <w:widowControl w:val="0"/>
              <w:kinsoku/>
              <w:wordWrap/>
              <w:overflowPunct/>
              <w:topLinePunct w:val="0"/>
              <w:autoSpaceDE/>
              <w:autoSpaceDN/>
              <w:bidi w:val="0"/>
              <w:adjustRightInd/>
              <w:snapToGrid/>
              <w:spacing w:before="95" w:beforeLines="30" w:after="160" w:line="279" w:lineRule="auto"/>
              <w:jc w:val="center"/>
              <w:textAlignment w:val="auto"/>
              <w:rPr>
                <w:rFonts w:hint="eastAsia" w:eastAsia="方正仿宋简体"/>
                <w:color w:val="auto"/>
                <w:sz w:val="24"/>
                <w:szCs w:val="24"/>
                <w:lang w:val="en-US" w:eastAsia="zh-CN"/>
              </w:rPr>
            </w:pPr>
            <w:r>
              <w:rPr>
                <w:rFonts w:eastAsia="方正仿宋简体"/>
                <w:color w:val="auto"/>
                <w:sz w:val="24"/>
                <w:szCs w:val="24"/>
              </w:rPr>
              <w:t>43.1</w:t>
            </w:r>
            <w:r>
              <w:rPr>
                <w:rFonts w:hint="eastAsia" w:eastAsia="方正仿宋简体"/>
                <w:color w:val="auto"/>
                <w:sz w:val="24"/>
                <w:szCs w:val="24"/>
                <w:lang w:val="en-US" w:eastAsia="zh-CN"/>
              </w:rPr>
              <w:t>1</w:t>
            </w:r>
          </w:p>
        </w:tc>
        <w:tc>
          <w:tcPr>
            <w:tcW w:w="1283" w:type="dxa"/>
            <w:vAlign w:val="center"/>
          </w:tcPr>
          <w:p w14:paraId="00AE4721">
            <w:pPr>
              <w:keepNext w:val="0"/>
              <w:keepLines w:val="0"/>
              <w:pageBreakBefore w:val="0"/>
              <w:widowControl w:val="0"/>
              <w:kinsoku/>
              <w:wordWrap/>
              <w:overflowPunct/>
              <w:topLinePunct w:val="0"/>
              <w:autoSpaceDE/>
              <w:autoSpaceDN/>
              <w:bidi w:val="0"/>
              <w:adjustRightInd/>
              <w:snapToGrid/>
              <w:spacing w:before="95" w:beforeLines="30" w:after="160" w:line="278" w:lineRule="auto"/>
              <w:jc w:val="center"/>
              <w:textAlignment w:val="auto"/>
              <w:rPr>
                <w:rFonts w:eastAsia="方正仿宋简体"/>
                <w:color w:val="auto"/>
                <w:sz w:val="24"/>
                <w:szCs w:val="24"/>
              </w:rPr>
            </w:pPr>
            <w:r>
              <w:rPr>
                <w:rFonts w:eastAsia="方正仿宋简体"/>
                <w:color w:val="auto"/>
                <w:sz w:val="24"/>
                <w:szCs w:val="24"/>
              </w:rPr>
              <w:t>--</w:t>
            </w:r>
          </w:p>
        </w:tc>
        <w:tc>
          <w:tcPr>
            <w:tcW w:w="1341" w:type="dxa"/>
            <w:vAlign w:val="center"/>
          </w:tcPr>
          <w:p w14:paraId="38EB5F88">
            <w:pPr>
              <w:spacing w:after="160" w:line="278" w:lineRule="auto"/>
              <w:ind w:firstLine="240" w:firstLineChars="100"/>
              <w:rPr>
                <w:rFonts w:eastAsia="方正仿宋简体"/>
                <w:color w:val="auto"/>
                <w:sz w:val="24"/>
                <w:szCs w:val="24"/>
              </w:rPr>
            </w:pPr>
            <w:r>
              <w:rPr>
                <w:rFonts w:eastAsia="方正仿宋简体"/>
                <w:color w:val="auto"/>
                <w:sz w:val="24"/>
                <w:szCs w:val="24"/>
              </w:rPr>
              <w:t>约束性</w:t>
            </w:r>
          </w:p>
        </w:tc>
      </w:tr>
      <w:tr w14:paraId="258BB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6" w:type="dxa"/>
            <w:vMerge w:val="restart"/>
            <w:vAlign w:val="center"/>
          </w:tcPr>
          <w:p w14:paraId="3A57457B">
            <w:pPr>
              <w:spacing w:after="160" w:line="278" w:lineRule="auto"/>
              <w:rPr>
                <w:rFonts w:eastAsia="方正黑体简体"/>
                <w:color w:val="auto"/>
                <w:sz w:val="24"/>
                <w:szCs w:val="24"/>
              </w:rPr>
            </w:pPr>
            <w:r>
              <w:rPr>
                <w:rFonts w:eastAsia="方正黑体简体"/>
                <w:color w:val="auto"/>
                <w:sz w:val="24"/>
                <w:szCs w:val="24"/>
              </w:rPr>
              <w:t>安全保障</w:t>
            </w:r>
          </w:p>
        </w:tc>
        <w:tc>
          <w:tcPr>
            <w:tcW w:w="708" w:type="dxa"/>
            <w:vAlign w:val="center"/>
          </w:tcPr>
          <w:p w14:paraId="41116450">
            <w:pPr>
              <w:spacing w:after="160" w:line="278" w:lineRule="auto"/>
              <w:rPr>
                <w:rFonts w:eastAsia="方正仿宋简体"/>
                <w:color w:val="auto"/>
                <w:sz w:val="24"/>
                <w:szCs w:val="24"/>
              </w:rPr>
            </w:pPr>
            <w:r>
              <w:rPr>
                <w:rFonts w:eastAsia="方正仿宋简体"/>
                <w:color w:val="auto"/>
                <w:sz w:val="24"/>
                <w:szCs w:val="24"/>
              </w:rPr>
              <w:t>20</w:t>
            </w:r>
          </w:p>
        </w:tc>
        <w:tc>
          <w:tcPr>
            <w:tcW w:w="3977" w:type="dxa"/>
            <w:gridSpan w:val="2"/>
            <w:vAlign w:val="center"/>
          </w:tcPr>
          <w:p w14:paraId="534228BA">
            <w:pPr>
              <w:spacing w:after="160" w:line="278" w:lineRule="auto"/>
              <w:rPr>
                <w:rFonts w:eastAsia="方正仿宋简体"/>
                <w:color w:val="auto"/>
                <w:sz w:val="24"/>
                <w:szCs w:val="24"/>
              </w:rPr>
            </w:pPr>
            <w:r>
              <w:rPr>
                <w:rFonts w:eastAsia="方正仿宋简体"/>
                <w:color w:val="auto"/>
                <w:sz w:val="24"/>
                <w:szCs w:val="24"/>
              </w:rPr>
              <w:t>粮食综合生产能力（亿斤）</w:t>
            </w:r>
          </w:p>
        </w:tc>
        <w:tc>
          <w:tcPr>
            <w:tcW w:w="1094" w:type="dxa"/>
            <w:vAlign w:val="center"/>
          </w:tcPr>
          <w:p w14:paraId="2C215557">
            <w:pPr>
              <w:keepNext w:val="0"/>
              <w:keepLines w:val="0"/>
              <w:pageBreakBefore w:val="0"/>
              <w:widowControl w:val="0"/>
              <w:kinsoku/>
              <w:wordWrap/>
              <w:overflowPunct/>
              <w:topLinePunct w:val="0"/>
              <w:autoSpaceDE/>
              <w:autoSpaceDN/>
              <w:bidi w:val="0"/>
              <w:adjustRightInd/>
              <w:snapToGrid/>
              <w:spacing w:before="95" w:beforeLines="30" w:after="160" w:line="278" w:lineRule="auto"/>
              <w:jc w:val="center"/>
              <w:textAlignment w:val="auto"/>
              <w:rPr>
                <w:rFonts w:eastAsia="方正仿宋简体"/>
                <w:color w:val="auto"/>
                <w:sz w:val="24"/>
                <w:szCs w:val="24"/>
              </w:rPr>
            </w:pPr>
            <w:r>
              <w:rPr>
                <w:rFonts w:eastAsia="方正仿宋简体"/>
                <w:color w:val="auto"/>
                <w:sz w:val="24"/>
                <w:szCs w:val="24"/>
              </w:rPr>
              <w:t>18</w:t>
            </w:r>
          </w:p>
        </w:tc>
        <w:tc>
          <w:tcPr>
            <w:tcW w:w="1000" w:type="dxa"/>
            <w:vAlign w:val="center"/>
          </w:tcPr>
          <w:p w14:paraId="15D3C86B">
            <w:pPr>
              <w:keepNext w:val="0"/>
              <w:keepLines w:val="0"/>
              <w:pageBreakBefore w:val="0"/>
              <w:widowControl w:val="0"/>
              <w:kinsoku/>
              <w:wordWrap/>
              <w:overflowPunct/>
              <w:topLinePunct w:val="0"/>
              <w:autoSpaceDE/>
              <w:autoSpaceDN/>
              <w:bidi w:val="0"/>
              <w:adjustRightInd/>
              <w:snapToGrid/>
              <w:spacing w:before="95" w:beforeLines="30" w:after="160" w:line="278" w:lineRule="auto"/>
              <w:jc w:val="center"/>
              <w:textAlignment w:val="auto"/>
              <w:rPr>
                <w:rFonts w:eastAsia="方正仿宋简体"/>
                <w:color w:val="auto"/>
                <w:sz w:val="24"/>
                <w:szCs w:val="24"/>
              </w:rPr>
            </w:pPr>
            <w:r>
              <w:rPr>
                <w:rFonts w:eastAsia="方正仿宋简体"/>
                <w:color w:val="auto"/>
                <w:sz w:val="24"/>
                <w:szCs w:val="24"/>
              </w:rPr>
              <w:t>19</w:t>
            </w:r>
          </w:p>
        </w:tc>
        <w:tc>
          <w:tcPr>
            <w:tcW w:w="1283" w:type="dxa"/>
            <w:vAlign w:val="center"/>
          </w:tcPr>
          <w:p w14:paraId="78BC743A">
            <w:pPr>
              <w:keepNext w:val="0"/>
              <w:keepLines w:val="0"/>
              <w:pageBreakBefore w:val="0"/>
              <w:widowControl w:val="0"/>
              <w:kinsoku/>
              <w:wordWrap/>
              <w:overflowPunct/>
              <w:topLinePunct w:val="0"/>
              <w:autoSpaceDE/>
              <w:autoSpaceDN/>
              <w:bidi w:val="0"/>
              <w:adjustRightInd/>
              <w:snapToGrid/>
              <w:spacing w:before="95" w:beforeLines="30" w:after="160" w:line="278" w:lineRule="auto"/>
              <w:jc w:val="center"/>
              <w:textAlignment w:val="auto"/>
              <w:rPr>
                <w:rFonts w:eastAsia="方正仿宋简体"/>
                <w:color w:val="auto"/>
                <w:sz w:val="24"/>
                <w:szCs w:val="24"/>
              </w:rPr>
            </w:pPr>
            <w:r>
              <w:rPr>
                <w:rFonts w:eastAsia="方正仿宋简体"/>
                <w:color w:val="auto"/>
                <w:sz w:val="24"/>
                <w:szCs w:val="24"/>
              </w:rPr>
              <w:t>--</w:t>
            </w:r>
          </w:p>
        </w:tc>
        <w:tc>
          <w:tcPr>
            <w:tcW w:w="1341" w:type="dxa"/>
            <w:vAlign w:val="center"/>
          </w:tcPr>
          <w:p w14:paraId="70C3E096">
            <w:pPr>
              <w:spacing w:after="160" w:line="278" w:lineRule="auto"/>
              <w:ind w:firstLine="240" w:firstLineChars="100"/>
              <w:rPr>
                <w:rFonts w:eastAsia="方正仿宋简体"/>
                <w:color w:val="auto"/>
                <w:sz w:val="24"/>
                <w:szCs w:val="24"/>
              </w:rPr>
            </w:pPr>
            <w:r>
              <w:rPr>
                <w:rFonts w:eastAsia="方正仿宋简体"/>
                <w:color w:val="auto"/>
                <w:sz w:val="24"/>
                <w:szCs w:val="24"/>
              </w:rPr>
              <w:t>约束性</w:t>
            </w:r>
          </w:p>
        </w:tc>
      </w:tr>
      <w:tr w14:paraId="6C1C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76" w:type="dxa"/>
            <w:vMerge w:val="continue"/>
            <w:vAlign w:val="center"/>
          </w:tcPr>
          <w:p w14:paraId="7CD3E423">
            <w:pPr>
              <w:spacing w:after="160" w:line="278" w:lineRule="auto"/>
              <w:rPr>
                <w:rFonts w:eastAsia="方正仿宋简体"/>
                <w:color w:val="auto"/>
                <w:sz w:val="24"/>
                <w:szCs w:val="24"/>
              </w:rPr>
            </w:pPr>
          </w:p>
        </w:tc>
        <w:tc>
          <w:tcPr>
            <w:tcW w:w="708" w:type="dxa"/>
            <w:vAlign w:val="center"/>
          </w:tcPr>
          <w:p w14:paraId="67E4183C">
            <w:pPr>
              <w:spacing w:after="160" w:line="278" w:lineRule="auto"/>
              <w:rPr>
                <w:rFonts w:eastAsia="方正仿宋简体"/>
                <w:color w:val="auto"/>
                <w:sz w:val="24"/>
                <w:szCs w:val="24"/>
              </w:rPr>
            </w:pPr>
            <w:r>
              <w:rPr>
                <w:rFonts w:eastAsia="方正仿宋简体"/>
                <w:color w:val="auto"/>
                <w:sz w:val="24"/>
                <w:szCs w:val="24"/>
              </w:rPr>
              <w:t>21</w:t>
            </w:r>
          </w:p>
        </w:tc>
        <w:tc>
          <w:tcPr>
            <w:tcW w:w="3977" w:type="dxa"/>
            <w:gridSpan w:val="2"/>
            <w:vAlign w:val="center"/>
          </w:tcPr>
          <w:p w14:paraId="3482AA03">
            <w:pPr>
              <w:spacing w:after="160" w:line="278" w:lineRule="auto"/>
              <w:rPr>
                <w:rFonts w:eastAsia="方正仿宋简体"/>
                <w:color w:val="auto"/>
                <w:sz w:val="24"/>
                <w:szCs w:val="24"/>
              </w:rPr>
            </w:pPr>
            <w:r>
              <w:rPr>
                <w:rFonts w:eastAsia="方正仿宋简体"/>
                <w:color w:val="auto"/>
                <w:sz w:val="24"/>
                <w:szCs w:val="24"/>
              </w:rPr>
              <w:t>能源综合生产能力（万吨标准煤）</w:t>
            </w:r>
          </w:p>
        </w:tc>
        <w:tc>
          <w:tcPr>
            <w:tcW w:w="1094" w:type="dxa"/>
            <w:vAlign w:val="center"/>
          </w:tcPr>
          <w:p w14:paraId="13C1045E">
            <w:pPr>
              <w:keepNext w:val="0"/>
              <w:keepLines w:val="0"/>
              <w:pageBreakBefore w:val="0"/>
              <w:widowControl w:val="0"/>
              <w:kinsoku/>
              <w:wordWrap/>
              <w:overflowPunct/>
              <w:topLinePunct w:val="0"/>
              <w:autoSpaceDE/>
              <w:autoSpaceDN/>
              <w:bidi w:val="0"/>
              <w:adjustRightInd/>
              <w:snapToGrid/>
              <w:spacing w:before="95" w:beforeLines="30" w:after="160" w:line="278" w:lineRule="auto"/>
              <w:jc w:val="center"/>
              <w:textAlignment w:val="auto"/>
              <w:rPr>
                <w:rFonts w:eastAsia="方正仿宋简体"/>
                <w:color w:val="auto"/>
                <w:sz w:val="24"/>
                <w:szCs w:val="24"/>
              </w:rPr>
            </w:pPr>
            <w:r>
              <w:rPr>
                <w:rFonts w:eastAsia="方正仿宋简体"/>
                <w:color w:val="auto"/>
                <w:sz w:val="24"/>
                <w:szCs w:val="24"/>
              </w:rPr>
              <w:t>--</w:t>
            </w:r>
          </w:p>
        </w:tc>
        <w:tc>
          <w:tcPr>
            <w:tcW w:w="1000" w:type="dxa"/>
            <w:vAlign w:val="center"/>
          </w:tcPr>
          <w:p w14:paraId="6ED1445D">
            <w:pPr>
              <w:keepNext w:val="0"/>
              <w:keepLines w:val="0"/>
              <w:pageBreakBefore w:val="0"/>
              <w:widowControl w:val="0"/>
              <w:kinsoku/>
              <w:wordWrap/>
              <w:overflowPunct/>
              <w:topLinePunct w:val="0"/>
              <w:autoSpaceDE/>
              <w:autoSpaceDN/>
              <w:bidi w:val="0"/>
              <w:adjustRightInd/>
              <w:snapToGrid/>
              <w:spacing w:before="95" w:beforeLines="30" w:after="160" w:line="278" w:lineRule="auto"/>
              <w:jc w:val="center"/>
              <w:textAlignment w:val="auto"/>
              <w:rPr>
                <w:rFonts w:eastAsia="方正仿宋简体"/>
                <w:color w:val="auto"/>
                <w:sz w:val="24"/>
                <w:szCs w:val="24"/>
              </w:rPr>
            </w:pPr>
            <w:r>
              <w:rPr>
                <w:rFonts w:eastAsia="方正仿宋简体"/>
                <w:color w:val="auto"/>
                <w:sz w:val="24"/>
                <w:szCs w:val="24"/>
              </w:rPr>
              <w:t>1</w:t>
            </w:r>
          </w:p>
        </w:tc>
        <w:tc>
          <w:tcPr>
            <w:tcW w:w="1283" w:type="dxa"/>
            <w:vAlign w:val="center"/>
          </w:tcPr>
          <w:p w14:paraId="6D38A928">
            <w:pPr>
              <w:keepNext w:val="0"/>
              <w:keepLines w:val="0"/>
              <w:pageBreakBefore w:val="0"/>
              <w:widowControl w:val="0"/>
              <w:kinsoku/>
              <w:wordWrap/>
              <w:overflowPunct/>
              <w:topLinePunct w:val="0"/>
              <w:autoSpaceDE/>
              <w:autoSpaceDN/>
              <w:bidi w:val="0"/>
              <w:adjustRightInd/>
              <w:snapToGrid/>
              <w:spacing w:before="95" w:beforeLines="30" w:after="160" w:line="278" w:lineRule="auto"/>
              <w:jc w:val="center"/>
              <w:textAlignment w:val="auto"/>
              <w:rPr>
                <w:rFonts w:eastAsia="方正仿宋简体"/>
                <w:color w:val="auto"/>
                <w:sz w:val="24"/>
                <w:szCs w:val="24"/>
              </w:rPr>
            </w:pPr>
            <w:r>
              <w:rPr>
                <w:rFonts w:eastAsia="方正仿宋简体"/>
                <w:color w:val="auto"/>
                <w:sz w:val="24"/>
                <w:szCs w:val="24"/>
              </w:rPr>
              <w:t>--</w:t>
            </w:r>
          </w:p>
        </w:tc>
        <w:tc>
          <w:tcPr>
            <w:tcW w:w="1341" w:type="dxa"/>
            <w:vAlign w:val="center"/>
          </w:tcPr>
          <w:p w14:paraId="31BE49A9">
            <w:pPr>
              <w:spacing w:after="160" w:line="278" w:lineRule="auto"/>
              <w:ind w:firstLine="240" w:firstLineChars="100"/>
              <w:rPr>
                <w:rFonts w:eastAsia="方正仿宋简体"/>
                <w:color w:val="auto"/>
                <w:sz w:val="24"/>
                <w:szCs w:val="24"/>
              </w:rPr>
            </w:pPr>
            <w:r>
              <w:rPr>
                <w:rFonts w:eastAsia="方正仿宋简体"/>
                <w:color w:val="auto"/>
                <w:sz w:val="24"/>
                <w:szCs w:val="24"/>
              </w:rPr>
              <w:t>约束性</w:t>
            </w:r>
          </w:p>
        </w:tc>
      </w:tr>
    </w:tbl>
    <w:p w14:paraId="21819568">
      <w:pPr>
        <w:spacing w:line="576" w:lineRule="exact"/>
        <w:rPr>
          <w:rFonts w:eastAsia="方正仿宋简体"/>
          <w:color w:val="auto"/>
          <w:sz w:val="32"/>
          <w:szCs w:val="32"/>
        </w:rPr>
      </w:pPr>
    </w:p>
    <w:p w14:paraId="4D11AAB7">
      <w:pPr>
        <w:spacing w:line="576" w:lineRule="exact"/>
        <w:jc w:val="center"/>
        <w:rPr>
          <w:rFonts w:eastAsia="方正仿宋简体"/>
          <w:color w:val="auto"/>
          <w:sz w:val="32"/>
          <w:szCs w:val="32"/>
        </w:rPr>
      </w:pPr>
      <w:r>
        <w:rPr>
          <w:rFonts w:eastAsia="方正黑体简体"/>
          <w:color w:val="auto"/>
          <w:sz w:val="32"/>
          <w:szCs w:val="32"/>
        </w:rPr>
        <w:t>第二章  培育发展新质生产力，构建特色现代化产业体系</w:t>
      </w:r>
    </w:p>
    <w:p w14:paraId="39CF11C3">
      <w:pPr>
        <w:spacing w:line="576" w:lineRule="exact"/>
        <w:ind w:firstLine="640" w:firstLineChars="200"/>
        <w:rPr>
          <w:rFonts w:eastAsia="方正仿宋简体"/>
          <w:color w:val="auto"/>
          <w:sz w:val="32"/>
          <w:szCs w:val="32"/>
        </w:rPr>
      </w:pPr>
      <w:r>
        <w:rPr>
          <w:rFonts w:eastAsia="方正仿宋简体"/>
          <w:color w:val="auto"/>
          <w:sz w:val="32"/>
          <w:szCs w:val="32"/>
        </w:rPr>
        <w:t>坚持壮大实体经济，统筹推进传统产业</w:t>
      </w:r>
      <w:r>
        <w:rPr>
          <w:rFonts w:hint="eastAsia" w:eastAsia="方正仿宋简体"/>
          <w:color w:val="auto"/>
          <w:sz w:val="32"/>
          <w:szCs w:val="32"/>
        </w:rPr>
        <w:t>“</w:t>
      </w:r>
      <w:r>
        <w:rPr>
          <w:rFonts w:eastAsia="方正仿宋简体"/>
          <w:color w:val="auto"/>
          <w:sz w:val="32"/>
          <w:szCs w:val="32"/>
        </w:rPr>
        <w:t>强基焕新</w:t>
      </w:r>
      <w:r>
        <w:rPr>
          <w:rFonts w:hint="eastAsia" w:eastAsia="方正仿宋简体"/>
          <w:color w:val="auto"/>
          <w:sz w:val="32"/>
          <w:szCs w:val="32"/>
        </w:rPr>
        <w:t>”</w:t>
      </w:r>
      <w:r>
        <w:rPr>
          <w:rFonts w:eastAsia="方正仿宋简体"/>
          <w:color w:val="auto"/>
          <w:sz w:val="32"/>
          <w:szCs w:val="32"/>
        </w:rPr>
        <w:t>、新兴产业</w:t>
      </w:r>
      <w:r>
        <w:rPr>
          <w:rFonts w:hint="eastAsia" w:eastAsia="方正仿宋简体"/>
          <w:color w:val="auto"/>
          <w:sz w:val="32"/>
          <w:szCs w:val="32"/>
        </w:rPr>
        <w:t>“</w:t>
      </w:r>
      <w:r>
        <w:rPr>
          <w:rFonts w:eastAsia="方正仿宋简体"/>
          <w:color w:val="auto"/>
          <w:sz w:val="32"/>
          <w:szCs w:val="32"/>
        </w:rPr>
        <w:t>聚链成势</w:t>
      </w:r>
      <w:r>
        <w:rPr>
          <w:rFonts w:hint="eastAsia" w:eastAsia="方正仿宋简体"/>
          <w:color w:val="auto"/>
          <w:sz w:val="32"/>
          <w:szCs w:val="32"/>
        </w:rPr>
        <w:t>”</w:t>
      </w:r>
      <w:r>
        <w:rPr>
          <w:rFonts w:eastAsia="方正仿宋简体"/>
          <w:color w:val="auto"/>
          <w:sz w:val="32"/>
          <w:szCs w:val="32"/>
        </w:rPr>
        <w:t>与现代服务业</w:t>
      </w:r>
      <w:r>
        <w:rPr>
          <w:rFonts w:hint="eastAsia" w:eastAsia="方正仿宋简体"/>
          <w:color w:val="auto"/>
          <w:sz w:val="32"/>
          <w:szCs w:val="32"/>
        </w:rPr>
        <w:t>“</w:t>
      </w:r>
      <w:r>
        <w:rPr>
          <w:rFonts w:eastAsia="方正仿宋简体"/>
          <w:color w:val="auto"/>
          <w:sz w:val="32"/>
          <w:szCs w:val="32"/>
        </w:rPr>
        <w:t>赋能增效</w:t>
      </w:r>
      <w:r>
        <w:rPr>
          <w:rFonts w:hint="eastAsia" w:eastAsia="方正仿宋简体"/>
          <w:color w:val="auto"/>
          <w:sz w:val="32"/>
          <w:szCs w:val="32"/>
        </w:rPr>
        <w:t>”</w:t>
      </w:r>
      <w:r>
        <w:rPr>
          <w:rFonts w:eastAsia="方正仿宋简体"/>
          <w:color w:val="auto"/>
          <w:sz w:val="32"/>
          <w:szCs w:val="32"/>
        </w:rPr>
        <w:t>，着力构建以高端装备、特色资源、现代</w:t>
      </w:r>
      <w:r>
        <w:rPr>
          <w:rFonts w:hint="eastAsia" w:eastAsia="方正仿宋简体"/>
          <w:color w:val="auto"/>
          <w:sz w:val="32"/>
          <w:szCs w:val="32"/>
        </w:rPr>
        <w:t>大</w:t>
      </w:r>
      <w:r>
        <w:rPr>
          <w:rFonts w:eastAsia="方正仿宋简体"/>
          <w:color w:val="auto"/>
          <w:sz w:val="32"/>
          <w:szCs w:val="32"/>
        </w:rPr>
        <w:t>农业为基底，以新材料、医药健康、冰雪经济为突破，以现代服务业为支撑，</w:t>
      </w:r>
      <w:r>
        <w:rPr>
          <w:rFonts w:hint="eastAsia" w:eastAsia="方正仿宋简体"/>
          <w:color w:val="auto"/>
          <w:sz w:val="32"/>
          <w:szCs w:val="32"/>
        </w:rPr>
        <w:t>体现</w:t>
      </w:r>
      <w:r>
        <w:rPr>
          <w:rFonts w:eastAsia="方正仿宋简体"/>
          <w:color w:val="auto"/>
          <w:sz w:val="32"/>
          <w:szCs w:val="32"/>
        </w:rPr>
        <w:t>创新引领、结构优化、竞争力强的特色现代化产业体系，加快形成具有永吉标识度的新质生产力。</w:t>
      </w:r>
    </w:p>
    <w:p w14:paraId="57E94A2B">
      <w:pPr>
        <w:spacing w:line="576" w:lineRule="exact"/>
        <w:jc w:val="center"/>
        <w:rPr>
          <w:rFonts w:eastAsia="方正楷体简体"/>
          <w:color w:val="auto"/>
          <w:sz w:val="32"/>
          <w:szCs w:val="32"/>
        </w:rPr>
      </w:pPr>
      <w:r>
        <w:rPr>
          <w:rFonts w:eastAsia="方正楷体简体"/>
          <w:color w:val="auto"/>
          <w:sz w:val="32"/>
          <w:szCs w:val="32"/>
        </w:rPr>
        <w:t>第一节  推动传统优势产业改造升级</w:t>
      </w:r>
    </w:p>
    <w:p w14:paraId="2BCF35C7">
      <w:pPr>
        <w:spacing w:line="576" w:lineRule="exact"/>
        <w:ind w:firstLine="640" w:firstLineChars="200"/>
        <w:rPr>
          <w:rFonts w:eastAsia="方正仿宋简体"/>
          <w:color w:val="auto"/>
          <w:sz w:val="32"/>
          <w:szCs w:val="32"/>
        </w:rPr>
      </w:pPr>
      <w:r>
        <w:rPr>
          <w:rFonts w:eastAsia="方正仿宋简体"/>
          <w:color w:val="auto"/>
          <w:sz w:val="32"/>
          <w:szCs w:val="32"/>
        </w:rPr>
        <w:t>以发展新质生产力为引领，坚持创新驱动、绿色转型、提质创优三大方向，推动传统产业从</w:t>
      </w:r>
      <w:r>
        <w:rPr>
          <w:rFonts w:hint="eastAsia" w:eastAsia="方正仿宋简体"/>
          <w:color w:val="auto"/>
          <w:sz w:val="32"/>
          <w:szCs w:val="32"/>
        </w:rPr>
        <w:t>“</w:t>
      </w:r>
      <w:r>
        <w:rPr>
          <w:rFonts w:eastAsia="方正仿宋简体"/>
          <w:color w:val="auto"/>
          <w:sz w:val="32"/>
          <w:szCs w:val="32"/>
        </w:rPr>
        <w:t>点状企业升级</w:t>
      </w:r>
      <w:r>
        <w:rPr>
          <w:rFonts w:hint="eastAsia" w:eastAsia="方正仿宋简体"/>
          <w:color w:val="auto"/>
          <w:sz w:val="32"/>
          <w:szCs w:val="32"/>
        </w:rPr>
        <w:t>”</w:t>
      </w:r>
      <w:r>
        <w:rPr>
          <w:rFonts w:eastAsia="方正仿宋简体"/>
          <w:color w:val="auto"/>
          <w:sz w:val="32"/>
          <w:szCs w:val="32"/>
        </w:rPr>
        <w:t>向</w:t>
      </w:r>
      <w:r>
        <w:rPr>
          <w:rFonts w:hint="eastAsia" w:eastAsia="方正仿宋简体"/>
          <w:color w:val="auto"/>
          <w:sz w:val="32"/>
          <w:szCs w:val="32"/>
        </w:rPr>
        <w:t>“</w:t>
      </w:r>
      <w:r>
        <w:rPr>
          <w:rFonts w:eastAsia="方正仿宋简体"/>
          <w:color w:val="auto"/>
          <w:sz w:val="32"/>
          <w:szCs w:val="32"/>
        </w:rPr>
        <w:t>全链条体系重构</w:t>
      </w:r>
      <w:r>
        <w:rPr>
          <w:rFonts w:hint="eastAsia" w:eastAsia="方正仿宋简体"/>
          <w:color w:val="auto"/>
          <w:sz w:val="32"/>
          <w:szCs w:val="32"/>
        </w:rPr>
        <w:t>”</w:t>
      </w:r>
      <w:r>
        <w:rPr>
          <w:rFonts w:eastAsia="方正仿宋简体"/>
          <w:color w:val="auto"/>
          <w:sz w:val="32"/>
          <w:szCs w:val="32"/>
        </w:rPr>
        <w:t>迈进，重塑永吉传统优势产业核心竞争力。</w:t>
      </w:r>
    </w:p>
    <w:p w14:paraId="474EEB2F">
      <w:pPr>
        <w:spacing w:line="576" w:lineRule="exact"/>
        <w:ind w:firstLine="640" w:firstLineChars="200"/>
        <w:rPr>
          <w:rFonts w:eastAsia="方正仿宋简体"/>
          <w:color w:val="auto"/>
          <w:sz w:val="32"/>
          <w:szCs w:val="32"/>
        </w:rPr>
      </w:pPr>
      <w:r>
        <w:rPr>
          <w:rFonts w:hint="eastAsia" w:eastAsia="方正仿宋简体"/>
          <w:color w:val="auto"/>
          <w:sz w:val="32"/>
          <w:szCs w:val="32"/>
          <w:lang w:val="en-US" w:eastAsia="zh-CN"/>
        </w:rPr>
        <w:t>推进</w:t>
      </w:r>
      <w:r>
        <w:rPr>
          <w:rFonts w:eastAsia="方正仿宋简体"/>
          <w:color w:val="auto"/>
          <w:sz w:val="32"/>
          <w:szCs w:val="32"/>
        </w:rPr>
        <w:t>装备制造产业强链智变。聚焦汽车零部件、工程机械等领域，以智能化改造、数字化转型为主攻方向，推动产业从</w:t>
      </w:r>
      <w:r>
        <w:rPr>
          <w:rFonts w:hint="eastAsia" w:eastAsia="方正仿宋简体"/>
          <w:color w:val="auto"/>
          <w:sz w:val="32"/>
          <w:szCs w:val="32"/>
        </w:rPr>
        <w:t>“</w:t>
      </w:r>
      <w:r>
        <w:rPr>
          <w:rFonts w:eastAsia="方正仿宋简体"/>
          <w:color w:val="auto"/>
          <w:sz w:val="32"/>
          <w:szCs w:val="32"/>
        </w:rPr>
        <w:t>零件加工</w:t>
      </w:r>
      <w:r>
        <w:rPr>
          <w:rFonts w:hint="eastAsia" w:eastAsia="方正仿宋简体"/>
          <w:color w:val="auto"/>
          <w:sz w:val="32"/>
          <w:szCs w:val="32"/>
        </w:rPr>
        <w:t>”</w:t>
      </w:r>
      <w:r>
        <w:rPr>
          <w:rFonts w:eastAsia="方正仿宋简体"/>
          <w:color w:val="auto"/>
          <w:sz w:val="32"/>
          <w:szCs w:val="32"/>
        </w:rPr>
        <w:t>向</w:t>
      </w:r>
      <w:r>
        <w:rPr>
          <w:rFonts w:hint="eastAsia" w:eastAsia="方正仿宋简体"/>
          <w:color w:val="auto"/>
          <w:sz w:val="32"/>
          <w:szCs w:val="32"/>
        </w:rPr>
        <w:t>“</w:t>
      </w:r>
      <w:r>
        <w:rPr>
          <w:rFonts w:eastAsia="方正仿宋简体"/>
          <w:color w:val="auto"/>
          <w:sz w:val="32"/>
          <w:szCs w:val="32"/>
        </w:rPr>
        <w:t>总成集成</w:t>
      </w:r>
      <w:r>
        <w:rPr>
          <w:rFonts w:hint="eastAsia" w:eastAsia="方正仿宋简体"/>
          <w:color w:val="auto"/>
          <w:sz w:val="32"/>
          <w:szCs w:val="32"/>
        </w:rPr>
        <w:t>”</w:t>
      </w:r>
      <w:r>
        <w:rPr>
          <w:rFonts w:eastAsia="方正仿宋简体"/>
          <w:color w:val="auto"/>
          <w:sz w:val="32"/>
          <w:szCs w:val="32"/>
        </w:rPr>
        <w:t>与</w:t>
      </w:r>
      <w:r>
        <w:rPr>
          <w:rFonts w:hint="eastAsia" w:eastAsia="方正仿宋简体"/>
          <w:color w:val="auto"/>
          <w:sz w:val="32"/>
          <w:szCs w:val="32"/>
        </w:rPr>
        <w:t>“</w:t>
      </w:r>
      <w:r>
        <w:rPr>
          <w:rFonts w:eastAsia="方正仿宋简体"/>
          <w:color w:val="auto"/>
          <w:sz w:val="32"/>
          <w:szCs w:val="32"/>
        </w:rPr>
        <w:t>服务型制造</w:t>
      </w:r>
      <w:r>
        <w:rPr>
          <w:rFonts w:hint="eastAsia" w:eastAsia="方正仿宋简体"/>
          <w:color w:val="auto"/>
          <w:sz w:val="32"/>
          <w:szCs w:val="32"/>
        </w:rPr>
        <w:t>”</w:t>
      </w:r>
      <w:r>
        <w:rPr>
          <w:rFonts w:eastAsia="方正仿宋简体"/>
          <w:color w:val="auto"/>
          <w:sz w:val="32"/>
          <w:szCs w:val="32"/>
        </w:rPr>
        <w:t>转型。以数智技改提升制造能级，支持金洪、凌远科技等龙头企业发挥智能工厂与数字化车间示范作用。重点推动碳纤维复合材料在汽车轻量化中的应用，突破高端轴承等关键部件的国产化替代与规模化生产，促进东兴模具引入五轴加工中心等智能装备提升加工精度。全面提升产品精度、生产效率和品质一致性。以产品升级拓展价值空间，引导企业从生产单一零件向提供模块化、总成化产品升级。加速推动固和泰智能枪柜研发投用</w:t>
      </w:r>
      <w:r>
        <w:rPr>
          <w:rFonts w:hint="eastAsia" w:eastAsia="方正仿宋简体"/>
          <w:color w:val="auto"/>
          <w:sz w:val="32"/>
          <w:szCs w:val="32"/>
        </w:rPr>
        <w:t>，推动军用警用装备优化升级</w:t>
      </w:r>
      <w:r>
        <w:rPr>
          <w:rFonts w:eastAsia="方正仿宋简体"/>
          <w:color w:val="auto"/>
          <w:sz w:val="32"/>
          <w:szCs w:val="32"/>
        </w:rPr>
        <w:t>。支持农信机械、纳海农装等企业，面向绿色农业需求，开发智能、环保的新型农机装备。支持金洪股份建设</w:t>
      </w:r>
      <w:r>
        <w:rPr>
          <w:rFonts w:hint="eastAsia" w:eastAsia="方正仿宋简体"/>
          <w:color w:val="auto"/>
          <w:sz w:val="32"/>
          <w:szCs w:val="32"/>
        </w:rPr>
        <w:t>“</w:t>
      </w:r>
      <w:r>
        <w:rPr>
          <w:rFonts w:eastAsia="方正仿宋简体"/>
          <w:color w:val="auto"/>
          <w:sz w:val="32"/>
          <w:szCs w:val="32"/>
        </w:rPr>
        <w:t>黑灯工厂</w:t>
      </w:r>
      <w:r>
        <w:rPr>
          <w:rFonts w:hint="eastAsia" w:eastAsia="方正仿宋简体"/>
          <w:color w:val="auto"/>
          <w:sz w:val="32"/>
          <w:szCs w:val="32"/>
        </w:rPr>
        <w:t>”</w:t>
      </w:r>
      <w:r>
        <w:rPr>
          <w:rFonts w:eastAsia="方正仿宋简体"/>
          <w:color w:val="auto"/>
          <w:sz w:val="32"/>
          <w:szCs w:val="32"/>
        </w:rPr>
        <w:t>和分布式光伏电站，引入鑫泰新材料隔音技术优化新能源汽车声学系统，推动汽车零部件产业向高端化、绿色化转型升级。大力发展服务于新能源产业的风力发电机组主轴承等关键零部件，推动产业链向高附加值环节延伸。以服务化转型创新商业模式。鼓励企业从传统制造向</w:t>
      </w:r>
      <w:r>
        <w:rPr>
          <w:rFonts w:hint="eastAsia" w:eastAsia="方正仿宋简体"/>
          <w:color w:val="auto"/>
          <w:sz w:val="32"/>
          <w:szCs w:val="32"/>
        </w:rPr>
        <w:t>“</w:t>
      </w:r>
      <w:r>
        <w:rPr>
          <w:rFonts w:eastAsia="方正仿宋简体"/>
          <w:color w:val="auto"/>
          <w:sz w:val="32"/>
          <w:szCs w:val="32"/>
        </w:rPr>
        <w:t>制造+服务</w:t>
      </w:r>
      <w:r>
        <w:rPr>
          <w:rFonts w:hint="eastAsia" w:eastAsia="方正仿宋简体"/>
          <w:color w:val="auto"/>
          <w:sz w:val="32"/>
          <w:szCs w:val="32"/>
        </w:rPr>
        <w:t>”</w:t>
      </w:r>
      <w:r>
        <w:rPr>
          <w:rFonts w:eastAsia="方正仿宋简体"/>
          <w:color w:val="auto"/>
          <w:sz w:val="32"/>
          <w:szCs w:val="32"/>
        </w:rPr>
        <w:t>转型。推动飞特环保拓展亚临界水解燃料化项目应用。集成应用数字孪生技术，为客户提供远程运维、工况预测等增值服务，培育发展服务型制造新业态，加快建设高端制造高地。</w:t>
      </w:r>
    </w:p>
    <w:p w14:paraId="39A14663">
      <w:pPr>
        <w:spacing w:line="576" w:lineRule="exact"/>
        <w:ind w:firstLine="640" w:firstLineChars="200"/>
        <w:rPr>
          <w:rFonts w:eastAsia="方正仿宋简体"/>
          <w:color w:val="auto"/>
          <w:sz w:val="32"/>
          <w:szCs w:val="32"/>
        </w:rPr>
      </w:pPr>
      <w:r>
        <w:rPr>
          <w:rFonts w:eastAsia="方正仿宋简体"/>
          <w:color w:val="auto"/>
          <w:sz w:val="32"/>
          <w:szCs w:val="32"/>
        </w:rPr>
        <w:t>推进钼矿开采及循环利用产业延链增值。以钼矿资源为核心，以规模化、高值化、循环化为导向，构建</w:t>
      </w:r>
      <w:r>
        <w:rPr>
          <w:rFonts w:hint="eastAsia" w:eastAsia="方正仿宋简体"/>
          <w:color w:val="auto"/>
          <w:sz w:val="32"/>
          <w:szCs w:val="32"/>
        </w:rPr>
        <w:t>“</w:t>
      </w:r>
      <w:r>
        <w:rPr>
          <w:rFonts w:eastAsia="方正仿宋简体"/>
          <w:color w:val="auto"/>
          <w:sz w:val="32"/>
          <w:szCs w:val="32"/>
        </w:rPr>
        <w:t>绿色开采—循环再生</w:t>
      </w:r>
      <w:r>
        <w:rPr>
          <w:rFonts w:hint="eastAsia" w:eastAsia="方正仿宋简体"/>
          <w:color w:val="auto"/>
          <w:sz w:val="32"/>
          <w:szCs w:val="32"/>
        </w:rPr>
        <w:t>”</w:t>
      </w:r>
      <w:r>
        <w:rPr>
          <w:rFonts w:eastAsia="方正仿宋简体"/>
          <w:color w:val="auto"/>
          <w:sz w:val="32"/>
          <w:szCs w:val="32"/>
        </w:rPr>
        <w:t>的产业体系，将资源优势转化为全面的产业优势和经济优势。做强上游，夯实绿色开采基础。重点推进大黑山钼采选工程改扩建二期和头道沟尾矿库及排土场建设项目，为产业链延伸奠定坚实基础。做精中游，推动资源高值转化。全力打造钼资源综合利用研发生产基地。大力推进中泽新型建材钼尾矿综合利用项目，将尾矿等固废转化为新型建材等高附加值产品，实现</w:t>
      </w:r>
      <w:r>
        <w:rPr>
          <w:rFonts w:hint="eastAsia" w:eastAsia="方正仿宋简体"/>
          <w:color w:val="auto"/>
          <w:sz w:val="32"/>
          <w:szCs w:val="32"/>
        </w:rPr>
        <w:t>“</w:t>
      </w:r>
      <w:r>
        <w:rPr>
          <w:rFonts w:eastAsia="方正仿宋简体"/>
          <w:color w:val="auto"/>
          <w:sz w:val="32"/>
          <w:szCs w:val="32"/>
        </w:rPr>
        <w:t>变废为宝</w:t>
      </w:r>
      <w:r>
        <w:rPr>
          <w:rFonts w:hint="eastAsia" w:eastAsia="方正仿宋简体"/>
          <w:color w:val="auto"/>
          <w:sz w:val="32"/>
          <w:szCs w:val="32"/>
        </w:rPr>
        <w:t>”</w:t>
      </w:r>
      <w:r>
        <w:rPr>
          <w:rFonts w:eastAsia="方正仿宋简体"/>
          <w:color w:val="auto"/>
          <w:sz w:val="32"/>
          <w:szCs w:val="32"/>
        </w:rPr>
        <w:t>，提升资源就地转化率和产业价值。拓展下游，培育循环增长动能。积极拓展再生资源板块，前瞻布局报废汽车、农机等绿色拆解与再制造业务，构建</w:t>
      </w:r>
      <w:r>
        <w:rPr>
          <w:rFonts w:hint="eastAsia" w:eastAsia="方正仿宋简体"/>
          <w:color w:val="auto"/>
          <w:sz w:val="32"/>
          <w:szCs w:val="32"/>
        </w:rPr>
        <w:t>“</w:t>
      </w:r>
      <w:r>
        <w:rPr>
          <w:rFonts w:eastAsia="方正仿宋简体"/>
          <w:color w:val="auto"/>
          <w:sz w:val="32"/>
          <w:szCs w:val="32"/>
        </w:rPr>
        <w:t>回收—拆解—再生—高端制造</w:t>
      </w:r>
      <w:r>
        <w:rPr>
          <w:rFonts w:hint="eastAsia" w:eastAsia="方正仿宋简体"/>
          <w:color w:val="auto"/>
          <w:sz w:val="32"/>
          <w:szCs w:val="32"/>
        </w:rPr>
        <w:t>”</w:t>
      </w:r>
      <w:r>
        <w:rPr>
          <w:rFonts w:eastAsia="方正仿宋简体"/>
          <w:color w:val="auto"/>
          <w:sz w:val="32"/>
          <w:szCs w:val="32"/>
        </w:rPr>
        <w:t>一体化能力，建设现代化静脉产业园，培育永吉制造业新的绿色增长点。</w:t>
      </w:r>
    </w:p>
    <w:p w14:paraId="7B161569">
      <w:pPr>
        <w:spacing w:line="576" w:lineRule="exact"/>
        <w:ind w:firstLine="640" w:firstLineChars="200"/>
        <w:rPr>
          <w:rFonts w:eastAsia="方正仿宋简体"/>
          <w:color w:val="auto"/>
          <w:sz w:val="32"/>
          <w:szCs w:val="32"/>
        </w:rPr>
      </w:pPr>
      <w:r>
        <w:rPr>
          <w:rFonts w:eastAsia="方正仿宋简体"/>
          <w:color w:val="auto"/>
          <w:sz w:val="32"/>
          <w:szCs w:val="32"/>
        </w:rPr>
        <w:t>构建多元化农特产品供给产业体系。推动农产品精深加工产业链延伸，提升农业附加值。做实</w:t>
      </w:r>
      <w:r>
        <w:rPr>
          <w:rFonts w:hint="eastAsia" w:eastAsia="方正仿宋简体"/>
          <w:color w:val="auto"/>
          <w:sz w:val="32"/>
          <w:szCs w:val="32"/>
        </w:rPr>
        <w:t>“</w:t>
      </w:r>
      <w:r>
        <w:rPr>
          <w:rFonts w:eastAsia="方正仿宋简体"/>
          <w:color w:val="auto"/>
          <w:sz w:val="32"/>
          <w:szCs w:val="32"/>
        </w:rPr>
        <w:t>粮头食尾</w:t>
      </w:r>
      <w:r>
        <w:rPr>
          <w:rFonts w:hint="eastAsia" w:eastAsia="方正仿宋简体"/>
          <w:color w:val="auto"/>
          <w:sz w:val="32"/>
          <w:szCs w:val="32"/>
        </w:rPr>
        <w:t>”</w:t>
      </w:r>
      <w:r>
        <w:rPr>
          <w:rFonts w:eastAsia="方正仿宋简体"/>
          <w:color w:val="auto"/>
          <w:sz w:val="32"/>
          <w:szCs w:val="32"/>
        </w:rPr>
        <w:t>。以</w:t>
      </w:r>
      <w:r>
        <w:rPr>
          <w:rFonts w:hint="eastAsia" w:eastAsia="方正仿宋简体"/>
          <w:color w:val="auto"/>
          <w:sz w:val="32"/>
          <w:szCs w:val="32"/>
        </w:rPr>
        <w:t>“</w:t>
      </w:r>
      <w:r>
        <w:rPr>
          <w:rFonts w:eastAsia="方正仿宋简体"/>
          <w:color w:val="auto"/>
          <w:sz w:val="32"/>
          <w:szCs w:val="32"/>
        </w:rPr>
        <w:t>永字号</w:t>
      </w:r>
      <w:r>
        <w:rPr>
          <w:rFonts w:hint="eastAsia" w:eastAsia="方正仿宋简体"/>
          <w:color w:val="auto"/>
          <w:sz w:val="32"/>
          <w:szCs w:val="32"/>
        </w:rPr>
        <w:t>”</w:t>
      </w:r>
      <w:r>
        <w:rPr>
          <w:rFonts w:eastAsia="方正仿宋简体"/>
          <w:color w:val="auto"/>
          <w:sz w:val="32"/>
          <w:szCs w:val="32"/>
        </w:rPr>
        <w:t>特色品牌为引领，以万昌大米为核心，聚焦功能性稻米研发中心，选育胚芽米、高抗性淀粉米等高端品种，到2030年，优质稻米产业集群综合产值突破33亿元。做强</w:t>
      </w:r>
      <w:r>
        <w:rPr>
          <w:rFonts w:hint="eastAsia" w:eastAsia="方正仿宋简体"/>
          <w:color w:val="auto"/>
          <w:sz w:val="32"/>
          <w:szCs w:val="32"/>
        </w:rPr>
        <w:t>“</w:t>
      </w:r>
      <w:r>
        <w:rPr>
          <w:rFonts w:eastAsia="方正仿宋简体"/>
          <w:color w:val="auto"/>
          <w:sz w:val="32"/>
          <w:szCs w:val="32"/>
        </w:rPr>
        <w:t>畜头肉尾</w:t>
      </w:r>
      <w:r>
        <w:rPr>
          <w:rFonts w:hint="eastAsia" w:eastAsia="方正仿宋简体"/>
          <w:color w:val="auto"/>
          <w:sz w:val="32"/>
          <w:szCs w:val="32"/>
        </w:rPr>
        <w:t>”</w:t>
      </w:r>
      <w:r>
        <w:rPr>
          <w:rFonts w:eastAsia="方正仿宋简体"/>
          <w:color w:val="auto"/>
          <w:sz w:val="32"/>
          <w:szCs w:val="32"/>
        </w:rPr>
        <w:t>。巩固国家内陆无疫区优势，完善三级动物疫病防控机制。推进无疫区基础设施数字化升级，争获国际组织无疫认证，将</w:t>
      </w:r>
      <w:r>
        <w:rPr>
          <w:rFonts w:hint="eastAsia" w:eastAsia="方正仿宋简体"/>
          <w:color w:val="auto"/>
          <w:sz w:val="32"/>
          <w:szCs w:val="32"/>
        </w:rPr>
        <w:t>“</w:t>
      </w:r>
      <w:r>
        <w:rPr>
          <w:rFonts w:eastAsia="方正仿宋简体"/>
          <w:color w:val="auto"/>
          <w:sz w:val="32"/>
          <w:szCs w:val="32"/>
        </w:rPr>
        <w:t>无疫区</w:t>
      </w:r>
      <w:r>
        <w:rPr>
          <w:rFonts w:hint="eastAsia" w:eastAsia="方正仿宋简体"/>
          <w:color w:val="auto"/>
          <w:sz w:val="32"/>
          <w:szCs w:val="32"/>
        </w:rPr>
        <w:t>”</w:t>
      </w:r>
      <w:r>
        <w:rPr>
          <w:rFonts w:eastAsia="方正仿宋简体"/>
          <w:color w:val="auto"/>
          <w:sz w:val="32"/>
          <w:szCs w:val="32"/>
        </w:rPr>
        <w:t>打造为</w:t>
      </w:r>
      <w:r>
        <w:rPr>
          <w:rFonts w:hint="eastAsia" w:eastAsia="方正仿宋简体"/>
          <w:color w:val="auto"/>
          <w:sz w:val="32"/>
          <w:szCs w:val="32"/>
        </w:rPr>
        <w:t>对外</w:t>
      </w:r>
      <w:r>
        <w:rPr>
          <w:rFonts w:eastAsia="方正仿宋简体"/>
          <w:color w:val="auto"/>
          <w:sz w:val="32"/>
          <w:szCs w:val="32"/>
        </w:rPr>
        <w:t>通行的市场准入证书和品牌溢价核心资产。发挥中新正大、玉盛牧业等龙头企业带动作用，建设一拉溪、岔路河等乡镇生猪养殖集群；支持黄榆、北大湖扩大肉牛养殖规模。对接德翔等企业，发展冷鲜分割肉、熟食制品、预制菜等精深加工产品。建设岔路河—万昌农产品冷链中心，完善冷链物流体系。做优</w:t>
      </w:r>
      <w:r>
        <w:rPr>
          <w:rFonts w:hint="eastAsia" w:eastAsia="方正仿宋简体"/>
          <w:color w:val="auto"/>
          <w:sz w:val="32"/>
          <w:szCs w:val="32"/>
        </w:rPr>
        <w:t>“</w:t>
      </w:r>
      <w:r>
        <w:rPr>
          <w:rFonts w:eastAsia="方正仿宋简体"/>
          <w:color w:val="auto"/>
          <w:sz w:val="32"/>
          <w:szCs w:val="32"/>
        </w:rPr>
        <w:t>农头工尾</w:t>
      </w:r>
      <w:r>
        <w:rPr>
          <w:rFonts w:hint="eastAsia" w:eastAsia="方正仿宋简体"/>
          <w:color w:val="auto"/>
          <w:sz w:val="32"/>
          <w:szCs w:val="32"/>
        </w:rPr>
        <w:t>”</w:t>
      </w:r>
      <w:r>
        <w:rPr>
          <w:rFonts w:eastAsia="方正仿宋简体"/>
          <w:color w:val="auto"/>
          <w:sz w:val="32"/>
          <w:szCs w:val="32"/>
        </w:rPr>
        <w:t>。推进人参、柞蚕、紫苏、中草药等林特产业全链升级。扩大林下参规模化种植，推动永吉县农村综合改革人参产业项目，开发人参精深加工产品。发展以香菜、茼蒿等为主的反季节蔬菜集群，建设1000亩有机蔬菜种植基地。打造双河肉葫芦、马鞍山葡萄等</w:t>
      </w:r>
      <w:r>
        <w:rPr>
          <w:rFonts w:hint="eastAsia" w:eastAsia="方正仿宋简体"/>
          <w:color w:val="auto"/>
          <w:sz w:val="32"/>
          <w:szCs w:val="32"/>
        </w:rPr>
        <w:t>“</w:t>
      </w:r>
      <w:r>
        <w:rPr>
          <w:rFonts w:eastAsia="方正仿宋简体"/>
          <w:color w:val="auto"/>
          <w:sz w:val="32"/>
          <w:szCs w:val="32"/>
        </w:rPr>
        <w:t>一镇一特</w:t>
      </w:r>
      <w:r>
        <w:rPr>
          <w:rFonts w:hint="eastAsia" w:eastAsia="方正仿宋简体"/>
          <w:color w:val="auto"/>
          <w:sz w:val="32"/>
          <w:szCs w:val="32"/>
        </w:rPr>
        <w:t>”</w:t>
      </w:r>
      <w:r>
        <w:rPr>
          <w:rFonts w:eastAsia="方正仿宋简体"/>
          <w:color w:val="auto"/>
          <w:sz w:val="32"/>
          <w:szCs w:val="32"/>
        </w:rPr>
        <w:t>产业。</w:t>
      </w:r>
    </w:p>
    <w:p w14:paraId="194047FF">
      <w:pPr>
        <w:spacing w:line="576" w:lineRule="exact"/>
        <w:jc w:val="center"/>
        <w:rPr>
          <w:rFonts w:eastAsia="方正楷体简体"/>
          <w:color w:val="auto"/>
          <w:sz w:val="32"/>
          <w:szCs w:val="32"/>
        </w:rPr>
      </w:pPr>
      <w:r>
        <w:rPr>
          <w:rFonts w:eastAsia="方正楷体简体"/>
          <w:color w:val="auto"/>
          <w:sz w:val="32"/>
          <w:szCs w:val="32"/>
        </w:rPr>
        <w:t>第二节  培育壮大新兴产业</w:t>
      </w:r>
    </w:p>
    <w:p w14:paraId="5216B603">
      <w:pPr>
        <w:spacing w:line="576" w:lineRule="exact"/>
        <w:ind w:firstLine="640" w:firstLineChars="200"/>
        <w:rPr>
          <w:rFonts w:eastAsia="方正仿宋简体"/>
          <w:color w:val="auto"/>
          <w:sz w:val="32"/>
          <w:szCs w:val="32"/>
        </w:rPr>
      </w:pPr>
      <w:r>
        <w:rPr>
          <w:rFonts w:eastAsia="方正仿宋简体"/>
          <w:color w:val="auto"/>
          <w:sz w:val="32"/>
          <w:szCs w:val="32"/>
        </w:rPr>
        <w:t>把握新科技革命与产业变革趋势，聚焦新材料、医药健康、冰雪产业三大主攻方向，以科技创新为核心动力，加快构建特色鲜明、优势突出的战略性产业集群，为永吉经济高质量发展注入强劲新动能。</w:t>
      </w:r>
    </w:p>
    <w:p w14:paraId="4C5169A8">
      <w:pPr>
        <w:spacing w:line="576" w:lineRule="exact"/>
        <w:ind w:firstLine="640" w:firstLineChars="200"/>
        <w:rPr>
          <w:rFonts w:eastAsia="方正仿宋简体"/>
          <w:color w:val="auto"/>
          <w:sz w:val="32"/>
          <w:szCs w:val="32"/>
        </w:rPr>
      </w:pPr>
      <w:r>
        <w:rPr>
          <w:rFonts w:eastAsia="方正仿宋简体"/>
          <w:color w:val="auto"/>
          <w:sz w:val="32"/>
          <w:szCs w:val="32"/>
        </w:rPr>
        <w:t>促进新材料产业向多元化应用领域拓展。立足产业基础，推动碳纤维复合材料、高性能石墨负极、新型建材等细分领域向新能源、高端装备、绿色建筑等高潜力场景加速渗透，强化产业链上下游协同，打造多元发展的新材料产业体系。做强碳纤维复合材料。拓展大丝束碳纤维在新能源装备、汽车轻量化部件领域的应用。支持聚能炭材等企业突破高铁受电弓滑板、碳陶刹车盘等关键材料的国产化替代与规模化量产技术。积极推进西克瑞年产万吨复合弹性体材料项目，构建从原材料到终端产品的本地化产业链，打造国内知名的热场材料与轻量化部件产业集群。壮大高性能石墨负极材料。着力突破硅碳复合负极材料等前沿技术，积极拓展产品在新能源汽车动力电池、快充设备及高端消费电子等领域的应用市场，提升产品附加值和高价值市场份额。加快发展新型建筑材料。以金隅冀东、中泽新材料等龙头企业为引领，加快固废基低碳建材和尾矿高值化利用技术的研发与应用，引领全县建材产业向绿色、低碳方向转型升级。</w:t>
      </w:r>
    </w:p>
    <w:p w14:paraId="6A4F2054">
      <w:pPr>
        <w:spacing w:line="576" w:lineRule="exact"/>
        <w:ind w:firstLine="640" w:firstLineChars="200"/>
        <w:rPr>
          <w:rFonts w:eastAsia="方正仿宋简体"/>
          <w:color w:val="auto"/>
          <w:sz w:val="32"/>
          <w:szCs w:val="32"/>
        </w:rPr>
      </w:pPr>
      <w:r>
        <w:rPr>
          <w:rFonts w:eastAsia="方正仿宋简体"/>
          <w:color w:val="auto"/>
          <w:sz w:val="32"/>
          <w:szCs w:val="32"/>
        </w:rPr>
        <w:t>推动医药健康产业扩量提质。把握健康消费升级与科技跨界融合新趋势，以医疗器械升级、中医药精深开发及医美消费拓展为突破口，推动医药健康产业链、创新链与价值链深度融合。壮大发展医疗器械制造业。以瑞尔康为核心主体，培育特色隐形眼镜产业。加快推进年产2亿片隐形眼镜暨自动化设备研发制造项目、塑料改性项目达产见效，推动接触镜护理产品投产项目落地，构建</w:t>
      </w:r>
      <w:r>
        <w:rPr>
          <w:rFonts w:hint="eastAsia" w:eastAsia="方正仿宋简体"/>
          <w:color w:val="auto"/>
          <w:sz w:val="32"/>
          <w:szCs w:val="32"/>
        </w:rPr>
        <w:t>“</w:t>
      </w:r>
      <w:r>
        <w:rPr>
          <w:rFonts w:eastAsia="方正仿宋简体"/>
          <w:color w:val="auto"/>
          <w:sz w:val="32"/>
          <w:szCs w:val="32"/>
        </w:rPr>
        <w:t>研发－中试－临床</w:t>
      </w:r>
      <w:r>
        <w:rPr>
          <w:rFonts w:hint="eastAsia" w:eastAsia="方正仿宋简体"/>
          <w:color w:val="auto"/>
          <w:sz w:val="32"/>
          <w:szCs w:val="32"/>
        </w:rPr>
        <w:t>”</w:t>
      </w:r>
      <w:r>
        <w:rPr>
          <w:rFonts w:eastAsia="方正仿宋简体"/>
          <w:color w:val="auto"/>
          <w:sz w:val="32"/>
          <w:szCs w:val="32"/>
        </w:rPr>
        <w:t>一体化创新链，推动产品线向高附加值方向延伸。加快发展中医药与健康食品产业。以天三奇药业为龙头，扩大益生菌及中药发酵食品产能。深化与吉林农业科技学院、吉林医药学院等院校合作，研发人参桑黄饮、人参蓝莓饮料等高端</w:t>
      </w:r>
      <w:r>
        <w:rPr>
          <w:rFonts w:hint="eastAsia" w:eastAsia="方正仿宋简体"/>
          <w:color w:val="auto"/>
          <w:sz w:val="32"/>
          <w:szCs w:val="32"/>
        </w:rPr>
        <w:t>“</w:t>
      </w:r>
      <w:r>
        <w:rPr>
          <w:rFonts w:eastAsia="方正仿宋简体"/>
          <w:color w:val="auto"/>
          <w:sz w:val="32"/>
          <w:szCs w:val="32"/>
        </w:rPr>
        <w:t>药食同源</w:t>
      </w:r>
      <w:r>
        <w:rPr>
          <w:rFonts w:hint="eastAsia" w:eastAsia="方正仿宋简体"/>
          <w:color w:val="auto"/>
          <w:sz w:val="32"/>
          <w:szCs w:val="32"/>
        </w:rPr>
        <w:t>”</w:t>
      </w:r>
      <w:r>
        <w:rPr>
          <w:rFonts w:eastAsia="方正仿宋简体"/>
          <w:color w:val="auto"/>
          <w:sz w:val="32"/>
          <w:szCs w:val="32"/>
        </w:rPr>
        <w:t>产品。支持博大农林发挥</w:t>
      </w:r>
      <w:r>
        <w:rPr>
          <w:rFonts w:hint="eastAsia" w:eastAsia="方正仿宋简体"/>
          <w:color w:val="auto"/>
          <w:sz w:val="32"/>
          <w:szCs w:val="32"/>
        </w:rPr>
        <w:t>“</w:t>
      </w:r>
      <w:r>
        <w:rPr>
          <w:rFonts w:eastAsia="方正仿宋简体"/>
          <w:color w:val="auto"/>
          <w:sz w:val="32"/>
          <w:szCs w:val="32"/>
        </w:rPr>
        <w:t>长白山人参</w:t>
      </w:r>
      <w:r>
        <w:rPr>
          <w:rFonts w:hint="eastAsia" w:eastAsia="方正仿宋简体"/>
          <w:color w:val="auto"/>
          <w:sz w:val="32"/>
          <w:szCs w:val="32"/>
        </w:rPr>
        <w:t>”</w:t>
      </w:r>
      <w:r>
        <w:rPr>
          <w:rFonts w:eastAsia="方正仿宋简体"/>
          <w:color w:val="auto"/>
          <w:sz w:val="32"/>
          <w:szCs w:val="32"/>
        </w:rPr>
        <w:t>品牌优势，构建人参精深加工创新体系。</w:t>
      </w:r>
    </w:p>
    <w:p w14:paraId="78982F99">
      <w:pPr>
        <w:spacing w:line="576" w:lineRule="exact"/>
        <w:ind w:firstLine="640" w:firstLineChars="200"/>
        <w:rPr>
          <w:rFonts w:eastAsia="方正仿宋简体"/>
          <w:color w:val="auto"/>
          <w:sz w:val="32"/>
          <w:szCs w:val="32"/>
        </w:rPr>
      </w:pPr>
      <w:r>
        <w:rPr>
          <w:rFonts w:eastAsia="方正仿宋简体"/>
          <w:color w:val="auto"/>
          <w:sz w:val="32"/>
          <w:szCs w:val="32"/>
        </w:rPr>
        <w:t>推动冰雪装备产业加快发展。以永吉冰雪装备产业园为核心载体，系统构建覆盖研发设计、智能制造、租赁服务于一体的冰雪装备全产业链。深化与冰雪试验区协同联动。创新建立</w:t>
      </w:r>
      <w:r>
        <w:rPr>
          <w:rFonts w:hint="eastAsia" w:eastAsia="方正仿宋简体"/>
          <w:color w:val="auto"/>
          <w:sz w:val="32"/>
          <w:szCs w:val="32"/>
        </w:rPr>
        <w:t>“</w:t>
      </w:r>
      <w:r>
        <w:rPr>
          <w:rFonts w:eastAsia="方正仿宋简体"/>
          <w:color w:val="auto"/>
          <w:sz w:val="32"/>
          <w:szCs w:val="32"/>
        </w:rPr>
        <w:t>研发测试在试验区、生产制造在永吉</w:t>
      </w:r>
      <w:r>
        <w:rPr>
          <w:rFonts w:hint="eastAsia" w:eastAsia="方正仿宋简体"/>
          <w:color w:val="auto"/>
          <w:sz w:val="32"/>
          <w:szCs w:val="32"/>
        </w:rPr>
        <w:t>”</w:t>
      </w:r>
      <w:r>
        <w:rPr>
          <w:rFonts w:eastAsia="方正仿宋简体"/>
          <w:color w:val="auto"/>
          <w:sz w:val="32"/>
          <w:szCs w:val="32"/>
        </w:rPr>
        <w:t>的产业协同与飞地经济模式。依托冰雪试验区的品牌影响力与场景资源，实施联合精准招商，重点引进冰雪个人装备、场地设施、智能穿戴等领域企业，推动其在永吉冰雪装备产业园集聚发展。强化技术创新平台支撑。探索联合高校、科研院所及龙头企业共建冰雪装备检测维修中心、冰雪产业创新实验室，推动碳纤维滑雪器材、冰刀、防切割服等重点冰雪装备产学研协同攻关和技术突破，支持聚能炭材实现碳陶刹车盘在冰雪车辆上的技术突破与应用。</w:t>
      </w:r>
    </w:p>
    <w:p w14:paraId="0166EECE">
      <w:pPr>
        <w:spacing w:line="576" w:lineRule="exact"/>
        <w:jc w:val="center"/>
        <w:rPr>
          <w:rFonts w:eastAsia="方正楷体简体"/>
          <w:color w:val="auto"/>
          <w:sz w:val="32"/>
          <w:szCs w:val="32"/>
        </w:rPr>
      </w:pPr>
      <w:r>
        <w:rPr>
          <w:rFonts w:eastAsia="方正楷体简体"/>
          <w:color w:val="auto"/>
          <w:sz w:val="32"/>
          <w:szCs w:val="32"/>
        </w:rPr>
        <w:t>第三节  推进现代服务业高质量发展</w:t>
      </w:r>
    </w:p>
    <w:p w14:paraId="64E40FCD">
      <w:pPr>
        <w:spacing w:line="576" w:lineRule="exact"/>
        <w:ind w:firstLine="640" w:firstLineChars="200"/>
        <w:rPr>
          <w:rFonts w:eastAsia="方正仿宋简体"/>
          <w:color w:val="auto"/>
          <w:sz w:val="32"/>
          <w:szCs w:val="32"/>
        </w:rPr>
      </w:pPr>
      <w:r>
        <w:rPr>
          <w:rFonts w:eastAsia="方正仿宋简体"/>
          <w:color w:val="auto"/>
          <w:sz w:val="32"/>
          <w:szCs w:val="32"/>
        </w:rPr>
        <w:t>强化生产性服务业对实体经济的赋能增效作用，推动生活性服务业向精细化和高品质转变，着力打造与现代</w:t>
      </w:r>
      <w:r>
        <w:rPr>
          <w:rFonts w:hint="eastAsia" w:eastAsia="方正仿宋简体"/>
          <w:color w:val="auto"/>
          <w:sz w:val="32"/>
          <w:szCs w:val="32"/>
        </w:rPr>
        <w:t>大</w:t>
      </w:r>
      <w:r>
        <w:rPr>
          <w:rFonts w:eastAsia="方正仿宋简体"/>
          <w:color w:val="auto"/>
          <w:sz w:val="32"/>
          <w:szCs w:val="32"/>
        </w:rPr>
        <w:t>农业、先进制造业深度融合，与城乡发展、民生需求紧密适配的现代服务业。</w:t>
      </w:r>
    </w:p>
    <w:p w14:paraId="1C3F29CE">
      <w:pPr>
        <w:spacing w:line="576" w:lineRule="exact"/>
        <w:ind w:firstLine="640" w:firstLineChars="200"/>
        <w:rPr>
          <w:rFonts w:eastAsia="方正仿宋简体"/>
          <w:color w:val="auto"/>
          <w:sz w:val="32"/>
          <w:szCs w:val="32"/>
        </w:rPr>
      </w:pPr>
      <w:r>
        <w:rPr>
          <w:rFonts w:eastAsia="方正仿宋简体"/>
          <w:color w:val="auto"/>
          <w:sz w:val="32"/>
          <w:szCs w:val="32"/>
        </w:rPr>
        <w:t>推动生产性服务业专业化发展。坚持专业化引领，以服务实体经济为导向，推动生产性服务业向价值链高端延伸。提升研发设计服务能力。支持凌远科技、聚能炭材、瑞尔康等龙头企业联合吉林大学、中南大学、长春理工大学等高校共建研发设计协同平台，鼓励佰丰科技与东北电力联合攻关核电阀门智能打磨机器人项目。完善现代物流体系。</w:t>
      </w:r>
      <w:r>
        <w:rPr>
          <w:rFonts w:hint="eastAsia" w:eastAsia="方正仿宋简体"/>
          <w:color w:val="auto"/>
          <w:sz w:val="32"/>
          <w:szCs w:val="32"/>
          <w:lang w:val="en-US" w:eastAsia="zh-CN"/>
        </w:rPr>
        <w:t>合理</w:t>
      </w:r>
      <w:r>
        <w:rPr>
          <w:rFonts w:eastAsia="方正仿宋简体"/>
          <w:color w:val="auto"/>
          <w:sz w:val="32"/>
          <w:szCs w:val="32"/>
        </w:rPr>
        <w:t>布局冷链仓储设施，支持物流企业与制造业企业深度合作，发展供应链管理、精益物流等业态。强化金融服务实体经济能力。围绕现代</w:t>
      </w:r>
      <w:r>
        <w:rPr>
          <w:rFonts w:hint="eastAsia" w:eastAsia="方正仿宋简体"/>
          <w:color w:val="auto"/>
          <w:sz w:val="32"/>
          <w:szCs w:val="32"/>
        </w:rPr>
        <w:t>大</w:t>
      </w:r>
      <w:r>
        <w:rPr>
          <w:rFonts w:eastAsia="方正仿宋简体"/>
          <w:color w:val="auto"/>
          <w:sz w:val="32"/>
          <w:szCs w:val="32"/>
        </w:rPr>
        <w:t>农业、冰雪旅游、装备制造等特色产业，创新推广</w:t>
      </w:r>
      <w:r>
        <w:rPr>
          <w:rFonts w:hint="eastAsia" w:eastAsia="方正仿宋简体"/>
          <w:color w:val="auto"/>
          <w:sz w:val="32"/>
          <w:szCs w:val="32"/>
        </w:rPr>
        <w:t>“</w:t>
      </w:r>
      <w:r>
        <w:rPr>
          <w:rFonts w:eastAsia="方正仿宋简体"/>
          <w:color w:val="auto"/>
          <w:sz w:val="32"/>
          <w:szCs w:val="32"/>
        </w:rPr>
        <w:t>红本贷</w:t>
      </w:r>
      <w:r>
        <w:rPr>
          <w:rFonts w:hint="eastAsia" w:eastAsia="方正仿宋简体"/>
          <w:color w:val="auto"/>
          <w:sz w:val="32"/>
          <w:szCs w:val="32"/>
        </w:rPr>
        <w:t>”“</w:t>
      </w:r>
      <w:r>
        <w:rPr>
          <w:rFonts w:eastAsia="方正仿宋简体"/>
          <w:color w:val="auto"/>
          <w:sz w:val="32"/>
          <w:szCs w:val="32"/>
        </w:rPr>
        <w:t>冰雪贷</w:t>
      </w:r>
      <w:r>
        <w:rPr>
          <w:rFonts w:hint="eastAsia" w:eastAsia="方正仿宋简体"/>
          <w:color w:val="auto"/>
          <w:sz w:val="32"/>
          <w:szCs w:val="32"/>
        </w:rPr>
        <w:t>”</w:t>
      </w:r>
      <w:r>
        <w:rPr>
          <w:rFonts w:eastAsia="方正仿宋简体"/>
          <w:color w:val="auto"/>
          <w:sz w:val="32"/>
          <w:szCs w:val="32"/>
        </w:rPr>
        <w:t>等普惠金融产品，精准满足中小微企业融资需求。完善线上金融服务平台，整合银企信息，提高融资对接效率。鼓励金融机构发展供应链金融、融资租赁等业务，为制造业企业提供全周期、多元化金融服务，支撑实体经济持续健康发展。深化产业融合发展。推动现代服务业同先进制造业、现代</w:t>
      </w:r>
      <w:r>
        <w:rPr>
          <w:rFonts w:hint="eastAsia" w:eastAsia="方正仿宋简体"/>
          <w:color w:val="auto"/>
          <w:sz w:val="32"/>
          <w:szCs w:val="32"/>
        </w:rPr>
        <w:t>大</w:t>
      </w:r>
      <w:r>
        <w:rPr>
          <w:rFonts w:eastAsia="方正仿宋简体"/>
          <w:color w:val="auto"/>
          <w:sz w:val="32"/>
          <w:szCs w:val="32"/>
        </w:rPr>
        <w:t>农业融合发展。支持金洪股份、农信机械等制造业企业延长服务链条，打造融合发展试点。立足农业生产全过程，发展新田地种业研发、纳海农机作业及维修等农业生产性服务业。鼓励农业与教育、科技、文化、旅游、健康等产业融合。</w:t>
      </w:r>
    </w:p>
    <w:p w14:paraId="3E338C38">
      <w:pPr>
        <w:spacing w:line="576" w:lineRule="exact"/>
        <w:ind w:firstLine="640" w:firstLineChars="200"/>
        <w:rPr>
          <w:rFonts w:eastAsia="方正仿宋简体"/>
          <w:color w:val="auto"/>
          <w:sz w:val="32"/>
          <w:szCs w:val="32"/>
        </w:rPr>
      </w:pPr>
      <w:r>
        <w:rPr>
          <w:rFonts w:eastAsia="方正仿宋简体"/>
          <w:color w:val="auto"/>
          <w:sz w:val="32"/>
          <w:szCs w:val="32"/>
        </w:rPr>
        <w:t>促进生活性服务业高品质升级。顺应消费升级新趋势，以场景创新、业态融合、品牌塑造为路径，打造供给优质、布局合理、便捷舒适的现代生活服务体系。打造特色化商贸消费集群。构建以县城为核心、重点乡镇为节点的商贸网络。推动丽辉、欧亚等传统商圈业态优化与智慧化改造，强化购物、餐饮、休闲娱乐等复合功能。促进餐饮业品牌化发展，打造</w:t>
      </w:r>
      <w:r>
        <w:rPr>
          <w:rFonts w:hint="eastAsia" w:eastAsia="方正仿宋简体"/>
          <w:color w:val="auto"/>
          <w:sz w:val="32"/>
          <w:szCs w:val="32"/>
        </w:rPr>
        <w:t>“</w:t>
      </w:r>
      <w:r>
        <w:rPr>
          <w:rFonts w:eastAsia="方正仿宋简体"/>
          <w:color w:val="auto"/>
          <w:sz w:val="32"/>
          <w:szCs w:val="32"/>
        </w:rPr>
        <w:t>永吉味道</w:t>
      </w:r>
      <w:r>
        <w:rPr>
          <w:rFonts w:hint="eastAsia" w:eastAsia="方正仿宋简体"/>
          <w:color w:val="auto"/>
          <w:sz w:val="32"/>
          <w:szCs w:val="32"/>
        </w:rPr>
        <w:t>”</w:t>
      </w:r>
      <w:r>
        <w:rPr>
          <w:rFonts w:eastAsia="方正仿宋简体"/>
          <w:color w:val="auto"/>
          <w:sz w:val="32"/>
          <w:szCs w:val="32"/>
        </w:rPr>
        <w:t>餐饮品牌，系统挖掘地方特色菜肴，建立地方美食名录。提升兴凯路商业街、铁东美食街等特色街区品质，融入地方文化元素，集聚特色餐饮、文创零售等业态，打造县域消费地标。培育特色文旅消费带。以四间河水系为脉络，建设四间河商业街、民俗主题慢行系统，串联兴凯路商业街、铁路遗址公园等节点，系统布局永吉传统小吃、吉林特色菜系，设立</w:t>
      </w:r>
      <w:r>
        <w:rPr>
          <w:rFonts w:hint="eastAsia" w:eastAsia="方正仿宋简体"/>
          <w:color w:val="auto"/>
          <w:sz w:val="32"/>
          <w:szCs w:val="32"/>
        </w:rPr>
        <w:t>“</w:t>
      </w:r>
      <w:r>
        <w:rPr>
          <w:rFonts w:eastAsia="方正仿宋简体"/>
          <w:color w:val="auto"/>
          <w:sz w:val="32"/>
          <w:szCs w:val="32"/>
        </w:rPr>
        <w:t>吉味品牌旗舰店</w:t>
      </w:r>
      <w:r>
        <w:rPr>
          <w:rFonts w:hint="eastAsia" w:eastAsia="方正仿宋简体"/>
          <w:color w:val="auto"/>
          <w:sz w:val="32"/>
          <w:szCs w:val="32"/>
        </w:rPr>
        <w:t>”</w:t>
      </w:r>
      <w:r>
        <w:rPr>
          <w:rFonts w:eastAsia="方正仿宋简体"/>
          <w:color w:val="auto"/>
          <w:sz w:val="32"/>
          <w:szCs w:val="32"/>
        </w:rPr>
        <w:t>，嵌入满族刺绣、柳编等非遗体验站，打造</w:t>
      </w:r>
      <w:r>
        <w:rPr>
          <w:rFonts w:hint="eastAsia" w:eastAsia="方正仿宋简体"/>
          <w:color w:val="auto"/>
          <w:sz w:val="32"/>
          <w:szCs w:val="32"/>
        </w:rPr>
        <w:t>“</w:t>
      </w:r>
      <w:r>
        <w:rPr>
          <w:rFonts w:eastAsia="方正仿宋简体"/>
          <w:color w:val="auto"/>
          <w:sz w:val="32"/>
          <w:szCs w:val="32"/>
        </w:rPr>
        <w:t>山水+人文</w:t>
      </w:r>
      <w:r>
        <w:rPr>
          <w:rFonts w:hint="eastAsia" w:eastAsia="方正仿宋简体"/>
          <w:color w:val="auto"/>
          <w:sz w:val="32"/>
          <w:szCs w:val="32"/>
        </w:rPr>
        <w:t>”</w:t>
      </w:r>
      <w:r>
        <w:rPr>
          <w:rFonts w:eastAsia="方正仿宋简体"/>
          <w:color w:val="auto"/>
          <w:sz w:val="32"/>
          <w:szCs w:val="32"/>
        </w:rPr>
        <w:t>沉浸式消费廊道。培育现代商贸新兴业态。推动商贸业态创新与模式升级，推动融合地域文化、具有市场吸引力的</w:t>
      </w:r>
      <w:r>
        <w:rPr>
          <w:rFonts w:hint="eastAsia" w:eastAsia="方正仿宋简体"/>
          <w:color w:val="auto"/>
          <w:sz w:val="32"/>
          <w:szCs w:val="32"/>
        </w:rPr>
        <w:t>“</w:t>
      </w:r>
      <w:r>
        <w:rPr>
          <w:rFonts w:eastAsia="方正仿宋简体"/>
          <w:color w:val="auto"/>
          <w:sz w:val="32"/>
          <w:szCs w:val="32"/>
        </w:rPr>
        <w:t>永吉礼物</w:t>
      </w:r>
      <w:r>
        <w:rPr>
          <w:rFonts w:hint="eastAsia" w:eastAsia="方正仿宋简体"/>
          <w:color w:val="auto"/>
          <w:sz w:val="32"/>
          <w:szCs w:val="32"/>
        </w:rPr>
        <w:t>”</w:t>
      </w:r>
      <w:r>
        <w:rPr>
          <w:rFonts w:eastAsia="方正仿宋简体"/>
          <w:color w:val="auto"/>
          <w:sz w:val="32"/>
          <w:szCs w:val="32"/>
        </w:rPr>
        <w:t>品牌体系建设，开发</w:t>
      </w:r>
      <w:r>
        <w:rPr>
          <w:rFonts w:hint="eastAsia" w:eastAsia="方正仿宋简体"/>
          <w:color w:val="auto"/>
          <w:sz w:val="32"/>
          <w:szCs w:val="32"/>
        </w:rPr>
        <w:t>“</w:t>
      </w:r>
      <w:r>
        <w:rPr>
          <w:rFonts w:eastAsia="方正仿宋简体"/>
          <w:color w:val="auto"/>
          <w:sz w:val="32"/>
          <w:szCs w:val="32"/>
        </w:rPr>
        <w:t>商务考察+特色体验</w:t>
      </w:r>
      <w:r>
        <w:rPr>
          <w:rFonts w:hint="eastAsia" w:eastAsia="方正仿宋简体"/>
          <w:color w:val="auto"/>
          <w:sz w:val="32"/>
          <w:szCs w:val="32"/>
        </w:rPr>
        <w:t>”</w:t>
      </w:r>
      <w:r>
        <w:rPr>
          <w:rFonts w:eastAsia="方正仿宋简体"/>
          <w:color w:val="auto"/>
          <w:sz w:val="32"/>
          <w:szCs w:val="32"/>
        </w:rPr>
        <w:t>套餐。打造高端礼赠品牌，围绕万昌大米、永吉人参等核心产品，开发高端</w:t>
      </w:r>
      <w:r>
        <w:rPr>
          <w:rFonts w:hint="eastAsia" w:eastAsia="方正仿宋简体"/>
          <w:color w:val="auto"/>
          <w:sz w:val="32"/>
          <w:szCs w:val="32"/>
        </w:rPr>
        <w:t>“</w:t>
      </w:r>
      <w:r>
        <w:rPr>
          <w:rFonts w:eastAsia="方正仿宋简体"/>
          <w:color w:val="auto"/>
          <w:sz w:val="32"/>
          <w:szCs w:val="32"/>
        </w:rPr>
        <w:t>永吉风物礼盒</w:t>
      </w:r>
      <w:r>
        <w:rPr>
          <w:rFonts w:hint="eastAsia" w:eastAsia="方正仿宋简体"/>
          <w:color w:val="auto"/>
          <w:sz w:val="32"/>
          <w:szCs w:val="32"/>
        </w:rPr>
        <w:t>”</w:t>
      </w:r>
      <w:r>
        <w:rPr>
          <w:rFonts w:eastAsia="方正仿宋简体"/>
          <w:color w:val="auto"/>
          <w:sz w:val="32"/>
          <w:szCs w:val="32"/>
        </w:rPr>
        <w:t>与定制化商贸礼品。提升县级电商公共服务中心功能，支持人参、榛子产品电商直播基地建设。建设永吉县名优商品展示体验馆，集成产品展示、消费体验、招商洽谈与电商直播等综合功能。依托万昌现代农业中心、卓远温泉等资源，积极承接或举办冰雪产业论坛、农业品牌发布会、康养旅游峰会等专业领域活动。完善城乡便民服务网络。全面建设</w:t>
      </w:r>
      <w:r>
        <w:rPr>
          <w:rFonts w:hint="eastAsia" w:eastAsia="方正仿宋简体"/>
          <w:color w:val="auto"/>
          <w:sz w:val="32"/>
          <w:szCs w:val="32"/>
        </w:rPr>
        <w:t>“</w:t>
      </w:r>
      <w:r>
        <w:rPr>
          <w:rFonts w:eastAsia="方正仿宋简体"/>
          <w:color w:val="auto"/>
          <w:sz w:val="32"/>
          <w:szCs w:val="32"/>
        </w:rPr>
        <w:t>一刻钟便民生活圈</w:t>
      </w:r>
      <w:r>
        <w:rPr>
          <w:rFonts w:hint="eastAsia" w:eastAsia="方正仿宋简体"/>
          <w:color w:val="auto"/>
          <w:sz w:val="32"/>
          <w:szCs w:val="32"/>
        </w:rPr>
        <w:t>”</w:t>
      </w:r>
      <w:r>
        <w:rPr>
          <w:rFonts w:eastAsia="方正仿宋简体"/>
          <w:color w:val="auto"/>
          <w:sz w:val="32"/>
          <w:szCs w:val="32"/>
        </w:rPr>
        <w:t>，优化社区商业布局，推动连锁便利店、生鲜超市、社区食堂等业态进社区。推动家政服务、维修、美容美发等传统生活服务业标准化、品牌化发展。支持</w:t>
      </w:r>
      <w:r>
        <w:rPr>
          <w:rFonts w:hint="eastAsia" w:eastAsia="方正仿宋简体"/>
          <w:color w:val="auto"/>
          <w:sz w:val="32"/>
          <w:szCs w:val="32"/>
        </w:rPr>
        <w:t>“</w:t>
      </w:r>
      <w:r>
        <w:rPr>
          <w:rFonts w:eastAsia="方正仿宋简体"/>
          <w:color w:val="auto"/>
          <w:sz w:val="32"/>
          <w:szCs w:val="32"/>
        </w:rPr>
        <w:t>老字号</w:t>
      </w:r>
      <w:r>
        <w:rPr>
          <w:rFonts w:hint="eastAsia" w:eastAsia="方正仿宋简体"/>
          <w:color w:val="auto"/>
          <w:sz w:val="32"/>
          <w:szCs w:val="32"/>
        </w:rPr>
        <w:t>”</w:t>
      </w:r>
      <w:r>
        <w:rPr>
          <w:rFonts w:eastAsia="方正仿宋简体"/>
          <w:color w:val="auto"/>
          <w:sz w:val="32"/>
          <w:szCs w:val="32"/>
        </w:rPr>
        <w:t>创新发展，鼓励数字化手段应用，推广</w:t>
      </w:r>
      <w:r>
        <w:rPr>
          <w:rFonts w:hint="eastAsia" w:eastAsia="方正仿宋简体"/>
          <w:color w:val="auto"/>
          <w:sz w:val="32"/>
          <w:szCs w:val="32"/>
        </w:rPr>
        <w:t>“</w:t>
      </w:r>
      <w:r>
        <w:rPr>
          <w:rFonts w:eastAsia="方正仿宋简体"/>
          <w:color w:val="auto"/>
          <w:sz w:val="32"/>
          <w:szCs w:val="32"/>
        </w:rPr>
        <w:t>线上预约、到家服务</w:t>
      </w:r>
      <w:r>
        <w:rPr>
          <w:rFonts w:hint="eastAsia" w:eastAsia="方正仿宋简体"/>
          <w:color w:val="auto"/>
          <w:sz w:val="32"/>
          <w:szCs w:val="32"/>
        </w:rPr>
        <w:t>”</w:t>
      </w:r>
      <w:r>
        <w:rPr>
          <w:rFonts w:eastAsia="方正仿宋简体"/>
          <w:color w:val="auto"/>
          <w:sz w:val="32"/>
          <w:szCs w:val="32"/>
        </w:rPr>
        <w:t>等便利模式。促进消费扩容升级。深入推进提振消费专项行动，健全促进消费体制机制。做大做强吉林市雾凇冰雪节永吉系列活动，重点打造</w:t>
      </w:r>
      <w:r>
        <w:rPr>
          <w:rFonts w:hint="eastAsia" w:eastAsia="方正仿宋简体"/>
          <w:color w:val="auto"/>
          <w:sz w:val="32"/>
          <w:szCs w:val="32"/>
        </w:rPr>
        <w:t>“</w:t>
      </w:r>
      <w:r>
        <w:rPr>
          <w:rFonts w:eastAsia="方正仿宋简体"/>
          <w:color w:val="auto"/>
          <w:sz w:val="32"/>
          <w:szCs w:val="32"/>
        </w:rPr>
        <w:t>河街夜市</w:t>
      </w:r>
      <w:r>
        <w:rPr>
          <w:rFonts w:hint="eastAsia" w:eastAsia="方正仿宋简体"/>
          <w:color w:val="auto"/>
          <w:sz w:val="32"/>
          <w:szCs w:val="32"/>
        </w:rPr>
        <w:t>”</w:t>
      </w:r>
      <w:r>
        <w:rPr>
          <w:rFonts w:eastAsia="方正仿宋简体"/>
          <w:color w:val="auto"/>
          <w:sz w:val="32"/>
          <w:szCs w:val="32"/>
        </w:rPr>
        <w:t>等夜间集聚区，开发</w:t>
      </w:r>
      <w:r>
        <w:rPr>
          <w:rFonts w:hint="eastAsia" w:eastAsia="方正仿宋简体"/>
          <w:color w:val="auto"/>
          <w:sz w:val="32"/>
          <w:szCs w:val="32"/>
        </w:rPr>
        <w:t>“</w:t>
      </w:r>
      <w:r>
        <w:rPr>
          <w:rFonts w:eastAsia="方正仿宋简体"/>
          <w:color w:val="auto"/>
          <w:sz w:val="32"/>
          <w:szCs w:val="32"/>
        </w:rPr>
        <w:t>冰雪不夜城</w:t>
      </w:r>
      <w:r>
        <w:rPr>
          <w:rFonts w:hint="eastAsia" w:eastAsia="方正仿宋简体"/>
          <w:color w:val="auto"/>
          <w:sz w:val="32"/>
          <w:szCs w:val="32"/>
        </w:rPr>
        <w:t>”</w:t>
      </w:r>
      <w:r>
        <w:rPr>
          <w:rFonts w:eastAsia="方正仿宋简体"/>
          <w:color w:val="auto"/>
          <w:sz w:val="32"/>
          <w:szCs w:val="32"/>
        </w:rPr>
        <w:t>、温泉夜泡、星空露营、深夜食堂等夜间消费产品，持续激发消费潜力。</w:t>
      </w:r>
    </w:p>
    <w:p w14:paraId="5A9705A7">
      <w:pPr>
        <w:spacing w:line="576" w:lineRule="exact"/>
        <w:jc w:val="center"/>
        <w:rPr>
          <w:rFonts w:eastAsia="方正楷体简体"/>
          <w:color w:val="auto"/>
          <w:sz w:val="32"/>
          <w:szCs w:val="32"/>
        </w:rPr>
      </w:pPr>
      <w:r>
        <w:rPr>
          <w:rFonts w:eastAsia="方正楷体简体"/>
          <w:color w:val="auto"/>
          <w:sz w:val="32"/>
          <w:szCs w:val="32"/>
        </w:rPr>
        <w:t>第四节  着力培育专精特新企业集群</w:t>
      </w:r>
    </w:p>
    <w:p w14:paraId="6EC0B22E">
      <w:pPr>
        <w:spacing w:line="576" w:lineRule="exact"/>
        <w:ind w:firstLine="640" w:firstLineChars="200"/>
        <w:rPr>
          <w:rFonts w:eastAsia="方正仿宋简体"/>
          <w:color w:val="auto"/>
          <w:sz w:val="32"/>
          <w:szCs w:val="32"/>
        </w:rPr>
      </w:pPr>
      <w:r>
        <w:rPr>
          <w:rFonts w:eastAsia="方正仿宋简体"/>
          <w:color w:val="auto"/>
          <w:sz w:val="32"/>
          <w:szCs w:val="32"/>
        </w:rPr>
        <w:t>构建</w:t>
      </w:r>
      <w:r>
        <w:rPr>
          <w:rFonts w:hint="eastAsia" w:eastAsia="方正仿宋简体"/>
          <w:color w:val="auto"/>
          <w:sz w:val="32"/>
          <w:szCs w:val="32"/>
        </w:rPr>
        <w:t>“</w:t>
      </w:r>
      <w:r>
        <w:rPr>
          <w:rFonts w:eastAsia="方正仿宋简体"/>
          <w:color w:val="auto"/>
          <w:sz w:val="32"/>
          <w:szCs w:val="32"/>
        </w:rPr>
        <w:t>种子－潜力－领军</w:t>
      </w:r>
      <w:r>
        <w:rPr>
          <w:rFonts w:hint="eastAsia" w:eastAsia="方正仿宋简体"/>
          <w:color w:val="auto"/>
          <w:sz w:val="32"/>
          <w:szCs w:val="32"/>
        </w:rPr>
        <w:t>”</w:t>
      </w:r>
      <w:r>
        <w:rPr>
          <w:rFonts w:eastAsia="方正仿宋简体"/>
          <w:color w:val="auto"/>
          <w:sz w:val="32"/>
          <w:szCs w:val="32"/>
        </w:rPr>
        <w:t>企业梯度培育体系，分类施策，推动企业智能化、绿色化转型，强化要素精准供给与服务生态优化，加快形成特色鲜明、创新引领、协同高效的专精特新企业集群。</w:t>
      </w:r>
    </w:p>
    <w:p w14:paraId="718078BB">
      <w:pPr>
        <w:spacing w:line="576" w:lineRule="exact"/>
        <w:ind w:firstLine="640" w:firstLineChars="200"/>
        <w:rPr>
          <w:rFonts w:eastAsia="方正仿宋简体"/>
          <w:color w:val="auto"/>
          <w:sz w:val="32"/>
          <w:szCs w:val="32"/>
        </w:rPr>
      </w:pPr>
      <w:r>
        <w:rPr>
          <w:rFonts w:eastAsia="方正仿宋简体"/>
          <w:color w:val="auto"/>
          <w:sz w:val="32"/>
          <w:szCs w:val="32"/>
        </w:rPr>
        <w:t>梯度培育优质企业。建立企业成长全周期培育机制，按阶段提供差异化支持。种子企业侧重研发归集与知识产权辅导；潜力企业强化产学研对接和中试支持；领军企业推动产业链整合与国际市场拓展，推动佰丰科技核电阀门密封面自动研磨机器人项目产业化，支持凌远科技攻关刀具寿命预测关键技术，推动天三奇深化人参发酵应用，加快钼尾矿高值利用技术转化，培育细分领域领军企业。</w:t>
      </w:r>
    </w:p>
    <w:p w14:paraId="68A49F08">
      <w:pPr>
        <w:spacing w:line="576" w:lineRule="exact"/>
        <w:ind w:firstLine="640" w:firstLineChars="200"/>
        <w:rPr>
          <w:rFonts w:eastAsia="方正仿宋简体"/>
          <w:color w:val="auto"/>
          <w:sz w:val="32"/>
          <w:szCs w:val="32"/>
        </w:rPr>
      </w:pPr>
      <w:r>
        <w:rPr>
          <w:rFonts w:eastAsia="方正仿宋简体"/>
          <w:color w:val="auto"/>
          <w:sz w:val="32"/>
          <w:szCs w:val="32"/>
        </w:rPr>
        <w:t>推动智改数转与绿色升级。支持企业在生产环节部署智能感知和控制系统，推进建设数智化车间，深化工业互联网应用，实现设备互联与供应链协同，推动瑞尔康年产6000万支接触镜护理产品研发及智能产业化项目投产达效，发挥国家级智能制造示范效应，带动产业智能化升级。统筹推进全产业绿色转型，全面推广节能设备、清洁生产和循环利用技术，构建覆盖产品全生命周期的绿色管理体系。强化梯度培育与分类指导，推动天三奇、中泽建材、金隅冀东等重点企业实施节能降碳改造。持续扩大绿色工厂、绿色园区、绿色供应链和绿色设计产品规模等制造体系规模，加快工业绿色低碳可持续发展。</w:t>
      </w:r>
    </w:p>
    <w:p w14:paraId="0E75F4EA">
      <w:pPr>
        <w:spacing w:line="576" w:lineRule="exact"/>
        <w:ind w:firstLine="640" w:firstLineChars="200"/>
        <w:rPr>
          <w:rFonts w:eastAsia="方正仿宋简体"/>
          <w:color w:val="auto"/>
          <w:sz w:val="32"/>
          <w:szCs w:val="32"/>
        </w:rPr>
      </w:pPr>
      <w:r>
        <w:rPr>
          <w:rFonts w:eastAsia="方正仿宋简体"/>
          <w:color w:val="auto"/>
          <w:sz w:val="32"/>
          <w:szCs w:val="32"/>
        </w:rPr>
        <w:t>优化企业成长生态。强化要素精准匹配，建立土地、人才、能源等供给清单，优先保障潜力企业需求。深化职教合作，定向培养汽车零部件、农产品加工等特色产业技能人才。整合闲置厂房、本地原料和商业渠道，建立</w:t>
      </w:r>
      <w:r>
        <w:rPr>
          <w:rFonts w:hint="eastAsia" w:eastAsia="方正仿宋简体"/>
          <w:color w:val="auto"/>
          <w:sz w:val="32"/>
          <w:szCs w:val="32"/>
        </w:rPr>
        <w:t>“</w:t>
      </w:r>
      <w:r>
        <w:rPr>
          <w:rFonts w:eastAsia="方正仿宋简体"/>
          <w:color w:val="auto"/>
          <w:sz w:val="32"/>
          <w:szCs w:val="32"/>
        </w:rPr>
        <w:t>永吉特色要素池</w:t>
      </w:r>
      <w:r>
        <w:rPr>
          <w:rFonts w:hint="eastAsia" w:eastAsia="方正仿宋简体"/>
          <w:color w:val="auto"/>
          <w:sz w:val="32"/>
          <w:szCs w:val="32"/>
        </w:rPr>
        <w:t>”</w:t>
      </w:r>
      <w:r>
        <w:rPr>
          <w:rFonts w:eastAsia="方正仿宋简体"/>
          <w:color w:val="auto"/>
          <w:sz w:val="32"/>
          <w:szCs w:val="32"/>
        </w:rPr>
        <w:t>。完善</w:t>
      </w:r>
      <w:r>
        <w:rPr>
          <w:rFonts w:hint="eastAsia" w:eastAsia="方正仿宋简体"/>
          <w:color w:val="auto"/>
          <w:sz w:val="32"/>
          <w:szCs w:val="32"/>
        </w:rPr>
        <w:t>“</w:t>
      </w:r>
      <w:r>
        <w:rPr>
          <w:rFonts w:eastAsia="方正仿宋简体"/>
          <w:color w:val="auto"/>
          <w:sz w:val="32"/>
          <w:szCs w:val="32"/>
        </w:rPr>
        <w:t>孵化－专精特新－冠军</w:t>
      </w:r>
      <w:r>
        <w:rPr>
          <w:rFonts w:hint="eastAsia" w:eastAsia="方正仿宋简体"/>
          <w:color w:val="auto"/>
          <w:sz w:val="32"/>
          <w:szCs w:val="32"/>
        </w:rPr>
        <w:t>”</w:t>
      </w:r>
      <w:r>
        <w:rPr>
          <w:rFonts w:eastAsia="方正仿宋简体"/>
          <w:color w:val="auto"/>
          <w:sz w:val="32"/>
          <w:szCs w:val="32"/>
        </w:rPr>
        <w:t>培育体系，提供市场、融资一站式服务。定期开展企业诊断，组织专家解决发展难题。搭建产业链协作平台，推动企业融入省市汽车、装备、农产品加工等重点产业链，支持加入产业创新联盟。打造</w:t>
      </w:r>
      <w:r>
        <w:rPr>
          <w:rFonts w:hint="eastAsia" w:eastAsia="方正仿宋简体"/>
          <w:color w:val="auto"/>
          <w:sz w:val="32"/>
          <w:szCs w:val="32"/>
        </w:rPr>
        <w:t>“</w:t>
      </w:r>
      <w:r>
        <w:rPr>
          <w:rFonts w:eastAsia="方正仿宋简体"/>
          <w:color w:val="auto"/>
          <w:sz w:val="32"/>
          <w:szCs w:val="32"/>
        </w:rPr>
        <w:t>永吉创新汇</w:t>
      </w:r>
      <w:r>
        <w:rPr>
          <w:rFonts w:hint="eastAsia" w:eastAsia="方正仿宋简体"/>
          <w:color w:val="auto"/>
          <w:sz w:val="32"/>
          <w:szCs w:val="32"/>
        </w:rPr>
        <w:t>”</w:t>
      </w:r>
      <w:r>
        <w:rPr>
          <w:rFonts w:eastAsia="方正仿宋简体"/>
          <w:color w:val="auto"/>
          <w:sz w:val="32"/>
          <w:szCs w:val="32"/>
        </w:rPr>
        <w:t>品牌活动，举办沙龙、路演和对接会，弘扬企业家精神，营造尊重实业、崇尚创新的氛围。</w:t>
      </w:r>
    </w:p>
    <w:p w14:paraId="5E4163E9">
      <w:pPr>
        <w:spacing w:line="576" w:lineRule="exact"/>
        <w:jc w:val="center"/>
        <w:rPr>
          <w:rFonts w:eastAsia="方正楷体简体"/>
          <w:color w:val="auto"/>
          <w:sz w:val="32"/>
          <w:szCs w:val="32"/>
        </w:rPr>
      </w:pPr>
      <w:r>
        <w:rPr>
          <w:rFonts w:eastAsia="方正楷体简体"/>
          <w:color w:val="auto"/>
          <w:sz w:val="32"/>
          <w:szCs w:val="32"/>
        </w:rPr>
        <w:t>第五节  创建创新创造区域高地</w:t>
      </w:r>
    </w:p>
    <w:p w14:paraId="0DA2D69C">
      <w:pPr>
        <w:spacing w:line="576" w:lineRule="exact"/>
        <w:ind w:firstLine="640" w:firstLineChars="200"/>
        <w:rPr>
          <w:rFonts w:eastAsia="方正仿宋简体"/>
          <w:color w:val="auto"/>
          <w:sz w:val="32"/>
          <w:szCs w:val="32"/>
        </w:rPr>
      </w:pPr>
      <w:r>
        <w:rPr>
          <w:rFonts w:eastAsia="方正仿宋简体"/>
          <w:color w:val="auto"/>
          <w:sz w:val="32"/>
          <w:szCs w:val="32"/>
        </w:rPr>
        <w:t>聚焦平台能级提升、人才系统引育、生态持续优化与数字全面赋能，促进科技、数字与产业深度融合，着力打通科技成果向新质生产力转化的关键通道，推动产业向创新驱动转型。</w:t>
      </w:r>
    </w:p>
    <w:p w14:paraId="3B0FE6E7">
      <w:pPr>
        <w:spacing w:line="576" w:lineRule="exact"/>
        <w:ind w:firstLine="640" w:firstLineChars="200"/>
        <w:rPr>
          <w:rFonts w:eastAsia="方正仿宋简体"/>
          <w:color w:val="auto"/>
          <w:sz w:val="32"/>
          <w:szCs w:val="32"/>
        </w:rPr>
      </w:pPr>
      <w:r>
        <w:rPr>
          <w:rFonts w:eastAsia="方正仿宋简体"/>
          <w:color w:val="auto"/>
          <w:sz w:val="32"/>
          <w:szCs w:val="32"/>
        </w:rPr>
        <w:t>加强关键核心技术攻关。聚焦装备制造、新材料、医药健康等核心领域，构建产学研用一体化创新平台，支持凌远科技建设国家级重点实验室，推动瑞尔康联合新跃新材料共建省级眼视光学重点实验室，完善隐形眼镜研发—中试—临床平台。搭建产业链协作平台，推动企业融入省市汽车、装备、农产品加工等重点产业链，支持加入产业创新联盟。健全产学研协同与成果转化机制，依托吉林工业职业技术学院、冰雪装备产业园建立专业化中试基地，提供技术孵化、中试熟化等全链条服务。</w:t>
      </w:r>
    </w:p>
    <w:p w14:paraId="6C1A09A7">
      <w:pPr>
        <w:spacing w:line="576" w:lineRule="exact"/>
        <w:ind w:firstLine="640" w:firstLineChars="200"/>
        <w:rPr>
          <w:rFonts w:eastAsia="方正仿宋简体"/>
          <w:color w:val="auto"/>
          <w:sz w:val="32"/>
          <w:szCs w:val="32"/>
        </w:rPr>
      </w:pPr>
      <w:r>
        <w:rPr>
          <w:rFonts w:eastAsia="方正仿宋简体"/>
          <w:color w:val="auto"/>
          <w:sz w:val="32"/>
          <w:szCs w:val="32"/>
        </w:rPr>
        <w:t>一体推进教育科技人才发展。强化产业急需人才引进与培育，制定重点产业人才图谱和紧缺目录，完善</w:t>
      </w:r>
      <w:r>
        <w:rPr>
          <w:rFonts w:hint="eastAsia" w:eastAsia="方正仿宋简体"/>
          <w:color w:val="auto"/>
          <w:sz w:val="32"/>
          <w:szCs w:val="32"/>
        </w:rPr>
        <w:t>“</w:t>
      </w:r>
      <w:r>
        <w:rPr>
          <w:rFonts w:eastAsia="方正仿宋简体"/>
          <w:color w:val="auto"/>
          <w:sz w:val="32"/>
          <w:szCs w:val="32"/>
        </w:rPr>
        <w:t>候鸟工程师</w:t>
      </w:r>
      <w:r>
        <w:rPr>
          <w:rFonts w:hint="eastAsia" w:eastAsia="方正仿宋简体"/>
          <w:color w:val="auto"/>
          <w:sz w:val="32"/>
          <w:szCs w:val="32"/>
        </w:rPr>
        <w:t>”“</w:t>
      </w:r>
      <w:r>
        <w:rPr>
          <w:rFonts w:eastAsia="方正仿宋简体"/>
          <w:color w:val="auto"/>
          <w:sz w:val="32"/>
          <w:szCs w:val="32"/>
        </w:rPr>
        <w:t>科创专员</w:t>
      </w:r>
      <w:r>
        <w:rPr>
          <w:rFonts w:hint="eastAsia" w:eastAsia="方正仿宋简体"/>
          <w:color w:val="auto"/>
          <w:sz w:val="32"/>
          <w:szCs w:val="32"/>
        </w:rPr>
        <w:t>”</w:t>
      </w:r>
      <w:r>
        <w:rPr>
          <w:rFonts w:eastAsia="方正仿宋简体"/>
          <w:color w:val="auto"/>
          <w:sz w:val="32"/>
          <w:szCs w:val="32"/>
        </w:rPr>
        <w:t>等柔性引才机制。推动实验职业高中等院校设立特色专业，定向培养冰雪装备运维、智能产线操作等实用技能人才。支持龙头企业与高校共建联合实验室和研究生工作站，促进人才培养与技术创新协同。深化产教融合育人模式。构建</w:t>
      </w:r>
      <w:r>
        <w:rPr>
          <w:rFonts w:hint="eastAsia" w:eastAsia="方正仿宋简体"/>
          <w:color w:val="auto"/>
          <w:sz w:val="32"/>
          <w:szCs w:val="32"/>
        </w:rPr>
        <w:t>“</w:t>
      </w:r>
      <w:r>
        <w:rPr>
          <w:rFonts w:eastAsia="方正仿宋简体"/>
          <w:color w:val="auto"/>
          <w:sz w:val="32"/>
          <w:szCs w:val="32"/>
        </w:rPr>
        <w:t>链主企业+职业院校+科研机构</w:t>
      </w:r>
      <w:r>
        <w:rPr>
          <w:rFonts w:hint="eastAsia" w:eastAsia="方正仿宋简体"/>
          <w:color w:val="auto"/>
          <w:sz w:val="32"/>
          <w:szCs w:val="32"/>
        </w:rPr>
        <w:t>”</w:t>
      </w:r>
      <w:r>
        <w:rPr>
          <w:rFonts w:eastAsia="方正仿宋简体"/>
          <w:color w:val="auto"/>
          <w:sz w:val="32"/>
          <w:szCs w:val="32"/>
        </w:rPr>
        <w:t>的产教融合共同体，依托经开区双创基地、电子信息产业园等载体共建共享型实训平台。</w:t>
      </w:r>
    </w:p>
    <w:p w14:paraId="3DF12E6D">
      <w:pPr>
        <w:spacing w:line="576" w:lineRule="exact"/>
        <w:ind w:firstLine="640" w:firstLineChars="200"/>
        <w:rPr>
          <w:rFonts w:eastAsia="方正仿宋简体"/>
          <w:color w:val="auto"/>
          <w:sz w:val="32"/>
          <w:szCs w:val="32"/>
        </w:rPr>
      </w:pPr>
      <w:r>
        <w:rPr>
          <w:rFonts w:eastAsia="方正仿宋简体"/>
          <w:color w:val="auto"/>
          <w:sz w:val="32"/>
          <w:szCs w:val="32"/>
        </w:rPr>
        <w:t>完善产业创新生态。强化汽车零部件、新材料、冰雪装备等特色产业创新要素支撑，鼓励</w:t>
      </w:r>
      <w:r>
        <w:rPr>
          <w:rFonts w:hint="eastAsia" w:eastAsia="方正仿宋简体"/>
          <w:color w:val="auto"/>
          <w:sz w:val="32"/>
          <w:szCs w:val="32"/>
        </w:rPr>
        <w:t>“</w:t>
      </w:r>
      <w:r>
        <w:rPr>
          <w:rFonts w:eastAsia="方正仿宋简体"/>
          <w:color w:val="auto"/>
          <w:sz w:val="32"/>
          <w:szCs w:val="32"/>
        </w:rPr>
        <w:t>链主企业+专业运营商</w:t>
      </w:r>
      <w:r>
        <w:rPr>
          <w:rFonts w:hint="eastAsia" w:eastAsia="方正仿宋简体"/>
          <w:color w:val="auto"/>
          <w:sz w:val="32"/>
          <w:szCs w:val="32"/>
        </w:rPr>
        <w:t>”</w:t>
      </w:r>
      <w:r>
        <w:rPr>
          <w:rFonts w:eastAsia="方正仿宋简体"/>
          <w:color w:val="auto"/>
          <w:sz w:val="32"/>
          <w:szCs w:val="32"/>
        </w:rPr>
        <w:t>共建中试基地加速技术产业化。建立企业创新联络员制度，提供诊断、保护、融资、转化一体化服务，完善技术交易市场，通过</w:t>
      </w:r>
      <w:r>
        <w:rPr>
          <w:rFonts w:hint="eastAsia" w:eastAsia="方正仿宋简体"/>
          <w:color w:val="auto"/>
          <w:sz w:val="32"/>
          <w:szCs w:val="32"/>
        </w:rPr>
        <w:t>“</w:t>
      </w:r>
      <w:r>
        <w:rPr>
          <w:rFonts w:eastAsia="方正仿宋简体"/>
          <w:color w:val="auto"/>
          <w:sz w:val="32"/>
          <w:szCs w:val="32"/>
        </w:rPr>
        <w:t>揭榜挂帅</w:t>
      </w:r>
      <w:r>
        <w:rPr>
          <w:rFonts w:hint="eastAsia" w:eastAsia="方正仿宋简体"/>
          <w:color w:val="auto"/>
          <w:sz w:val="32"/>
          <w:szCs w:val="32"/>
        </w:rPr>
        <w:t>”</w:t>
      </w:r>
      <w:r>
        <w:rPr>
          <w:rFonts w:eastAsia="方正仿宋简体"/>
          <w:color w:val="auto"/>
          <w:sz w:val="32"/>
          <w:szCs w:val="32"/>
        </w:rPr>
        <w:t>精准对接校企供需。加强知识产权全链条保护，支持企业参与标准制定，提供专利导航、快速预审与跨境保护服务，扩大知识产权质押融资惠及面。弘扬</w:t>
      </w:r>
      <w:r>
        <w:rPr>
          <w:rFonts w:hint="eastAsia" w:eastAsia="方正仿宋简体"/>
          <w:color w:val="auto"/>
          <w:sz w:val="32"/>
          <w:szCs w:val="32"/>
        </w:rPr>
        <w:t>“</w:t>
      </w:r>
      <w:r>
        <w:rPr>
          <w:rFonts w:eastAsia="方正仿宋简体"/>
          <w:color w:val="auto"/>
          <w:sz w:val="32"/>
          <w:szCs w:val="32"/>
        </w:rPr>
        <w:t>永吉工匠</w:t>
      </w:r>
      <w:r>
        <w:rPr>
          <w:rFonts w:hint="eastAsia" w:eastAsia="方正仿宋简体"/>
          <w:color w:val="auto"/>
          <w:sz w:val="32"/>
          <w:szCs w:val="32"/>
        </w:rPr>
        <w:t>”</w:t>
      </w:r>
      <w:r>
        <w:rPr>
          <w:rFonts w:eastAsia="方正仿宋简体"/>
          <w:color w:val="auto"/>
          <w:sz w:val="32"/>
          <w:szCs w:val="32"/>
        </w:rPr>
        <w:t>精神，营造鼓励创新、宽容失败的良好氛围。</w:t>
      </w:r>
    </w:p>
    <w:p w14:paraId="688ECEA8">
      <w:pPr>
        <w:spacing w:line="576" w:lineRule="exact"/>
        <w:ind w:firstLine="640" w:firstLineChars="200"/>
        <w:rPr>
          <w:rFonts w:eastAsia="方正仿宋简体"/>
          <w:color w:val="auto"/>
          <w:sz w:val="32"/>
          <w:szCs w:val="32"/>
        </w:rPr>
      </w:pPr>
      <w:r>
        <w:rPr>
          <w:rFonts w:eastAsia="方正仿宋简体"/>
          <w:color w:val="auto"/>
          <w:sz w:val="32"/>
          <w:szCs w:val="32"/>
        </w:rPr>
        <w:t>加快建设数字永吉。把握数字化、智能化发展浪潮，以数据要素为关键驱动，推动数字经济与实体经济深度融合。夯实数字基础设施，推进</w:t>
      </w:r>
      <w:r>
        <w:rPr>
          <w:rFonts w:hint="eastAsia" w:eastAsia="方正仿宋简体"/>
          <w:color w:val="auto"/>
          <w:sz w:val="32"/>
          <w:szCs w:val="32"/>
        </w:rPr>
        <w:t>“</w:t>
      </w:r>
      <w:r>
        <w:rPr>
          <w:rFonts w:eastAsia="方正仿宋简体"/>
          <w:color w:val="auto"/>
          <w:sz w:val="32"/>
          <w:szCs w:val="32"/>
        </w:rPr>
        <w:t>双千兆</w:t>
      </w:r>
      <w:r>
        <w:rPr>
          <w:rFonts w:hint="eastAsia" w:eastAsia="方正仿宋简体"/>
          <w:color w:val="auto"/>
          <w:sz w:val="32"/>
          <w:szCs w:val="32"/>
        </w:rPr>
        <w:t>”</w:t>
      </w:r>
      <w:r>
        <w:rPr>
          <w:rFonts w:eastAsia="方正仿宋简体"/>
          <w:color w:val="auto"/>
          <w:sz w:val="32"/>
          <w:szCs w:val="32"/>
        </w:rPr>
        <w:t>网络覆盖和算力设施适度超前布局，</w:t>
      </w:r>
      <w:r>
        <w:rPr>
          <w:rFonts w:hint="eastAsia" w:eastAsia="方正仿宋简体"/>
          <w:color w:val="auto"/>
          <w:sz w:val="32"/>
          <w:szCs w:val="32"/>
          <w:lang w:val="en-US" w:eastAsia="zh-CN"/>
        </w:rPr>
        <w:t>谋划推动算力中心等相关项目和</w:t>
      </w:r>
      <w:r>
        <w:rPr>
          <w:rFonts w:eastAsia="方正仿宋简体"/>
          <w:color w:val="auto"/>
          <w:sz w:val="32"/>
          <w:szCs w:val="32"/>
        </w:rPr>
        <w:t>低时延、高可靠的工业互联网体系</w:t>
      </w:r>
      <w:r>
        <w:rPr>
          <w:rFonts w:hint="eastAsia" w:eastAsia="方正仿宋简体"/>
          <w:color w:val="auto"/>
          <w:sz w:val="32"/>
          <w:szCs w:val="32"/>
          <w:lang w:val="en-US" w:eastAsia="zh-CN"/>
        </w:rPr>
        <w:t>建设</w:t>
      </w:r>
      <w:r>
        <w:rPr>
          <w:rFonts w:eastAsia="方正仿宋简体"/>
          <w:color w:val="auto"/>
          <w:sz w:val="32"/>
          <w:szCs w:val="32"/>
        </w:rPr>
        <w:t>。实施</w:t>
      </w:r>
      <w:r>
        <w:rPr>
          <w:rFonts w:hint="eastAsia" w:eastAsia="方正仿宋简体"/>
          <w:color w:val="auto"/>
          <w:sz w:val="32"/>
          <w:szCs w:val="32"/>
        </w:rPr>
        <w:t>“</w:t>
      </w:r>
      <w:r>
        <w:rPr>
          <w:rFonts w:eastAsia="方正仿宋简体"/>
          <w:color w:val="auto"/>
          <w:sz w:val="32"/>
          <w:szCs w:val="32"/>
        </w:rPr>
        <w:t>人工智能+</w:t>
      </w:r>
      <w:r>
        <w:rPr>
          <w:rFonts w:hint="eastAsia" w:eastAsia="方正仿宋简体"/>
          <w:color w:val="auto"/>
          <w:sz w:val="32"/>
          <w:szCs w:val="32"/>
        </w:rPr>
        <w:t>”</w:t>
      </w:r>
      <w:r>
        <w:rPr>
          <w:rFonts w:eastAsia="方正仿宋简体"/>
          <w:color w:val="auto"/>
          <w:sz w:val="32"/>
          <w:szCs w:val="32"/>
        </w:rPr>
        <w:t>行动，加快制造业</w:t>
      </w:r>
      <w:r>
        <w:rPr>
          <w:rFonts w:hint="eastAsia" w:eastAsia="方正仿宋简体"/>
          <w:color w:val="auto"/>
          <w:sz w:val="32"/>
          <w:szCs w:val="32"/>
        </w:rPr>
        <w:t>“</w:t>
      </w:r>
      <w:r>
        <w:rPr>
          <w:rFonts w:eastAsia="方正仿宋简体"/>
          <w:color w:val="auto"/>
          <w:sz w:val="32"/>
          <w:szCs w:val="32"/>
        </w:rPr>
        <w:t>智改数转</w:t>
      </w:r>
      <w:r>
        <w:rPr>
          <w:rFonts w:hint="eastAsia" w:eastAsia="方正仿宋简体"/>
          <w:color w:val="auto"/>
          <w:sz w:val="32"/>
          <w:szCs w:val="32"/>
        </w:rPr>
        <w:t>”</w:t>
      </w:r>
      <w:r>
        <w:rPr>
          <w:rFonts w:eastAsia="方正仿宋简体"/>
          <w:color w:val="auto"/>
          <w:sz w:val="32"/>
          <w:szCs w:val="32"/>
        </w:rPr>
        <w:t>，支持凌远科技、金洪股份等企业建设数字孪生工厂和5G全链接工厂；推动智慧农业发展，建设农产品全产业链溯源体系；促进冰雪文旅、电子商务等服务业数字化升级。探索数据资源价值化路径，推动政务数据归集治理与开发利用。深化</w:t>
      </w:r>
      <w:r>
        <w:rPr>
          <w:rFonts w:hint="eastAsia" w:eastAsia="方正仿宋简体"/>
          <w:color w:val="auto"/>
          <w:sz w:val="32"/>
          <w:szCs w:val="32"/>
        </w:rPr>
        <w:t>“</w:t>
      </w:r>
      <w:r>
        <w:rPr>
          <w:rFonts w:eastAsia="方正仿宋简体"/>
          <w:color w:val="auto"/>
          <w:sz w:val="32"/>
          <w:szCs w:val="32"/>
        </w:rPr>
        <w:t>智慧永吉</w:t>
      </w:r>
      <w:r>
        <w:rPr>
          <w:rFonts w:hint="eastAsia" w:eastAsia="方正仿宋简体"/>
          <w:color w:val="auto"/>
          <w:sz w:val="32"/>
          <w:szCs w:val="32"/>
        </w:rPr>
        <w:t>”</w:t>
      </w:r>
      <w:r>
        <w:rPr>
          <w:rFonts w:eastAsia="方正仿宋简体"/>
          <w:color w:val="auto"/>
          <w:sz w:val="32"/>
          <w:szCs w:val="32"/>
        </w:rPr>
        <w:t>建设，提升城乡治理与公共服务数字化水平，以数字化转型全面赋能高质量发展。</w:t>
      </w:r>
    </w:p>
    <w:p w14:paraId="499AF2AD">
      <w:pPr>
        <w:pStyle w:val="3"/>
        <w:spacing w:before="0" w:after="0" w:line="400" w:lineRule="exact"/>
        <w:jc w:val="center"/>
        <w:rPr>
          <w:rFonts w:eastAsia="方正黑体简体"/>
          <w:color w:val="auto"/>
          <w:sz w:val="32"/>
          <w:szCs w:val="32"/>
        </w:rPr>
      </w:pPr>
    </w:p>
    <w:p w14:paraId="585CA30C">
      <w:pPr>
        <w:pStyle w:val="3"/>
        <w:spacing w:before="0" w:after="0" w:line="400" w:lineRule="exact"/>
        <w:jc w:val="center"/>
        <w:rPr>
          <w:rFonts w:eastAsia="方正黑体简体"/>
          <w:color w:val="auto"/>
          <w:sz w:val="32"/>
          <w:szCs w:val="32"/>
        </w:rPr>
      </w:pPr>
      <w:r>
        <w:rPr>
          <w:rFonts w:eastAsia="方正黑体简体"/>
          <w:color w:val="auto"/>
          <w:sz w:val="32"/>
          <w:szCs w:val="32"/>
        </w:rPr>
        <w:t xml:space="preserve">专栏1 </w:t>
      </w:r>
      <w:r>
        <w:rPr>
          <w:rFonts w:hint="eastAsia" w:eastAsia="方正黑体简体"/>
          <w:color w:val="auto"/>
          <w:sz w:val="32"/>
          <w:szCs w:val="32"/>
        </w:rPr>
        <w:t>“</w:t>
      </w:r>
      <w:r>
        <w:rPr>
          <w:rFonts w:eastAsia="方正黑体简体"/>
          <w:color w:val="auto"/>
          <w:sz w:val="32"/>
          <w:szCs w:val="32"/>
        </w:rPr>
        <w:t>十五五</w:t>
      </w:r>
      <w:r>
        <w:rPr>
          <w:rFonts w:hint="eastAsia" w:eastAsia="方正黑体简体"/>
          <w:color w:val="auto"/>
          <w:sz w:val="32"/>
          <w:szCs w:val="32"/>
        </w:rPr>
        <w:t>”</w:t>
      </w:r>
      <w:r>
        <w:rPr>
          <w:rFonts w:eastAsia="方正黑体简体"/>
          <w:color w:val="auto"/>
          <w:sz w:val="32"/>
          <w:szCs w:val="32"/>
        </w:rPr>
        <w:t>期间新质生产力培育重大工程</w:t>
      </w:r>
    </w:p>
    <w:tbl>
      <w:tblPr>
        <w:tblStyle w:val="15"/>
        <w:tblW w:w="9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75"/>
      </w:tblGrid>
      <w:tr w14:paraId="1CCAC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7" w:hRule="atLeast"/>
          <w:jc w:val="center"/>
        </w:trPr>
        <w:tc>
          <w:tcPr>
            <w:tcW w:w="9475" w:type="dxa"/>
          </w:tcPr>
          <w:p w14:paraId="74E7F925">
            <w:pPr>
              <w:spacing w:line="560" w:lineRule="exact"/>
              <w:ind w:firstLine="482"/>
              <w:rPr>
                <w:rFonts w:eastAsia="方正仿宋简体"/>
                <w:color w:val="auto"/>
                <w:kern w:val="0"/>
                <w:sz w:val="32"/>
                <w:szCs w:val="32"/>
              </w:rPr>
            </w:pPr>
            <w:r>
              <w:rPr>
                <w:rFonts w:eastAsia="方正楷体简体"/>
                <w:color w:val="auto"/>
                <w:sz w:val="32"/>
                <w:szCs w:val="32"/>
              </w:rPr>
              <w:t>装备制造产业强链智变</w:t>
            </w:r>
            <w:r>
              <w:rPr>
                <w:rFonts w:eastAsia="方正楷体简体"/>
                <w:color w:val="auto"/>
                <w:kern w:val="0"/>
                <w:sz w:val="32"/>
                <w:szCs w:val="32"/>
              </w:rPr>
              <w:t>。</w:t>
            </w:r>
            <w:r>
              <w:rPr>
                <w:rFonts w:eastAsia="方正仿宋简体"/>
                <w:color w:val="auto"/>
                <w:kern w:val="0"/>
                <w:sz w:val="32"/>
                <w:szCs w:val="32"/>
              </w:rPr>
              <w:t>以永吉经济开发区为中心，对接长春市、吉林市配套产业资源，聚焦风电装备、汽车零部件、农机装备等领域，打造装备配套产业集群。持续推动风电装备、数字化转型等重大项目。</w:t>
            </w:r>
          </w:p>
          <w:p w14:paraId="024DEEF7">
            <w:pPr>
              <w:spacing w:line="560" w:lineRule="exact"/>
              <w:ind w:firstLine="482"/>
              <w:rPr>
                <w:rFonts w:eastAsia="方正仿宋简体"/>
                <w:color w:val="auto"/>
                <w:kern w:val="0"/>
                <w:sz w:val="32"/>
                <w:szCs w:val="32"/>
              </w:rPr>
            </w:pPr>
            <w:r>
              <w:rPr>
                <w:rFonts w:eastAsia="方正楷体简体"/>
                <w:color w:val="auto"/>
                <w:kern w:val="0"/>
                <w:sz w:val="32"/>
                <w:szCs w:val="32"/>
              </w:rPr>
              <w:t>钼矿开采及循环利用提升工程。</w:t>
            </w:r>
            <w:r>
              <w:rPr>
                <w:rFonts w:eastAsia="方正仿宋简体"/>
                <w:color w:val="auto"/>
                <w:kern w:val="0"/>
                <w:sz w:val="32"/>
                <w:szCs w:val="32"/>
              </w:rPr>
              <w:t>依托大黑山钼矿资源禀赋，充分利用钼矿、钼尾矿资源。谋划推动钼采选工程改扩建二期、尾矿库建设等项目。</w:t>
            </w:r>
          </w:p>
          <w:p w14:paraId="02D52A37">
            <w:pPr>
              <w:spacing w:line="560" w:lineRule="exact"/>
              <w:ind w:firstLine="482"/>
              <w:rPr>
                <w:rFonts w:eastAsia="方正仿宋简体"/>
                <w:color w:val="auto"/>
                <w:kern w:val="0"/>
                <w:sz w:val="32"/>
                <w:szCs w:val="32"/>
              </w:rPr>
            </w:pPr>
            <w:r>
              <w:rPr>
                <w:rFonts w:eastAsia="方正楷体简体"/>
                <w:color w:val="auto"/>
                <w:kern w:val="0"/>
                <w:sz w:val="32"/>
                <w:szCs w:val="32"/>
              </w:rPr>
              <w:t>推动农产品加工业全链提升。</w:t>
            </w:r>
            <w:r>
              <w:rPr>
                <w:rFonts w:eastAsia="方正仿宋简体"/>
                <w:color w:val="auto"/>
                <w:kern w:val="0"/>
                <w:sz w:val="32"/>
                <w:szCs w:val="32"/>
              </w:rPr>
              <w:t>为延伸农业产业链条，提升农产品附加值，推动农业产业向精深加工转型，永吉县集中布局特色农产品加工项目，谋划推动大米深加工、稻米全产业链升级、鲜食玉米深加工等项目。</w:t>
            </w:r>
          </w:p>
          <w:p w14:paraId="46C1211A">
            <w:pPr>
              <w:spacing w:line="560" w:lineRule="exact"/>
              <w:ind w:firstLine="482"/>
              <w:rPr>
                <w:rFonts w:eastAsia="方正仿宋简体"/>
                <w:color w:val="auto"/>
                <w:kern w:val="0"/>
                <w:sz w:val="32"/>
                <w:szCs w:val="32"/>
              </w:rPr>
            </w:pPr>
            <w:r>
              <w:rPr>
                <w:rFonts w:eastAsia="方正楷体简体"/>
                <w:color w:val="auto"/>
                <w:kern w:val="0"/>
                <w:sz w:val="32"/>
                <w:szCs w:val="32"/>
              </w:rPr>
              <w:t>新材料产业拓展工程。</w:t>
            </w:r>
            <w:r>
              <w:rPr>
                <w:rFonts w:eastAsia="方正仿宋简体"/>
                <w:color w:val="auto"/>
                <w:kern w:val="0"/>
                <w:sz w:val="32"/>
                <w:szCs w:val="32"/>
              </w:rPr>
              <w:t>发展复</w:t>
            </w:r>
            <w:r>
              <w:rPr>
                <w:rFonts w:hint="eastAsia" w:eastAsia="方正仿宋简体"/>
                <w:color w:val="auto"/>
                <w:kern w:val="0"/>
                <w:sz w:val="32"/>
                <w:szCs w:val="32"/>
              </w:rPr>
              <w:t>合</w:t>
            </w:r>
            <w:r>
              <w:rPr>
                <w:rFonts w:eastAsia="方正仿宋简体"/>
                <w:color w:val="auto"/>
                <w:kern w:val="0"/>
                <w:sz w:val="32"/>
                <w:szCs w:val="32"/>
              </w:rPr>
              <w:t>材料、陶瓷、石墨烯等新材料项目，推动全县新材料产业规模化发展。谋划推动复合材料制品、弹性体材料、碳陶材料等项目。</w:t>
            </w:r>
          </w:p>
          <w:p w14:paraId="7A1FB7DB">
            <w:pPr>
              <w:spacing w:line="560" w:lineRule="exact"/>
              <w:ind w:firstLine="482"/>
              <w:rPr>
                <w:rFonts w:eastAsia="方正仿宋简体"/>
                <w:color w:val="auto"/>
                <w:kern w:val="0"/>
                <w:sz w:val="32"/>
                <w:szCs w:val="32"/>
              </w:rPr>
            </w:pPr>
            <w:r>
              <w:rPr>
                <w:rFonts w:eastAsia="方正楷体简体"/>
                <w:color w:val="auto"/>
                <w:kern w:val="0"/>
                <w:sz w:val="32"/>
                <w:szCs w:val="32"/>
              </w:rPr>
              <w:t>医药健康产业创新工程。</w:t>
            </w:r>
            <w:r>
              <w:rPr>
                <w:rFonts w:eastAsia="方正仿宋简体"/>
                <w:color w:val="auto"/>
                <w:kern w:val="0"/>
                <w:sz w:val="32"/>
                <w:szCs w:val="32"/>
              </w:rPr>
              <w:t>推动瑞尔康、天三奇等本地优质企业，扩大医药健康产业规模，实现产业集聚化发展。谋划推动中药发酵、接触</w:t>
            </w:r>
            <w:r>
              <w:rPr>
                <w:rFonts w:hint="eastAsia" w:eastAsia="方正仿宋简体"/>
                <w:color w:val="auto"/>
                <w:kern w:val="0"/>
                <w:sz w:val="32"/>
                <w:szCs w:val="32"/>
              </w:rPr>
              <w:t>性</w:t>
            </w:r>
            <w:r>
              <w:rPr>
                <w:rFonts w:eastAsia="方正仿宋简体"/>
                <w:color w:val="auto"/>
                <w:kern w:val="0"/>
                <w:sz w:val="32"/>
                <w:szCs w:val="32"/>
              </w:rPr>
              <w:t>护理产品等项目。</w:t>
            </w:r>
          </w:p>
          <w:p w14:paraId="2DDD47D1">
            <w:pPr>
              <w:spacing w:line="560" w:lineRule="exact"/>
              <w:ind w:firstLine="640" w:firstLineChars="200"/>
              <w:rPr>
                <w:rFonts w:eastAsia="方正仿宋简体"/>
                <w:color w:val="auto"/>
                <w:sz w:val="32"/>
                <w:szCs w:val="32"/>
              </w:rPr>
            </w:pPr>
            <w:r>
              <w:rPr>
                <w:rFonts w:eastAsia="方正楷体简体"/>
                <w:color w:val="auto"/>
                <w:kern w:val="0"/>
                <w:sz w:val="32"/>
                <w:szCs w:val="32"/>
              </w:rPr>
              <w:t>推动智改数转与绿色升级。</w:t>
            </w:r>
            <w:r>
              <w:rPr>
                <w:rFonts w:eastAsia="方正仿宋简体"/>
                <w:color w:val="auto"/>
                <w:kern w:val="0"/>
                <w:sz w:val="32"/>
                <w:szCs w:val="32"/>
              </w:rPr>
              <w:t>统筹推进全产业绿色转型，全面推广节能设备、清洁生产和循环利用技术，构建覆盖产品全生命周期的绿色管理体系。重点推动接触镜护理产品研发及智能产业化项目，发挥国家级智能制造示范效应，带动产业智能化升级。</w:t>
            </w:r>
          </w:p>
          <w:p w14:paraId="1D18EF20">
            <w:pPr>
              <w:spacing w:line="560" w:lineRule="exact"/>
              <w:ind w:firstLine="482"/>
              <w:rPr>
                <w:rFonts w:eastAsia="方正仿宋简体"/>
                <w:color w:val="auto"/>
                <w:kern w:val="0"/>
                <w:sz w:val="32"/>
                <w:szCs w:val="32"/>
              </w:rPr>
            </w:pPr>
            <w:r>
              <w:rPr>
                <w:rFonts w:eastAsia="方正楷体简体"/>
                <w:color w:val="auto"/>
                <w:kern w:val="0"/>
                <w:sz w:val="32"/>
                <w:szCs w:val="32"/>
              </w:rPr>
              <w:t>现代服务业提质工程。</w:t>
            </w:r>
            <w:r>
              <w:rPr>
                <w:rFonts w:eastAsia="方正仿宋简体"/>
                <w:color w:val="auto"/>
                <w:kern w:val="0"/>
                <w:sz w:val="32"/>
                <w:szCs w:val="32"/>
              </w:rPr>
              <w:t>围绕完善城市功能、提升服务能级，聚焦商业配套、餐饮提质等关键领域，构建高品质商贸服务体系。谋划推动假日酒店项目、大学城商业配套开发项目等项目。</w:t>
            </w:r>
          </w:p>
          <w:p w14:paraId="609A5C11">
            <w:pPr>
              <w:spacing w:line="560" w:lineRule="exact"/>
              <w:ind w:firstLine="482"/>
              <w:rPr>
                <w:rFonts w:eastAsia="方正仿宋简体"/>
                <w:color w:val="auto"/>
                <w:kern w:val="0"/>
                <w:sz w:val="32"/>
                <w:szCs w:val="32"/>
              </w:rPr>
            </w:pPr>
            <w:r>
              <w:rPr>
                <w:rFonts w:eastAsia="方正楷体简体"/>
                <w:color w:val="auto"/>
                <w:kern w:val="0"/>
                <w:sz w:val="32"/>
                <w:szCs w:val="32"/>
              </w:rPr>
              <w:t>科技创新与产业深度融合工程。</w:t>
            </w:r>
            <w:r>
              <w:rPr>
                <w:rFonts w:eastAsia="方正仿宋简体"/>
                <w:color w:val="auto"/>
                <w:kern w:val="0"/>
                <w:sz w:val="32"/>
                <w:szCs w:val="32"/>
              </w:rPr>
              <w:t>结合县优质企业，谋划推动国家、省级重点实验室项目等项目。</w:t>
            </w:r>
          </w:p>
        </w:tc>
      </w:tr>
    </w:tbl>
    <w:p w14:paraId="2B9738BF">
      <w:pPr>
        <w:spacing w:line="576" w:lineRule="exact"/>
        <w:ind w:firstLine="640" w:firstLineChars="200"/>
        <w:rPr>
          <w:rFonts w:eastAsia="方正仿宋简体"/>
          <w:color w:val="auto"/>
          <w:sz w:val="32"/>
          <w:szCs w:val="32"/>
        </w:rPr>
      </w:pPr>
    </w:p>
    <w:p w14:paraId="6368D113">
      <w:pPr>
        <w:spacing w:line="576" w:lineRule="exact"/>
        <w:jc w:val="center"/>
        <w:rPr>
          <w:rFonts w:eastAsia="方正黑体简体"/>
          <w:color w:val="auto"/>
          <w:sz w:val="32"/>
          <w:szCs w:val="32"/>
        </w:rPr>
      </w:pPr>
      <w:r>
        <w:rPr>
          <w:rFonts w:eastAsia="方正黑体简体"/>
          <w:color w:val="auto"/>
          <w:sz w:val="32"/>
          <w:szCs w:val="32"/>
        </w:rPr>
        <w:t>第三章  推动商文旅深度融合，打造长春都市圈微度假目的地</w:t>
      </w:r>
    </w:p>
    <w:p w14:paraId="4729B000">
      <w:pPr>
        <w:spacing w:line="576" w:lineRule="exact"/>
        <w:ind w:firstLine="640" w:firstLineChars="200"/>
        <w:rPr>
          <w:rFonts w:eastAsia="方正仿宋简体"/>
          <w:color w:val="auto"/>
          <w:sz w:val="32"/>
          <w:szCs w:val="32"/>
        </w:rPr>
      </w:pPr>
      <w:r>
        <w:rPr>
          <w:rFonts w:eastAsia="方正仿宋简体"/>
          <w:color w:val="auto"/>
          <w:sz w:val="32"/>
          <w:szCs w:val="32"/>
        </w:rPr>
        <w:t>顺应消费升级新趋势，充分发挥冰雪、温泉、森林、文化等特色资源优势，构建以永吉县城为核心服务枢纽，推动冰雪、康养、文旅、商业等要素深度融合，系统构建集冰雪文旅、康养旅游、特色文化、商贸服务为一体的服务体系。全面提升永吉县在长春现代化都市圈微度假市场的吸引力和竞争力。</w:t>
      </w:r>
    </w:p>
    <w:p w14:paraId="2551D1A2">
      <w:pPr>
        <w:spacing w:line="576" w:lineRule="exact"/>
        <w:jc w:val="center"/>
        <w:rPr>
          <w:rFonts w:eastAsia="方正楷体简体"/>
          <w:color w:val="auto"/>
          <w:sz w:val="32"/>
          <w:szCs w:val="32"/>
        </w:rPr>
      </w:pPr>
      <w:r>
        <w:rPr>
          <w:rFonts w:eastAsia="方正楷体简体"/>
          <w:color w:val="auto"/>
          <w:sz w:val="32"/>
          <w:szCs w:val="32"/>
        </w:rPr>
        <w:t>第一节  做强冰雪文旅产业</w:t>
      </w:r>
    </w:p>
    <w:p w14:paraId="4EE40154">
      <w:pPr>
        <w:spacing w:line="576" w:lineRule="exact"/>
        <w:ind w:firstLine="640" w:firstLineChars="200"/>
        <w:rPr>
          <w:rFonts w:eastAsia="方正仿宋简体"/>
          <w:color w:val="auto"/>
          <w:sz w:val="32"/>
          <w:szCs w:val="32"/>
        </w:rPr>
      </w:pPr>
      <w:r>
        <w:rPr>
          <w:rFonts w:eastAsia="方正仿宋简体"/>
          <w:color w:val="auto"/>
          <w:sz w:val="32"/>
          <w:szCs w:val="32"/>
        </w:rPr>
        <w:t>立足服务</w:t>
      </w:r>
      <w:r>
        <w:rPr>
          <w:rFonts w:hint="eastAsia" w:eastAsia="方正仿宋简体"/>
          <w:color w:val="auto"/>
          <w:sz w:val="32"/>
          <w:szCs w:val="32"/>
        </w:rPr>
        <w:t>两大</w:t>
      </w:r>
      <w:r>
        <w:rPr>
          <w:rFonts w:eastAsia="方正仿宋简体"/>
          <w:color w:val="auto"/>
          <w:sz w:val="32"/>
          <w:szCs w:val="32"/>
        </w:rPr>
        <w:t>滑雪度假区建设，以完善产业链条、提升服务能级、培育新兴业态为核心，推动冰雪产业从单一服务配套向</w:t>
      </w:r>
      <w:r>
        <w:rPr>
          <w:rFonts w:hint="eastAsia" w:eastAsia="方正仿宋简体"/>
          <w:color w:val="auto"/>
          <w:sz w:val="32"/>
          <w:szCs w:val="32"/>
        </w:rPr>
        <w:t>“</w:t>
      </w:r>
      <w:r>
        <w:rPr>
          <w:rFonts w:eastAsia="方正仿宋简体"/>
          <w:color w:val="auto"/>
          <w:sz w:val="32"/>
          <w:szCs w:val="32"/>
        </w:rPr>
        <w:t>运动普及、休闲拓展、配套服务</w:t>
      </w:r>
      <w:r>
        <w:rPr>
          <w:rFonts w:hint="eastAsia" w:eastAsia="方正仿宋简体"/>
          <w:color w:val="auto"/>
          <w:sz w:val="32"/>
          <w:szCs w:val="32"/>
        </w:rPr>
        <w:t>”</w:t>
      </w:r>
      <w:r>
        <w:rPr>
          <w:rFonts w:eastAsia="方正仿宋简体"/>
          <w:color w:val="auto"/>
          <w:sz w:val="32"/>
          <w:szCs w:val="32"/>
        </w:rPr>
        <w:t>协同发展升级，助力吉林市打造冰雪旅游名城，推动永吉由</w:t>
      </w:r>
      <w:r>
        <w:rPr>
          <w:rFonts w:hint="eastAsia" w:eastAsia="方正仿宋简体"/>
          <w:color w:val="auto"/>
          <w:sz w:val="32"/>
          <w:szCs w:val="32"/>
        </w:rPr>
        <w:t>“</w:t>
      </w:r>
      <w:r>
        <w:rPr>
          <w:rFonts w:eastAsia="方正仿宋简体"/>
          <w:color w:val="auto"/>
          <w:sz w:val="32"/>
          <w:szCs w:val="32"/>
        </w:rPr>
        <w:t>服务配套区</w:t>
      </w:r>
      <w:r>
        <w:rPr>
          <w:rFonts w:hint="eastAsia" w:eastAsia="方正仿宋简体"/>
          <w:color w:val="auto"/>
          <w:sz w:val="32"/>
          <w:szCs w:val="32"/>
        </w:rPr>
        <w:t>”</w:t>
      </w:r>
      <w:r>
        <w:rPr>
          <w:rFonts w:eastAsia="方正仿宋简体"/>
          <w:color w:val="auto"/>
          <w:sz w:val="32"/>
          <w:szCs w:val="32"/>
        </w:rPr>
        <w:t>向</w:t>
      </w:r>
      <w:r>
        <w:rPr>
          <w:rFonts w:hint="eastAsia" w:eastAsia="方正仿宋简体"/>
          <w:color w:val="auto"/>
          <w:sz w:val="32"/>
          <w:szCs w:val="32"/>
        </w:rPr>
        <w:t>“</w:t>
      </w:r>
      <w:r>
        <w:rPr>
          <w:rFonts w:eastAsia="方正仿宋简体"/>
          <w:color w:val="auto"/>
          <w:sz w:val="32"/>
          <w:szCs w:val="32"/>
        </w:rPr>
        <w:t>冰雪协同发展先行区</w:t>
      </w:r>
      <w:r>
        <w:rPr>
          <w:rFonts w:hint="eastAsia" w:eastAsia="方正仿宋简体"/>
          <w:color w:val="auto"/>
          <w:sz w:val="32"/>
          <w:szCs w:val="32"/>
        </w:rPr>
        <w:t>”</w:t>
      </w:r>
      <w:r>
        <w:rPr>
          <w:rFonts w:eastAsia="方正仿宋简体"/>
          <w:color w:val="auto"/>
          <w:sz w:val="32"/>
          <w:szCs w:val="32"/>
        </w:rPr>
        <w:t>跃升。</w:t>
      </w:r>
    </w:p>
    <w:p w14:paraId="1C13C650">
      <w:pPr>
        <w:spacing w:line="576" w:lineRule="exact"/>
        <w:ind w:firstLine="640" w:firstLineChars="200"/>
        <w:rPr>
          <w:rFonts w:eastAsia="方正仿宋简体"/>
          <w:color w:val="auto"/>
          <w:sz w:val="32"/>
          <w:szCs w:val="32"/>
        </w:rPr>
      </w:pPr>
      <w:r>
        <w:rPr>
          <w:rFonts w:eastAsia="方正仿宋简体"/>
          <w:color w:val="auto"/>
          <w:sz w:val="32"/>
          <w:szCs w:val="32"/>
        </w:rPr>
        <w:t>培育壮大冰雪运动产品。积极推动双龙国际滑雪场等项目落地投用，依托北大湖滑雪场等载体，积极引进和承办区域性冰雪赛事，培育大众滑雪、冰上运动等品牌活动。推动冰雪运动进校园、进社区，夯实冰雪运动基础。发展滑雪教学、冰雪研学等专业培训服务，构建标准化冰雪教学体系。</w:t>
      </w:r>
    </w:p>
    <w:p w14:paraId="3DABB9E3">
      <w:pPr>
        <w:spacing w:line="576" w:lineRule="exact"/>
        <w:ind w:firstLine="640" w:firstLineChars="200"/>
        <w:rPr>
          <w:rFonts w:eastAsia="方正仿宋简体"/>
          <w:color w:val="auto"/>
          <w:sz w:val="32"/>
          <w:szCs w:val="32"/>
        </w:rPr>
      </w:pPr>
      <w:r>
        <w:rPr>
          <w:rFonts w:eastAsia="方正仿宋简体"/>
          <w:color w:val="auto"/>
          <w:sz w:val="32"/>
          <w:szCs w:val="32"/>
        </w:rPr>
        <w:t>创新发展冰雪休闲体验。推动</w:t>
      </w:r>
      <w:r>
        <w:rPr>
          <w:rFonts w:hint="eastAsia" w:eastAsia="方正仿宋简体"/>
          <w:color w:val="auto"/>
          <w:sz w:val="32"/>
          <w:szCs w:val="32"/>
        </w:rPr>
        <w:t>“</w:t>
      </w:r>
      <w:r>
        <w:rPr>
          <w:rFonts w:eastAsia="方正仿宋简体"/>
          <w:color w:val="auto"/>
          <w:sz w:val="32"/>
          <w:szCs w:val="32"/>
        </w:rPr>
        <w:t>冰雪+民俗</w:t>
      </w:r>
      <w:r>
        <w:rPr>
          <w:rFonts w:hint="eastAsia" w:eastAsia="方正仿宋简体"/>
          <w:color w:val="auto"/>
          <w:sz w:val="32"/>
          <w:szCs w:val="32"/>
        </w:rPr>
        <w:t>”</w:t>
      </w:r>
      <w:r>
        <w:rPr>
          <w:rFonts w:eastAsia="方正仿宋简体"/>
          <w:color w:val="auto"/>
          <w:sz w:val="32"/>
          <w:szCs w:val="32"/>
        </w:rPr>
        <w:t>深度融合，推进伊勒门满族村开发冰雪民俗体验项目，打造满族冰雪文化展示区。促进</w:t>
      </w:r>
      <w:r>
        <w:rPr>
          <w:rFonts w:hint="eastAsia" w:eastAsia="方正仿宋简体"/>
          <w:color w:val="auto"/>
          <w:sz w:val="32"/>
          <w:szCs w:val="32"/>
        </w:rPr>
        <w:t>“</w:t>
      </w:r>
      <w:r>
        <w:rPr>
          <w:rFonts w:eastAsia="方正仿宋简体"/>
          <w:color w:val="auto"/>
          <w:sz w:val="32"/>
          <w:szCs w:val="32"/>
        </w:rPr>
        <w:t>冰雪+温泉</w:t>
      </w:r>
      <w:r>
        <w:rPr>
          <w:rFonts w:hint="eastAsia" w:eastAsia="方正仿宋简体"/>
          <w:color w:val="auto"/>
          <w:sz w:val="32"/>
          <w:szCs w:val="32"/>
        </w:rPr>
        <w:t>”</w:t>
      </w:r>
      <w:r>
        <w:rPr>
          <w:rFonts w:eastAsia="方正仿宋简体"/>
          <w:color w:val="auto"/>
          <w:sz w:val="32"/>
          <w:szCs w:val="32"/>
        </w:rPr>
        <w:t>联动发展，依托卓远温泉等资源，设计</w:t>
      </w:r>
      <w:r>
        <w:rPr>
          <w:rFonts w:hint="eastAsia" w:eastAsia="方正仿宋简体"/>
          <w:color w:val="auto"/>
          <w:sz w:val="32"/>
          <w:szCs w:val="32"/>
        </w:rPr>
        <w:t>“</w:t>
      </w:r>
      <w:r>
        <w:rPr>
          <w:rFonts w:eastAsia="方正仿宋简体"/>
          <w:color w:val="auto"/>
          <w:sz w:val="32"/>
          <w:szCs w:val="32"/>
        </w:rPr>
        <w:t>滑冰雪、泡温泉</w:t>
      </w:r>
      <w:r>
        <w:rPr>
          <w:rFonts w:hint="eastAsia" w:eastAsia="方正仿宋简体"/>
          <w:color w:val="auto"/>
          <w:sz w:val="32"/>
          <w:szCs w:val="32"/>
        </w:rPr>
        <w:t>”</w:t>
      </w:r>
      <w:r>
        <w:rPr>
          <w:rFonts w:eastAsia="方正仿宋简体"/>
          <w:color w:val="auto"/>
          <w:sz w:val="32"/>
          <w:szCs w:val="32"/>
        </w:rPr>
        <w:t>组合套餐。推进南沟村推出雪地火锅、星空露营等夜间休闲产品，打造冰雪夜经济</w:t>
      </w:r>
      <w:r>
        <w:rPr>
          <w:rFonts w:hint="eastAsia" w:eastAsia="方正仿宋简体"/>
          <w:color w:val="auto"/>
          <w:sz w:val="32"/>
          <w:szCs w:val="32"/>
        </w:rPr>
        <w:t>增长点</w:t>
      </w:r>
      <w:r>
        <w:rPr>
          <w:rFonts w:eastAsia="方正仿宋简体"/>
          <w:color w:val="auto"/>
          <w:sz w:val="32"/>
          <w:szCs w:val="32"/>
        </w:rPr>
        <w:t>。依托北大湖滑雪场及紫薇山等山地空域资源，探索开发低空观光、滑雪航拍、冰雪应急救援等低空经济消费场景，丰富冰雪旅游产品体系。依托紫薇山森林公园等生态资源，开发林海雪原穿越、雾凇摄影等生态休闲产品，构建全季全时的冰雪休闲体验体系。</w:t>
      </w:r>
    </w:p>
    <w:p w14:paraId="0007169B">
      <w:pPr>
        <w:spacing w:line="576" w:lineRule="exact"/>
        <w:ind w:firstLine="640" w:firstLineChars="200"/>
        <w:rPr>
          <w:rFonts w:eastAsia="方正仿宋简体"/>
          <w:color w:val="auto"/>
          <w:sz w:val="32"/>
          <w:szCs w:val="32"/>
        </w:rPr>
      </w:pPr>
      <w:r>
        <w:rPr>
          <w:rFonts w:eastAsia="方正仿宋简体"/>
          <w:color w:val="auto"/>
          <w:sz w:val="32"/>
          <w:szCs w:val="32"/>
        </w:rPr>
        <w:t>提升发展冰雪配套服务。深化与冰雪试验区等核心雪场战略协同，建立常态化</w:t>
      </w:r>
      <w:r>
        <w:rPr>
          <w:rFonts w:hint="eastAsia" w:eastAsia="方正仿宋简体"/>
          <w:color w:val="auto"/>
          <w:sz w:val="32"/>
          <w:szCs w:val="32"/>
        </w:rPr>
        <w:t>“</w:t>
      </w:r>
      <w:r>
        <w:rPr>
          <w:rFonts w:eastAsia="方正仿宋简体"/>
          <w:color w:val="auto"/>
          <w:sz w:val="32"/>
          <w:szCs w:val="32"/>
        </w:rPr>
        <w:t>雪票+消费券</w:t>
      </w:r>
      <w:r>
        <w:rPr>
          <w:rFonts w:hint="eastAsia" w:eastAsia="方正仿宋简体"/>
          <w:color w:val="auto"/>
          <w:sz w:val="32"/>
          <w:szCs w:val="32"/>
        </w:rPr>
        <w:t>”</w:t>
      </w:r>
      <w:r>
        <w:rPr>
          <w:rFonts w:eastAsia="方正仿宋简体"/>
          <w:color w:val="auto"/>
          <w:sz w:val="32"/>
          <w:szCs w:val="32"/>
        </w:rPr>
        <w:t>票务互通与客源共享合作机制。重点打造南沟村民宿集群，实施民宿提质扩容工程，集中培育</w:t>
      </w:r>
      <w:r>
        <w:rPr>
          <w:rFonts w:hint="eastAsia" w:eastAsia="方正仿宋简体"/>
          <w:color w:val="auto"/>
          <w:sz w:val="32"/>
          <w:szCs w:val="32"/>
        </w:rPr>
        <w:t>“</w:t>
      </w:r>
      <w:r>
        <w:rPr>
          <w:rFonts w:eastAsia="方正仿宋简体"/>
          <w:color w:val="auto"/>
          <w:sz w:val="32"/>
          <w:szCs w:val="32"/>
        </w:rPr>
        <w:t>冰雪文化主题民宿</w:t>
      </w:r>
      <w:r>
        <w:rPr>
          <w:rFonts w:hint="eastAsia" w:eastAsia="方正仿宋简体"/>
          <w:color w:val="auto"/>
          <w:sz w:val="32"/>
          <w:szCs w:val="32"/>
        </w:rPr>
        <w:t>”“</w:t>
      </w:r>
      <w:r>
        <w:rPr>
          <w:rFonts w:eastAsia="方正仿宋简体"/>
          <w:color w:val="auto"/>
          <w:sz w:val="32"/>
          <w:szCs w:val="32"/>
        </w:rPr>
        <w:t>亲子研学民宿</w:t>
      </w:r>
      <w:r>
        <w:rPr>
          <w:rFonts w:hint="eastAsia" w:eastAsia="方正仿宋简体"/>
          <w:color w:val="auto"/>
          <w:sz w:val="32"/>
          <w:szCs w:val="32"/>
        </w:rPr>
        <w:t>”</w:t>
      </w:r>
      <w:r>
        <w:rPr>
          <w:rFonts w:eastAsia="方正仿宋简体"/>
          <w:color w:val="auto"/>
          <w:sz w:val="32"/>
          <w:szCs w:val="32"/>
        </w:rPr>
        <w:t>等特色产品，配套建设村民食堂、冰雪文创商店、共享会议室、雪具烘干房等公共服务设施，创建</w:t>
      </w:r>
      <w:r>
        <w:rPr>
          <w:rFonts w:hint="eastAsia" w:eastAsia="方正仿宋简体"/>
          <w:color w:val="auto"/>
          <w:sz w:val="32"/>
          <w:szCs w:val="32"/>
        </w:rPr>
        <w:t>“</w:t>
      </w:r>
      <w:r>
        <w:rPr>
          <w:rFonts w:eastAsia="方正仿宋简体"/>
          <w:color w:val="auto"/>
          <w:sz w:val="32"/>
          <w:szCs w:val="32"/>
        </w:rPr>
        <w:t>吉林省冰雪民宿第一村</w:t>
      </w:r>
      <w:r>
        <w:rPr>
          <w:rFonts w:hint="eastAsia" w:eastAsia="方正仿宋简体"/>
          <w:color w:val="auto"/>
          <w:sz w:val="32"/>
          <w:szCs w:val="32"/>
        </w:rPr>
        <w:t>”</w:t>
      </w:r>
      <w:r>
        <w:rPr>
          <w:rFonts w:eastAsia="方正仿宋简体"/>
          <w:color w:val="auto"/>
          <w:sz w:val="32"/>
          <w:szCs w:val="32"/>
        </w:rPr>
        <w:t>品牌。推进双顶子村高端民宿集群建设，创新推出</w:t>
      </w:r>
      <w:r>
        <w:rPr>
          <w:rFonts w:hint="eastAsia" w:eastAsia="方正仿宋简体"/>
          <w:color w:val="auto"/>
          <w:sz w:val="32"/>
          <w:szCs w:val="32"/>
        </w:rPr>
        <w:t>“</w:t>
      </w:r>
      <w:r>
        <w:rPr>
          <w:rFonts w:eastAsia="方正仿宋简体"/>
          <w:color w:val="auto"/>
          <w:sz w:val="32"/>
          <w:szCs w:val="32"/>
        </w:rPr>
        <w:t>民宿+雪票+餐食</w:t>
      </w:r>
      <w:r>
        <w:rPr>
          <w:rFonts w:hint="eastAsia" w:eastAsia="方正仿宋简体"/>
          <w:color w:val="auto"/>
          <w:sz w:val="32"/>
          <w:szCs w:val="32"/>
        </w:rPr>
        <w:t>”</w:t>
      </w:r>
      <w:r>
        <w:rPr>
          <w:rFonts w:eastAsia="方正仿宋简体"/>
          <w:color w:val="auto"/>
          <w:sz w:val="32"/>
          <w:szCs w:val="32"/>
        </w:rPr>
        <w:t>一站式套餐服务。一拉溪镇卓远温泉周边发展康养主题住宿。培育</w:t>
      </w:r>
      <w:r>
        <w:rPr>
          <w:rFonts w:hint="eastAsia" w:eastAsia="方正仿宋简体"/>
          <w:color w:val="auto"/>
          <w:sz w:val="32"/>
          <w:szCs w:val="32"/>
        </w:rPr>
        <w:t>“</w:t>
      </w:r>
      <w:r>
        <w:rPr>
          <w:rFonts w:eastAsia="方正仿宋简体"/>
          <w:color w:val="auto"/>
          <w:sz w:val="32"/>
          <w:szCs w:val="32"/>
        </w:rPr>
        <w:t>永吉民宿</w:t>
      </w:r>
      <w:r>
        <w:rPr>
          <w:rFonts w:hint="eastAsia" w:eastAsia="方正仿宋简体"/>
          <w:color w:val="auto"/>
          <w:sz w:val="32"/>
          <w:szCs w:val="32"/>
        </w:rPr>
        <w:t>”</w:t>
      </w:r>
      <w:r>
        <w:rPr>
          <w:rFonts w:eastAsia="方正仿宋简体"/>
          <w:color w:val="auto"/>
          <w:sz w:val="32"/>
          <w:szCs w:val="32"/>
        </w:rPr>
        <w:t>本土品牌，推动民宿标准化、连锁化运营。打造集住宿、餐饮、购物、娱乐等功能于一体的一站式服务节点。健全冰雪旅游配套服务与应急保障体系，加强雪场周边安全监测等智能服务设施，完善滑雪医疗救助站点布局。畅通区域交通微循环，开通运营</w:t>
      </w:r>
      <w:r>
        <w:rPr>
          <w:rFonts w:hint="eastAsia" w:eastAsia="方正仿宋简体"/>
          <w:color w:val="auto"/>
          <w:sz w:val="32"/>
          <w:szCs w:val="32"/>
        </w:rPr>
        <w:t>“</w:t>
      </w:r>
      <w:r>
        <w:rPr>
          <w:rFonts w:eastAsia="方正仿宋简体"/>
          <w:color w:val="auto"/>
          <w:sz w:val="32"/>
          <w:szCs w:val="32"/>
        </w:rPr>
        <w:t>雪场—县城—民宿集群</w:t>
      </w:r>
      <w:r>
        <w:rPr>
          <w:rFonts w:hint="eastAsia" w:eastAsia="方正仿宋简体"/>
          <w:color w:val="auto"/>
          <w:sz w:val="32"/>
          <w:szCs w:val="32"/>
        </w:rPr>
        <w:t>”</w:t>
      </w:r>
      <w:r>
        <w:rPr>
          <w:rFonts w:eastAsia="方正仿宋简体"/>
          <w:color w:val="auto"/>
          <w:sz w:val="32"/>
          <w:szCs w:val="32"/>
        </w:rPr>
        <w:t>直达接驳巴士，实行</w:t>
      </w:r>
      <w:r>
        <w:rPr>
          <w:rFonts w:hint="eastAsia" w:eastAsia="方正仿宋简体"/>
          <w:color w:val="auto"/>
          <w:sz w:val="32"/>
          <w:szCs w:val="32"/>
        </w:rPr>
        <w:t>“</w:t>
      </w:r>
      <w:r>
        <w:rPr>
          <w:rFonts w:eastAsia="方正仿宋简体"/>
          <w:color w:val="auto"/>
          <w:sz w:val="32"/>
          <w:szCs w:val="32"/>
        </w:rPr>
        <w:t>定时定点发车+预约灵活叫车</w:t>
      </w:r>
      <w:r>
        <w:rPr>
          <w:rFonts w:hint="eastAsia" w:eastAsia="方正仿宋简体"/>
          <w:color w:val="auto"/>
          <w:sz w:val="32"/>
          <w:szCs w:val="32"/>
        </w:rPr>
        <w:t>”</w:t>
      </w:r>
      <w:r>
        <w:rPr>
          <w:rFonts w:eastAsia="方正仿宋简体"/>
          <w:color w:val="auto"/>
          <w:sz w:val="32"/>
          <w:szCs w:val="32"/>
        </w:rPr>
        <w:t>双模式运行，构建高效便捷的冰雪旅游交通网络。</w:t>
      </w:r>
    </w:p>
    <w:p w14:paraId="2AFAE352">
      <w:pPr>
        <w:spacing w:line="576" w:lineRule="exact"/>
        <w:jc w:val="center"/>
        <w:rPr>
          <w:rFonts w:eastAsia="方正楷体简体"/>
          <w:color w:val="auto"/>
          <w:sz w:val="32"/>
          <w:szCs w:val="32"/>
        </w:rPr>
      </w:pPr>
      <w:r>
        <w:rPr>
          <w:rFonts w:eastAsia="方正楷体简体"/>
          <w:color w:val="auto"/>
          <w:sz w:val="32"/>
          <w:szCs w:val="32"/>
        </w:rPr>
        <w:t>第二节  壮大康养旅游产业</w:t>
      </w:r>
    </w:p>
    <w:p w14:paraId="75EF7E4E">
      <w:pPr>
        <w:spacing w:line="576" w:lineRule="exact"/>
        <w:ind w:firstLine="640" w:firstLineChars="200"/>
        <w:rPr>
          <w:rFonts w:eastAsia="方正仿宋简体"/>
          <w:color w:val="auto"/>
          <w:sz w:val="32"/>
          <w:szCs w:val="32"/>
        </w:rPr>
      </w:pPr>
      <w:r>
        <w:rPr>
          <w:rFonts w:eastAsia="方正仿宋简体"/>
          <w:color w:val="auto"/>
          <w:sz w:val="32"/>
          <w:szCs w:val="32"/>
        </w:rPr>
        <w:t>充分发挥永吉温泉、森林、药材等核心资源优势，紧抓大健康消费升级机遇，以</w:t>
      </w:r>
      <w:r>
        <w:rPr>
          <w:rFonts w:hint="eastAsia" w:eastAsia="方正仿宋简体"/>
          <w:color w:val="auto"/>
          <w:sz w:val="32"/>
          <w:szCs w:val="32"/>
        </w:rPr>
        <w:t>“</w:t>
      </w:r>
      <w:r>
        <w:rPr>
          <w:rFonts w:eastAsia="方正仿宋简体"/>
          <w:color w:val="auto"/>
          <w:sz w:val="32"/>
          <w:szCs w:val="32"/>
        </w:rPr>
        <w:t>冷热协同、四季多元、医养结合</w:t>
      </w:r>
      <w:r>
        <w:rPr>
          <w:rFonts w:hint="eastAsia" w:eastAsia="方正仿宋简体"/>
          <w:color w:val="auto"/>
          <w:sz w:val="32"/>
          <w:szCs w:val="32"/>
        </w:rPr>
        <w:t>”</w:t>
      </w:r>
      <w:r>
        <w:rPr>
          <w:rFonts w:eastAsia="方正仿宋简体"/>
          <w:color w:val="auto"/>
          <w:sz w:val="32"/>
          <w:szCs w:val="32"/>
        </w:rPr>
        <w:t>为发展方向，推动康养与文旅、体育、农业深度融合，构建产品丰富、服务专业、特色鲜明的康养产业体系，打造服务长吉、辐射东北的知名健康养生目的地。</w:t>
      </w:r>
    </w:p>
    <w:p w14:paraId="7FCD62AE">
      <w:pPr>
        <w:spacing w:line="576" w:lineRule="exact"/>
        <w:ind w:firstLine="640" w:firstLineChars="200"/>
        <w:rPr>
          <w:rFonts w:eastAsia="方正仿宋简体"/>
          <w:color w:val="auto"/>
          <w:sz w:val="32"/>
          <w:szCs w:val="32"/>
        </w:rPr>
      </w:pPr>
      <w:r>
        <w:rPr>
          <w:rFonts w:eastAsia="方正仿宋简体"/>
          <w:color w:val="auto"/>
          <w:sz w:val="32"/>
          <w:szCs w:val="32"/>
        </w:rPr>
        <w:t>深化</w:t>
      </w:r>
      <w:r>
        <w:rPr>
          <w:rFonts w:hint="eastAsia" w:eastAsia="方正仿宋简体"/>
          <w:color w:val="auto"/>
          <w:sz w:val="32"/>
          <w:szCs w:val="32"/>
        </w:rPr>
        <w:t>“</w:t>
      </w:r>
      <w:r>
        <w:rPr>
          <w:rFonts w:eastAsia="方正仿宋简体"/>
          <w:color w:val="auto"/>
          <w:sz w:val="32"/>
          <w:szCs w:val="32"/>
        </w:rPr>
        <w:t>温泉+康养</w:t>
      </w:r>
      <w:r>
        <w:rPr>
          <w:rFonts w:hint="eastAsia" w:eastAsia="方正仿宋简体"/>
          <w:color w:val="auto"/>
          <w:sz w:val="32"/>
          <w:szCs w:val="32"/>
        </w:rPr>
        <w:t>”</w:t>
      </w:r>
      <w:r>
        <w:rPr>
          <w:rFonts w:eastAsia="方正仿宋简体"/>
          <w:color w:val="auto"/>
          <w:sz w:val="32"/>
          <w:szCs w:val="32"/>
        </w:rPr>
        <w:t>产业融合。推动温泉项目提质扩容与医养融合。重点推进卓远温泉等现有项目的设施升级、环境优化与服务提升，引入慢性病康复、中医理疗、健康管理等专业服务，发展温泉康复疗养业态。创新发展中医特色温泉，深度整合永吉人参、五味子、平贝母等道地药材资源，加强与北华大学等院校科研合作，研发具有地方特色的定制化药浴配方与康养疗程。延伸康养产品链条，创新推出中长期</w:t>
      </w:r>
      <w:r>
        <w:rPr>
          <w:rFonts w:hint="eastAsia" w:eastAsia="方正仿宋简体"/>
          <w:color w:val="auto"/>
          <w:sz w:val="32"/>
          <w:szCs w:val="32"/>
        </w:rPr>
        <w:t>“</w:t>
      </w:r>
      <w:r>
        <w:rPr>
          <w:rFonts w:eastAsia="方正仿宋简体"/>
          <w:color w:val="auto"/>
          <w:sz w:val="32"/>
          <w:szCs w:val="32"/>
        </w:rPr>
        <w:t>旅居康养</w:t>
      </w:r>
      <w:r>
        <w:rPr>
          <w:rFonts w:hint="eastAsia" w:eastAsia="方正仿宋简体"/>
          <w:color w:val="auto"/>
          <w:sz w:val="32"/>
          <w:szCs w:val="32"/>
        </w:rPr>
        <w:t>”“</w:t>
      </w:r>
      <w:r>
        <w:rPr>
          <w:rFonts w:eastAsia="方正仿宋简体"/>
          <w:color w:val="auto"/>
          <w:sz w:val="32"/>
          <w:szCs w:val="32"/>
        </w:rPr>
        <w:t>候鸟式养老</w:t>
      </w:r>
      <w:r>
        <w:rPr>
          <w:rFonts w:hint="eastAsia" w:eastAsia="方正仿宋简体"/>
          <w:color w:val="auto"/>
          <w:sz w:val="32"/>
          <w:szCs w:val="32"/>
        </w:rPr>
        <w:t>”</w:t>
      </w:r>
      <w:r>
        <w:rPr>
          <w:rFonts w:eastAsia="方正仿宋简体"/>
          <w:color w:val="auto"/>
          <w:sz w:val="32"/>
          <w:szCs w:val="32"/>
        </w:rPr>
        <w:t>及</w:t>
      </w:r>
      <w:r>
        <w:rPr>
          <w:rFonts w:hint="eastAsia" w:eastAsia="方正仿宋简体"/>
          <w:color w:val="auto"/>
          <w:sz w:val="32"/>
          <w:szCs w:val="32"/>
        </w:rPr>
        <w:t>“</w:t>
      </w:r>
      <w:r>
        <w:rPr>
          <w:rFonts w:eastAsia="方正仿宋简体"/>
          <w:color w:val="auto"/>
          <w:sz w:val="32"/>
          <w:szCs w:val="32"/>
        </w:rPr>
        <w:t>定制化健康管理</w:t>
      </w:r>
      <w:r>
        <w:rPr>
          <w:rFonts w:hint="eastAsia" w:eastAsia="方正仿宋简体"/>
          <w:color w:val="auto"/>
          <w:sz w:val="32"/>
          <w:szCs w:val="32"/>
        </w:rPr>
        <w:t>”</w:t>
      </w:r>
      <w:r>
        <w:rPr>
          <w:rFonts w:eastAsia="方正仿宋简体"/>
          <w:color w:val="auto"/>
          <w:sz w:val="32"/>
          <w:szCs w:val="32"/>
        </w:rPr>
        <w:t>等服务产品，探索发展银发经济，拓展康养旅居、社区养老等业态，吸引长春、吉林等地老年群体季节性康养消费，提升产业附加值和服务深度。</w:t>
      </w:r>
    </w:p>
    <w:p w14:paraId="054FA03B">
      <w:pPr>
        <w:spacing w:line="576" w:lineRule="exact"/>
        <w:ind w:firstLine="640" w:firstLineChars="200"/>
        <w:rPr>
          <w:rFonts w:eastAsia="方正仿宋简体"/>
          <w:color w:val="auto"/>
          <w:sz w:val="32"/>
          <w:szCs w:val="32"/>
        </w:rPr>
      </w:pPr>
      <w:r>
        <w:rPr>
          <w:rFonts w:eastAsia="方正仿宋简体"/>
          <w:color w:val="auto"/>
          <w:sz w:val="32"/>
          <w:szCs w:val="32"/>
        </w:rPr>
        <w:t>培育</w:t>
      </w:r>
      <w:r>
        <w:rPr>
          <w:rFonts w:hint="eastAsia" w:eastAsia="方正仿宋简体"/>
          <w:color w:val="auto"/>
          <w:sz w:val="32"/>
          <w:szCs w:val="32"/>
        </w:rPr>
        <w:t>“</w:t>
      </w:r>
      <w:r>
        <w:rPr>
          <w:rFonts w:eastAsia="方正仿宋简体"/>
          <w:color w:val="auto"/>
          <w:sz w:val="32"/>
          <w:szCs w:val="32"/>
        </w:rPr>
        <w:t>森林+康养</w:t>
      </w:r>
      <w:r>
        <w:rPr>
          <w:rFonts w:hint="eastAsia" w:eastAsia="方正仿宋简体"/>
          <w:color w:val="auto"/>
          <w:sz w:val="32"/>
          <w:szCs w:val="32"/>
        </w:rPr>
        <w:t>”</w:t>
      </w:r>
      <w:r>
        <w:rPr>
          <w:rFonts w:eastAsia="方正仿宋简体"/>
          <w:color w:val="auto"/>
          <w:sz w:val="32"/>
          <w:szCs w:val="32"/>
        </w:rPr>
        <w:t>生态业态。系统开发森林康养资源。依托紫薇山保育区、西阳林场、大岗子林场等优质森林资源，科学规划建设森林浴场、生态步道、观景平台、静修小屋等设施，为开展康养活动提供空间载体。丰富森林康养产品体系。设计开发森林瑜伽、冥想静修、自然教育、生态研学、山地骑行等多类型体验项目。精心设计主题鲜明的精品生态旅游康养线路，打造基础设施完善、服务功能齐全的森林康养基地。重点打造永吉县星星哨景区提升改造、紫薇山森林公园等标杆性项目。促进康养与农林产业互动。整合林下灵芝、山野菜、蜂蜜等特产资源，开发健康膳食营养套餐，提供个性化森林疗养课程与定制化康养服务。</w:t>
      </w:r>
    </w:p>
    <w:p w14:paraId="5AC2A404">
      <w:pPr>
        <w:spacing w:line="576" w:lineRule="exact"/>
        <w:ind w:firstLine="640" w:firstLineChars="200"/>
        <w:rPr>
          <w:rFonts w:eastAsia="方正仿宋简体"/>
          <w:color w:val="auto"/>
          <w:sz w:val="32"/>
          <w:szCs w:val="32"/>
        </w:rPr>
      </w:pPr>
      <w:r>
        <w:rPr>
          <w:rFonts w:eastAsia="方正仿宋简体"/>
          <w:color w:val="auto"/>
          <w:sz w:val="32"/>
          <w:szCs w:val="32"/>
        </w:rPr>
        <w:t>促进康养产业全季全时发展。创新全季康养产品供给。突破季节限制，设计推出</w:t>
      </w:r>
      <w:r>
        <w:rPr>
          <w:rFonts w:hint="eastAsia" w:eastAsia="方正仿宋简体"/>
          <w:color w:val="auto"/>
          <w:sz w:val="32"/>
          <w:szCs w:val="32"/>
        </w:rPr>
        <w:t>“</w:t>
      </w:r>
      <w:r>
        <w:rPr>
          <w:rFonts w:eastAsia="方正仿宋简体"/>
          <w:color w:val="auto"/>
          <w:sz w:val="32"/>
          <w:szCs w:val="32"/>
        </w:rPr>
        <w:t>春焕活、夏避暑、秋滋补、冬疗愈</w:t>
      </w:r>
      <w:r>
        <w:rPr>
          <w:rFonts w:hint="eastAsia" w:eastAsia="方正仿宋简体"/>
          <w:color w:val="auto"/>
          <w:sz w:val="32"/>
          <w:szCs w:val="32"/>
        </w:rPr>
        <w:t>”</w:t>
      </w:r>
      <w:r>
        <w:rPr>
          <w:rFonts w:eastAsia="方正仿宋简体"/>
          <w:color w:val="auto"/>
          <w:sz w:val="32"/>
          <w:szCs w:val="32"/>
        </w:rPr>
        <w:t>等四季皆宜的主题康养套餐与服务，实现</w:t>
      </w:r>
      <w:r>
        <w:rPr>
          <w:rFonts w:hint="eastAsia" w:eastAsia="方正仿宋简体"/>
          <w:color w:val="auto"/>
          <w:sz w:val="32"/>
          <w:szCs w:val="32"/>
        </w:rPr>
        <w:t>“</w:t>
      </w:r>
      <w:r>
        <w:rPr>
          <w:rFonts w:eastAsia="方正仿宋简体"/>
          <w:color w:val="auto"/>
          <w:sz w:val="32"/>
          <w:szCs w:val="32"/>
        </w:rPr>
        <w:t>全年可康养、四季有主题</w:t>
      </w:r>
      <w:r>
        <w:rPr>
          <w:rFonts w:hint="eastAsia" w:eastAsia="方正仿宋简体"/>
          <w:color w:val="auto"/>
          <w:sz w:val="32"/>
          <w:szCs w:val="32"/>
        </w:rPr>
        <w:t>”</w:t>
      </w:r>
      <w:r>
        <w:rPr>
          <w:rFonts w:eastAsia="方正仿宋简体"/>
          <w:color w:val="auto"/>
          <w:sz w:val="32"/>
          <w:szCs w:val="32"/>
        </w:rPr>
        <w:t>。加强医养康养协同发展。推动县内医疗机构与康养基地、温泉项目建立紧密协作关系，构建深度融合康养模式。推动</w:t>
      </w:r>
      <w:r>
        <w:rPr>
          <w:rFonts w:hint="eastAsia" w:eastAsia="方正仿宋简体"/>
          <w:color w:val="auto"/>
          <w:sz w:val="32"/>
          <w:szCs w:val="32"/>
        </w:rPr>
        <w:t>“</w:t>
      </w:r>
      <w:r>
        <w:rPr>
          <w:rFonts w:eastAsia="方正仿宋简体"/>
          <w:color w:val="auto"/>
          <w:sz w:val="32"/>
          <w:szCs w:val="32"/>
        </w:rPr>
        <w:t>疗愈+养生+学习</w:t>
      </w:r>
      <w:r>
        <w:rPr>
          <w:rFonts w:hint="eastAsia" w:eastAsia="方正仿宋简体"/>
          <w:color w:val="auto"/>
          <w:sz w:val="32"/>
          <w:szCs w:val="32"/>
        </w:rPr>
        <w:t>”</w:t>
      </w:r>
      <w:r>
        <w:rPr>
          <w:rFonts w:eastAsia="方正仿宋简体"/>
          <w:color w:val="auto"/>
          <w:sz w:val="32"/>
          <w:szCs w:val="32"/>
        </w:rPr>
        <w:t>三大功能深度融合，通过举办健康讲座、工作坊、文化活动等方式，打造具有永吉特色的现代康养模式，显著提升康养目的地的品牌影响力与市场竞争力。</w:t>
      </w:r>
    </w:p>
    <w:p w14:paraId="781B0A36">
      <w:pPr>
        <w:spacing w:line="576" w:lineRule="exact"/>
        <w:jc w:val="center"/>
        <w:rPr>
          <w:rFonts w:eastAsia="方正楷体简体"/>
          <w:color w:val="auto"/>
          <w:sz w:val="32"/>
          <w:szCs w:val="32"/>
        </w:rPr>
      </w:pPr>
      <w:r>
        <w:rPr>
          <w:rFonts w:eastAsia="方正楷体简体"/>
          <w:color w:val="auto"/>
          <w:sz w:val="32"/>
          <w:szCs w:val="32"/>
        </w:rPr>
        <w:t>第三节  振兴特色文化产业</w:t>
      </w:r>
    </w:p>
    <w:p w14:paraId="4063B4E0">
      <w:pPr>
        <w:spacing w:line="576" w:lineRule="exact"/>
        <w:ind w:firstLine="640" w:firstLineChars="200"/>
        <w:rPr>
          <w:rFonts w:eastAsia="方正仿宋简体"/>
          <w:color w:val="auto"/>
          <w:sz w:val="32"/>
          <w:szCs w:val="32"/>
        </w:rPr>
      </w:pPr>
      <w:r>
        <w:rPr>
          <w:rFonts w:eastAsia="方正仿宋简体"/>
          <w:color w:val="auto"/>
          <w:sz w:val="32"/>
          <w:szCs w:val="32"/>
        </w:rPr>
        <w:t>依托千年永吉深厚文脉与全域丰富的文化资源禀赋，传承优秀文化基因，推进文化遗产保护、创新转化与场景化表达，驱动文旅深度融合，构建文化传承与文旅繁荣共生发展生态。</w:t>
      </w:r>
    </w:p>
    <w:p w14:paraId="4C1EC792">
      <w:pPr>
        <w:spacing w:line="576" w:lineRule="exact"/>
        <w:ind w:firstLine="640" w:firstLineChars="200"/>
        <w:rPr>
          <w:rFonts w:eastAsia="方正仿宋简体"/>
          <w:color w:val="auto"/>
          <w:sz w:val="32"/>
          <w:szCs w:val="32"/>
        </w:rPr>
      </w:pPr>
      <w:r>
        <w:rPr>
          <w:rFonts w:eastAsia="方正仿宋简体"/>
          <w:color w:val="auto"/>
          <w:sz w:val="32"/>
          <w:szCs w:val="32"/>
        </w:rPr>
        <w:t>深化思想价值引领。深化党的创新理论学习和宣传教育，坚持不懈用习近平新时代中国特色社会主义思想凝心铸魂。加强和改进思想政治工作，实施青年思想引领工程，加强青少年理想信念教育，促进青少年健康成长。加强网络综合治理，强化内容运维和安全管理，提升意识形态和网络安全风险防控能力。持续深化精神文明创建，扎实开展文明培育、文明实践、文明创建工作，倡导文明行为，提升居民文明素养。</w:t>
      </w:r>
    </w:p>
    <w:p w14:paraId="53DB0FD8">
      <w:pPr>
        <w:spacing w:line="576" w:lineRule="exact"/>
        <w:ind w:firstLine="640" w:firstLineChars="200"/>
        <w:rPr>
          <w:rFonts w:eastAsia="方正仿宋简体"/>
          <w:color w:val="auto"/>
          <w:sz w:val="32"/>
          <w:szCs w:val="32"/>
        </w:rPr>
      </w:pPr>
      <w:r>
        <w:rPr>
          <w:rFonts w:eastAsia="方正仿宋简体"/>
          <w:color w:val="auto"/>
          <w:sz w:val="32"/>
          <w:szCs w:val="32"/>
        </w:rPr>
        <w:t>深挖千年永吉文化价值。做强</w:t>
      </w:r>
      <w:r>
        <w:rPr>
          <w:rFonts w:hint="eastAsia" w:eastAsia="方正仿宋简体"/>
          <w:color w:val="auto"/>
          <w:sz w:val="32"/>
          <w:szCs w:val="32"/>
        </w:rPr>
        <w:t>“</w:t>
      </w:r>
      <w:r>
        <w:rPr>
          <w:rFonts w:eastAsia="方正仿宋简体"/>
          <w:color w:val="auto"/>
          <w:sz w:val="32"/>
          <w:szCs w:val="32"/>
        </w:rPr>
        <w:t>永吉州史</w:t>
      </w:r>
      <w:r>
        <w:rPr>
          <w:rFonts w:hint="eastAsia" w:eastAsia="方正仿宋简体"/>
          <w:color w:val="auto"/>
          <w:sz w:val="32"/>
          <w:szCs w:val="32"/>
        </w:rPr>
        <w:t>”</w:t>
      </w:r>
      <w:r>
        <w:rPr>
          <w:rFonts w:eastAsia="方正仿宋简体"/>
          <w:color w:val="auto"/>
          <w:sz w:val="32"/>
          <w:szCs w:val="32"/>
        </w:rPr>
        <w:t>文化核心。依托县博物馆</w:t>
      </w:r>
      <w:r>
        <w:rPr>
          <w:rFonts w:hint="eastAsia" w:eastAsia="方正仿宋简体"/>
          <w:color w:val="auto"/>
          <w:sz w:val="32"/>
          <w:szCs w:val="32"/>
        </w:rPr>
        <w:t>“</w:t>
      </w:r>
      <w:r>
        <w:rPr>
          <w:rFonts w:eastAsia="方正仿宋简体"/>
          <w:color w:val="auto"/>
          <w:sz w:val="32"/>
          <w:szCs w:val="32"/>
        </w:rPr>
        <w:t>关东第一州</w:t>
      </w:r>
      <w:r>
        <w:rPr>
          <w:rFonts w:hint="eastAsia" w:eastAsia="方正仿宋简体"/>
          <w:color w:val="auto"/>
          <w:sz w:val="32"/>
          <w:szCs w:val="32"/>
        </w:rPr>
        <w:t>”</w:t>
      </w:r>
      <w:r>
        <w:rPr>
          <w:rFonts w:eastAsia="方正仿宋简体"/>
          <w:color w:val="auto"/>
          <w:sz w:val="32"/>
          <w:szCs w:val="32"/>
        </w:rPr>
        <w:t>展陈，联合省市考古机构系统梳理夫余、高句丽、渤海、辽金及明清时期文化遗存，推进</w:t>
      </w:r>
      <w:r>
        <w:rPr>
          <w:rFonts w:hint="eastAsia" w:eastAsia="方正仿宋简体"/>
          <w:color w:val="auto"/>
          <w:sz w:val="32"/>
          <w:szCs w:val="32"/>
        </w:rPr>
        <w:t>“</w:t>
      </w:r>
      <w:r>
        <w:rPr>
          <w:rFonts w:eastAsia="方正仿宋简体"/>
          <w:color w:val="auto"/>
          <w:sz w:val="32"/>
          <w:szCs w:val="32"/>
        </w:rPr>
        <w:t>千年永吉</w:t>
      </w:r>
      <w:r>
        <w:rPr>
          <w:rFonts w:hint="eastAsia" w:eastAsia="方正仿宋简体"/>
          <w:color w:val="auto"/>
          <w:sz w:val="32"/>
          <w:szCs w:val="32"/>
        </w:rPr>
        <w:t>”</w:t>
      </w:r>
      <w:r>
        <w:rPr>
          <w:rFonts w:eastAsia="方正仿宋简体"/>
          <w:color w:val="auto"/>
          <w:sz w:val="32"/>
          <w:szCs w:val="32"/>
        </w:rPr>
        <w:t>复兴工程；打造抗联主题红色展厅，弘扬以爱国主义为核心的民族精神。加强文脉梳理，启动</w:t>
      </w:r>
      <w:r>
        <w:rPr>
          <w:rFonts w:hint="eastAsia" w:eastAsia="方正仿宋简体"/>
          <w:color w:val="auto"/>
          <w:sz w:val="32"/>
          <w:szCs w:val="32"/>
        </w:rPr>
        <w:t>“</w:t>
      </w:r>
      <w:r>
        <w:rPr>
          <w:rFonts w:eastAsia="方正仿宋简体"/>
          <w:color w:val="auto"/>
          <w:sz w:val="32"/>
          <w:szCs w:val="32"/>
        </w:rPr>
        <w:t>永吉记忆</w:t>
      </w:r>
      <w:r>
        <w:rPr>
          <w:rFonts w:hint="eastAsia" w:eastAsia="方正仿宋简体"/>
          <w:color w:val="auto"/>
          <w:sz w:val="32"/>
          <w:szCs w:val="32"/>
        </w:rPr>
        <w:t>”</w:t>
      </w:r>
      <w:r>
        <w:rPr>
          <w:rFonts w:eastAsia="方正仿宋简体"/>
          <w:color w:val="auto"/>
          <w:sz w:val="32"/>
          <w:szCs w:val="32"/>
        </w:rPr>
        <w:t>挖掘采集，对星星哨遗址为代表的西团山文化进行深度研究与价值阐释。活化</w:t>
      </w:r>
      <w:r>
        <w:rPr>
          <w:rFonts w:hint="eastAsia" w:eastAsia="方正仿宋简体"/>
          <w:color w:val="auto"/>
          <w:sz w:val="32"/>
          <w:szCs w:val="32"/>
        </w:rPr>
        <w:t>“</w:t>
      </w:r>
      <w:r>
        <w:rPr>
          <w:rFonts w:eastAsia="方正仿宋简体"/>
          <w:color w:val="auto"/>
          <w:sz w:val="32"/>
          <w:szCs w:val="32"/>
        </w:rPr>
        <w:t>非遗+民俗</w:t>
      </w:r>
      <w:r>
        <w:rPr>
          <w:rFonts w:hint="eastAsia" w:eastAsia="方正仿宋简体"/>
          <w:color w:val="auto"/>
          <w:sz w:val="32"/>
          <w:szCs w:val="32"/>
        </w:rPr>
        <w:t>”</w:t>
      </w:r>
      <w:r>
        <w:rPr>
          <w:rFonts w:eastAsia="方正仿宋简体"/>
          <w:color w:val="auto"/>
          <w:sz w:val="32"/>
          <w:szCs w:val="32"/>
        </w:rPr>
        <w:t>双遗产，建立活态传承基地，开展年货手作、民俗旅拍等体验项目。推进吉林省人民代表会议展览馆建设项目，挖掘赵南起将军等红色题材，构建</w:t>
      </w:r>
      <w:r>
        <w:rPr>
          <w:rFonts w:hint="eastAsia" w:eastAsia="方正仿宋简体"/>
          <w:color w:val="auto"/>
          <w:sz w:val="32"/>
          <w:szCs w:val="32"/>
        </w:rPr>
        <w:t>“</w:t>
      </w:r>
      <w:r>
        <w:rPr>
          <w:rFonts w:eastAsia="方正仿宋简体"/>
          <w:color w:val="auto"/>
          <w:sz w:val="32"/>
          <w:szCs w:val="32"/>
        </w:rPr>
        <w:t>一景一故事</w:t>
      </w:r>
      <w:r>
        <w:rPr>
          <w:rFonts w:hint="eastAsia" w:eastAsia="方正仿宋简体"/>
          <w:color w:val="auto"/>
          <w:sz w:val="32"/>
          <w:szCs w:val="32"/>
        </w:rPr>
        <w:t>”</w:t>
      </w:r>
      <w:r>
        <w:rPr>
          <w:rFonts w:eastAsia="方正仿宋简体"/>
          <w:color w:val="auto"/>
          <w:sz w:val="32"/>
          <w:szCs w:val="32"/>
        </w:rPr>
        <w:t>文旅叙事网络。在文化挖掘中弘扬诚信、廉洁文化，提升居民文明素养和城乡文明程度，提升文化养心志、育情操的社会功能。</w:t>
      </w:r>
    </w:p>
    <w:p w14:paraId="15FBA936">
      <w:pPr>
        <w:spacing w:line="576" w:lineRule="exact"/>
        <w:ind w:firstLine="640" w:firstLineChars="200"/>
        <w:rPr>
          <w:rFonts w:eastAsia="方正仿宋简体"/>
          <w:color w:val="auto"/>
          <w:sz w:val="32"/>
          <w:szCs w:val="32"/>
        </w:rPr>
      </w:pPr>
      <w:r>
        <w:rPr>
          <w:rFonts w:eastAsia="方正仿宋简体"/>
          <w:color w:val="auto"/>
          <w:sz w:val="32"/>
          <w:szCs w:val="32"/>
        </w:rPr>
        <w:t>强化全域文化资源保护与创新利用。构建文化遗产立体化守护体系，建设线上数字博物馆，更新非遗名录。推进永吉州署衙门复建，以场景复原和科技展陈呈现历史。将黑土农耕、森林康养、冰雪民俗等文化符号融入旅游空间，打造非遗南沟民宿，开发特色文创，实现文化资源与旅游深度融合。加强线上平台传播永吉优秀文化。</w:t>
      </w:r>
    </w:p>
    <w:p w14:paraId="72974AFD">
      <w:pPr>
        <w:spacing w:line="576" w:lineRule="exact"/>
        <w:ind w:firstLine="640" w:firstLineChars="200"/>
        <w:rPr>
          <w:rFonts w:eastAsia="方正仿宋简体"/>
          <w:color w:val="auto"/>
          <w:sz w:val="32"/>
          <w:szCs w:val="32"/>
        </w:rPr>
      </w:pPr>
      <w:r>
        <w:rPr>
          <w:rFonts w:eastAsia="方正仿宋简体"/>
          <w:color w:val="auto"/>
          <w:sz w:val="32"/>
          <w:szCs w:val="32"/>
        </w:rPr>
        <w:t>打造特色文旅体验新场景。探索发展低空经济新业态，开发低空文旅航线，以城东低空滑翔运动公园和紫薇山森林公园为核心，串联温德河景观带、稻田公园、南沟民宿等节点，开辟滑翔伞、三角翼动力伞空中观赏项目，构建</w:t>
      </w:r>
      <w:r>
        <w:rPr>
          <w:rFonts w:hint="eastAsia" w:eastAsia="方正仿宋简体"/>
          <w:color w:val="auto"/>
          <w:sz w:val="32"/>
          <w:szCs w:val="32"/>
        </w:rPr>
        <w:t>“</w:t>
      </w:r>
      <w:r>
        <w:rPr>
          <w:rFonts w:eastAsia="方正仿宋简体"/>
          <w:color w:val="auto"/>
          <w:sz w:val="32"/>
          <w:szCs w:val="32"/>
        </w:rPr>
        <w:t>空地面</w:t>
      </w:r>
      <w:r>
        <w:rPr>
          <w:rFonts w:hint="eastAsia" w:eastAsia="方正仿宋简体"/>
          <w:color w:val="auto"/>
          <w:sz w:val="32"/>
          <w:szCs w:val="32"/>
        </w:rPr>
        <w:t>”</w:t>
      </w:r>
      <w:r>
        <w:rPr>
          <w:rFonts w:eastAsia="方正仿宋简体"/>
          <w:color w:val="auto"/>
          <w:sz w:val="32"/>
          <w:szCs w:val="32"/>
        </w:rPr>
        <w:t>立体文化体验。推进金家乡打造满族风情乡，复原火炕长桌宴、年俗工坊，结合温泉康养等板块开展篝火故事会、萨满祈福。开发杜鹃花旅游产业，拓展春季郊游踏青打卡地。推出</w:t>
      </w:r>
      <w:r>
        <w:rPr>
          <w:rFonts w:hint="eastAsia" w:eastAsia="方正仿宋简体"/>
          <w:color w:val="auto"/>
          <w:sz w:val="32"/>
          <w:szCs w:val="32"/>
        </w:rPr>
        <w:t>“</w:t>
      </w:r>
      <w:r>
        <w:rPr>
          <w:rFonts w:eastAsia="方正仿宋简体"/>
          <w:color w:val="auto"/>
          <w:sz w:val="32"/>
          <w:szCs w:val="32"/>
        </w:rPr>
        <w:t>雪泉夜话</w:t>
      </w:r>
      <w:r>
        <w:rPr>
          <w:rFonts w:hint="eastAsia" w:eastAsia="方正仿宋简体"/>
          <w:color w:val="auto"/>
          <w:sz w:val="32"/>
          <w:szCs w:val="32"/>
        </w:rPr>
        <w:t>”</w:t>
      </w:r>
      <w:r>
        <w:rPr>
          <w:rFonts w:eastAsia="方正仿宋简体"/>
          <w:color w:val="auto"/>
          <w:sz w:val="32"/>
          <w:szCs w:val="32"/>
        </w:rPr>
        <w:t>民俗沙龙，打造铁东美食街月度山野菜宴、柞蚕品鉴市集，引入航空主题快闪市集和航模手作体验，形成多元文化IP生态。</w:t>
      </w:r>
    </w:p>
    <w:p w14:paraId="3124CBF7">
      <w:pPr>
        <w:spacing w:line="576" w:lineRule="exact"/>
        <w:jc w:val="center"/>
        <w:rPr>
          <w:rFonts w:eastAsia="方正楷体简体"/>
          <w:color w:val="auto"/>
          <w:sz w:val="32"/>
          <w:szCs w:val="32"/>
        </w:rPr>
      </w:pPr>
      <w:r>
        <w:rPr>
          <w:rFonts w:eastAsia="方正楷体简体"/>
          <w:color w:val="auto"/>
          <w:sz w:val="32"/>
          <w:szCs w:val="32"/>
        </w:rPr>
        <w:t>第四节  完善服务配套体系</w:t>
      </w:r>
    </w:p>
    <w:p w14:paraId="6BB1868A">
      <w:pPr>
        <w:spacing w:line="576" w:lineRule="exact"/>
        <w:ind w:firstLine="640" w:firstLineChars="200"/>
        <w:rPr>
          <w:rFonts w:eastAsia="方正仿宋简体"/>
          <w:color w:val="auto"/>
          <w:sz w:val="32"/>
          <w:szCs w:val="32"/>
        </w:rPr>
      </w:pPr>
      <w:r>
        <w:rPr>
          <w:rFonts w:eastAsia="方正仿宋简体"/>
          <w:color w:val="auto"/>
          <w:sz w:val="32"/>
          <w:szCs w:val="32"/>
        </w:rPr>
        <w:t>围绕提升游客体验与产业运营效率，系统构建以便捷出行、智慧管理和专业服务为核心的现代化服务配套体系，为永吉县冰雪、康养、文化、商贸等产业高质量发展提供坚实保障。</w:t>
      </w:r>
    </w:p>
    <w:p w14:paraId="148344BC">
      <w:pPr>
        <w:spacing w:line="576" w:lineRule="exact"/>
        <w:ind w:firstLine="640" w:firstLineChars="200"/>
        <w:rPr>
          <w:rFonts w:eastAsia="方正仿宋简体"/>
          <w:color w:val="auto"/>
          <w:sz w:val="32"/>
          <w:szCs w:val="32"/>
        </w:rPr>
      </w:pPr>
      <w:r>
        <w:rPr>
          <w:rFonts w:eastAsia="方正仿宋简体"/>
          <w:color w:val="auto"/>
          <w:sz w:val="32"/>
          <w:szCs w:val="32"/>
        </w:rPr>
        <w:t>构建便捷高效出行服务体系。优化</w:t>
      </w:r>
      <w:r>
        <w:rPr>
          <w:rFonts w:hint="eastAsia" w:eastAsia="方正仿宋简体"/>
          <w:color w:val="auto"/>
          <w:sz w:val="32"/>
          <w:szCs w:val="32"/>
        </w:rPr>
        <w:t>“</w:t>
      </w:r>
      <w:r>
        <w:rPr>
          <w:rFonts w:eastAsia="方正仿宋简体"/>
          <w:color w:val="auto"/>
          <w:sz w:val="32"/>
          <w:szCs w:val="32"/>
        </w:rPr>
        <w:t>快进慢游</w:t>
      </w:r>
      <w:r>
        <w:rPr>
          <w:rFonts w:hint="eastAsia" w:eastAsia="方正仿宋简体"/>
          <w:color w:val="auto"/>
          <w:sz w:val="32"/>
          <w:szCs w:val="32"/>
        </w:rPr>
        <w:t>”</w:t>
      </w:r>
      <w:r>
        <w:rPr>
          <w:rFonts w:eastAsia="方正仿宋简体"/>
          <w:color w:val="auto"/>
          <w:sz w:val="32"/>
          <w:szCs w:val="32"/>
        </w:rPr>
        <w:t>交通服务。提升县域与长吉高速、国道202等区域干线的衔接效率，加快改造通往北大湖滑雪场、卓远温泉、紫薇山森林康养基地等核心景区的道路，打通断头路，畅通微循环。完善多级旅游集散服务。依托县城客运站建设一级旅游集散中心，提供停车、咨询、票务、换乘等综合服务；在北大湖镇、一拉溪镇等关键节点布局二级集散中心；在特色村落与景区入口设置服务驿站，形成覆盖全域的集散网络。创新旅游出行服务。开通连接主要景区与民宿集群的旅游公交专线、景区直通车，在客流高峰时段增密班次。探索发展定制客运、共享汽车等服务，有效解决</w:t>
      </w:r>
      <w:r>
        <w:rPr>
          <w:rFonts w:hint="eastAsia" w:eastAsia="方正仿宋简体"/>
          <w:color w:val="auto"/>
          <w:sz w:val="32"/>
          <w:szCs w:val="32"/>
        </w:rPr>
        <w:t>“</w:t>
      </w:r>
      <w:r>
        <w:rPr>
          <w:rFonts w:eastAsia="方正仿宋简体"/>
          <w:color w:val="auto"/>
          <w:sz w:val="32"/>
          <w:szCs w:val="32"/>
        </w:rPr>
        <w:t>最后一公里</w:t>
      </w:r>
      <w:r>
        <w:rPr>
          <w:rFonts w:hint="eastAsia" w:eastAsia="方正仿宋简体"/>
          <w:color w:val="auto"/>
          <w:sz w:val="32"/>
          <w:szCs w:val="32"/>
        </w:rPr>
        <w:t>”</w:t>
      </w:r>
      <w:r>
        <w:rPr>
          <w:rFonts w:eastAsia="方正仿宋简体"/>
          <w:color w:val="auto"/>
          <w:sz w:val="32"/>
          <w:szCs w:val="32"/>
        </w:rPr>
        <w:t>出行难题。</w:t>
      </w:r>
    </w:p>
    <w:p w14:paraId="0AF0A9A8">
      <w:pPr>
        <w:spacing w:line="576" w:lineRule="exact"/>
        <w:ind w:firstLine="640" w:firstLineChars="200"/>
        <w:rPr>
          <w:rFonts w:eastAsia="方正仿宋简体"/>
          <w:color w:val="auto"/>
          <w:sz w:val="32"/>
          <w:szCs w:val="32"/>
        </w:rPr>
      </w:pPr>
      <w:r>
        <w:rPr>
          <w:rFonts w:eastAsia="方正仿宋简体"/>
          <w:color w:val="auto"/>
          <w:sz w:val="32"/>
          <w:szCs w:val="32"/>
        </w:rPr>
        <w:t>提供全域智慧运营服务。建设智慧管理服务平台。整合文旅、交通、公安等数据资源，构建县级智慧旅游大脑，实现行业监管、客流调度、安全预警等</w:t>
      </w:r>
      <w:r>
        <w:rPr>
          <w:rFonts w:hint="eastAsia" w:eastAsia="方正仿宋简体"/>
          <w:color w:val="auto"/>
          <w:sz w:val="32"/>
          <w:szCs w:val="32"/>
        </w:rPr>
        <w:t>“</w:t>
      </w:r>
      <w:r>
        <w:rPr>
          <w:rFonts w:eastAsia="方正仿宋简体"/>
          <w:color w:val="auto"/>
          <w:sz w:val="32"/>
          <w:szCs w:val="32"/>
        </w:rPr>
        <w:t>一屏统管</w:t>
      </w:r>
      <w:r>
        <w:rPr>
          <w:rFonts w:hint="eastAsia" w:eastAsia="方正仿宋简体"/>
          <w:color w:val="auto"/>
          <w:sz w:val="32"/>
          <w:szCs w:val="32"/>
        </w:rPr>
        <w:t>”</w:t>
      </w:r>
      <w:r>
        <w:rPr>
          <w:rFonts w:eastAsia="方正仿宋简体"/>
          <w:color w:val="auto"/>
          <w:sz w:val="32"/>
          <w:szCs w:val="32"/>
        </w:rPr>
        <w:t>。推广</w:t>
      </w:r>
      <w:r>
        <w:rPr>
          <w:rFonts w:hint="eastAsia" w:eastAsia="方正仿宋简体"/>
          <w:color w:val="auto"/>
          <w:sz w:val="32"/>
          <w:szCs w:val="32"/>
        </w:rPr>
        <w:t>“</w:t>
      </w:r>
      <w:r>
        <w:rPr>
          <w:rFonts w:eastAsia="方正仿宋简体"/>
          <w:color w:val="auto"/>
          <w:sz w:val="32"/>
          <w:szCs w:val="32"/>
        </w:rPr>
        <w:t>永吉e游</w:t>
      </w:r>
      <w:r>
        <w:rPr>
          <w:rFonts w:hint="eastAsia" w:eastAsia="方正仿宋简体"/>
          <w:color w:val="auto"/>
          <w:sz w:val="32"/>
          <w:szCs w:val="32"/>
        </w:rPr>
        <w:t>”</w:t>
      </w:r>
      <w:r>
        <w:rPr>
          <w:rFonts w:eastAsia="方正仿宋简体"/>
          <w:color w:val="auto"/>
          <w:sz w:val="32"/>
          <w:szCs w:val="32"/>
        </w:rPr>
        <w:t>公众服务应用。通过小程序或APP为游客提供资讯查询、行程规划、线上预订、智能导览、消费支付、投诉反馈等全流程一站式数字化服务。加快智能设施应用普及。在滑雪场、温泉酒店、重点景区、旅游集散中心等场所，部署智能闸机、智能停车、无感支付、智能储物柜等智慧设施，提升运营效率与游客便利度。</w:t>
      </w:r>
    </w:p>
    <w:p w14:paraId="4DA93ED6">
      <w:pPr>
        <w:spacing w:line="576" w:lineRule="exact"/>
        <w:ind w:firstLine="640" w:firstLineChars="200"/>
        <w:rPr>
          <w:rFonts w:eastAsia="方正仿宋简体"/>
          <w:color w:val="auto"/>
          <w:sz w:val="32"/>
          <w:szCs w:val="32"/>
        </w:rPr>
      </w:pPr>
      <w:r>
        <w:rPr>
          <w:rFonts w:eastAsia="方正仿宋简体"/>
          <w:color w:val="auto"/>
          <w:sz w:val="32"/>
          <w:szCs w:val="32"/>
        </w:rPr>
        <w:t>强化专业化服务保障。完善服务质量标准与监管，建立健全覆盖住宿、餐饮、旅游等领域的服务质量标准体系。畅通</w:t>
      </w:r>
      <w:r>
        <w:rPr>
          <w:rFonts w:hint="eastAsia" w:eastAsia="方正仿宋简体"/>
          <w:color w:val="auto"/>
          <w:sz w:val="32"/>
          <w:szCs w:val="32"/>
        </w:rPr>
        <w:t>“</w:t>
      </w:r>
      <w:r>
        <w:rPr>
          <w:rFonts w:eastAsia="方正仿宋简体"/>
          <w:color w:val="auto"/>
          <w:sz w:val="32"/>
          <w:szCs w:val="32"/>
        </w:rPr>
        <w:t>12345</w:t>
      </w:r>
      <w:r>
        <w:rPr>
          <w:rFonts w:hint="eastAsia" w:eastAsia="方正仿宋简体"/>
          <w:color w:val="auto"/>
          <w:sz w:val="32"/>
          <w:szCs w:val="32"/>
        </w:rPr>
        <w:t>”</w:t>
      </w:r>
      <w:r>
        <w:rPr>
          <w:rFonts w:eastAsia="方正仿宋简体"/>
          <w:color w:val="auto"/>
          <w:sz w:val="32"/>
          <w:szCs w:val="32"/>
        </w:rPr>
        <w:t>热线等投诉反馈渠道，实施问题快速响应与处理机制，持续优化服务环境。提升从业人员服务能力，推行民宿管家、酒店经理等关键岗位持证上岗制度，定期开展服务技能、安全应急与地域文化专题培训。深化产教融合，与本地院校合作，为产业定向培养冰雪运营、康养管理、智慧旅游等领域的专业服务力量，支撑产业持续发展。</w:t>
      </w:r>
    </w:p>
    <w:p w14:paraId="70DC8968">
      <w:pPr>
        <w:pStyle w:val="3"/>
        <w:spacing w:before="0" w:after="0" w:line="400" w:lineRule="exact"/>
        <w:jc w:val="center"/>
        <w:rPr>
          <w:rFonts w:eastAsia="方正黑体简体"/>
          <w:color w:val="auto"/>
          <w:kern w:val="2"/>
          <w:sz w:val="32"/>
          <w:szCs w:val="32"/>
        </w:rPr>
      </w:pPr>
    </w:p>
    <w:p w14:paraId="579049AD">
      <w:pPr>
        <w:pStyle w:val="3"/>
        <w:spacing w:before="0" w:after="0" w:line="400" w:lineRule="exact"/>
        <w:jc w:val="center"/>
        <w:rPr>
          <w:rFonts w:eastAsia="方正黑体简体"/>
          <w:color w:val="auto"/>
          <w:kern w:val="2"/>
          <w:sz w:val="32"/>
          <w:szCs w:val="32"/>
        </w:rPr>
      </w:pPr>
      <w:r>
        <w:rPr>
          <w:rFonts w:eastAsia="方正黑体简体"/>
          <w:color w:val="auto"/>
          <w:kern w:val="2"/>
          <w:sz w:val="32"/>
          <w:szCs w:val="32"/>
        </w:rPr>
        <w:t xml:space="preserve">专栏2 </w:t>
      </w:r>
      <w:r>
        <w:rPr>
          <w:rFonts w:hint="eastAsia" w:eastAsia="方正黑体简体"/>
          <w:color w:val="auto"/>
          <w:kern w:val="2"/>
          <w:sz w:val="32"/>
          <w:szCs w:val="32"/>
        </w:rPr>
        <w:t>“</w:t>
      </w:r>
      <w:r>
        <w:rPr>
          <w:rFonts w:eastAsia="方正黑体简体"/>
          <w:color w:val="auto"/>
          <w:kern w:val="2"/>
          <w:sz w:val="32"/>
          <w:szCs w:val="32"/>
        </w:rPr>
        <w:t>十五五</w:t>
      </w:r>
      <w:r>
        <w:rPr>
          <w:rFonts w:hint="eastAsia" w:eastAsia="方正黑体简体"/>
          <w:color w:val="auto"/>
          <w:kern w:val="2"/>
          <w:sz w:val="32"/>
          <w:szCs w:val="32"/>
        </w:rPr>
        <w:t>”</w:t>
      </w:r>
      <w:r>
        <w:rPr>
          <w:rFonts w:eastAsia="方正黑体简体"/>
          <w:color w:val="auto"/>
          <w:kern w:val="2"/>
          <w:sz w:val="32"/>
          <w:szCs w:val="32"/>
        </w:rPr>
        <w:t>期间商文旅融合发展重大工程</w:t>
      </w:r>
    </w:p>
    <w:tbl>
      <w:tblPr>
        <w:tblStyle w:val="15"/>
        <w:tblW w:w="9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18"/>
      </w:tblGrid>
      <w:tr w14:paraId="6FD5C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8" w:type="dxa"/>
          </w:tcPr>
          <w:p w14:paraId="55674518">
            <w:pPr>
              <w:spacing w:line="560" w:lineRule="exact"/>
              <w:ind w:firstLine="640" w:firstLineChars="200"/>
              <w:rPr>
                <w:rFonts w:eastAsia="方正仿宋简体"/>
                <w:color w:val="auto"/>
                <w:sz w:val="32"/>
                <w:szCs w:val="32"/>
              </w:rPr>
            </w:pPr>
            <w:r>
              <w:rPr>
                <w:rFonts w:eastAsia="方正楷体简体"/>
                <w:color w:val="auto"/>
                <w:sz w:val="32"/>
                <w:szCs w:val="32"/>
              </w:rPr>
              <w:t>冰雪休闲产业提振工程。</w:t>
            </w:r>
            <w:r>
              <w:rPr>
                <w:rFonts w:eastAsia="方正仿宋简体"/>
                <w:color w:val="auto"/>
                <w:sz w:val="32"/>
                <w:szCs w:val="32"/>
              </w:rPr>
              <w:t xml:space="preserve">以激活县域冰雪资源价值为核心，聚焦 </w:t>
            </w:r>
            <w:r>
              <w:rPr>
                <w:rFonts w:hint="eastAsia" w:eastAsia="方正仿宋简体"/>
                <w:color w:val="auto"/>
                <w:sz w:val="32"/>
                <w:szCs w:val="32"/>
              </w:rPr>
              <w:t>“</w:t>
            </w:r>
            <w:r>
              <w:rPr>
                <w:rFonts w:eastAsia="方正仿宋简体"/>
                <w:color w:val="auto"/>
                <w:sz w:val="32"/>
                <w:szCs w:val="32"/>
              </w:rPr>
              <w:t>冰雪 + 休闲</w:t>
            </w:r>
            <w:r>
              <w:rPr>
                <w:rFonts w:hint="eastAsia" w:eastAsia="方正仿宋简体"/>
                <w:color w:val="auto"/>
                <w:sz w:val="32"/>
                <w:szCs w:val="32"/>
              </w:rPr>
              <w:t>”</w:t>
            </w:r>
            <w:r>
              <w:rPr>
                <w:rFonts w:eastAsia="方正仿宋简体"/>
                <w:color w:val="auto"/>
                <w:sz w:val="32"/>
                <w:szCs w:val="32"/>
              </w:rPr>
              <w:t xml:space="preserve"> 融合发展，全力构建特色鲜明、业态丰富的冰雪产业体系。依托县域冰雪资源优势，全力推动冰雪休闲产业。谋划推动双顶子、北大湖、西大岭等滑雪场项目。</w:t>
            </w:r>
          </w:p>
          <w:p w14:paraId="75D27BFD">
            <w:pPr>
              <w:spacing w:line="560" w:lineRule="exact"/>
              <w:ind w:firstLine="640" w:firstLineChars="200"/>
              <w:rPr>
                <w:rFonts w:eastAsia="方正仿宋简体"/>
                <w:color w:val="auto"/>
                <w:sz w:val="32"/>
                <w:szCs w:val="32"/>
              </w:rPr>
            </w:pPr>
            <w:r>
              <w:rPr>
                <w:rFonts w:eastAsia="方正楷体简体"/>
                <w:color w:val="auto"/>
                <w:sz w:val="32"/>
                <w:szCs w:val="32"/>
              </w:rPr>
              <w:t>康养旅游产业壮大工程。</w:t>
            </w:r>
            <w:r>
              <w:rPr>
                <w:rFonts w:eastAsia="方正仿宋简体"/>
                <w:color w:val="auto"/>
                <w:sz w:val="32"/>
                <w:szCs w:val="32"/>
              </w:rPr>
              <w:t>立足全县优质森林生态禀赋，以</w:t>
            </w:r>
            <w:r>
              <w:rPr>
                <w:rFonts w:hint="eastAsia" w:eastAsia="方正仿宋简体"/>
                <w:color w:val="auto"/>
                <w:sz w:val="32"/>
                <w:szCs w:val="32"/>
              </w:rPr>
              <w:t>“</w:t>
            </w:r>
            <w:r>
              <w:rPr>
                <w:rFonts w:eastAsia="方正仿宋简体"/>
                <w:color w:val="auto"/>
                <w:sz w:val="32"/>
                <w:szCs w:val="32"/>
              </w:rPr>
              <w:t>康养 + 旅游</w:t>
            </w:r>
            <w:r>
              <w:rPr>
                <w:rFonts w:hint="eastAsia" w:eastAsia="方正仿宋简体"/>
                <w:color w:val="auto"/>
                <w:sz w:val="32"/>
                <w:szCs w:val="32"/>
              </w:rPr>
              <w:t>”</w:t>
            </w:r>
            <w:r>
              <w:rPr>
                <w:rFonts w:eastAsia="方正仿宋简体"/>
                <w:color w:val="auto"/>
                <w:sz w:val="32"/>
                <w:szCs w:val="32"/>
              </w:rPr>
              <w:t xml:space="preserve"> 为主线，打造生态宜居、体验多元的康养旅游目的地。依托全县森林资源优势，全力推动康养旅游产业。谋划推动城西湿地公园、森林康养旅游基地、森林公园项目等项目。</w:t>
            </w:r>
          </w:p>
          <w:p w14:paraId="26EB83AF">
            <w:pPr>
              <w:spacing w:line="560" w:lineRule="exact"/>
              <w:ind w:firstLine="640" w:firstLineChars="200"/>
              <w:rPr>
                <w:rFonts w:eastAsia="方正仿宋简体"/>
                <w:color w:val="auto"/>
                <w:sz w:val="32"/>
                <w:szCs w:val="32"/>
              </w:rPr>
            </w:pPr>
            <w:r>
              <w:rPr>
                <w:rFonts w:eastAsia="方正楷体简体"/>
                <w:color w:val="auto"/>
                <w:sz w:val="32"/>
                <w:szCs w:val="32"/>
              </w:rPr>
              <w:t>文旅融合创新发展工程。</w:t>
            </w:r>
            <w:r>
              <w:rPr>
                <w:rFonts w:eastAsia="方正仿宋简体"/>
                <w:color w:val="auto"/>
                <w:sz w:val="32"/>
                <w:szCs w:val="32"/>
              </w:rPr>
              <w:t>坚持文化赋能、旅游提质，以项目建设为抓手，推动文化、体育、旅游深度融合，丰富文旅产品供给。谋划推动体育公园、文化公园、景区村创建等项目。</w:t>
            </w:r>
          </w:p>
          <w:p w14:paraId="3427A445">
            <w:pPr>
              <w:spacing w:line="560" w:lineRule="exact"/>
              <w:ind w:firstLine="640" w:firstLineChars="200"/>
              <w:rPr>
                <w:rFonts w:eastAsia="方正仿宋简体"/>
                <w:color w:val="auto"/>
                <w:sz w:val="32"/>
                <w:szCs w:val="32"/>
              </w:rPr>
            </w:pPr>
            <w:r>
              <w:rPr>
                <w:rFonts w:eastAsia="方正楷体简体"/>
                <w:color w:val="auto"/>
                <w:sz w:val="32"/>
                <w:szCs w:val="32"/>
              </w:rPr>
              <w:t>商贸服务繁荣发展工程。</w:t>
            </w:r>
            <w:r>
              <w:rPr>
                <w:rFonts w:eastAsia="方正仿宋简体"/>
                <w:color w:val="auto"/>
                <w:sz w:val="32"/>
                <w:szCs w:val="32"/>
              </w:rPr>
              <w:t>围绕完善城市功能、提升服务能级，聚焦商业配套、住宿餐饮等关键领域，构建高品质商贸服务体系。谋划推动假日酒店项目、大学城商业配套开发项目等项目。</w:t>
            </w:r>
          </w:p>
        </w:tc>
      </w:tr>
    </w:tbl>
    <w:p w14:paraId="7651B110">
      <w:pPr>
        <w:spacing w:line="576" w:lineRule="exact"/>
        <w:rPr>
          <w:rFonts w:eastAsia="方正仿宋简体"/>
          <w:color w:val="auto"/>
          <w:sz w:val="32"/>
          <w:szCs w:val="32"/>
        </w:rPr>
      </w:pPr>
    </w:p>
    <w:p w14:paraId="7D04F8EC">
      <w:pPr>
        <w:spacing w:line="576" w:lineRule="exact"/>
        <w:jc w:val="center"/>
        <w:rPr>
          <w:rFonts w:eastAsia="方正仿宋简体"/>
          <w:color w:val="auto"/>
          <w:sz w:val="32"/>
          <w:szCs w:val="32"/>
        </w:rPr>
      </w:pPr>
      <w:r>
        <w:rPr>
          <w:rFonts w:eastAsia="方正黑体简体"/>
          <w:color w:val="auto"/>
          <w:sz w:val="32"/>
          <w:szCs w:val="32"/>
        </w:rPr>
        <w:t>第四章  扎实推进乡村全面振兴，争当现代</w:t>
      </w:r>
      <w:r>
        <w:rPr>
          <w:rFonts w:hint="eastAsia" w:eastAsia="方正黑体简体"/>
          <w:color w:val="auto"/>
          <w:sz w:val="32"/>
          <w:szCs w:val="32"/>
        </w:rPr>
        <w:t>大</w:t>
      </w:r>
      <w:r>
        <w:rPr>
          <w:rFonts w:eastAsia="方正黑体简体"/>
          <w:color w:val="auto"/>
          <w:sz w:val="32"/>
          <w:szCs w:val="32"/>
        </w:rPr>
        <w:t>农业建设排头兵</w:t>
      </w:r>
    </w:p>
    <w:p w14:paraId="42CE6C92">
      <w:pPr>
        <w:spacing w:line="576" w:lineRule="exact"/>
        <w:ind w:firstLine="640" w:firstLineChars="200"/>
        <w:rPr>
          <w:rFonts w:eastAsia="方正仿宋简体"/>
          <w:color w:val="auto"/>
          <w:sz w:val="32"/>
          <w:szCs w:val="32"/>
        </w:rPr>
      </w:pPr>
      <w:r>
        <w:rPr>
          <w:rFonts w:eastAsia="方正仿宋简体"/>
          <w:color w:val="auto"/>
          <w:sz w:val="32"/>
          <w:szCs w:val="32"/>
        </w:rPr>
        <w:t>坚决扛稳国家粮食安全重任，牢固树立大农业观、大食物观，以发展农业新质生产力为核心动力，以科技兴农为根本支撑，全面激活永吉国家农业现代化示范区、国家农业绿色发展先行区、内陆无疫区等平台优势，统筹推进科技农业、绿色农业、质量农业、品牌农业，构建高科技、高效能、高质量的现代化大农业体系。推进城乡共同繁荣，打造农业高质高效、乡村宜居宜业、农民富裕富足的</w:t>
      </w:r>
      <w:r>
        <w:rPr>
          <w:rFonts w:hint="eastAsia" w:eastAsia="方正仿宋简体"/>
          <w:color w:val="auto"/>
          <w:sz w:val="32"/>
          <w:szCs w:val="32"/>
        </w:rPr>
        <w:t>“</w:t>
      </w:r>
      <w:r>
        <w:rPr>
          <w:rFonts w:eastAsia="方正仿宋简体"/>
          <w:color w:val="auto"/>
          <w:sz w:val="32"/>
          <w:szCs w:val="32"/>
        </w:rPr>
        <w:t>永吉样板</w:t>
      </w:r>
      <w:r>
        <w:rPr>
          <w:rFonts w:hint="eastAsia" w:eastAsia="方正仿宋简体"/>
          <w:color w:val="auto"/>
          <w:sz w:val="32"/>
          <w:szCs w:val="32"/>
        </w:rPr>
        <w:t>”</w:t>
      </w:r>
      <w:r>
        <w:rPr>
          <w:rFonts w:eastAsia="方正仿宋简体"/>
          <w:color w:val="auto"/>
          <w:sz w:val="32"/>
          <w:szCs w:val="32"/>
        </w:rPr>
        <w:t>。</w:t>
      </w:r>
    </w:p>
    <w:p w14:paraId="0427FA2E">
      <w:pPr>
        <w:spacing w:line="576" w:lineRule="exact"/>
        <w:jc w:val="center"/>
        <w:rPr>
          <w:rFonts w:eastAsia="方正楷体简体"/>
          <w:color w:val="auto"/>
          <w:sz w:val="32"/>
          <w:szCs w:val="32"/>
        </w:rPr>
      </w:pPr>
      <w:r>
        <w:rPr>
          <w:rFonts w:eastAsia="方正楷体简体"/>
          <w:color w:val="auto"/>
          <w:sz w:val="32"/>
          <w:szCs w:val="32"/>
        </w:rPr>
        <w:t>第一节  筑牢粮食安全根基</w:t>
      </w:r>
    </w:p>
    <w:p w14:paraId="0CB561B9">
      <w:pPr>
        <w:spacing w:line="576" w:lineRule="exact"/>
        <w:ind w:firstLine="640" w:firstLineChars="200"/>
        <w:rPr>
          <w:rFonts w:eastAsia="方正仿宋简体"/>
          <w:color w:val="auto"/>
          <w:sz w:val="32"/>
          <w:szCs w:val="32"/>
        </w:rPr>
      </w:pPr>
      <w:r>
        <w:rPr>
          <w:rFonts w:eastAsia="方正仿宋简体"/>
          <w:color w:val="auto"/>
          <w:sz w:val="32"/>
          <w:szCs w:val="32"/>
        </w:rPr>
        <w:t>深入实施</w:t>
      </w:r>
      <w:r>
        <w:rPr>
          <w:rFonts w:hint="eastAsia" w:eastAsia="方正仿宋简体"/>
          <w:color w:val="auto"/>
          <w:sz w:val="32"/>
          <w:szCs w:val="32"/>
        </w:rPr>
        <w:t>“</w:t>
      </w:r>
      <w:r>
        <w:rPr>
          <w:rFonts w:eastAsia="方正仿宋简体"/>
          <w:color w:val="auto"/>
          <w:sz w:val="32"/>
          <w:szCs w:val="32"/>
        </w:rPr>
        <w:t>藏粮于地、藏粮于技</w:t>
      </w:r>
      <w:r>
        <w:rPr>
          <w:rFonts w:hint="eastAsia" w:eastAsia="方正仿宋简体"/>
          <w:color w:val="auto"/>
          <w:sz w:val="32"/>
          <w:szCs w:val="32"/>
        </w:rPr>
        <w:t>”</w:t>
      </w:r>
      <w:r>
        <w:rPr>
          <w:rFonts w:eastAsia="方正仿宋简体"/>
          <w:color w:val="auto"/>
          <w:sz w:val="32"/>
          <w:szCs w:val="32"/>
        </w:rPr>
        <w:t>战略，着力稳面积、提单产、增效益，持续巩固提升粮食综合生产能力，夯实永吉现代</w:t>
      </w:r>
      <w:r>
        <w:rPr>
          <w:rFonts w:hint="eastAsia" w:eastAsia="方正仿宋简体"/>
          <w:color w:val="auto"/>
          <w:sz w:val="32"/>
          <w:szCs w:val="32"/>
        </w:rPr>
        <w:t>大</w:t>
      </w:r>
      <w:r>
        <w:rPr>
          <w:rFonts w:eastAsia="方正仿宋简体"/>
          <w:color w:val="auto"/>
          <w:sz w:val="32"/>
          <w:szCs w:val="32"/>
        </w:rPr>
        <w:t>农业发展根基。</w:t>
      </w:r>
    </w:p>
    <w:p w14:paraId="2572B3BA">
      <w:pPr>
        <w:spacing w:line="576" w:lineRule="exact"/>
        <w:ind w:firstLine="640" w:firstLineChars="200"/>
        <w:rPr>
          <w:rFonts w:eastAsia="方正仿宋简体"/>
          <w:color w:val="auto"/>
          <w:sz w:val="32"/>
          <w:szCs w:val="32"/>
        </w:rPr>
      </w:pPr>
      <w:r>
        <w:rPr>
          <w:rFonts w:eastAsia="方正仿宋简体"/>
          <w:color w:val="auto"/>
          <w:sz w:val="32"/>
          <w:szCs w:val="32"/>
        </w:rPr>
        <w:t>稳定粮食生产和重要农产品供给。稳定粮食播种面积和产量，粮食播种面积稳定在126万亩以上，粮食综合生产能力稳固在19亿斤以上。坚决遏制耕地</w:t>
      </w:r>
      <w:r>
        <w:rPr>
          <w:rFonts w:hint="eastAsia" w:eastAsia="方正仿宋简体"/>
          <w:color w:val="auto"/>
          <w:sz w:val="32"/>
          <w:szCs w:val="32"/>
        </w:rPr>
        <w:t>“</w:t>
      </w:r>
      <w:r>
        <w:rPr>
          <w:rFonts w:eastAsia="方正仿宋简体"/>
          <w:color w:val="auto"/>
          <w:sz w:val="32"/>
          <w:szCs w:val="32"/>
        </w:rPr>
        <w:t>非农化</w:t>
      </w:r>
      <w:r>
        <w:rPr>
          <w:rFonts w:hint="eastAsia" w:eastAsia="方正仿宋简体"/>
          <w:color w:val="auto"/>
          <w:sz w:val="32"/>
          <w:szCs w:val="32"/>
        </w:rPr>
        <w:t>”</w:t>
      </w:r>
      <w:r>
        <w:rPr>
          <w:rFonts w:eastAsia="方正仿宋简体"/>
          <w:color w:val="auto"/>
          <w:sz w:val="32"/>
          <w:szCs w:val="32"/>
        </w:rPr>
        <w:t>、防止</w:t>
      </w:r>
      <w:r>
        <w:rPr>
          <w:rFonts w:hint="eastAsia" w:eastAsia="方正仿宋简体"/>
          <w:color w:val="auto"/>
          <w:sz w:val="32"/>
          <w:szCs w:val="32"/>
        </w:rPr>
        <w:t>“</w:t>
      </w:r>
      <w:r>
        <w:rPr>
          <w:rFonts w:eastAsia="方正仿宋简体"/>
          <w:color w:val="auto"/>
          <w:sz w:val="32"/>
          <w:szCs w:val="32"/>
        </w:rPr>
        <w:t>非粮化</w:t>
      </w:r>
      <w:r>
        <w:rPr>
          <w:rFonts w:hint="eastAsia" w:eastAsia="方正仿宋简体"/>
          <w:color w:val="auto"/>
          <w:sz w:val="32"/>
          <w:szCs w:val="32"/>
        </w:rPr>
        <w:t>”</w:t>
      </w:r>
      <w:r>
        <w:rPr>
          <w:rFonts w:eastAsia="方正仿宋简体"/>
          <w:color w:val="auto"/>
          <w:sz w:val="32"/>
          <w:szCs w:val="32"/>
        </w:rPr>
        <w:t>。以万昌、一拉溪等粮食主产乡镇为核心，稳定优质水稻种植面积。优化玉米、大豆等作物种植结构。实施粮油作物单产提升行动。重点推广水稻钵苗机械有序抛秧、玉米密植精准调控等高产高效技术。加强优质高产抗逆新品种引进。保障重要农产品有效供给。发展设施农业和庭院经济，保障蔬菜均衡供应，稳定生猪、肉牛、家禽养殖规模。合理利用林地资源，科学发展林下参、柞蚕、食用菌、中草药等特色产业。</w:t>
      </w:r>
      <w:r>
        <w:rPr>
          <w:rFonts w:hint="eastAsia" w:eastAsia="方正仿宋简体"/>
          <w:color w:val="auto"/>
          <w:sz w:val="32"/>
          <w:szCs w:val="32"/>
          <w:lang w:val="en-US" w:eastAsia="zh-CN"/>
        </w:rPr>
        <w:t>深化与吉科软、长光卫星等企业合作，构建县域农业大数据平台和“万昌智慧稻”云平台。</w:t>
      </w:r>
    </w:p>
    <w:p w14:paraId="3C659EEB">
      <w:pPr>
        <w:spacing w:line="576" w:lineRule="exact"/>
        <w:ind w:firstLine="640" w:firstLineChars="200"/>
        <w:rPr>
          <w:rFonts w:eastAsia="方正仿宋简体"/>
          <w:color w:val="auto"/>
          <w:sz w:val="32"/>
          <w:szCs w:val="32"/>
        </w:rPr>
      </w:pPr>
      <w:r>
        <w:rPr>
          <w:rFonts w:eastAsia="方正仿宋简体"/>
          <w:color w:val="auto"/>
          <w:sz w:val="32"/>
          <w:szCs w:val="32"/>
        </w:rPr>
        <w:t>推进高标准农田与黑土地保护建设。加强高标准农田建设，打造</w:t>
      </w:r>
      <w:r>
        <w:rPr>
          <w:rFonts w:hint="eastAsia" w:eastAsia="方正仿宋简体"/>
          <w:color w:val="auto"/>
          <w:sz w:val="32"/>
          <w:szCs w:val="32"/>
        </w:rPr>
        <w:t>“</w:t>
      </w:r>
      <w:r>
        <w:rPr>
          <w:rFonts w:eastAsia="方正仿宋简体"/>
          <w:color w:val="auto"/>
          <w:sz w:val="32"/>
          <w:szCs w:val="32"/>
        </w:rPr>
        <w:t>旱能灌、涝能排、土壤肥、无污染、产量高</w:t>
      </w:r>
      <w:r>
        <w:rPr>
          <w:rFonts w:hint="eastAsia" w:eastAsia="方正仿宋简体"/>
          <w:color w:val="auto"/>
          <w:sz w:val="32"/>
          <w:szCs w:val="32"/>
        </w:rPr>
        <w:t>”</w:t>
      </w:r>
      <w:r>
        <w:rPr>
          <w:rFonts w:eastAsia="方正仿宋简体"/>
          <w:color w:val="auto"/>
          <w:sz w:val="32"/>
          <w:szCs w:val="32"/>
        </w:rPr>
        <w:t>的黑土良田</w:t>
      </w:r>
      <w:r>
        <w:rPr>
          <w:rFonts w:hint="eastAsia" w:eastAsia="方正仿宋简体"/>
          <w:color w:val="auto"/>
          <w:sz w:val="32"/>
          <w:szCs w:val="32"/>
          <w:lang w:eastAsia="zh-CN"/>
        </w:rPr>
        <w:t>。</w:t>
      </w:r>
      <w:r>
        <w:rPr>
          <w:rFonts w:eastAsia="方正仿宋简体"/>
          <w:color w:val="auto"/>
          <w:sz w:val="32"/>
          <w:szCs w:val="32"/>
        </w:rPr>
        <w:t>深入实施黑土地保护工程，全面推广秸秆深翻还田、测土配方施肥、轮番耕作等保护技术，推动耕地质量等级逐年提升，年均开展保护性耕作项目10万亩。实施化肥农药减量增效行动，增强粮食生产韧性和稳定性。力争2028年底前在全省率先实现基本农田高标准建设全覆盖。</w:t>
      </w:r>
    </w:p>
    <w:p w14:paraId="218E67A1">
      <w:pPr>
        <w:spacing w:line="576" w:lineRule="exact"/>
        <w:ind w:firstLine="640" w:firstLineChars="200"/>
        <w:rPr>
          <w:rFonts w:eastAsia="方正仿宋简体"/>
          <w:color w:val="auto"/>
          <w:sz w:val="32"/>
          <w:szCs w:val="32"/>
        </w:rPr>
      </w:pPr>
      <w:r>
        <w:rPr>
          <w:rFonts w:eastAsia="方正仿宋简体"/>
          <w:color w:val="auto"/>
          <w:sz w:val="32"/>
          <w:szCs w:val="32"/>
        </w:rPr>
        <w:t>增强农业防灾减灾能力。加强农业气象灾害监测预警。健全农业气象灾害监测网络和预警信息发布体系，重点防范春季低温、夏季洪涝、秋季早霜等灾害。建立直达新型农业经营主体的预警</w:t>
      </w:r>
      <w:r>
        <w:rPr>
          <w:rFonts w:hint="eastAsia" w:eastAsia="方正仿宋简体"/>
          <w:color w:val="auto"/>
          <w:sz w:val="32"/>
          <w:szCs w:val="32"/>
        </w:rPr>
        <w:t>“</w:t>
      </w:r>
      <w:r>
        <w:rPr>
          <w:rFonts w:eastAsia="方正仿宋简体"/>
          <w:color w:val="auto"/>
          <w:sz w:val="32"/>
          <w:szCs w:val="32"/>
        </w:rPr>
        <w:t>叫应</w:t>
      </w:r>
      <w:r>
        <w:rPr>
          <w:rFonts w:hint="eastAsia" w:eastAsia="方正仿宋简体"/>
          <w:color w:val="auto"/>
          <w:sz w:val="32"/>
          <w:szCs w:val="32"/>
        </w:rPr>
        <w:t>”</w:t>
      </w:r>
      <w:r>
        <w:rPr>
          <w:rFonts w:eastAsia="方正仿宋简体"/>
          <w:color w:val="auto"/>
          <w:sz w:val="32"/>
          <w:szCs w:val="32"/>
        </w:rPr>
        <w:t>机制。提升病虫害防控能力。健全县乡村三级病虫害监测预警网络，重点加强对水稻稻瘟病、玉米螟、草地贪夜蛾等重大病虫害的监测与绿色防控。推广统防统治和应急防治。完善农业生产风险保障。全面落实耕地地力保护补贴、实际种粮农民一次性补贴等惠农政策。扩大完全成本保险和种植收入保险覆盖范围。鼓励探索特色农产品保险。加强农业救灾资金和物资储备。</w:t>
      </w:r>
    </w:p>
    <w:p w14:paraId="6F2A3F30">
      <w:pPr>
        <w:spacing w:line="576" w:lineRule="exact"/>
        <w:jc w:val="center"/>
        <w:rPr>
          <w:rFonts w:eastAsia="方正楷体简体"/>
          <w:color w:val="auto"/>
          <w:sz w:val="32"/>
          <w:szCs w:val="32"/>
        </w:rPr>
      </w:pPr>
      <w:r>
        <w:rPr>
          <w:rFonts w:eastAsia="方正楷体简体"/>
          <w:color w:val="auto"/>
          <w:sz w:val="32"/>
          <w:szCs w:val="32"/>
        </w:rPr>
        <w:t>第二节  推进现代</w:t>
      </w:r>
      <w:r>
        <w:rPr>
          <w:rFonts w:hint="eastAsia" w:eastAsia="方正楷体简体"/>
          <w:color w:val="auto"/>
          <w:sz w:val="32"/>
          <w:szCs w:val="32"/>
        </w:rPr>
        <w:t>大</w:t>
      </w:r>
      <w:r>
        <w:rPr>
          <w:rFonts w:eastAsia="方正楷体简体"/>
          <w:color w:val="auto"/>
          <w:sz w:val="32"/>
          <w:szCs w:val="32"/>
        </w:rPr>
        <w:t>农业高质量发展</w:t>
      </w:r>
    </w:p>
    <w:p w14:paraId="42C6FB04">
      <w:pPr>
        <w:spacing w:line="576" w:lineRule="exact"/>
        <w:ind w:firstLine="640" w:firstLineChars="200"/>
        <w:rPr>
          <w:rFonts w:eastAsia="方正仿宋简体"/>
          <w:color w:val="auto"/>
          <w:sz w:val="32"/>
          <w:szCs w:val="32"/>
        </w:rPr>
      </w:pPr>
      <w:r>
        <w:rPr>
          <w:rFonts w:eastAsia="方正仿宋简体"/>
          <w:color w:val="auto"/>
          <w:sz w:val="32"/>
          <w:szCs w:val="32"/>
        </w:rPr>
        <w:t>统筹发展科技农业、绿色农业、质量农业、品牌农业，推动现代</w:t>
      </w:r>
      <w:r>
        <w:rPr>
          <w:rFonts w:hint="eastAsia" w:eastAsia="方正仿宋简体"/>
          <w:color w:val="auto"/>
          <w:sz w:val="32"/>
          <w:szCs w:val="32"/>
        </w:rPr>
        <w:t>大</w:t>
      </w:r>
      <w:r>
        <w:rPr>
          <w:rFonts w:eastAsia="方正仿宋简体"/>
          <w:color w:val="auto"/>
          <w:sz w:val="32"/>
          <w:szCs w:val="32"/>
        </w:rPr>
        <w:t>农业由增产导向转向提质导向，全面提升农业质量效益和综合竞争力。</w:t>
      </w:r>
    </w:p>
    <w:p w14:paraId="6698958D">
      <w:pPr>
        <w:spacing w:line="576" w:lineRule="exact"/>
        <w:ind w:firstLine="640" w:firstLineChars="200"/>
        <w:rPr>
          <w:rFonts w:eastAsia="方正仿宋简体"/>
          <w:color w:val="auto"/>
          <w:sz w:val="32"/>
          <w:szCs w:val="32"/>
        </w:rPr>
      </w:pPr>
      <w:r>
        <w:rPr>
          <w:rFonts w:eastAsia="方正仿宋简体"/>
          <w:color w:val="auto"/>
          <w:sz w:val="32"/>
          <w:szCs w:val="32"/>
        </w:rPr>
        <w:t>强化农业科技与装备支撑。支持县域种子企业开展技术攻关，研发优质、高产、抗逆新品种，打造永吉农业</w:t>
      </w:r>
      <w:r>
        <w:rPr>
          <w:rFonts w:hint="eastAsia" w:eastAsia="方正仿宋简体"/>
          <w:color w:val="auto"/>
          <w:sz w:val="32"/>
          <w:szCs w:val="32"/>
        </w:rPr>
        <w:t>“</w:t>
      </w:r>
      <w:r>
        <w:rPr>
          <w:rFonts w:eastAsia="方正仿宋简体"/>
          <w:color w:val="auto"/>
          <w:sz w:val="32"/>
          <w:szCs w:val="32"/>
        </w:rPr>
        <w:t>芯片</w:t>
      </w:r>
      <w:r>
        <w:rPr>
          <w:rFonts w:hint="eastAsia" w:eastAsia="方正仿宋简体"/>
          <w:color w:val="auto"/>
          <w:sz w:val="32"/>
          <w:szCs w:val="32"/>
        </w:rPr>
        <w:t>”</w:t>
      </w:r>
      <w:r>
        <w:rPr>
          <w:rFonts w:eastAsia="方正仿宋简体"/>
          <w:color w:val="auto"/>
          <w:sz w:val="32"/>
          <w:szCs w:val="32"/>
        </w:rPr>
        <w:t>。深化与科研院所合作，集成推广高光效栽培、稻鸭共作、病虫害绿色防控等生态模式。聚焦水稻、人参、柞蚕、榛子等特色资源，开展活性成分提取、功能性食品开发等关键技术攻关。推动智慧农业赋能产业升级。因地制宜推进农业生产全程机械化，加快智能农机装备应用推广，重点突破丘陵山区机械化瓶颈。到2030年，主要农作物耕种收综合机械化率达96%以上。鼓励龙头企业、合作社应用智慧农场管理系统，实现智能决策。拓展</w:t>
      </w:r>
      <w:r>
        <w:rPr>
          <w:rFonts w:hint="eastAsia" w:eastAsia="方正仿宋简体"/>
          <w:color w:val="auto"/>
          <w:sz w:val="32"/>
          <w:szCs w:val="32"/>
        </w:rPr>
        <w:t>“</w:t>
      </w:r>
      <w:r>
        <w:rPr>
          <w:rFonts w:eastAsia="方正仿宋简体"/>
          <w:color w:val="auto"/>
          <w:sz w:val="32"/>
          <w:szCs w:val="32"/>
        </w:rPr>
        <w:t>农业+互联网</w:t>
      </w:r>
      <w:r>
        <w:rPr>
          <w:rFonts w:hint="eastAsia" w:eastAsia="方正仿宋简体"/>
          <w:color w:val="auto"/>
          <w:sz w:val="32"/>
          <w:szCs w:val="32"/>
        </w:rPr>
        <w:t>”“</w:t>
      </w:r>
      <w:r>
        <w:rPr>
          <w:rFonts w:eastAsia="方正仿宋简体"/>
          <w:color w:val="auto"/>
          <w:sz w:val="32"/>
          <w:szCs w:val="32"/>
        </w:rPr>
        <w:t>农业+低空经济</w:t>
      </w:r>
      <w:r>
        <w:rPr>
          <w:rFonts w:hint="eastAsia" w:eastAsia="方正仿宋简体"/>
          <w:color w:val="auto"/>
          <w:sz w:val="32"/>
          <w:szCs w:val="32"/>
        </w:rPr>
        <w:t>”</w:t>
      </w:r>
      <w:r>
        <w:rPr>
          <w:rFonts w:eastAsia="方正仿宋简体"/>
          <w:color w:val="auto"/>
          <w:sz w:val="32"/>
          <w:szCs w:val="32"/>
        </w:rPr>
        <w:t>场景，推动少人、无人农场建设，促进产地市场和质量安全追溯体系数智化改造，实现农产品从育种到销售全程可追溯。</w:t>
      </w:r>
    </w:p>
    <w:p w14:paraId="06AE3EE8">
      <w:pPr>
        <w:spacing w:line="576" w:lineRule="exact"/>
        <w:ind w:firstLine="640" w:firstLineChars="200"/>
        <w:rPr>
          <w:rFonts w:eastAsia="方正仿宋简体"/>
          <w:color w:val="auto"/>
          <w:sz w:val="32"/>
          <w:szCs w:val="32"/>
        </w:rPr>
      </w:pPr>
      <w:r>
        <w:rPr>
          <w:rFonts w:eastAsia="方正仿宋简体"/>
          <w:color w:val="auto"/>
          <w:sz w:val="32"/>
          <w:szCs w:val="32"/>
        </w:rPr>
        <w:t>推动农特产品优链塑品。以</w:t>
      </w:r>
      <w:r>
        <w:rPr>
          <w:rFonts w:hint="eastAsia" w:eastAsia="方正仿宋简体"/>
          <w:color w:val="auto"/>
          <w:sz w:val="32"/>
          <w:szCs w:val="32"/>
        </w:rPr>
        <w:t>“</w:t>
      </w:r>
      <w:r>
        <w:rPr>
          <w:rFonts w:eastAsia="方正仿宋简体"/>
          <w:color w:val="auto"/>
          <w:sz w:val="32"/>
          <w:szCs w:val="32"/>
        </w:rPr>
        <w:t>永吉优品</w:t>
      </w:r>
      <w:r>
        <w:rPr>
          <w:rFonts w:hint="eastAsia" w:eastAsia="方正仿宋简体"/>
          <w:color w:val="auto"/>
          <w:sz w:val="32"/>
          <w:szCs w:val="32"/>
        </w:rPr>
        <w:t>”</w:t>
      </w:r>
      <w:r>
        <w:rPr>
          <w:rFonts w:eastAsia="方正仿宋简体"/>
          <w:color w:val="auto"/>
          <w:sz w:val="32"/>
          <w:szCs w:val="32"/>
        </w:rPr>
        <w:t>为总体形象，重点擦亮</w:t>
      </w:r>
      <w:r>
        <w:rPr>
          <w:rFonts w:hint="eastAsia" w:eastAsia="方正仿宋简体"/>
          <w:color w:val="auto"/>
          <w:sz w:val="32"/>
          <w:szCs w:val="32"/>
        </w:rPr>
        <w:t>“</w:t>
      </w:r>
      <w:r>
        <w:rPr>
          <w:rFonts w:eastAsia="方正仿宋简体"/>
          <w:color w:val="auto"/>
          <w:sz w:val="32"/>
          <w:szCs w:val="32"/>
        </w:rPr>
        <w:t>万昌大米</w:t>
      </w:r>
      <w:r>
        <w:rPr>
          <w:rFonts w:hint="eastAsia" w:eastAsia="方正仿宋简体"/>
          <w:color w:val="auto"/>
          <w:sz w:val="32"/>
          <w:szCs w:val="32"/>
        </w:rPr>
        <w:t>”</w:t>
      </w:r>
      <w:r>
        <w:rPr>
          <w:rFonts w:eastAsia="方正仿宋简体"/>
          <w:color w:val="auto"/>
          <w:sz w:val="32"/>
          <w:szCs w:val="32"/>
        </w:rPr>
        <w:t>金名片，做强</w:t>
      </w:r>
      <w:r>
        <w:rPr>
          <w:rFonts w:hint="eastAsia" w:eastAsia="方正仿宋简体"/>
          <w:color w:val="auto"/>
          <w:sz w:val="32"/>
          <w:szCs w:val="32"/>
        </w:rPr>
        <w:t>“</w:t>
      </w:r>
      <w:r>
        <w:rPr>
          <w:rFonts w:eastAsia="方正仿宋简体"/>
          <w:color w:val="auto"/>
          <w:sz w:val="32"/>
          <w:szCs w:val="32"/>
        </w:rPr>
        <w:t>永吉柞蚕种</w:t>
      </w:r>
      <w:r>
        <w:rPr>
          <w:rFonts w:hint="eastAsia" w:eastAsia="方正仿宋简体"/>
          <w:color w:val="auto"/>
          <w:sz w:val="32"/>
          <w:szCs w:val="32"/>
        </w:rPr>
        <w:t>”“</w:t>
      </w:r>
      <w:r>
        <w:rPr>
          <w:rFonts w:eastAsia="方正仿宋简体"/>
          <w:color w:val="auto"/>
          <w:sz w:val="32"/>
          <w:szCs w:val="32"/>
        </w:rPr>
        <w:t>永吉林下参</w:t>
      </w:r>
      <w:r>
        <w:rPr>
          <w:rFonts w:hint="eastAsia" w:eastAsia="方正仿宋简体"/>
          <w:color w:val="auto"/>
          <w:sz w:val="32"/>
          <w:szCs w:val="32"/>
        </w:rPr>
        <w:t>”</w:t>
      </w:r>
      <w:r>
        <w:rPr>
          <w:rFonts w:eastAsia="方正仿宋简体"/>
          <w:color w:val="auto"/>
          <w:sz w:val="32"/>
          <w:szCs w:val="32"/>
        </w:rPr>
        <w:t>等特色品牌。制定并严格执行品牌授权与管理标准，实现</w:t>
      </w:r>
      <w:r>
        <w:rPr>
          <w:rFonts w:hint="eastAsia" w:eastAsia="方正仿宋简体"/>
          <w:color w:val="auto"/>
          <w:sz w:val="32"/>
          <w:szCs w:val="32"/>
        </w:rPr>
        <w:t>“</w:t>
      </w:r>
      <w:r>
        <w:rPr>
          <w:rFonts w:eastAsia="方正仿宋简体"/>
          <w:color w:val="auto"/>
          <w:sz w:val="32"/>
          <w:szCs w:val="32"/>
        </w:rPr>
        <w:t>统一标准、统一标识、统一营销</w:t>
      </w:r>
      <w:r>
        <w:rPr>
          <w:rFonts w:hint="eastAsia" w:eastAsia="方正仿宋简体"/>
          <w:color w:val="auto"/>
          <w:sz w:val="32"/>
          <w:szCs w:val="32"/>
        </w:rPr>
        <w:t>”</w:t>
      </w:r>
      <w:r>
        <w:rPr>
          <w:rFonts w:eastAsia="方正仿宋简体"/>
          <w:color w:val="auto"/>
          <w:sz w:val="32"/>
          <w:szCs w:val="32"/>
        </w:rPr>
        <w:t>。推进全产业链标准化。围绕大米、柞蚕、人参、肉牛等主导产业，制定从产地环境、投入品管理到产后加工、包装储运的全链条团体标准或技术规程。拓展品牌营销渠道。实施</w:t>
      </w:r>
      <w:r>
        <w:rPr>
          <w:rFonts w:hint="eastAsia" w:eastAsia="方正仿宋简体"/>
          <w:color w:val="auto"/>
          <w:sz w:val="32"/>
          <w:szCs w:val="32"/>
        </w:rPr>
        <w:t>“</w:t>
      </w:r>
      <w:r>
        <w:rPr>
          <w:rFonts w:eastAsia="方正仿宋简体"/>
          <w:color w:val="auto"/>
          <w:sz w:val="32"/>
          <w:szCs w:val="32"/>
        </w:rPr>
        <w:t>永吉优品</w:t>
      </w:r>
      <w:r>
        <w:rPr>
          <w:rFonts w:hint="eastAsia" w:eastAsia="方正仿宋简体"/>
          <w:color w:val="auto"/>
          <w:sz w:val="32"/>
          <w:szCs w:val="32"/>
        </w:rPr>
        <w:t>”</w:t>
      </w:r>
      <w:r>
        <w:rPr>
          <w:rFonts w:eastAsia="方正仿宋简体"/>
          <w:color w:val="auto"/>
          <w:sz w:val="32"/>
          <w:szCs w:val="32"/>
        </w:rPr>
        <w:t>线上线下营销工程。依托县级电商公共服务中心和直播基地，打造</w:t>
      </w:r>
      <w:r>
        <w:rPr>
          <w:rFonts w:hint="eastAsia" w:eastAsia="方正仿宋简体"/>
          <w:color w:val="auto"/>
          <w:sz w:val="32"/>
          <w:szCs w:val="32"/>
        </w:rPr>
        <w:t>“</w:t>
      </w:r>
      <w:r>
        <w:rPr>
          <w:rFonts w:eastAsia="方正仿宋简体"/>
          <w:color w:val="auto"/>
          <w:sz w:val="32"/>
          <w:szCs w:val="32"/>
        </w:rPr>
        <w:t>永吉农产</w:t>
      </w:r>
      <w:r>
        <w:rPr>
          <w:rFonts w:hint="eastAsia" w:eastAsia="方正仿宋简体"/>
          <w:color w:val="auto"/>
          <w:sz w:val="32"/>
          <w:szCs w:val="32"/>
        </w:rPr>
        <w:t>”</w:t>
      </w:r>
      <w:r>
        <w:rPr>
          <w:rFonts w:eastAsia="方正仿宋简体"/>
          <w:color w:val="auto"/>
          <w:sz w:val="32"/>
          <w:szCs w:val="32"/>
        </w:rPr>
        <w:t>直播品牌。推进长春、吉林等核心城市设立品牌形象店、商超专柜。定期组织企业参加国家级、省级重点农业展会。推动特色农产品纳入旅游购物体系。</w:t>
      </w:r>
    </w:p>
    <w:p w14:paraId="65B00759">
      <w:pPr>
        <w:spacing w:line="576" w:lineRule="exact"/>
        <w:ind w:firstLine="640" w:firstLineChars="200"/>
        <w:rPr>
          <w:rFonts w:eastAsia="方正仿宋简体"/>
          <w:color w:val="auto"/>
          <w:sz w:val="32"/>
          <w:szCs w:val="32"/>
        </w:rPr>
      </w:pPr>
      <w:r>
        <w:rPr>
          <w:rFonts w:eastAsia="方正仿宋简体"/>
          <w:color w:val="auto"/>
          <w:sz w:val="32"/>
          <w:szCs w:val="32"/>
        </w:rPr>
        <w:t>加快农业绿色与安全发展。推广绿色生态种养模式。深入实施化肥农药减量增效行动，推广病虫害绿色防控等技术。集成推广水稻</w:t>
      </w:r>
      <w:r>
        <w:rPr>
          <w:rFonts w:hint="eastAsia" w:eastAsia="方正仿宋简体"/>
          <w:color w:val="auto"/>
          <w:sz w:val="32"/>
          <w:szCs w:val="32"/>
        </w:rPr>
        <w:t>“</w:t>
      </w:r>
      <w:r>
        <w:rPr>
          <w:rFonts w:eastAsia="方正仿宋简体"/>
          <w:color w:val="auto"/>
          <w:sz w:val="32"/>
          <w:szCs w:val="32"/>
        </w:rPr>
        <w:t>一抢三替</w:t>
      </w:r>
      <w:r>
        <w:rPr>
          <w:rFonts w:hint="eastAsia" w:eastAsia="方正仿宋简体"/>
          <w:color w:val="auto"/>
          <w:sz w:val="32"/>
          <w:szCs w:val="32"/>
        </w:rPr>
        <w:t>”</w:t>
      </w:r>
      <w:r>
        <w:rPr>
          <w:rFonts w:eastAsia="方正仿宋简体"/>
          <w:color w:val="auto"/>
          <w:sz w:val="32"/>
          <w:szCs w:val="32"/>
        </w:rPr>
        <w:t>等绿色生产技术模式。促进农业资源循环利用。整县推进畜禽粪污资源化利用，推广</w:t>
      </w:r>
      <w:r>
        <w:rPr>
          <w:rFonts w:hint="eastAsia" w:eastAsia="方正仿宋简体"/>
          <w:color w:val="auto"/>
          <w:sz w:val="32"/>
          <w:szCs w:val="32"/>
        </w:rPr>
        <w:t>“</w:t>
      </w:r>
      <w:r>
        <w:rPr>
          <w:rFonts w:eastAsia="方正仿宋简体"/>
          <w:color w:val="auto"/>
          <w:sz w:val="32"/>
          <w:szCs w:val="32"/>
        </w:rPr>
        <w:t>截污建池、收运还田</w:t>
      </w:r>
      <w:r>
        <w:rPr>
          <w:rFonts w:hint="eastAsia" w:eastAsia="方正仿宋简体"/>
          <w:color w:val="auto"/>
          <w:sz w:val="32"/>
          <w:szCs w:val="32"/>
        </w:rPr>
        <w:t>”</w:t>
      </w:r>
      <w:r>
        <w:rPr>
          <w:rFonts w:eastAsia="方正仿宋简体"/>
          <w:color w:val="auto"/>
          <w:sz w:val="32"/>
          <w:szCs w:val="32"/>
        </w:rPr>
        <w:t>等模式，建设区域性粪污集中处理中心。加强秸秆</w:t>
      </w:r>
      <w:r>
        <w:rPr>
          <w:rFonts w:hint="eastAsia" w:eastAsia="方正仿宋简体"/>
          <w:color w:val="auto"/>
          <w:sz w:val="32"/>
          <w:szCs w:val="32"/>
        </w:rPr>
        <w:t>“</w:t>
      </w:r>
      <w:r>
        <w:rPr>
          <w:rFonts w:eastAsia="方正仿宋简体"/>
          <w:color w:val="auto"/>
          <w:sz w:val="32"/>
          <w:szCs w:val="32"/>
        </w:rPr>
        <w:t>五化</w:t>
      </w:r>
      <w:r>
        <w:rPr>
          <w:rFonts w:hint="eastAsia" w:eastAsia="方正仿宋简体"/>
          <w:color w:val="auto"/>
          <w:sz w:val="32"/>
          <w:szCs w:val="32"/>
        </w:rPr>
        <w:t>”</w:t>
      </w:r>
      <w:r>
        <w:rPr>
          <w:rFonts w:eastAsia="方正仿宋简体"/>
          <w:color w:val="auto"/>
          <w:sz w:val="32"/>
          <w:szCs w:val="32"/>
        </w:rPr>
        <w:t>综合利用，秸秆综合利用率稳定在90%以上。探索推广稻渔综合种养等生态循环农业模式。筑牢农产品质量安全防线。健全农产品质量安全追溯体系，推动规模生产经营主体纳入国家（省）追溯管理平台。加强农业投入品监管和产地环境监测。扩大绿色食品、有机农产品认证规模。</w:t>
      </w:r>
    </w:p>
    <w:p w14:paraId="2D16BC99">
      <w:pPr>
        <w:spacing w:line="576" w:lineRule="exact"/>
        <w:jc w:val="center"/>
        <w:rPr>
          <w:rFonts w:eastAsia="方正楷体简体"/>
          <w:color w:val="auto"/>
          <w:sz w:val="32"/>
          <w:szCs w:val="32"/>
        </w:rPr>
      </w:pPr>
      <w:r>
        <w:rPr>
          <w:rFonts w:eastAsia="方正楷体简体"/>
          <w:color w:val="auto"/>
          <w:sz w:val="32"/>
          <w:szCs w:val="32"/>
        </w:rPr>
        <w:t>第三节  建设宜居宜业和美乡村</w:t>
      </w:r>
    </w:p>
    <w:p w14:paraId="5C4DF633">
      <w:pPr>
        <w:spacing w:line="576" w:lineRule="exact"/>
        <w:ind w:firstLine="640" w:firstLineChars="200"/>
        <w:rPr>
          <w:rFonts w:eastAsia="方正仿宋简体"/>
          <w:color w:val="auto"/>
          <w:sz w:val="32"/>
          <w:szCs w:val="32"/>
        </w:rPr>
      </w:pPr>
      <w:r>
        <w:rPr>
          <w:rFonts w:eastAsia="方正仿宋简体"/>
          <w:color w:val="auto"/>
          <w:sz w:val="32"/>
          <w:szCs w:val="32"/>
        </w:rPr>
        <w:t>学习运用</w:t>
      </w:r>
      <w:r>
        <w:rPr>
          <w:rFonts w:hint="eastAsia" w:eastAsia="方正仿宋简体"/>
          <w:color w:val="auto"/>
          <w:sz w:val="32"/>
          <w:szCs w:val="32"/>
        </w:rPr>
        <w:t>“</w:t>
      </w:r>
      <w:r>
        <w:rPr>
          <w:rFonts w:eastAsia="方正仿宋简体"/>
          <w:color w:val="auto"/>
          <w:sz w:val="32"/>
          <w:szCs w:val="32"/>
        </w:rPr>
        <w:t>千万工程</w:t>
      </w:r>
      <w:r>
        <w:rPr>
          <w:rFonts w:hint="eastAsia" w:eastAsia="方正仿宋简体"/>
          <w:color w:val="auto"/>
          <w:sz w:val="32"/>
          <w:szCs w:val="32"/>
        </w:rPr>
        <w:t>”</w:t>
      </w:r>
      <w:r>
        <w:rPr>
          <w:rFonts w:eastAsia="方正仿宋简体"/>
          <w:color w:val="auto"/>
          <w:sz w:val="32"/>
          <w:szCs w:val="32"/>
        </w:rPr>
        <w:t>经验，以提高农村基础设施完备度、公共服务便利度、人居环境舒适度为主攻方向，统筹乡村布局规划、建设和治理，打造彰显永吉特色、承载田园乡愁、体现现代文明的宜居宜业和美乡村。</w:t>
      </w:r>
    </w:p>
    <w:p w14:paraId="35EADA58">
      <w:pPr>
        <w:spacing w:line="576" w:lineRule="exact"/>
        <w:ind w:firstLine="640" w:firstLineChars="200"/>
        <w:rPr>
          <w:rFonts w:eastAsia="方正仿宋简体"/>
          <w:color w:val="auto"/>
          <w:sz w:val="32"/>
          <w:szCs w:val="32"/>
        </w:rPr>
      </w:pPr>
      <w:r>
        <w:rPr>
          <w:rFonts w:eastAsia="方正仿宋简体"/>
          <w:color w:val="auto"/>
          <w:sz w:val="32"/>
          <w:szCs w:val="32"/>
        </w:rPr>
        <w:t>持续提升乡村建设水平。统筹推进交通、水利、能源、数智等基础设施提档升级。持续发力推动</w:t>
      </w:r>
      <w:r>
        <w:rPr>
          <w:rFonts w:hint="eastAsia" w:eastAsia="方正仿宋简体"/>
          <w:color w:val="auto"/>
          <w:sz w:val="32"/>
          <w:szCs w:val="32"/>
        </w:rPr>
        <w:t>“</w:t>
      </w:r>
      <w:r>
        <w:rPr>
          <w:rFonts w:eastAsia="方正仿宋简体"/>
          <w:color w:val="auto"/>
          <w:sz w:val="32"/>
          <w:szCs w:val="32"/>
        </w:rPr>
        <w:t>四好农村路</w:t>
      </w:r>
      <w:r>
        <w:rPr>
          <w:rFonts w:hint="eastAsia" w:eastAsia="方正仿宋简体"/>
          <w:color w:val="auto"/>
          <w:sz w:val="32"/>
          <w:szCs w:val="32"/>
        </w:rPr>
        <w:t>”</w:t>
      </w:r>
      <w:r>
        <w:rPr>
          <w:rFonts w:eastAsia="方正仿宋简体"/>
          <w:color w:val="auto"/>
          <w:sz w:val="32"/>
          <w:szCs w:val="32"/>
        </w:rPr>
        <w:t>高质量发展，加快老旧农村公路改造，提升技术等级和通行能力。实施西阳镇、双河镇、一拉溪镇及金家乡等农村道路硬化、改建与安防工程，支持中心村建设客货邮综合服务站。建立健全农村公路管理养护体制机制。推进具备条件的乡镇建设产业路或旅游路。推进金家乡水管网改造、口前镇老旧供水泵房升级及规模化集中供水，加强西阳镇灌溉设施与半截河及朝阳水库除险加固。推动农村清洁能源替代，提升供电供暖能力。</w:t>
      </w:r>
    </w:p>
    <w:p w14:paraId="0DC73751">
      <w:pPr>
        <w:spacing w:line="576" w:lineRule="exact"/>
        <w:ind w:firstLine="640" w:firstLineChars="200"/>
        <w:rPr>
          <w:rFonts w:eastAsia="方正仿宋简体"/>
          <w:color w:val="auto"/>
          <w:sz w:val="32"/>
          <w:szCs w:val="32"/>
        </w:rPr>
      </w:pPr>
      <w:r>
        <w:rPr>
          <w:rFonts w:eastAsia="方正仿宋简体"/>
          <w:color w:val="auto"/>
          <w:sz w:val="32"/>
          <w:szCs w:val="32"/>
        </w:rPr>
        <w:t>全面优化乡村公共服务供给。改善乡村小规模学校办学条件，加强城乡教师交流与送培到校。推进中心卫生院设施升级，提升村卫生室基本医疗服务功能，强化村医队伍和家庭医生签约服务。推进老年助餐服务，完善留守儿童关爱服务体系。增加文化体育供给，保护挖掘金家乡满族文化、口前镇红色文化等特色文化资源。完善农村商业网络，加快乡镇集贸市场改造。优化县级物流共配中心，提升镇村服务站点综合功能。</w:t>
      </w:r>
    </w:p>
    <w:p w14:paraId="2EA1CDA2">
      <w:pPr>
        <w:spacing w:line="576" w:lineRule="exact"/>
        <w:ind w:firstLine="640" w:firstLineChars="200"/>
        <w:rPr>
          <w:rFonts w:eastAsia="方正仿宋简体"/>
          <w:color w:val="auto"/>
          <w:sz w:val="32"/>
          <w:szCs w:val="32"/>
        </w:rPr>
      </w:pPr>
      <w:r>
        <w:rPr>
          <w:rFonts w:eastAsia="方正仿宋简体"/>
          <w:color w:val="auto"/>
          <w:sz w:val="32"/>
          <w:szCs w:val="32"/>
        </w:rPr>
        <w:t>打造美丽宜居乡村环境。学习推广</w:t>
      </w:r>
      <w:r>
        <w:rPr>
          <w:rFonts w:hint="eastAsia" w:eastAsia="方正仿宋简体"/>
          <w:color w:val="auto"/>
          <w:sz w:val="32"/>
          <w:szCs w:val="32"/>
        </w:rPr>
        <w:t>“</w:t>
      </w:r>
      <w:r>
        <w:rPr>
          <w:rFonts w:eastAsia="方正仿宋简体"/>
          <w:color w:val="auto"/>
          <w:sz w:val="32"/>
          <w:szCs w:val="32"/>
        </w:rPr>
        <w:t>千万工程</w:t>
      </w:r>
      <w:r>
        <w:rPr>
          <w:rFonts w:hint="eastAsia" w:eastAsia="方正仿宋简体"/>
          <w:color w:val="auto"/>
          <w:sz w:val="32"/>
          <w:szCs w:val="32"/>
        </w:rPr>
        <w:t>”</w:t>
      </w:r>
      <w:r>
        <w:rPr>
          <w:rFonts w:eastAsia="方正仿宋简体"/>
          <w:color w:val="auto"/>
          <w:sz w:val="32"/>
          <w:szCs w:val="32"/>
        </w:rPr>
        <w:t>经验，扎实推进农村人居环境整治提升。完善粪污处理体系，推进一拉溪镇、西阳镇、北大湖镇建立粪污集中处理中心。推进农村生活污水治理和黑臭水体整治。加强乡村风貌引导和保护，支持融入特色文化进行建筑立面改造，推进乡土绿化和小微公园建设。到2030年，实施乡村建设</w:t>
      </w:r>
      <w:r>
        <w:rPr>
          <w:rFonts w:hint="eastAsia" w:eastAsia="方正仿宋简体"/>
          <w:color w:val="auto"/>
          <w:sz w:val="32"/>
          <w:szCs w:val="32"/>
        </w:rPr>
        <w:t>“</w:t>
      </w:r>
      <w:r>
        <w:rPr>
          <w:rFonts w:eastAsia="方正仿宋简体"/>
          <w:color w:val="auto"/>
          <w:sz w:val="32"/>
          <w:szCs w:val="32"/>
        </w:rPr>
        <w:t>多村一体</w:t>
      </w:r>
      <w:r>
        <w:rPr>
          <w:rFonts w:hint="eastAsia" w:eastAsia="方正仿宋简体"/>
          <w:color w:val="auto"/>
          <w:sz w:val="32"/>
          <w:szCs w:val="32"/>
        </w:rPr>
        <w:t>”</w:t>
      </w:r>
      <w:r>
        <w:rPr>
          <w:rFonts w:eastAsia="方正仿宋简体"/>
          <w:color w:val="auto"/>
          <w:sz w:val="32"/>
          <w:szCs w:val="32"/>
        </w:rPr>
        <w:t>发展片区5个。</w:t>
      </w:r>
    </w:p>
    <w:p w14:paraId="105A83F7">
      <w:pPr>
        <w:spacing w:line="576" w:lineRule="exact"/>
        <w:ind w:firstLine="640" w:firstLineChars="200"/>
        <w:rPr>
          <w:rFonts w:eastAsia="方正仿宋简体"/>
          <w:color w:val="auto"/>
          <w:sz w:val="32"/>
          <w:szCs w:val="32"/>
        </w:rPr>
      </w:pPr>
      <w:r>
        <w:rPr>
          <w:rFonts w:eastAsia="方正仿宋简体"/>
          <w:color w:val="auto"/>
          <w:sz w:val="32"/>
          <w:szCs w:val="32"/>
        </w:rPr>
        <w:t>提高乡村治理水平</w:t>
      </w:r>
      <w:r>
        <w:rPr>
          <w:rFonts w:hint="eastAsia" w:eastAsia="方正仿宋简体"/>
          <w:color w:val="auto"/>
          <w:sz w:val="32"/>
          <w:szCs w:val="32"/>
          <w:lang w:eastAsia="zh-CN"/>
        </w:rPr>
        <w:t>，</w:t>
      </w:r>
      <w:r>
        <w:rPr>
          <w:rFonts w:eastAsia="方正仿宋简体"/>
          <w:color w:val="auto"/>
          <w:sz w:val="32"/>
          <w:szCs w:val="32"/>
        </w:rPr>
        <w:t>提升治理效能。坚持党建引领，完善</w:t>
      </w:r>
      <w:r>
        <w:rPr>
          <w:rFonts w:hint="eastAsia" w:eastAsia="方正仿宋简体"/>
          <w:color w:val="auto"/>
          <w:sz w:val="32"/>
          <w:szCs w:val="32"/>
        </w:rPr>
        <w:t>“</w:t>
      </w:r>
      <w:r>
        <w:rPr>
          <w:rFonts w:eastAsia="方正仿宋简体"/>
          <w:color w:val="auto"/>
          <w:sz w:val="32"/>
          <w:szCs w:val="32"/>
        </w:rPr>
        <w:t>四议两公开</w:t>
      </w:r>
      <w:r>
        <w:rPr>
          <w:rFonts w:hint="eastAsia" w:eastAsia="方正仿宋简体"/>
          <w:color w:val="auto"/>
          <w:sz w:val="32"/>
          <w:szCs w:val="32"/>
        </w:rPr>
        <w:t>”</w:t>
      </w:r>
      <w:r>
        <w:rPr>
          <w:rFonts w:eastAsia="方正仿宋简体"/>
          <w:color w:val="auto"/>
          <w:sz w:val="32"/>
          <w:szCs w:val="32"/>
        </w:rPr>
        <w:t>和</w:t>
      </w:r>
      <w:r>
        <w:rPr>
          <w:rFonts w:hint="eastAsia" w:eastAsia="方正仿宋简体"/>
          <w:color w:val="auto"/>
          <w:sz w:val="32"/>
          <w:szCs w:val="32"/>
        </w:rPr>
        <w:t>“</w:t>
      </w:r>
      <w:r>
        <w:rPr>
          <w:rFonts w:eastAsia="方正仿宋简体"/>
          <w:color w:val="auto"/>
          <w:sz w:val="32"/>
          <w:szCs w:val="32"/>
        </w:rPr>
        <w:t>网格化+数智化</w:t>
      </w:r>
      <w:r>
        <w:rPr>
          <w:rFonts w:hint="eastAsia" w:eastAsia="方正仿宋简体"/>
          <w:color w:val="auto"/>
          <w:sz w:val="32"/>
          <w:szCs w:val="32"/>
        </w:rPr>
        <w:t>”</w:t>
      </w:r>
      <w:r>
        <w:rPr>
          <w:rFonts w:eastAsia="方正仿宋简体"/>
          <w:color w:val="auto"/>
          <w:sz w:val="32"/>
          <w:szCs w:val="32"/>
        </w:rPr>
        <w:t>治理模式。深化农村集体产权制度改革，发展壮大新型农村集体经济。稳慎推进农村宅基地制度改革试点，探索赋予农民更加充分的财产权益。建设平安法治乡村，培育文明乡风。促进农民增收。健全产销联结与资产保障机制，引导脱贫地区与产业平台对接。深化消费帮扶，利用电商等拓宽销路。确保资产持续良性运营并发挥效益，多渠道促进农民收入持续增长。</w:t>
      </w:r>
    </w:p>
    <w:p w14:paraId="7B855279">
      <w:pPr>
        <w:spacing w:line="576" w:lineRule="exact"/>
        <w:jc w:val="center"/>
        <w:rPr>
          <w:rFonts w:eastAsia="方正楷体简体"/>
          <w:color w:val="auto"/>
          <w:sz w:val="32"/>
          <w:szCs w:val="32"/>
        </w:rPr>
      </w:pPr>
      <w:r>
        <w:rPr>
          <w:rFonts w:eastAsia="方正楷体简体"/>
          <w:color w:val="auto"/>
          <w:sz w:val="32"/>
          <w:szCs w:val="32"/>
        </w:rPr>
        <w:t>第四节  加大强农惠农富农支持</w:t>
      </w:r>
    </w:p>
    <w:p w14:paraId="44B9F18E">
      <w:pPr>
        <w:spacing w:line="576" w:lineRule="exact"/>
        <w:ind w:firstLine="640" w:firstLineChars="200"/>
        <w:rPr>
          <w:rFonts w:eastAsia="方正仿宋简体"/>
          <w:color w:val="auto"/>
          <w:sz w:val="32"/>
          <w:szCs w:val="32"/>
        </w:rPr>
      </w:pPr>
      <w:r>
        <w:rPr>
          <w:rFonts w:eastAsia="方正仿宋简体"/>
          <w:color w:val="auto"/>
          <w:sz w:val="32"/>
          <w:szCs w:val="32"/>
        </w:rPr>
        <w:t>坚持把增加农民收入作为</w:t>
      </w:r>
      <w:r>
        <w:rPr>
          <w:rFonts w:hint="eastAsia" w:eastAsia="方正仿宋简体"/>
          <w:color w:val="auto"/>
          <w:sz w:val="32"/>
          <w:szCs w:val="32"/>
        </w:rPr>
        <w:t>“</w:t>
      </w:r>
      <w:r>
        <w:rPr>
          <w:rFonts w:eastAsia="方正仿宋简体"/>
          <w:color w:val="auto"/>
          <w:sz w:val="32"/>
          <w:szCs w:val="32"/>
        </w:rPr>
        <w:t>三农</w:t>
      </w:r>
      <w:r>
        <w:rPr>
          <w:rFonts w:hint="eastAsia" w:eastAsia="方正仿宋简体"/>
          <w:color w:val="auto"/>
          <w:sz w:val="32"/>
          <w:szCs w:val="32"/>
        </w:rPr>
        <w:t>”</w:t>
      </w:r>
      <w:r>
        <w:rPr>
          <w:rFonts w:eastAsia="方正仿宋简体"/>
          <w:color w:val="auto"/>
          <w:sz w:val="32"/>
          <w:szCs w:val="32"/>
        </w:rPr>
        <w:t>工作的中心任务，健全财政优先保障、金融重点支持、社会积极参与等多元投入格局，确保乡村振兴投入力度不断增强。</w:t>
      </w:r>
    </w:p>
    <w:p w14:paraId="2C74A955">
      <w:pPr>
        <w:spacing w:line="576" w:lineRule="exact"/>
        <w:ind w:firstLine="640" w:firstLineChars="200"/>
        <w:rPr>
          <w:rFonts w:eastAsia="方正仿宋简体"/>
          <w:color w:val="auto"/>
          <w:sz w:val="32"/>
          <w:szCs w:val="32"/>
        </w:rPr>
      </w:pPr>
      <w:r>
        <w:rPr>
          <w:rFonts w:eastAsia="方正仿宋简体"/>
          <w:color w:val="auto"/>
          <w:sz w:val="32"/>
          <w:szCs w:val="32"/>
        </w:rPr>
        <w:t>培育壮大农文旅融合新业态。推动农业与冰雪、温泉、康养等元素深度融合，打造</w:t>
      </w:r>
      <w:r>
        <w:rPr>
          <w:rFonts w:hint="eastAsia" w:eastAsia="方正仿宋简体"/>
          <w:color w:val="auto"/>
          <w:sz w:val="32"/>
          <w:szCs w:val="32"/>
        </w:rPr>
        <w:t>“</w:t>
      </w:r>
      <w:r>
        <w:rPr>
          <w:rFonts w:eastAsia="方正仿宋简体"/>
          <w:color w:val="auto"/>
          <w:sz w:val="32"/>
          <w:szCs w:val="32"/>
        </w:rPr>
        <w:t>冰雪+农业</w:t>
      </w:r>
      <w:r>
        <w:rPr>
          <w:rFonts w:hint="eastAsia" w:eastAsia="方正仿宋简体"/>
          <w:color w:val="auto"/>
          <w:sz w:val="32"/>
          <w:szCs w:val="32"/>
        </w:rPr>
        <w:t>”“</w:t>
      </w:r>
      <w:r>
        <w:rPr>
          <w:rFonts w:eastAsia="方正仿宋简体"/>
          <w:color w:val="auto"/>
          <w:sz w:val="32"/>
          <w:szCs w:val="32"/>
        </w:rPr>
        <w:t>温泉+农业</w:t>
      </w:r>
      <w:r>
        <w:rPr>
          <w:rFonts w:hint="eastAsia" w:eastAsia="方正仿宋简体"/>
          <w:color w:val="auto"/>
          <w:sz w:val="32"/>
          <w:szCs w:val="32"/>
        </w:rPr>
        <w:t>”“</w:t>
      </w:r>
      <w:r>
        <w:rPr>
          <w:rFonts w:eastAsia="方正仿宋简体"/>
          <w:color w:val="auto"/>
          <w:sz w:val="32"/>
          <w:szCs w:val="32"/>
        </w:rPr>
        <w:t>人参+农业</w:t>
      </w:r>
      <w:r>
        <w:rPr>
          <w:rFonts w:hint="eastAsia" w:eastAsia="方正仿宋简体"/>
          <w:color w:val="auto"/>
          <w:sz w:val="32"/>
          <w:szCs w:val="32"/>
        </w:rPr>
        <w:t>”</w:t>
      </w:r>
      <w:r>
        <w:rPr>
          <w:rFonts w:eastAsia="方正仿宋简体"/>
          <w:color w:val="auto"/>
          <w:sz w:val="32"/>
          <w:szCs w:val="32"/>
        </w:rPr>
        <w:t>三大产业集群。开发</w:t>
      </w:r>
      <w:r>
        <w:rPr>
          <w:rFonts w:hint="eastAsia" w:eastAsia="方正仿宋简体"/>
          <w:color w:val="auto"/>
          <w:sz w:val="32"/>
          <w:szCs w:val="32"/>
        </w:rPr>
        <w:t>“</w:t>
      </w:r>
      <w:r>
        <w:rPr>
          <w:rFonts w:eastAsia="方正仿宋简体"/>
          <w:color w:val="auto"/>
          <w:sz w:val="32"/>
          <w:szCs w:val="32"/>
        </w:rPr>
        <w:t>温泉+稻米</w:t>
      </w:r>
      <w:r>
        <w:rPr>
          <w:rFonts w:hint="eastAsia" w:eastAsia="方正仿宋简体"/>
          <w:color w:val="auto"/>
          <w:sz w:val="32"/>
          <w:szCs w:val="32"/>
        </w:rPr>
        <w:t>”“</w:t>
      </w:r>
      <w:r>
        <w:rPr>
          <w:rFonts w:eastAsia="方正仿宋简体"/>
          <w:color w:val="auto"/>
          <w:sz w:val="32"/>
          <w:szCs w:val="32"/>
        </w:rPr>
        <w:t>温泉+中药材</w:t>
      </w:r>
      <w:r>
        <w:rPr>
          <w:rFonts w:hint="eastAsia" w:eastAsia="方正仿宋简体"/>
          <w:color w:val="auto"/>
          <w:sz w:val="32"/>
          <w:szCs w:val="32"/>
        </w:rPr>
        <w:t>”</w:t>
      </w:r>
      <w:r>
        <w:rPr>
          <w:rFonts w:eastAsia="方正仿宋简体"/>
          <w:color w:val="auto"/>
          <w:sz w:val="32"/>
          <w:szCs w:val="32"/>
        </w:rPr>
        <w:t>等特色产品，满足养生度假需求，构建</w:t>
      </w:r>
      <w:r>
        <w:rPr>
          <w:rFonts w:hint="eastAsia" w:eastAsia="方正仿宋简体"/>
          <w:color w:val="auto"/>
          <w:sz w:val="32"/>
          <w:szCs w:val="32"/>
        </w:rPr>
        <w:t>“</w:t>
      </w:r>
      <w:r>
        <w:rPr>
          <w:rFonts w:eastAsia="方正仿宋简体"/>
          <w:color w:val="auto"/>
          <w:sz w:val="32"/>
          <w:szCs w:val="32"/>
        </w:rPr>
        <w:t>滑冰雪、住农庄、品乡味</w:t>
      </w:r>
      <w:r>
        <w:rPr>
          <w:rFonts w:hint="eastAsia" w:eastAsia="方正仿宋简体"/>
          <w:color w:val="auto"/>
          <w:sz w:val="32"/>
          <w:szCs w:val="32"/>
        </w:rPr>
        <w:t>”</w:t>
      </w:r>
      <w:r>
        <w:rPr>
          <w:rFonts w:eastAsia="方正仿宋简体"/>
          <w:color w:val="auto"/>
          <w:sz w:val="32"/>
          <w:szCs w:val="32"/>
        </w:rPr>
        <w:t>全链条体验，实现温泉康养与绿色农业深度融合。发挥万昌、一拉溪温泉优势，发展康养业态。建设人参、柞蚕种、中草药健康研学基地，开发观光体验、文化课堂项目，延伸品牌价值，构建</w:t>
      </w:r>
      <w:r>
        <w:rPr>
          <w:rFonts w:hint="eastAsia" w:eastAsia="方正仿宋简体"/>
          <w:color w:val="auto"/>
          <w:sz w:val="32"/>
          <w:szCs w:val="32"/>
        </w:rPr>
        <w:t>“</w:t>
      </w:r>
      <w:r>
        <w:rPr>
          <w:rFonts w:eastAsia="方正仿宋简体"/>
          <w:color w:val="auto"/>
          <w:sz w:val="32"/>
          <w:szCs w:val="32"/>
        </w:rPr>
        <w:t>种植基地+中央厨房+休闲消费</w:t>
      </w:r>
      <w:r>
        <w:rPr>
          <w:rFonts w:hint="eastAsia" w:eastAsia="方正仿宋简体"/>
          <w:color w:val="auto"/>
          <w:sz w:val="32"/>
          <w:szCs w:val="32"/>
        </w:rPr>
        <w:t>”</w:t>
      </w:r>
      <w:r>
        <w:rPr>
          <w:rFonts w:eastAsia="方正仿宋简体"/>
          <w:color w:val="auto"/>
          <w:sz w:val="32"/>
          <w:szCs w:val="32"/>
        </w:rPr>
        <w:t>的全新模式。</w:t>
      </w:r>
    </w:p>
    <w:p w14:paraId="1290E611">
      <w:pPr>
        <w:spacing w:line="576" w:lineRule="exact"/>
        <w:ind w:firstLine="640" w:firstLineChars="200"/>
        <w:rPr>
          <w:rFonts w:eastAsia="方正仿宋简体"/>
          <w:color w:val="auto"/>
          <w:sz w:val="32"/>
          <w:szCs w:val="32"/>
        </w:rPr>
      </w:pPr>
      <w:r>
        <w:rPr>
          <w:rFonts w:eastAsia="方正仿宋简体"/>
          <w:color w:val="auto"/>
          <w:sz w:val="32"/>
          <w:szCs w:val="32"/>
        </w:rPr>
        <w:t>构建现代化农业经营体系促进增收。发展壮大新型农业经营主体，实施主体提升行动，重点培育专业大户、家庭农场、农民合作社和农业龙头企业。到2030年，万昌等粮食主产区培育10-20家千亩水稻种植主体，特色农业领域打造6—10个百亩</w:t>
      </w:r>
      <w:r>
        <w:rPr>
          <w:rFonts w:hint="eastAsia" w:eastAsia="方正仿宋简体"/>
          <w:color w:val="auto"/>
          <w:sz w:val="32"/>
          <w:szCs w:val="32"/>
        </w:rPr>
        <w:t>经营</w:t>
      </w:r>
      <w:r>
        <w:rPr>
          <w:rFonts w:eastAsia="方正仿宋简体"/>
          <w:color w:val="auto"/>
          <w:sz w:val="32"/>
          <w:szCs w:val="32"/>
        </w:rPr>
        <w:t>主体。推动家庭农场和合作社规范化建设，农民专业合作社和家庭农场数量达到5000家，创建国家级家庭农场典型3户以上。推广土地托管、代耕代种、全程生产托管等服务模式。到2030年，社会化服务面积占比超50%。大力推广</w:t>
      </w:r>
      <w:r>
        <w:rPr>
          <w:rFonts w:hint="eastAsia" w:eastAsia="方正仿宋简体"/>
          <w:color w:val="auto"/>
          <w:sz w:val="32"/>
          <w:szCs w:val="32"/>
        </w:rPr>
        <w:t>“</w:t>
      </w:r>
      <w:r>
        <w:rPr>
          <w:rFonts w:eastAsia="方正仿宋简体"/>
          <w:color w:val="auto"/>
          <w:sz w:val="32"/>
          <w:szCs w:val="32"/>
        </w:rPr>
        <w:t>村党支部＋合作社＋农户</w:t>
      </w:r>
      <w:r>
        <w:rPr>
          <w:rFonts w:hint="eastAsia" w:eastAsia="方正仿宋简体"/>
          <w:color w:val="auto"/>
          <w:sz w:val="32"/>
          <w:szCs w:val="32"/>
        </w:rPr>
        <w:t>”“</w:t>
      </w:r>
      <w:r>
        <w:rPr>
          <w:rFonts w:eastAsia="方正仿宋简体"/>
          <w:color w:val="auto"/>
          <w:sz w:val="32"/>
          <w:szCs w:val="32"/>
        </w:rPr>
        <w:t>公司+合作社+农户</w:t>
      </w:r>
      <w:r>
        <w:rPr>
          <w:rFonts w:hint="eastAsia" w:eastAsia="方正仿宋简体"/>
          <w:color w:val="auto"/>
          <w:sz w:val="32"/>
          <w:szCs w:val="32"/>
        </w:rPr>
        <w:t>”</w:t>
      </w:r>
      <w:r>
        <w:rPr>
          <w:rFonts w:eastAsia="方正仿宋简体"/>
          <w:color w:val="auto"/>
          <w:sz w:val="32"/>
          <w:szCs w:val="32"/>
        </w:rPr>
        <w:t>等模式，完善紧密型联农带农机制，让小农户共享现代化成果。</w:t>
      </w:r>
    </w:p>
    <w:p w14:paraId="5BD6D8E4">
      <w:pPr>
        <w:spacing w:line="576" w:lineRule="exact"/>
        <w:ind w:firstLine="640" w:firstLineChars="200"/>
        <w:rPr>
          <w:rFonts w:eastAsia="方正仿宋简体"/>
          <w:color w:val="auto"/>
          <w:sz w:val="32"/>
          <w:szCs w:val="32"/>
        </w:rPr>
      </w:pPr>
      <w:r>
        <w:rPr>
          <w:rFonts w:eastAsia="方正仿宋简体"/>
          <w:color w:val="auto"/>
          <w:sz w:val="32"/>
          <w:szCs w:val="32"/>
        </w:rPr>
        <w:t>拓宽农民增收渠道。强化技能培训促进更高质量就业，紧密对接永吉经济开发区、冰雪试验区、中新食品区等重点平台用工需求，以及冰雪民宿管家、康养服务、电商直播等新业态岗位，开展</w:t>
      </w:r>
      <w:r>
        <w:rPr>
          <w:rFonts w:hint="eastAsia" w:eastAsia="方正仿宋简体"/>
          <w:color w:val="auto"/>
          <w:sz w:val="32"/>
          <w:szCs w:val="32"/>
        </w:rPr>
        <w:t>“</w:t>
      </w:r>
      <w:r>
        <w:rPr>
          <w:rFonts w:eastAsia="方正仿宋简体"/>
          <w:color w:val="auto"/>
          <w:sz w:val="32"/>
          <w:szCs w:val="32"/>
        </w:rPr>
        <w:t>订单式</w:t>
      </w:r>
      <w:r>
        <w:rPr>
          <w:rFonts w:hint="eastAsia" w:eastAsia="方正仿宋简体"/>
          <w:color w:val="auto"/>
          <w:sz w:val="32"/>
          <w:szCs w:val="32"/>
        </w:rPr>
        <w:t>”“</w:t>
      </w:r>
      <w:r>
        <w:rPr>
          <w:rFonts w:eastAsia="方正仿宋简体"/>
          <w:color w:val="auto"/>
          <w:sz w:val="32"/>
          <w:szCs w:val="32"/>
        </w:rPr>
        <w:t>定向式</w:t>
      </w:r>
      <w:r>
        <w:rPr>
          <w:rFonts w:hint="eastAsia" w:eastAsia="方正仿宋简体"/>
          <w:color w:val="auto"/>
          <w:sz w:val="32"/>
          <w:szCs w:val="32"/>
        </w:rPr>
        <w:t>”</w:t>
      </w:r>
      <w:r>
        <w:rPr>
          <w:rFonts w:eastAsia="方正仿宋简体"/>
          <w:color w:val="auto"/>
          <w:sz w:val="32"/>
          <w:szCs w:val="32"/>
        </w:rPr>
        <w:t>职业技能培训。坚持外出务工与就地就近就业并重，年均开展技能培训1000人次以上。优化环境支持在乡返乡创新创业，吸引高校毕业生、退役军人、返乡农民工等群体创办领办家庭农场、农民合作社，发展乡村休闲旅游、农村电商、乡土特色产业，打造一批</w:t>
      </w:r>
      <w:r>
        <w:rPr>
          <w:rFonts w:hint="eastAsia" w:eastAsia="方正仿宋简体"/>
          <w:color w:val="auto"/>
          <w:sz w:val="32"/>
          <w:szCs w:val="32"/>
        </w:rPr>
        <w:t>“</w:t>
      </w:r>
      <w:r>
        <w:rPr>
          <w:rFonts w:eastAsia="方正仿宋简体"/>
          <w:color w:val="auto"/>
          <w:sz w:val="32"/>
          <w:szCs w:val="32"/>
        </w:rPr>
        <w:t>永吉农创客</w:t>
      </w:r>
      <w:r>
        <w:rPr>
          <w:rFonts w:hint="eastAsia" w:eastAsia="方正仿宋简体"/>
          <w:color w:val="auto"/>
          <w:sz w:val="32"/>
          <w:szCs w:val="32"/>
        </w:rPr>
        <w:t>”“</w:t>
      </w:r>
      <w:r>
        <w:rPr>
          <w:rFonts w:eastAsia="方正仿宋简体"/>
          <w:color w:val="auto"/>
          <w:sz w:val="32"/>
          <w:szCs w:val="32"/>
        </w:rPr>
        <w:t>乡村合伙人</w:t>
      </w:r>
      <w:r>
        <w:rPr>
          <w:rFonts w:hint="eastAsia" w:eastAsia="方正仿宋简体"/>
          <w:color w:val="auto"/>
          <w:sz w:val="32"/>
          <w:szCs w:val="32"/>
        </w:rPr>
        <w:t>”</w:t>
      </w:r>
      <w:r>
        <w:rPr>
          <w:rFonts w:eastAsia="方正仿宋简体"/>
          <w:color w:val="auto"/>
          <w:sz w:val="32"/>
          <w:szCs w:val="32"/>
        </w:rPr>
        <w:t>样板，激活乡村内生发展动力。</w:t>
      </w:r>
    </w:p>
    <w:p w14:paraId="5C4B7DF1">
      <w:pPr>
        <w:spacing w:line="576" w:lineRule="exact"/>
        <w:ind w:firstLine="640" w:firstLineChars="200"/>
        <w:rPr>
          <w:rFonts w:eastAsia="方正仿宋简体"/>
          <w:color w:val="auto"/>
          <w:sz w:val="32"/>
          <w:szCs w:val="32"/>
        </w:rPr>
      </w:pPr>
      <w:r>
        <w:rPr>
          <w:rFonts w:eastAsia="方正仿宋简体"/>
          <w:color w:val="auto"/>
          <w:sz w:val="32"/>
          <w:szCs w:val="32"/>
        </w:rPr>
        <w:t>持续巩固拓展脱贫攻坚成果。强化监测预警与快速响应，建立完善农村低收入人口和脱贫不稳定人口动态监测数据库，健全跨部门信息共享与会商机制，做到早发现、早干预、早帮扶。实施分层分类精准帮扶，对有劳动能力的，优先通过产业和就业帮扶，引导其融入县域产业体系；对无劳动能力的，按规定落实兜底保障政策，确保基本生活无忧。提升产业就业帮扶实效。将财政衔接推进乡村振兴补助资金更多用于产业发展，带动脱贫群众通过土地流转、订单生产、就地务工等方式稳定增收。</w:t>
      </w:r>
    </w:p>
    <w:p w14:paraId="572B5B98">
      <w:pPr>
        <w:spacing w:line="576" w:lineRule="exact"/>
        <w:ind w:firstLine="640" w:firstLineChars="200"/>
        <w:rPr>
          <w:rFonts w:eastAsia="方正仿宋简体"/>
          <w:color w:val="auto"/>
          <w:sz w:val="32"/>
          <w:szCs w:val="32"/>
        </w:rPr>
      </w:pPr>
      <w:r>
        <w:rPr>
          <w:rFonts w:eastAsia="方正仿宋简体"/>
          <w:color w:val="auto"/>
          <w:sz w:val="32"/>
          <w:szCs w:val="32"/>
        </w:rPr>
        <w:t>深化农村土地制度改革。巩固农村集体</w:t>
      </w:r>
      <w:r>
        <w:rPr>
          <w:rFonts w:hint="eastAsia" w:eastAsia="方正仿宋简体"/>
          <w:color w:val="auto"/>
          <w:sz w:val="32"/>
          <w:szCs w:val="32"/>
        </w:rPr>
        <w:t>“</w:t>
      </w:r>
      <w:r>
        <w:rPr>
          <w:rFonts w:eastAsia="方正仿宋简体"/>
          <w:color w:val="auto"/>
          <w:sz w:val="32"/>
          <w:szCs w:val="32"/>
        </w:rPr>
        <w:t>三资</w:t>
      </w:r>
      <w:r>
        <w:rPr>
          <w:rFonts w:hint="eastAsia" w:eastAsia="方正仿宋简体"/>
          <w:color w:val="auto"/>
          <w:sz w:val="32"/>
          <w:szCs w:val="32"/>
        </w:rPr>
        <w:t>”</w:t>
      </w:r>
      <w:r>
        <w:rPr>
          <w:rFonts w:eastAsia="方正仿宋简体"/>
          <w:color w:val="auto"/>
          <w:sz w:val="32"/>
          <w:szCs w:val="32"/>
        </w:rPr>
        <w:t>规范化管理成果，健全集体资产管理制度，促进集体资产保值增值。推进集体经营性建设用地入市，加强农村产权交易市场建设，完善交易体系与规则，强化风险防控与监督管理，全面提升产权流转质量。巩固和完善</w:t>
      </w:r>
      <w:r>
        <w:rPr>
          <w:rFonts w:hint="eastAsia" w:eastAsia="方正仿宋简体"/>
          <w:color w:val="auto"/>
          <w:sz w:val="32"/>
          <w:szCs w:val="32"/>
        </w:rPr>
        <w:t>农</w:t>
      </w:r>
      <w:r>
        <w:rPr>
          <w:rFonts w:eastAsia="方正仿宋简体"/>
          <w:color w:val="auto"/>
          <w:sz w:val="32"/>
          <w:szCs w:val="32"/>
        </w:rPr>
        <w:t>村基本经营制度，有序推进第二轮土地承包到期后再延长30年试点。深化承包地所有权、承包权、经营权分置改革，发展农业适度规模经营，规范土地承包经营纠纷调解仲裁，切实维护农民权益，激发农村资源要素活力。</w:t>
      </w:r>
    </w:p>
    <w:p w14:paraId="3565B647">
      <w:pPr>
        <w:spacing w:line="576" w:lineRule="exact"/>
        <w:jc w:val="center"/>
        <w:rPr>
          <w:rFonts w:eastAsia="方正楷体简体"/>
          <w:color w:val="auto"/>
          <w:sz w:val="32"/>
          <w:szCs w:val="32"/>
        </w:rPr>
      </w:pPr>
      <w:r>
        <w:rPr>
          <w:rFonts w:eastAsia="方正楷体简体"/>
          <w:color w:val="auto"/>
          <w:sz w:val="32"/>
          <w:szCs w:val="32"/>
        </w:rPr>
        <w:t>第五节  促进城乡深度融合发展</w:t>
      </w:r>
    </w:p>
    <w:p w14:paraId="1A0E9664">
      <w:pPr>
        <w:spacing w:line="576" w:lineRule="exact"/>
        <w:ind w:firstLine="640" w:firstLineChars="200"/>
        <w:rPr>
          <w:rFonts w:eastAsia="方正仿宋简体"/>
          <w:color w:val="auto"/>
          <w:sz w:val="32"/>
          <w:szCs w:val="32"/>
        </w:rPr>
      </w:pPr>
      <w:r>
        <w:rPr>
          <w:rFonts w:eastAsia="方正仿宋简体"/>
          <w:color w:val="auto"/>
          <w:sz w:val="32"/>
          <w:szCs w:val="32"/>
        </w:rPr>
        <w:t>统筹新型城镇化和乡村全面振兴，立足空间布局和产业特色，推动城乡产业互促共进，持续推进农业转移人口市民化。</w:t>
      </w:r>
    </w:p>
    <w:p w14:paraId="3CAC3094">
      <w:pPr>
        <w:spacing w:line="576" w:lineRule="exact"/>
        <w:ind w:firstLine="640" w:firstLineChars="200"/>
        <w:rPr>
          <w:rFonts w:eastAsia="方正仿宋简体"/>
          <w:color w:val="auto"/>
          <w:sz w:val="32"/>
          <w:szCs w:val="32"/>
        </w:rPr>
      </w:pPr>
      <w:r>
        <w:rPr>
          <w:rFonts w:eastAsia="方正仿宋简体"/>
          <w:color w:val="auto"/>
          <w:sz w:val="32"/>
          <w:szCs w:val="32"/>
        </w:rPr>
        <w:t>促进城乡要素双向有序流动。畅通人才入乡渠道。实施返乡入乡创业兴业促进行动，落实创业担保贷款、税费减免等扶持政策。强化金融资源下乡。深化农村金融服务体系改革，推广</w:t>
      </w:r>
      <w:r>
        <w:rPr>
          <w:rFonts w:hint="eastAsia" w:eastAsia="方正仿宋简体"/>
          <w:color w:val="auto"/>
          <w:sz w:val="32"/>
          <w:szCs w:val="32"/>
        </w:rPr>
        <w:t>“</w:t>
      </w:r>
      <w:r>
        <w:rPr>
          <w:rFonts w:eastAsia="方正仿宋简体"/>
          <w:color w:val="auto"/>
          <w:sz w:val="32"/>
          <w:szCs w:val="32"/>
        </w:rPr>
        <w:t>农地贷</w:t>
      </w:r>
      <w:r>
        <w:rPr>
          <w:rFonts w:hint="eastAsia" w:eastAsia="方正仿宋简体"/>
          <w:color w:val="auto"/>
          <w:sz w:val="32"/>
          <w:szCs w:val="32"/>
        </w:rPr>
        <w:t>”</w:t>
      </w:r>
      <w:r>
        <w:rPr>
          <w:rFonts w:eastAsia="方正仿宋简体"/>
          <w:color w:val="auto"/>
          <w:sz w:val="32"/>
          <w:szCs w:val="32"/>
        </w:rPr>
        <w:t>等普惠金融产品。完善</w:t>
      </w:r>
      <w:r>
        <w:rPr>
          <w:rFonts w:hint="eastAsia" w:eastAsia="方正仿宋简体"/>
          <w:color w:val="auto"/>
          <w:sz w:val="32"/>
          <w:szCs w:val="32"/>
        </w:rPr>
        <w:t>“</w:t>
      </w:r>
      <w:r>
        <w:rPr>
          <w:rFonts w:eastAsia="方正仿宋简体"/>
          <w:color w:val="auto"/>
          <w:sz w:val="32"/>
          <w:szCs w:val="32"/>
        </w:rPr>
        <w:t>吉农金服</w:t>
      </w:r>
      <w:r>
        <w:rPr>
          <w:rFonts w:hint="eastAsia" w:eastAsia="方正仿宋简体"/>
          <w:color w:val="auto"/>
          <w:sz w:val="32"/>
          <w:szCs w:val="32"/>
        </w:rPr>
        <w:t>”</w:t>
      </w:r>
      <w:r>
        <w:rPr>
          <w:rFonts w:eastAsia="方正仿宋简体"/>
          <w:color w:val="auto"/>
          <w:sz w:val="32"/>
          <w:szCs w:val="32"/>
        </w:rPr>
        <w:t>永吉服务站功能，扩大村级覆盖面。推动科技服务下沉。健全科技特派员制度，实现脱贫村和重点产业村全覆盖。围绕水稻、柞蚕、人参等特色产业，组织农业专家开展</w:t>
      </w:r>
      <w:r>
        <w:rPr>
          <w:rFonts w:hint="eastAsia" w:eastAsia="方正仿宋简体"/>
          <w:color w:val="auto"/>
          <w:sz w:val="32"/>
          <w:szCs w:val="32"/>
        </w:rPr>
        <w:t>“</w:t>
      </w:r>
      <w:r>
        <w:rPr>
          <w:rFonts w:eastAsia="方正仿宋简体"/>
          <w:color w:val="auto"/>
          <w:sz w:val="32"/>
          <w:szCs w:val="32"/>
        </w:rPr>
        <w:t>点对点</w:t>
      </w:r>
      <w:r>
        <w:rPr>
          <w:rFonts w:hint="eastAsia" w:eastAsia="方正仿宋简体"/>
          <w:color w:val="auto"/>
          <w:sz w:val="32"/>
          <w:szCs w:val="32"/>
        </w:rPr>
        <w:t>”</w:t>
      </w:r>
      <w:r>
        <w:rPr>
          <w:rFonts w:eastAsia="方正仿宋简体"/>
          <w:color w:val="auto"/>
          <w:sz w:val="32"/>
          <w:szCs w:val="32"/>
        </w:rPr>
        <w:t>技术指导和培训。</w:t>
      </w:r>
    </w:p>
    <w:p w14:paraId="34D064B9">
      <w:pPr>
        <w:spacing w:line="576" w:lineRule="exact"/>
        <w:ind w:firstLine="640" w:firstLineChars="200"/>
        <w:rPr>
          <w:rFonts w:eastAsia="方正仿宋简体"/>
          <w:color w:val="auto"/>
          <w:sz w:val="32"/>
          <w:szCs w:val="32"/>
        </w:rPr>
      </w:pPr>
      <w:r>
        <w:rPr>
          <w:rFonts w:eastAsia="方正仿宋简体"/>
          <w:color w:val="auto"/>
          <w:sz w:val="32"/>
          <w:szCs w:val="32"/>
        </w:rPr>
        <w:t>合理配置城乡公共资源。实施教育结对帮扶计划。深化义务教育学校教师</w:t>
      </w:r>
      <w:r>
        <w:rPr>
          <w:rFonts w:hint="eastAsia" w:eastAsia="方正仿宋简体"/>
          <w:color w:val="auto"/>
          <w:sz w:val="32"/>
          <w:szCs w:val="32"/>
        </w:rPr>
        <w:t>“</w:t>
      </w:r>
      <w:r>
        <w:rPr>
          <w:rFonts w:eastAsia="方正仿宋简体"/>
          <w:color w:val="auto"/>
          <w:sz w:val="32"/>
          <w:szCs w:val="32"/>
        </w:rPr>
        <w:t>县管校聘</w:t>
      </w:r>
      <w:r>
        <w:rPr>
          <w:rFonts w:hint="eastAsia" w:eastAsia="方正仿宋简体"/>
          <w:color w:val="auto"/>
          <w:sz w:val="32"/>
          <w:szCs w:val="32"/>
        </w:rPr>
        <w:t>”</w:t>
      </w:r>
      <w:r>
        <w:rPr>
          <w:rFonts w:eastAsia="方正仿宋简体"/>
          <w:color w:val="auto"/>
          <w:sz w:val="32"/>
          <w:szCs w:val="32"/>
        </w:rPr>
        <w:t>管理改革，推动优秀校长、教师在城乡间、校际间合理流动。提升乡村医疗卫生服务能力。深化紧密型县域医共体建设，推动县级医院优质医疗资源常态化下沉乡镇卫生院。完善城乡统一的居民基本养老保险、基本医疗保险制度，稳步提高保障水平。健全农村留守儿童、妇女、老年人关爱服务体系。</w:t>
      </w:r>
    </w:p>
    <w:p w14:paraId="39B4E792">
      <w:pPr>
        <w:pStyle w:val="3"/>
        <w:spacing w:before="0" w:after="0" w:line="500" w:lineRule="exact"/>
        <w:jc w:val="center"/>
        <w:rPr>
          <w:rFonts w:eastAsia="方正黑体简体"/>
          <w:color w:val="auto"/>
          <w:sz w:val="32"/>
          <w:szCs w:val="32"/>
        </w:rPr>
      </w:pPr>
    </w:p>
    <w:p w14:paraId="6C24A820">
      <w:pPr>
        <w:pStyle w:val="3"/>
        <w:spacing w:before="0" w:after="0" w:line="500" w:lineRule="exact"/>
        <w:jc w:val="center"/>
        <w:rPr>
          <w:rFonts w:eastAsia="方正黑体简体"/>
          <w:color w:val="auto"/>
          <w:sz w:val="32"/>
          <w:szCs w:val="32"/>
        </w:rPr>
      </w:pPr>
      <w:r>
        <w:rPr>
          <w:rFonts w:eastAsia="方正黑体简体"/>
          <w:color w:val="auto"/>
          <w:sz w:val="32"/>
          <w:szCs w:val="32"/>
        </w:rPr>
        <w:t xml:space="preserve">专栏3 </w:t>
      </w:r>
      <w:r>
        <w:rPr>
          <w:rFonts w:hint="eastAsia" w:eastAsia="方正黑体简体"/>
          <w:color w:val="auto"/>
          <w:sz w:val="32"/>
          <w:szCs w:val="32"/>
        </w:rPr>
        <w:t>“</w:t>
      </w:r>
      <w:r>
        <w:rPr>
          <w:rFonts w:eastAsia="方正黑体简体"/>
          <w:color w:val="auto"/>
          <w:sz w:val="32"/>
          <w:szCs w:val="32"/>
        </w:rPr>
        <w:t>十五五</w:t>
      </w:r>
      <w:r>
        <w:rPr>
          <w:rFonts w:hint="eastAsia" w:eastAsia="方正黑体简体"/>
          <w:color w:val="auto"/>
          <w:sz w:val="32"/>
          <w:szCs w:val="32"/>
        </w:rPr>
        <w:t>”</w:t>
      </w:r>
      <w:r>
        <w:rPr>
          <w:rFonts w:eastAsia="方正黑体简体"/>
          <w:color w:val="auto"/>
          <w:sz w:val="32"/>
          <w:szCs w:val="32"/>
        </w:rPr>
        <w:t>期间乡村全面振兴重大工程</w:t>
      </w:r>
    </w:p>
    <w:tbl>
      <w:tblPr>
        <w:tblStyle w:val="15"/>
        <w:tblW w:w="9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46"/>
      </w:tblGrid>
      <w:tr w14:paraId="4D787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46" w:type="dxa"/>
          </w:tcPr>
          <w:p w14:paraId="5552B688">
            <w:pPr>
              <w:spacing w:line="560" w:lineRule="exact"/>
              <w:ind w:firstLine="640" w:firstLineChars="200"/>
              <w:rPr>
                <w:rFonts w:eastAsia="方正仿宋简体"/>
                <w:color w:val="auto"/>
                <w:sz w:val="32"/>
                <w:szCs w:val="32"/>
              </w:rPr>
            </w:pPr>
            <w:r>
              <w:rPr>
                <w:rFonts w:eastAsia="方正楷体简体"/>
                <w:color w:val="auto"/>
                <w:sz w:val="32"/>
                <w:szCs w:val="32"/>
              </w:rPr>
              <w:t>粮食安全保障工程。</w:t>
            </w:r>
            <w:r>
              <w:rPr>
                <w:rFonts w:eastAsia="方正仿宋简体"/>
                <w:color w:val="auto"/>
                <w:sz w:val="32"/>
                <w:szCs w:val="32"/>
              </w:rPr>
              <w:t>为筑牢县域粮食安全防线，夯实农业生产根基，永吉县以高标准农田建设、黑土地保护及特色产业培育为核心，谋划推动高标准农田项目、黑土地保护等项目。</w:t>
            </w:r>
          </w:p>
          <w:p w14:paraId="61315041">
            <w:pPr>
              <w:spacing w:line="560" w:lineRule="exact"/>
              <w:ind w:firstLine="640" w:firstLineChars="200"/>
              <w:rPr>
                <w:rFonts w:eastAsia="方正仿宋简体"/>
                <w:color w:val="auto"/>
                <w:sz w:val="32"/>
                <w:szCs w:val="32"/>
              </w:rPr>
            </w:pPr>
            <w:r>
              <w:rPr>
                <w:rFonts w:eastAsia="方正楷体简体"/>
                <w:color w:val="auto"/>
                <w:sz w:val="32"/>
                <w:szCs w:val="32"/>
              </w:rPr>
              <w:t>特色农业品牌价值提升工程。</w:t>
            </w:r>
            <w:r>
              <w:rPr>
                <w:rFonts w:eastAsia="方正仿宋简体"/>
                <w:color w:val="auto"/>
                <w:sz w:val="32"/>
                <w:szCs w:val="32"/>
              </w:rPr>
              <w:t>为增强县域特色农业竞争力，打响地域农产品品牌，永吉县聚焦优势种养产业与品牌培育，谋划推动养殖场、中草药、肉牛屠宰加工等项目。</w:t>
            </w:r>
          </w:p>
          <w:p w14:paraId="3BE0A714">
            <w:pPr>
              <w:spacing w:line="560" w:lineRule="exact"/>
              <w:ind w:firstLine="640" w:firstLineChars="200"/>
              <w:rPr>
                <w:rFonts w:eastAsia="方正仿宋简体"/>
                <w:color w:val="auto"/>
                <w:sz w:val="32"/>
                <w:szCs w:val="32"/>
              </w:rPr>
            </w:pPr>
            <w:r>
              <w:rPr>
                <w:rFonts w:eastAsia="方正楷体简体"/>
                <w:color w:val="auto"/>
                <w:sz w:val="32"/>
                <w:szCs w:val="32"/>
              </w:rPr>
              <w:t>乡村三产并驱融合工程。</w:t>
            </w:r>
            <w:r>
              <w:rPr>
                <w:rFonts w:eastAsia="方正仿宋简体"/>
                <w:color w:val="auto"/>
                <w:sz w:val="32"/>
                <w:szCs w:val="32"/>
              </w:rPr>
              <w:t>为打破产业边界，促进农业、文旅、服务业深度融合，激活乡村发展新动能，永吉县统筹推进农旅融合、循环农业及产业园区建设，谋划推动畜禽粪污资源化利用、特色旅游等项目。</w:t>
            </w:r>
          </w:p>
          <w:p w14:paraId="34767F76">
            <w:pPr>
              <w:spacing w:line="560" w:lineRule="exact"/>
              <w:ind w:firstLine="640" w:firstLineChars="200"/>
              <w:rPr>
                <w:rFonts w:eastAsia="方正仿宋简体"/>
                <w:color w:val="auto"/>
                <w:sz w:val="32"/>
                <w:szCs w:val="32"/>
              </w:rPr>
            </w:pPr>
            <w:r>
              <w:rPr>
                <w:rFonts w:eastAsia="方正楷体简体"/>
                <w:color w:val="auto"/>
                <w:sz w:val="32"/>
                <w:szCs w:val="32"/>
              </w:rPr>
              <w:t>科技农业提升工程。</w:t>
            </w:r>
            <w:r>
              <w:rPr>
                <w:rFonts w:eastAsia="方正仿宋简体"/>
                <w:color w:val="auto"/>
                <w:sz w:val="32"/>
                <w:szCs w:val="32"/>
              </w:rPr>
              <w:t>为以科技赋能农业发展，提高农业生产效率与现代化水平，永吉县聚焦智慧农机与农产品精深加工技术应用，谋划推动水稻种植深加工项目、永吉县智慧农机装备产业园项目等项目。</w:t>
            </w:r>
          </w:p>
          <w:p w14:paraId="41049980">
            <w:pPr>
              <w:spacing w:line="560" w:lineRule="exact"/>
              <w:ind w:firstLine="640" w:firstLineChars="200"/>
              <w:rPr>
                <w:rFonts w:eastAsia="方正仿宋简体"/>
                <w:color w:val="auto"/>
                <w:sz w:val="32"/>
                <w:szCs w:val="32"/>
              </w:rPr>
            </w:pPr>
            <w:r>
              <w:rPr>
                <w:rFonts w:eastAsia="方正楷体简体"/>
                <w:color w:val="auto"/>
                <w:sz w:val="32"/>
                <w:szCs w:val="32"/>
              </w:rPr>
              <w:t>乡村基础设施提档升级工程。</w:t>
            </w:r>
            <w:r>
              <w:rPr>
                <w:rFonts w:eastAsia="方正仿宋简体"/>
                <w:color w:val="auto"/>
                <w:sz w:val="32"/>
                <w:szCs w:val="32"/>
              </w:rPr>
              <w:t>为改善乡村生产生活条件，补齐基础设施短板，筑牢乡村振兴硬件支撑，永吉县全面推进美丽乡村、交通、环保等基础设施建设，谋划推动美丽乡村、森林火灾综合治理、乡道路面改造等项目。</w:t>
            </w:r>
          </w:p>
          <w:p w14:paraId="68818FDA">
            <w:pPr>
              <w:spacing w:line="560" w:lineRule="exact"/>
              <w:ind w:firstLine="640" w:firstLineChars="200"/>
              <w:rPr>
                <w:rFonts w:eastAsia="方正仿宋简体"/>
                <w:color w:val="auto"/>
                <w:sz w:val="32"/>
                <w:szCs w:val="32"/>
              </w:rPr>
            </w:pPr>
            <w:r>
              <w:rPr>
                <w:rFonts w:eastAsia="方正楷体简体"/>
                <w:color w:val="auto"/>
                <w:sz w:val="32"/>
                <w:szCs w:val="32"/>
              </w:rPr>
              <w:t>乡村人居环境提升工程。</w:t>
            </w:r>
            <w:r>
              <w:rPr>
                <w:rFonts w:eastAsia="方正仿宋简体"/>
                <w:color w:val="auto"/>
                <w:sz w:val="32"/>
                <w:szCs w:val="32"/>
              </w:rPr>
              <w:t>为打造生态宜居乡村环境，提升村民生活幸福感，永吉县聚焦乡镇街区改造与生态环境美化，谋划推动老旧街区改造、河道护砌步道及绿化美化项目等项目。</w:t>
            </w:r>
          </w:p>
        </w:tc>
      </w:tr>
    </w:tbl>
    <w:p w14:paraId="2228DCDD">
      <w:pPr>
        <w:spacing w:line="576" w:lineRule="exact"/>
        <w:ind w:firstLine="640" w:firstLineChars="200"/>
        <w:rPr>
          <w:rFonts w:eastAsia="方正仿宋简体"/>
          <w:color w:val="auto"/>
          <w:sz w:val="32"/>
          <w:szCs w:val="32"/>
        </w:rPr>
      </w:pPr>
    </w:p>
    <w:p w14:paraId="6DBC554E">
      <w:pPr>
        <w:spacing w:line="576" w:lineRule="exact"/>
        <w:jc w:val="center"/>
        <w:rPr>
          <w:rFonts w:eastAsia="方正仿宋简体"/>
          <w:color w:val="auto"/>
          <w:sz w:val="32"/>
          <w:szCs w:val="32"/>
        </w:rPr>
      </w:pPr>
      <w:r>
        <w:rPr>
          <w:rFonts w:eastAsia="方正黑体简体"/>
          <w:color w:val="auto"/>
          <w:sz w:val="32"/>
          <w:szCs w:val="32"/>
        </w:rPr>
        <w:t>第五章  优化国土空间布局，构建区域协调发展新格局</w:t>
      </w:r>
    </w:p>
    <w:p w14:paraId="6D217763">
      <w:pPr>
        <w:spacing w:line="576" w:lineRule="exact"/>
        <w:ind w:firstLine="640" w:firstLineChars="200"/>
        <w:rPr>
          <w:rFonts w:eastAsia="方正仿宋简体"/>
          <w:color w:val="auto"/>
          <w:sz w:val="32"/>
          <w:szCs w:val="32"/>
        </w:rPr>
      </w:pPr>
      <w:r>
        <w:rPr>
          <w:rFonts w:eastAsia="方正仿宋简体"/>
          <w:color w:val="auto"/>
          <w:sz w:val="32"/>
          <w:szCs w:val="32"/>
        </w:rPr>
        <w:t>坚持战略引领与区域协同，以国土空间规划为基础，系统构建</w:t>
      </w:r>
      <w:r>
        <w:rPr>
          <w:rFonts w:hint="eastAsia" w:eastAsia="方正仿宋简体"/>
          <w:color w:val="auto"/>
          <w:sz w:val="32"/>
          <w:szCs w:val="32"/>
        </w:rPr>
        <w:t>“</w:t>
      </w:r>
      <w:r>
        <w:rPr>
          <w:rFonts w:eastAsia="方正仿宋简体"/>
          <w:color w:val="auto"/>
          <w:sz w:val="32"/>
          <w:szCs w:val="32"/>
        </w:rPr>
        <w:t>一体两翼、三区联动、多点协同</w:t>
      </w:r>
      <w:r>
        <w:rPr>
          <w:rFonts w:hint="eastAsia" w:eastAsia="方正仿宋简体"/>
          <w:color w:val="auto"/>
          <w:sz w:val="32"/>
          <w:szCs w:val="32"/>
        </w:rPr>
        <w:t>”</w:t>
      </w:r>
      <w:r>
        <w:rPr>
          <w:rFonts w:eastAsia="方正仿宋简体"/>
          <w:color w:val="auto"/>
          <w:sz w:val="32"/>
          <w:szCs w:val="32"/>
        </w:rPr>
        <w:t>的县域空间布局，细化空间发展策略，强化吉永同城化协同，积极融入长春现代化都市圈，推动形成功能互补、集约高效、安全韧性的市域副中心高质量发展新格局，全面提升永吉县域综合承载能力和区域竞争力。</w:t>
      </w:r>
    </w:p>
    <w:p w14:paraId="37EDFA17">
      <w:pPr>
        <w:spacing w:line="576" w:lineRule="exact"/>
        <w:jc w:val="center"/>
        <w:rPr>
          <w:rFonts w:eastAsia="方正楷体简体"/>
          <w:color w:val="auto"/>
          <w:sz w:val="32"/>
          <w:szCs w:val="32"/>
        </w:rPr>
      </w:pPr>
      <w:r>
        <w:rPr>
          <w:rFonts w:eastAsia="方正楷体简体"/>
          <w:color w:val="auto"/>
          <w:sz w:val="32"/>
          <w:szCs w:val="32"/>
        </w:rPr>
        <w:t>第一节  优化区域功能布局</w:t>
      </w:r>
    </w:p>
    <w:p w14:paraId="79F96480">
      <w:pPr>
        <w:spacing w:line="576" w:lineRule="exact"/>
        <w:ind w:firstLine="640" w:firstLineChars="200"/>
        <w:rPr>
          <w:rFonts w:hint="eastAsia" w:ascii="仿宋_GB2312" w:hAnsi="仿宋_GB2312" w:eastAsia="仿宋_GB2312" w:cs="仿宋_GB2312"/>
          <w:sz w:val="32"/>
          <w:szCs w:val="32"/>
          <w:highlight w:val="yellow"/>
          <w:shd w:val="clear" w:color="auto" w:fill="auto"/>
          <w:lang w:val="en-US" w:eastAsia="zh-CN"/>
        </w:rPr>
      </w:pPr>
      <w:r>
        <w:rPr>
          <w:rFonts w:eastAsia="方正仿宋简体"/>
          <w:color w:val="auto"/>
          <w:sz w:val="32"/>
          <w:szCs w:val="32"/>
        </w:rPr>
        <w:t>统筹县域空间资源，构建</w:t>
      </w:r>
      <w:r>
        <w:rPr>
          <w:rFonts w:hint="eastAsia" w:eastAsia="方正仿宋简体"/>
          <w:color w:val="auto"/>
          <w:sz w:val="32"/>
          <w:szCs w:val="32"/>
        </w:rPr>
        <w:t>“</w:t>
      </w:r>
      <w:r>
        <w:rPr>
          <w:rFonts w:eastAsia="方正仿宋简体"/>
          <w:color w:val="auto"/>
          <w:sz w:val="32"/>
          <w:szCs w:val="32"/>
        </w:rPr>
        <w:t>一体两翼、三区联动、多点协同</w:t>
      </w:r>
      <w:r>
        <w:rPr>
          <w:rFonts w:hint="eastAsia" w:eastAsia="方正仿宋简体"/>
          <w:color w:val="auto"/>
          <w:sz w:val="32"/>
          <w:szCs w:val="32"/>
        </w:rPr>
        <w:t>”</w:t>
      </w:r>
      <w:r>
        <w:rPr>
          <w:rFonts w:eastAsia="方正仿宋简体"/>
          <w:color w:val="auto"/>
          <w:sz w:val="32"/>
          <w:szCs w:val="32"/>
        </w:rPr>
        <w:t>的总体空间结构，推动发展策略精准落位、要素资源高效配置，形成功能明晰、协调联动的高质量发展国土空间体系。</w:t>
      </w:r>
      <w:r>
        <w:rPr>
          <w:rFonts w:hint="eastAsia" w:eastAsia="方正仿宋简体"/>
          <w:color w:val="auto"/>
          <w:sz w:val="32"/>
          <w:szCs w:val="32"/>
          <w:lang w:val="en-US" w:eastAsia="zh-CN"/>
        </w:rPr>
        <w:t>系统推动《永吉县部分行政区划调整组织实施总体方案》各项工作有序开展，以行政区划调整为切入点，进一步优化资源配置，全面提升县城承载能力与治理水平，为市域副中心建设提供坚实支撑。</w:t>
      </w:r>
    </w:p>
    <w:p w14:paraId="7BCD402E">
      <w:pPr>
        <w:spacing w:line="576" w:lineRule="exact"/>
        <w:ind w:firstLine="640" w:firstLineChars="200"/>
        <w:rPr>
          <w:rFonts w:eastAsia="方正仿宋简体"/>
          <w:color w:val="auto"/>
          <w:sz w:val="32"/>
          <w:szCs w:val="32"/>
        </w:rPr>
      </w:pPr>
      <w:r>
        <w:rPr>
          <w:rFonts w:eastAsia="方正仿宋简体"/>
          <w:color w:val="auto"/>
          <w:sz w:val="32"/>
          <w:szCs w:val="32"/>
        </w:rPr>
        <w:t>做实</w:t>
      </w:r>
      <w:r>
        <w:rPr>
          <w:rFonts w:hint="eastAsia" w:eastAsia="方正仿宋简体"/>
          <w:color w:val="auto"/>
          <w:sz w:val="32"/>
          <w:szCs w:val="32"/>
        </w:rPr>
        <w:t>“</w:t>
      </w:r>
      <w:r>
        <w:rPr>
          <w:rFonts w:eastAsia="方正仿宋简体"/>
          <w:color w:val="auto"/>
          <w:sz w:val="32"/>
          <w:szCs w:val="32"/>
        </w:rPr>
        <w:t>一体两翼</w:t>
      </w:r>
      <w:r>
        <w:rPr>
          <w:rFonts w:hint="eastAsia" w:eastAsia="方正仿宋简体"/>
          <w:color w:val="auto"/>
          <w:sz w:val="32"/>
          <w:szCs w:val="32"/>
        </w:rPr>
        <w:t>”</w:t>
      </w:r>
      <w:r>
        <w:rPr>
          <w:rFonts w:eastAsia="方正仿宋简体"/>
          <w:color w:val="auto"/>
          <w:sz w:val="32"/>
          <w:szCs w:val="32"/>
        </w:rPr>
        <w:t>发展格局。加强与冰雪试验区联动，积极承接吉林市冰雪产业辐射，发展冰雪旅游、装备制造及配套服务产业；依托中新食品区国家级对外开放平台优势，大力发展外向型农产品精深加工、食品制造及冷链物流产业，持续推动永吉与中新食品区、冰雪试验区优势互补、协同发展。</w:t>
      </w:r>
    </w:p>
    <w:p w14:paraId="0C2414E2">
      <w:pPr>
        <w:spacing w:line="576" w:lineRule="exact"/>
        <w:ind w:firstLine="640" w:firstLineChars="200"/>
        <w:rPr>
          <w:rFonts w:eastAsia="方正仿宋简体"/>
          <w:color w:val="auto"/>
          <w:sz w:val="32"/>
          <w:szCs w:val="32"/>
        </w:rPr>
      </w:pPr>
      <w:r>
        <w:rPr>
          <w:rFonts w:eastAsia="方正仿宋简体"/>
          <w:color w:val="auto"/>
          <w:sz w:val="32"/>
          <w:szCs w:val="32"/>
        </w:rPr>
        <w:t>强化</w:t>
      </w:r>
      <w:r>
        <w:rPr>
          <w:rFonts w:hint="eastAsia" w:eastAsia="方正仿宋简体"/>
          <w:color w:val="auto"/>
          <w:sz w:val="32"/>
          <w:szCs w:val="32"/>
        </w:rPr>
        <w:t>“</w:t>
      </w:r>
      <w:r>
        <w:rPr>
          <w:rFonts w:eastAsia="方正仿宋简体"/>
          <w:color w:val="auto"/>
          <w:sz w:val="32"/>
          <w:szCs w:val="32"/>
        </w:rPr>
        <w:t>三区</w:t>
      </w:r>
      <w:r>
        <w:rPr>
          <w:rFonts w:hint="eastAsia" w:eastAsia="方正仿宋简体"/>
          <w:color w:val="auto"/>
          <w:sz w:val="32"/>
          <w:szCs w:val="32"/>
        </w:rPr>
        <w:t>”</w:t>
      </w:r>
      <w:r>
        <w:rPr>
          <w:rFonts w:eastAsia="方正仿宋简体"/>
          <w:color w:val="auto"/>
          <w:sz w:val="32"/>
          <w:szCs w:val="32"/>
        </w:rPr>
        <w:t>联动，构建特色产业发展带。</w:t>
      </w:r>
    </w:p>
    <w:p w14:paraId="5F41D26E">
      <w:pPr>
        <w:spacing w:line="576" w:lineRule="exact"/>
        <w:ind w:firstLine="640" w:firstLineChars="200"/>
        <w:rPr>
          <w:rFonts w:eastAsia="方正仿宋简体"/>
          <w:color w:val="auto"/>
          <w:sz w:val="32"/>
          <w:szCs w:val="32"/>
        </w:rPr>
      </w:pPr>
      <w:r>
        <w:rPr>
          <w:rFonts w:eastAsia="方正仿宋简体"/>
          <w:color w:val="auto"/>
          <w:sz w:val="32"/>
          <w:szCs w:val="32"/>
        </w:rPr>
        <w:t>东部融合创新发展片区。以县城、北大湖镇为核心，承接吉林市电子信息、医药健康、装备制造等产业转移，打造长吉一体化先进制造高地。依托冰雪试验区，发展冰雪旅游、装备制造及配套服务产业，建设冰雪产业集聚区。</w:t>
      </w:r>
    </w:p>
    <w:p w14:paraId="7B32A5DE">
      <w:pPr>
        <w:spacing w:line="576" w:lineRule="exact"/>
        <w:ind w:firstLine="640" w:firstLineChars="200"/>
        <w:rPr>
          <w:rFonts w:eastAsia="方正仿宋简体"/>
          <w:color w:val="auto"/>
          <w:sz w:val="32"/>
          <w:szCs w:val="32"/>
        </w:rPr>
      </w:pPr>
      <w:r>
        <w:rPr>
          <w:rFonts w:eastAsia="方正仿宋简体"/>
          <w:color w:val="auto"/>
          <w:sz w:val="32"/>
          <w:szCs w:val="32"/>
        </w:rPr>
        <w:t>中部绿色循环经济片区。以西阳镇、双河镇为重点，推动钼矿绿色开采及尾矿综合利用，发展固废处置、新型建材、报废汽车拆解等循环经济产业，打造区域性资源循环利用基地。</w:t>
      </w:r>
    </w:p>
    <w:p w14:paraId="611222AB">
      <w:pPr>
        <w:spacing w:line="576" w:lineRule="exact"/>
        <w:ind w:firstLine="640" w:firstLineChars="200"/>
        <w:rPr>
          <w:rFonts w:eastAsia="方正仿宋简体"/>
          <w:color w:val="auto"/>
          <w:sz w:val="32"/>
          <w:szCs w:val="32"/>
        </w:rPr>
      </w:pPr>
      <w:r>
        <w:rPr>
          <w:rFonts w:eastAsia="方正仿宋简体"/>
          <w:color w:val="auto"/>
          <w:sz w:val="32"/>
          <w:szCs w:val="32"/>
        </w:rPr>
        <w:t>西部开放</w:t>
      </w:r>
      <w:r>
        <w:rPr>
          <w:rFonts w:hint="eastAsia" w:eastAsia="方正仿宋简体"/>
          <w:color w:val="auto"/>
          <w:sz w:val="32"/>
          <w:szCs w:val="32"/>
        </w:rPr>
        <w:t>协同发展</w:t>
      </w:r>
      <w:r>
        <w:rPr>
          <w:rFonts w:eastAsia="方正仿宋简体"/>
          <w:color w:val="auto"/>
          <w:sz w:val="32"/>
          <w:szCs w:val="32"/>
        </w:rPr>
        <w:t>片区。以万昌镇、岔路河镇、一拉溪镇为核心，发挥毗邻长春区位优势，发展优质农产品生产加工、冷链物流、温泉康养等产业，建设长吉两市绿色农产品供应基地和休闲康养目的地。</w:t>
      </w:r>
    </w:p>
    <w:p w14:paraId="0FC8DF0E">
      <w:pPr>
        <w:spacing w:line="576" w:lineRule="exact"/>
        <w:ind w:firstLine="640" w:firstLineChars="200"/>
        <w:rPr>
          <w:rFonts w:eastAsia="方正仿宋简体"/>
          <w:color w:val="auto"/>
          <w:sz w:val="32"/>
          <w:szCs w:val="32"/>
        </w:rPr>
      </w:pPr>
      <w:r>
        <w:rPr>
          <w:rFonts w:eastAsia="方正仿宋简体"/>
          <w:color w:val="auto"/>
          <w:sz w:val="32"/>
          <w:szCs w:val="32"/>
        </w:rPr>
        <w:t>培育</w:t>
      </w:r>
      <w:r>
        <w:rPr>
          <w:rFonts w:hint="eastAsia" w:eastAsia="方正仿宋简体"/>
          <w:color w:val="auto"/>
          <w:sz w:val="32"/>
          <w:szCs w:val="32"/>
        </w:rPr>
        <w:t>“</w:t>
      </w:r>
      <w:r>
        <w:rPr>
          <w:rFonts w:eastAsia="方正仿宋简体"/>
          <w:color w:val="auto"/>
          <w:sz w:val="32"/>
          <w:szCs w:val="32"/>
        </w:rPr>
        <w:t>多点</w:t>
      </w:r>
      <w:r>
        <w:rPr>
          <w:rFonts w:hint="eastAsia" w:eastAsia="方正仿宋简体"/>
          <w:color w:val="auto"/>
          <w:sz w:val="32"/>
          <w:szCs w:val="32"/>
        </w:rPr>
        <w:t>”</w:t>
      </w:r>
      <w:r>
        <w:rPr>
          <w:rFonts w:eastAsia="方正仿宋简体"/>
          <w:color w:val="auto"/>
          <w:sz w:val="32"/>
          <w:szCs w:val="32"/>
        </w:rPr>
        <w:t>支撑，打造特色功能节点。</w:t>
      </w:r>
    </w:p>
    <w:p w14:paraId="2821C2E7">
      <w:pPr>
        <w:spacing w:line="576" w:lineRule="exact"/>
        <w:ind w:firstLine="640" w:firstLineChars="200"/>
        <w:rPr>
          <w:rFonts w:eastAsia="方正仿宋简体"/>
          <w:color w:val="auto"/>
          <w:sz w:val="32"/>
          <w:szCs w:val="32"/>
        </w:rPr>
      </w:pPr>
      <w:r>
        <w:rPr>
          <w:rFonts w:eastAsia="方正仿宋简体"/>
          <w:color w:val="auto"/>
          <w:sz w:val="32"/>
          <w:szCs w:val="32"/>
        </w:rPr>
        <w:t>口前镇。聚焦乡村振兴与农业农村现代化，重点发展以柞蚕、蔬菜为主的特色种植业和规模化养殖业，培育冰雪配套服务与乡村文旅融合产业，建设绿色生态农业及乡村文旅融合发展区。北大湖镇。聚焦冰雪产城融合，完善滑雪度假配套设施，引进高端冰雪装备制造项目，重点发展冰雪主题民宿、休闲娱乐等业态，</w:t>
      </w:r>
      <w:r>
        <w:rPr>
          <w:rFonts w:hint="eastAsia" w:eastAsia="方正仿宋简体"/>
          <w:color w:val="auto"/>
          <w:sz w:val="32"/>
          <w:szCs w:val="32"/>
        </w:rPr>
        <w:t>打造</w:t>
      </w:r>
      <w:r>
        <w:rPr>
          <w:rFonts w:eastAsia="方正仿宋简体"/>
          <w:color w:val="auto"/>
          <w:sz w:val="32"/>
          <w:szCs w:val="32"/>
        </w:rPr>
        <w:t>冰雪旅游</w:t>
      </w:r>
      <w:r>
        <w:rPr>
          <w:rFonts w:hint="eastAsia" w:eastAsia="方正仿宋简体"/>
          <w:color w:val="auto"/>
          <w:sz w:val="32"/>
          <w:szCs w:val="32"/>
        </w:rPr>
        <w:t>配套服务集聚地</w:t>
      </w:r>
      <w:r>
        <w:rPr>
          <w:rFonts w:eastAsia="方正仿宋简体"/>
          <w:color w:val="auto"/>
          <w:sz w:val="32"/>
          <w:szCs w:val="32"/>
        </w:rPr>
        <w:t>。万昌镇。突出现代农业与地热资源综合利用，发展优质水稻种植加工、温泉康养等产业，打造</w:t>
      </w:r>
      <w:r>
        <w:rPr>
          <w:rFonts w:hint="eastAsia" w:eastAsia="方正仿宋简体"/>
          <w:color w:val="auto"/>
          <w:sz w:val="32"/>
          <w:szCs w:val="32"/>
        </w:rPr>
        <w:t>农旅融合</w:t>
      </w:r>
      <w:r>
        <w:rPr>
          <w:rFonts w:eastAsia="方正仿宋简体"/>
          <w:color w:val="auto"/>
          <w:sz w:val="32"/>
          <w:szCs w:val="32"/>
        </w:rPr>
        <w:t>特色镇。双河镇。依托矿产资源和交通优势，重点发展新型建材、农产品加工和仓储物流，优化特色种植与乡村旅游，建设工贸文旅融合型特色镇。西阳镇。强化物流节点功能，重点发展再生资源回收利用、农产品冷链物流等产业，建设区域性循环经济产业基地和物流集散中心。一拉溪镇。发挥温泉资源优势，重点发展康养休闲、生态旅游等产业，打造长春现代化都市圈温泉康养特色镇。岔路河镇。突出农业科技创新及开放发展，重点发展现代农业、农产品精深加工、食品制造等产业，建设现代农业与食品加工集群。金家乡。挖掘满族文化资源，重点发展民俗旅游、特色种植等产业，建设民族文化特色镇。黄榆乡。重点发展肉牛规模化养殖与北药精深加工等产业，合理开发石灰岩资源，培育生态休闲旅游，打造农牧循环产业链和特色资源加工基地。</w:t>
      </w:r>
    </w:p>
    <w:p w14:paraId="323ECED7">
      <w:pPr>
        <w:spacing w:line="576" w:lineRule="exact"/>
        <w:jc w:val="center"/>
        <w:rPr>
          <w:rFonts w:eastAsia="方正楷体简体"/>
          <w:color w:val="auto"/>
          <w:sz w:val="32"/>
          <w:szCs w:val="32"/>
        </w:rPr>
      </w:pPr>
      <w:r>
        <w:rPr>
          <w:rFonts w:eastAsia="方正楷体简体"/>
          <w:color w:val="auto"/>
          <w:sz w:val="32"/>
          <w:szCs w:val="32"/>
        </w:rPr>
        <w:t>第二节  细化空间发展策略与实施指引</w:t>
      </w:r>
    </w:p>
    <w:p w14:paraId="2E91ED6A">
      <w:pPr>
        <w:spacing w:line="576" w:lineRule="exact"/>
        <w:ind w:firstLine="640" w:firstLineChars="200"/>
        <w:rPr>
          <w:rFonts w:eastAsia="方正仿宋简体"/>
          <w:color w:val="auto"/>
          <w:sz w:val="32"/>
          <w:szCs w:val="32"/>
        </w:rPr>
      </w:pPr>
      <w:r>
        <w:rPr>
          <w:rFonts w:eastAsia="方正仿宋简体"/>
          <w:color w:val="auto"/>
          <w:sz w:val="32"/>
          <w:szCs w:val="32"/>
        </w:rPr>
        <w:t>立足资源环境承载能力和国土空间开发适宜性，引导资源要素合理配置和高效利用，保障</w:t>
      </w:r>
      <w:r>
        <w:rPr>
          <w:rFonts w:hint="eastAsia" w:eastAsia="方正仿宋简体"/>
          <w:color w:val="auto"/>
          <w:sz w:val="32"/>
          <w:szCs w:val="32"/>
        </w:rPr>
        <w:t>“</w:t>
      </w:r>
      <w:r>
        <w:rPr>
          <w:rFonts w:eastAsia="方正仿宋简体"/>
          <w:color w:val="auto"/>
          <w:sz w:val="32"/>
          <w:szCs w:val="32"/>
        </w:rPr>
        <w:t>东中西</w:t>
      </w:r>
      <w:r>
        <w:rPr>
          <w:rFonts w:hint="eastAsia" w:eastAsia="方正仿宋简体"/>
          <w:color w:val="auto"/>
          <w:sz w:val="32"/>
          <w:szCs w:val="32"/>
        </w:rPr>
        <w:t>”</w:t>
      </w:r>
      <w:r>
        <w:rPr>
          <w:rFonts w:eastAsia="方正仿宋简体"/>
          <w:color w:val="auto"/>
          <w:sz w:val="32"/>
          <w:szCs w:val="32"/>
        </w:rPr>
        <w:t>功能区战略落地。</w:t>
      </w:r>
    </w:p>
    <w:p w14:paraId="2F4DD725">
      <w:pPr>
        <w:spacing w:line="576" w:lineRule="exact"/>
        <w:ind w:firstLine="640" w:firstLineChars="200"/>
        <w:rPr>
          <w:rFonts w:eastAsia="方正仿宋简体"/>
          <w:color w:val="auto"/>
          <w:sz w:val="32"/>
          <w:szCs w:val="32"/>
        </w:rPr>
      </w:pPr>
      <w:r>
        <w:rPr>
          <w:rFonts w:eastAsia="方正仿宋简体"/>
          <w:color w:val="auto"/>
          <w:sz w:val="32"/>
          <w:szCs w:val="32"/>
        </w:rPr>
        <w:t>落实主体功能区战略。推进主体功能精准布局，细化功能分区。引导要素高效流动和合理集聚。东部融合创新区重点保障新型工业化、城镇化和产教融合发展空间，提升人口和经济集聚能力。中部绿色循环区重点保障生态安全与循环产业发展空间，优先保障生态安全，落实生态保护红线管理制度，实施生态保护和修复重大工程。强化资源安全和产业链延伸</w:t>
      </w:r>
      <w:r>
        <w:rPr>
          <w:rFonts w:hint="eastAsia" w:eastAsia="方正仿宋简体"/>
          <w:color w:val="auto"/>
          <w:sz w:val="32"/>
          <w:szCs w:val="32"/>
        </w:rPr>
        <w:t>。</w:t>
      </w:r>
      <w:r>
        <w:rPr>
          <w:rFonts w:eastAsia="方正仿宋简体"/>
          <w:color w:val="auto"/>
          <w:sz w:val="32"/>
          <w:szCs w:val="32"/>
        </w:rPr>
        <w:t>西部开放</w:t>
      </w:r>
      <w:r>
        <w:rPr>
          <w:rFonts w:hint="eastAsia" w:eastAsia="方正仿宋简体"/>
          <w:color w:val="auto"/>
          <w:sz w:val="32"/>
          <w:szCs w:val="32"/>
        </w:rPr>
        <w:t>协同发展片</w:t>
      </w:r>
      <w:r>
        <w:rPr>
          <w:rFonts w:eastAsia="方正仿宋简体"/>
          <w:color w:val="auto"/>
          <w:sz w:val="32"/>
          <w:szCs w:val="32"/>
        </w:rPr>
        <w:t>区实行最严格的耕地保护制度，完善耕地占补平衡机制，确保耕地数量不减少、质量有提升、生态功能稳定。财政投入重点向粮食安全、耕地质量和农业现代化倾斜。</w:t>
      </w:r>
    </w:p>
    <w:p w14:paraId="584385E6">
      <w:pPr>
        <w:spacing w:line="576" w:lineRule="exact"/>
        <w:ind w:firstLine="640" w:firstLineChars="200"/>
        <w:rPr>
          <w:rFonts w:eastAsia="方正仿宋简体"/>
          <w:color w:val="auto"/>
          <w:sz w:val="32"/>
          <w:szCs w:val="32"/>
        </w:rPr>
      </w:pPr>
      <w:r>
        <w:rPr>
          <w:rFonts w:eastAsia="方正仿宋简体"/>
          <w:color w:val="auto"/>
          <w:sz w:val="32"/>
          <w:szCs w:val="32"/>
        </w:rPr>
        <w:t>实施差异化空间发展策略。立足</w:t>
      </w:r>
      <w:r>
        <w:rPr>
          <w:rFonts w:hint="eastAsia" w:eastAsia="方正仿宋简体"/>
          <w:color w:val="auto"/>
          <w:sz w:val="32"/>
          <w:szCs w:val="32"/>
        </w:rPr>
        <w:t>“</w:t>
      </w:r>
      <w:r>
        <w:rPr>
          <w:rFonts w:eastAsia="方正仿宋简体"/>
          <w:color w:val="auto"/>
          <w:sz w:val="32"/>
          <w:szCs w:val="32"/>
        </w:rPr>
        <w:t>东部融合创新、中部绿色循环、西部开放</w:t>
      </w:r>
      <w:r>
        <w:rPr>
          <w:rFonts w:hint="eastAsia" w:eastAsia="方正仿宋简体"/>
          <w:color w:val="auto"/>
          <w:sz w:val="32"/>
          <w:szCs w:val="32"/>
        </w:rPr>
        <w:t>协同”</w:t>
      </w:r>
      <w:r>
        <w:rPr>
          <w:rFonts w:eastAsia="方正仿宋简体"/>
          <w:color w:val="auto"/>
          <w:sz w:val="32"/>
          <w:szCs w:val="32"/>
        </w:rPr>
        <w:t>功能分区定位，制定差异化发展策略，引导资源精准配置，构建自然资源</w:t>
      </w:r>
      <w:r>
        <w:rPr>
          <w:rFonts w:hint="eastAsia" w:eastAsia="方正仿宋简体"/>
          <w:color w:val="auto"/>
          <w:sz w:val="32"/>
          <w:szCs w:val="32"/>
        </w:rPr>
        <w:t>“</w:t>
      </w:r>
      <w:r>
        <w:rPr>
          <w:rFonts w:eastAsia="方正仿宋简体"/>
          <w:color w:val="auto"/>
          <w:sz w:val="32"/>
          <w:szCs w:val="32"/>
        </w:rPr>
        <w:t>一张图</w:t>
      </w:r>
      <w:r>
        <w:rPr>
          <w:rFonts w:hint="eastAsia" w:eastAsia="方正仿宋简体"/>
          <w:color w:val="auto"/>
          <w:sz w:val="32"/>
          <w:szCs w:val="32"/>
        </w:rPr>
        <w:t>”</w:t>
      </w:r>
      <w:r>
        <w:rPr>
          <w:rFonts w:eastAsia="方正仿宋简体"/>
          <w:color w:val="auto"/>
          <w:sz w:val="32"/>
          <w:szCs w:val="32"/>
        </w:rPr>
        <w:t>智慧管理系统，强化空间支撑保障及治理效能。优化现代</w:t>
      </w:r>
      <w:r>
        <w:rPr>
          <w:rFonts w:hint="eastAsia" w:eastAsia="方正仿宋简体"/>
          <w:color w:val="auto"/>
          <w:sz w:val="32"/>
          <w:szCs w:val="32"/>
        </w:rPr>
        <w:t>大</w:t>
      </w:r>
      <w:r>
        <w:rPr>
          <w:rFonts w:eastAsia="方正仿宋简体"/>
          <w:color w:val="auto"/>
          <w:sz w:val="32"/>
          <w:szCs w:val="32"/>
        </w:rPr>
        <w:t>农业格局。严守耕地红线，加快高标准农田建设，优先在西部开放</w:t>
      </w:r>
      <w:r>
        <w:rPr>
          <w:rFonts w:hint="eastAsia" w:eastAsia="方正仿宋简体"/>
          <w:color w:val="auto"/>
          <w:sz w:val="32"/>
          <w:szCs w:val="32"/>
        </w:rPr>
        <w:t>协同发展片</w:t>
      </w:r>
      <w:r>
        <w:rPr>
          <w:rFonts w:eastAsia="方正仿宋简体"/>
          <w:color w:val="auto"/>
          <w:sz w:val="32"/>
          <w:szCs w:val="32"/>
        </w:rPr>
        <w:t>区等重点区域实施土地整治，夯实</w:t>
      </w:r>
      <w:r>
        <w:rPr>
          <w:rFonts w:hint="eastAsia" w:eastAsia="方正仿宋简体"/>
          <w:color w:val="auto"/>
          <w:sz w:val="32"/>
          <w:szCs w:val="32"/>
        </w:rPr>
        <w:t>“</w:t>
      </w:r>
      <w:r>
        <w:rPr>
          <w:rFonts w:eastAsia="方正仿宋简体"/>
          <w:color w:val="auto"/>
          <w:sz w:val="32"/>
          <w:szCs w:val="32"/>
        </w:rPr>
        <w:t>永字号</w:t>
      </w:r>
      <w:r>
        <w:rPr>
          <w:rFonts w:hint="eastAsia" w:eastAsia="方正仿宋简体"/>
          <w:color w:val="auto"/>
          <w:sz w:val="32"/>
          <w:szCs w:val="32"/>
        </w:rPr>
        <w:t>”</w:t>
      </w:r>
      <w:r>
        <w:rPr>
          <w:rFonts w:eastAsia="方正仿宋简体"/>
          <w:color w:val="auto"/>
          <w:sz w:val="32"/>
          <w:szCs w:val="32"/>
        </w:rPr>
        <w:t>农产品生产基地空间基础，保障优质农产品供给。强化生态保护。巩固</w:t>
      </w:r>
      <w:r>
        <w:rPr>
          <w:rFonts w:hint="eastAsia" w:eastAsia="方正仿宋简体"/>
          <w:color w:val="auto"/>
          <w:sz w:val="32"/>
          <w:szCs w:val="32"/>
        </w:rPr>
        <w:t>“</w:t>
      </w:r>
      <w:r>
        <w:rPr>
          <w:rFonts w:eastAsia="方正仿宋简体"/>
          <w:color w:val="auto"/>
          <w:sz w:val="32"/>
          <w:szCs w:val="32"/>
        </w:rPr>
        <w:t>三区六廊，一网多点</w:t>
      </w:r>
      <w:r>
        <w:rPr>
          <w:rFonts w:hint="eastAsia" w:eastAsia="方正仿宋简体"/>
          <w:color w:val="auto"/>
          <w:sz w:val="32"/>
          <w:szCs w:val="32"/>
        </w:rPr>
        <w:t>”</w:t>
      </w:r>
      <w:r>
        <w:rPr>
          <w:rFonts w:eastAsia="方正仿宋简体"/>
          <w:color w:val="auto"/>
          <w:sz w:val="32"/>
          <w:szCs w:val="32"/>
        </w:rPr>
        <w:t>生态安全格局。东部加强森林生态系统保护，为产教融合和冰雪旅游提供生态屏障；中部重点防治水土流失，保障绿色循环产业安全发展；西部完善农田防护林，改善农村人居环境，支撑农业开放。加强松花江支流等生态廊道保护建设，维护生态系统完整性。完善城镇布局。强化县城核心引领，推动与吉林市西南区域一体化发展，增强东部融合创新区综合承载能力。强化中部县城、西阳镇、双河镇等节点支撑，打造先进制造与绿色循环产业基地，构建连接东西的区域协同发展轴带。培育岔路河镇、万昌镇等重点镇功能，支撑西部农产品加工与物流节点建设。将城市更新要求纳入规划实施，补齐公共服务和基础设施短板，科学布局</w:t>
      </w:r>
      <w:r>
        <w:rPr>
          <w:rFonts w:hint="eastAsia" w:eastAsia="方正仿宋简体"/>
          <w:color w:val="auto"/>
          <w:sz w:val="32"/>
          <w:szCs w:val="32"/>
        </w:rPr>
        <w:t>“</w:t>
      </w:r>
      <w:r>
        <w:rPr>
          <w:rFonts w:eastAsia="方正仿宋简体"/>
          <w:color w:val="auto"/>
          <w:sz w:val="32"/>
          <w:szCs w:val="32"/>
        </w:rPr>
        <w:t>平急两用</w:t>
      </w:r>
      <w:r>
        <w:rPr>
          <w:rFonts w:hint="eastAsia" w:eastAsia="方正仿宋简体"/>
          <w:color w:val="auto"/>
          <w:sz w:val="32"/>
          <w:szCs w:val="32"/>
        </w:rPr>
        <w:t>”</w:t>
      </w:r>
      <w:r>
        <w:rPr>
          <w:rFonts w:eastAsia="方正仿宋简体"/>
          <w:color w:val="auto"/>
          <w:sz w:val="32"/>
          <w:szCs w:val="32"/>
        </w:rPr>
        <w:t>设施，建设安全韧性城市。保护历史文脉。加强文化遗产与自然遗产空间整体保护和活化利用。东部重点挖掘冰雪文化价值，中部突出工业发展特色，西部彰显农耕文化传统，构建文化、自然、景观资源整体保护的空间格局，为各功能区注入文化内涵。</w:t>
      </w:r>
    </w:p>
    <w:p w14:paraId="3174B221">
      <w:pPr>
        <w:spacing w:line="576" w:lineRule="exact"/>
        <w:ind w:firstLine="640" w:firstLineChars="200"/>
        <w:rPr>
          <w:rFonts w:eastAsia="方正仿宋简体"/>
          <w:color w:val="auto"/>
          <w:sz w:val="32"/>
          <w:szCs w:val="32"/>
        </w:rPr>
      </w:pPr>
      <w:r>
        <w:rPr>
          <w:rFonts w:eastAsia="方正仿宋简体"/>
          <w:color w:val="auto"/>
          <w:sz w:val="32"/>
          <w:szCs w:val="32"/>
        </w:rPr>
        <w:t>优化产业空间资源配置。着力破解产业空间结构性矛盾，强化土地、能源等关键资源对产业高质量发展的空间保障。强化产业空间精准供给。建立全县存量土地资源动态数据库与</w:t>
      </w:r>
      <w:r>
        <w:rPr>
          <w:rFonts w:hint="eastAsia" w:eastAsia="方正仿宋简体"/>
          <w:color w:val="auto"/>
          <w:sz w:val="32"/>
          <w:szCs w:val="32"/>
        </w:rPr>
        <w:t>“</w:t>
      </w:r>
      <w:r>
        <w:rPr>
          <w:rFonts w:eastAsia="方正仿宋简体"/>
          <w:color w:val="auto"/>
          <w:sz w:val="32"/>
          <w:szCs w:val="32"/>
        </w:rPr>
        <w:t>资源地图</w:t>
      </w:r>
      <w:r>
        <w:rPr>
          <w:rFonts w:hint="eastAsia" w:eastAsia="方正仿宋简体"/>
          <w:color w:val="auto"/>
          <w:sz w:val="32"/>
          <w:szCs w:val="32"/>
        </w:rPr>
        <w:t>”</w:t>
      </w:r>
      <w:r>
        <w:rPr>
          <w:rFonts w:eastAsia="方正仿宋简体"/>
          <w:color w:val="auto"/>
          <w:sz w:val="32"/>
          <w:szCs w:val="32"/>
        </w:rPr>
        <w:t>，实施精细化开发。优先保障亩均投资强度和税收领先的优质制造业项目空间需求。推进高标准厂房、研发中试载体等新型产业空间建设，探索</w:t>
      </w:r>
      <w:r>
        <w:rPr>
          <w:rFonts w:hint="eastAsia" w:eastAsia="方正仿宋简体"/>
          <w:color w:val="auto"/>
          <w:sz w:val="32"/>
          <w:szCs w:val="32"/>
        </w:rPr>
        <w:t>“</w:t>
      </w:r>
      <w:r>
        <w:rPr>
          <w:rFonts w:eastAsia="方正仿宋简体"/>
          <w:color w:val="auto"/>
          <w:sz w:val="32"/>
          <w:szCs w:val="32"/>
        </w:rPr>
        <w:t>工业上楼</w:t>
      </w:r>
      <w:r>
        <w:rPr>
          <w:rFonts w:hint="eastAsia" w:eastAsia="方正仿宋简体"/>
          <w:color w:val="auto"/>
          <w:sz w:val="32"/>
          <w:szCs w:val="32"/>
        </w:rPr>
        <w:t>”</w:t>
      </w:r>
      <w:r>
        <w:rPr>
          <w:rFonts w:eastAsia="方正仿宋简体"/>
          <w:color w:val="auto"/>
          <w:sz w:val="32"/>
          <w:szCs w:val="32"/>
        </w:rPr>
        <w:t>模式，提升空间复合利用率。推动产业园区集约发展。实施园区</w:t>
      </w:r>
      <w:r>
        <w:rPr>
          <w:rFonts w:hint="eastAsia" w:eastAsia="方正仿宋简体"/>
          <w:color w:val="auto"/>
          <w:sz w:val="32"/>
          <w:szCs w:val="32"/>
        </w:rPr>
        <w:t>“</w:t>
      </w:r>
      <w:r>
        <w:rPr>
          <w:rFonts w:eastAsia="方正仿宋简体"/>
          <w:color w:val="auto"/>
          <w:sz w:val="32"/>
          <w:szCs w:val="32"/>
        </w:rPr>
        <w:t>提效增值</w:t>
      </w:r>
      <w:r>
        <w:rPr>
          <w:rFonts w:hint="eastAsia" w:eastAsia="方正仿宋简体"/>
          <w:color w:val="auto"/>
          <w:sz w:val="32"/>
          <w:szCs w:val="32"/>
        </w:rPr>
        <w:t>”</w:t>
      </w:r>
      <w:r>
        <w:rPr>
          <w:rFonts w:eastAsia="方正仿宋简体"/>
          <w:color w:val="auto"/>
          <w:sz w:val="32"/>
          <w:szCs w:val="32"/>
        </w:rPr>
        <w:t>工程，推动永吉经济开发区扩容提质，持续升级能源供应、道路交通、电力管网等空间基础设施。建立跨区域产业用地统筹协调机制，重点推动批而未供、低效工业用地的整合与再开发。实行与产业空间布局相匹配的要素供给机制，优先保障重点园区空间拓展需求。构建以亩均效益、创新和绿色水平为核心的空间绩效评估体系，实施差异化产业空间资源配置。</w:t>
      </w:r>
    </w:p>
    <w:p w14:paraId="64E27334">
      <w:pPr>
        <w:spacing w:line="576" w:lineRule="exact"/>
        <w:jc w:val="center"/>
        <w:rPr>
          <w:rFonts w:eastAsia="方正楷体简体"/>
          <w:color w:val="auto"/>
          <w:sz w:val="32"/>
          <w:szCs w:val="32"/>
        </w:rPr>
      </w:pPr>
      <w:r>
        <w:rPr>
          <w:rFonts w:eastAsia="方正楷体简体"/>
          <w:color w:val="auto"/>
          <w:sz w:val="32"/>
          <w:szCs w:val="32"/>
        </w:rPr>
        <w:t>第三节  加快与吉林市区同城化发展</w:t>
      </w:r>
    </w:p>
    <w:p w14:paraId="5E6A7C36">
      <w:pPr>
        <w:spacing w:line="576" w:lineRule="exact"/>
        <w:ind w:firstLine="640" w:firstLineChars="200"/>
        <w:rPr>
          <w:rFonts w:eastAsia="方正仿宋简体"/>
          <w:color w:val="auto"/>
          <w:sz w:val="32"/>
          <w:szCs w:val="32"/>
        </w:rPr>
      </w:pPr>
      <w:r>
        <w:rPr>
          <w:rFonts w:eastAsia="方正仿宋简体"/>
          <w:color w:val="auto"/>
          <w:sz w:val="32"/>
          <w:szCs w:val="32"/>
        </w:rPr>
        <w:t>以大学城为同城化重要连接节点，推动各类业态进一步丰富，基础设施进一步完善，生态环境进一步美化，公共服务进一步提升，构建起</w:t>
      </w:r>
      <w:r>
        <w:rPr>
          <w:rFonts w:hint="eastAsia" w:eastAsia="方正仿宋简体"/>
          <w:color w:val="auto"/>
          <w:sz w:val="32"/>
          <w:szCs w:val="32"/>
        </w:rPr>
        <w:t>“</w:t>
      </w:r>
      <w:r>
        <w:rPr>
          <w:rFonts w:eastAsia="方正仿宋简体"/>
          <w:color w:val="auto"/>
          <w:sz w:val="32"/>
          <w:szCs w:val="32"/>
        </w:rPr>
        <w:t>交通同网、产业同链、功能同构、服务同享</w:t>
      </w:r>
      <w:r>
        <w:rPr>
          <w:rFonts w:hint="eastAsia" w:eastAsia="方正仿宋简体"/>
          <w:color w:val="auto"/>
          <w:sz w:val="32"/>
          <w:szCs w:val="32"/>
        </w:rPr>
        <w:t>”</w:t>
      </w:r>
      <w:r>
        <w:rPr>
          <w:rFonts w:eastAsia="方正仿宋简体"/>
          <w:color w:val="auto"/>
          <w:sz w:val="32"/>
          <w:szCs w:val="32"/>
        </w:rPr>
        <w:t>的发展脉络，更好推动吉永同城化发展。聚焦沿线环境，深入实施永吉县城东吉桦路两侧环境综合提升工程，统筹做好道路拓宽、沿街立面整治、公园绿地布局、公共设施建设等工作，推进县中医院迁址改造。推进吉桦路沿线</w:t>
      </w:r>
      <w:r>
        <w:rPr>
          <w:rFonts w:hint="eastAsia" w:eastAsia="方正仿宋简体"/>
          <w:color w:val="auto"/>
          <w:sz w:val="32"/>
          <w:szCs w:val="32"/>
        </w:rPr>
        <w:t>“</w:t>
      </w:r>
      <w:r>
        <w:rPr>
          <w:rFonts w:eastAsia="方正仿宋简体"/>
          <w:color w:val="auto"/>
          <w:sz w:val="32"/>
          <w:szCs w:val="32"/>
        </w:rPr>
        <w:t>退二进三</w:t>
      </w:r>
      <w:r>
        <w:rPr>
          <w:rFonts w:hint="eastAsia" w:eastAsia="方正仿宋简体"/>
          <w:color w:val="auto"/>
          <w:sz w:val="32"/>
          <w:szCs w:val="32"/>
        </w:rPr>
        <w:t>”</w:t>
      </w:r>
      <w:r>
        <w:rPr>
          <w:rFonts w:eastAsia="方正仿宋简体"/>
          <w:color w:val="auto"/>
          <w:sz w:val="32"/>
          <w:szCs w:val="32"/>
        </w:rPr>
        <w:t>改造，强化与丰满区协同配合，加快沿线征拆、土地收储，增建城市驿站、特色博物馆、文化体育公园等配套设施。统筹推进大学城周边商贸、休闲业态升级，谋划布局休闲购物区、商业步行街等，引进高端酒店、宾馆，打造承接雪季消费外溢重要载体。积极争取202国道绕越线安全韧性提升工程落地，主动对接吉林至松花湖至北大湖冰雪旅游城际专线建设，构建吉林市区与永吉县快速联动通道。推动公共服务同城。引进吉林市优质教育资源，通过“名校办分校”“集团化办学”提升永吉中小学教育质量，推动市县高校、中职合作实现课程共建、师资共享、学分互认。与吉林市三甲医院建立远程会诊、双向转诊机制。</w:t>
      </w:r>
    </w:p>
    <w:p w14:paraId="362C1A28">
      <w:pPr>
        <w:spacing w:line="576" w:lineRule="exact"/>
        <w:jc w:val="center"/>
        <w:rPr>
          <w:rFonts w:eastAsia="方正楷体简体"/>
          <w:color w:val="auto"/>
          <w:sz w:val="32"/>
          <w:szCs w:val="32"/>
        </w:rPr>
      </w:pPr>
      <w:r>
        <w:rPr>
          <w:rFonts w:eastAsia="方正楷体简体"/>
          <w:color w:val="auto"/>
          <w:sz w:val="32"/>
          <w:szCs w:val="32"/>
        </w:rPr>
        <w:t>第四节  深度融入长春现代化都市圈</w:t>
      </w:r>
    </w:p>
    <w:p w14:paraId="54F431A5">
      <w:pPr>
        <w:spacing w:line="576" w:lineRule="exact"/>
        <w:ind w:firstLine="640" w:firstLineChars="200"/>
        <w:rPr>
          <w:rFonts w:eastAsia="方正仿宋简体"/>
          <w:color w:val="auto"/>
          <w:sz w:val="32"/>
          <w:szCs w:val="32"/>
        </w:rPr>
      </w:pPr>
      <w:r>
        <w:rPr>
          <w:rFonts w:eastAsia="方正仿宋简体"/>
          <w:color w:val="auto"/>
          <w:sz w:val="32"/>
          <w:szCs w:val="32"/>
        </w:rPr>
        <w:t>面向长春现代化都市圈巨大的市场、科技与产业资源，强化跨区域协同与功能互补，以产业配套、市场供应、功能延伸为主攻方向，将永吉县打造成为重要的产业协作配套区、绿色农产品供应地和休闲消费延伸区。</w:t>
      </w:r>
    </w:p>
    <w:p w14:paraId="37215ADD">
      <w:pPr>
        <w:spacing w:line="576" w:lineRule="exact"/>
        <w:ind w:firstLine="640" w:firstLineChars="200"/>
        <w:rPr>
          <w:rFonts w:hint="eastAsia" w:eastAsia="方正仿宋简体"/>
          <w:color w:val="auto"/>
          <w:sz w:val="32"/>
          <w:szCs w:val="32"/>
          <w:highlight w:val="yellow"/>
          <w:lang w:eastAsia="zh-CN"/>
        </w:rPr>
      </w:pPr>
      <w:r>
        <w:rPr>
          <w:rFonts w:eastAsia="方正仿宋简体"/>
          <w:color w:val="auto"/>
          <w:sz w:val="32"/>
          <w:szCs w:val="32"/>
        </w:rPr>
        <w:t>打造都市圈产业协同配套基地。主动对接长春万亿级产业体系，找准产业链供应链配套环节，构建跨区域的</w:t>
      </w:r>
      <w:r>
        <w:rPr>
          <w:rFonts w:hint="eastAsia" w:eastAsia="方正仿宋简体"/>
          <w:color w:val="auto"/>
          <w:sz w:val="32"/>
          <w:szCs w:val="32"/>
        </w:rPr>
        <w:t>“</w:t>
      </w:r>
      <w:r>
        <w:rPr>
          <w:rFonts w:eastAsia="方正仿宋简体"/>
          <w:color w:val="auto"/>
          <w:sz w:val="32"/>
          <w:szCs w:val="32"/>
        </w:rPr>
        <w:t>总部+基地</w:t>
      </w:r>
      <w:r>
        <w:rPr>
          <w:rFonts w:hint="eastAsia" w:eastAsia="方正仿宋简体"/>
          <w:color w:val="auto"/>
          <w:sz w:val="32"/>
          <w:szCs w:val="32"/>
        </w:rPr>
        <w:t>”“</w:t>
      </w:r>
      <w:r>
        <w:rPr>
          <w:rFonts w:eastAsia="方正仿宋简体"/>
          <w:color w:val="auto"/>
          <w:sz w:val="32"/>
          <w:szCs w:val="32"/>
        </w:rPr>
        <w:t>研发+生产</w:t>
      </w:r>
      <w:r>
        <w:rPr>
          <w:rFonts w:hint="eastAsia" w:eastAsia="方正仿宋简体"/>
          <w:color w:val="auto"/>
          <w:sz w:val="32"/>
          <w:szCs w:val="32"/>
        </w:rPr>
        <w:t>”</w:t>
      </w:r>
      <w:r>
        <w:rPr>
          <w:rFonts w:eastAsia="方正仿宋简体"/>
          <w:color w:val="auto"/>
          <w:sz w:val="32"/>
          <w:szCs w:val="32"/>
        </w:rPr>
        <w:t>合作关系。以永吉经济开发区为核心，面向长春汽车产业，重点承接电池结构件、轻量化底盘、汽车电子等关键零部件项目，嵌入一汽供应链体系。依托中新食品区及本地医药基础，支持天三奇、博大农林等企业与长春高校共建</w:t>
      </w:r>
      <w:r>
        <w:rPr>
          <w:rFonts w:hint="eastAsia" w:eastAsia="方正仿宋简体"/>
          <w:color w:val="auto"/>
          <w:sz w:val="32"/>
          <w:szCs w:val="32"/>
        </w:rPr>
        <w:t>“</w:t>
      </w:r>
      <w:r>
        <w:rPr>
          <w:rFonts w:eastAsia="方正仿宋简体"/>
          <w:color w:val="auto"/>
          <w:sz w:val="32"/>
          <w:szCs w:val="32"/>
        </w:rPr>
        <w:t>药食同源</w:t>
      </w:r>
      <w:r>
        <w:rPr>
          <w:rFonts w:hint="eastAsia" w:eastAsia="方正仿宋简体"/>
          <w:color w:val="auto"/>
          <w:sz w:val="32"/>
          <w:szCs w:val="32"/>
        </w:rPr>
        <w:t>”</w:t>
      </w:r>
      <w:r>
        <w:rPr>
          <w:rFonts w:eastAsia="方正仿宋简体"/>
          <w:color w:val="auto"/>
          <w:sz w:val="32"/>
          <w:szCs w:val="32"/>
        </w:rPr>
        <w:t>中试基地，承接生物医药产能与成果转化。推动冰雪装备测试制造，联合长春装备企业及科研机构，依托北大湖冰雪资源共建寒地装备测试中心，攻关耐低温材料、索道缆车等技术，发展测试验证与本地化制造。</w:t>
      </w:r>
      <w:r>
        <w:rPr>
          <w:rFonts w:hint="eastAsia" w:eastAsia="方正仿宋简体"/>
          <w:color w:val="auto"/>
          <w:sz w:val="32"/>
          <w:szCs w:val="32"/>
          <w:lang w:eastAsia="zh-CN"/>
        </w:rPr>
        <w:t>依托天三奇建设省级人参发酵技术中心”，</w:t>
      </w:r>
      <w:r>
        <w:rPr>
          <w:rFonts w:hint="eastAsia" w:eastAsia="方正仿宋简体"/>
          <w:color w:val="auto"/>
          <w:sz w:val="32"/>
          <w:szCs w:val="32"/>
          <w:lang w:val="en-US" w:eastAsia="zh-CN"/>
        </w:rPr>
        <w:t>推动瑞尔康隐形眼镜、天三奇人参肽等特色产品进入长春医药集采平台，共建GLP中试基地。</w:t>
      </w:r>
    </w:p>
    <w:p w14:paraId="15A7948C">
      <w:pPr>
        <w:spacing w:line="576" w:lineRule="exact"/>
        <w:ind w:firstLine="640" w:firstLineChars="200"/>
        <w:rPr>
          <w:rFonts w:eastAsia="方正仿宋简体"/>
          <w:color w:val="auto"/>
          <w:sz w:val="32"/>
          <w:szCs w:val="32"/>
        </w:rPr>
      </w:pPr>
      <w:r>
        <w:rPr>
          <w:rFonts w:eastAsia="方正仿宋简体"/>
          <w:color w:val="auto"/>
          <w:sz w:val="32"/>
          <w:szCs w:val="32"/>
        </w:rPr>
        <w:t>打造都市圈绿色农产品供应节点。充分发挥永吉农业资源优势，面向长春千万级人口大市场，建设标准化、品牌化的农产品直供基地。共建优质粮食和</w:t>
      </w:r>
      <w:r>
        <w:rPr>
          <w:rFonts w:hint="eastAsia" w:eastAsia="方正仿宋简体"/>
          <w:color w:val="auto"/>
          <w:sz w:val="32"/>
          <w:szCs w:val="32"/>
        </w:rPr>
        <w:t>“</w:t>
      </w:r>
      <w:r>
        <w:rPr>
          <w:rFonts w:eastAsia="方正仿宋简体"/>
          <w:color w:val="auto"/>
          <w:sz w:val="32"/>
          <w:szCs w:val="32"/>
        </w:rPr>
        <w:t>菜篮子</w:t>
      </w:r>
      <w:r>
        <w:rPr>
          <w:rFonts w:hint="eastAsia" w:eastAsia="方正仿宋简体"/>
          <w:color w:val="auto"/>
          <w:sz w:val="32"/>
          <w:szCs w:val="32"/>
        </w:rPr>
        <w:t>”</w:t>
      </w:r>
      <w:r>
        <w:rPr>
          <w:rFonts w:eastAsia="方正仿宋简体"/>
          <w:color w:val="auto"/>
          <w:sz w:val="32"/>
          <w:szCs w:val="32"/>
        </w:rPr>
        <w:t>保供基地。在万昌镇、岔路河镇等西部乡镇，联合长春农业科技机构，推广优质水稻品种和绿色种养技术，发展订单农业。建设一批高标准设施蔬菜园区和规模化畜禽养殖基地，发展净菜加工、中央厨房等业态，构建面向长春的</w:t>
      </w:r>
      <w:r>
        <w:rPr>
          <w:rFonts w:hint="eastAsia" w:eastAsia="方正仿宋简体"/>
          <w:color w:val="auto"/>
          <w:sz w:val="32"/>
          <w:szCs w:val="32"/>
        </w:rPr>
        <w:t>“</w:t>
      </w:r>
      <w:r>
        <w:rPr>
          <w:rFonts w:eastAsia="方正仿宋简体"/>
          <w:color w:val="auto"/>
          <w:sz w:val="32"/>
          <w:szCs w:val="32"/>
        </w:rPr>
        <w:t>直采、直供、直销</w:t>
      </w:r>
      <w:r>
        <w:rPr>
          <w:rFonts w:hint="eastAsia" w:eastAsia="方正仿宋简体"/>
          <w:color w:val="auto"/>
          <w:sz w:val="32"/>
          <w:szCs w:val="32"/>
        </w:rPr>
        <w:t>”</w:t>
      </w:r>
      <w:r>
        <w:rPr>
          <w:rFonts w:eastAsia="方正仿宋简体"/>
          <w:color w:val="auto"/>
          <w:sz w:val="32"/>
          <w:szCs w:val="32"/>
        </w:rPr>
        <w:t>供应链体系。共塑</w:t>
      </w:r>
      <w:r>
        <w:rPr>
          <w:rFonts w:hint="eastAsia" w:eastAsia="方正仿宋简体"/>
          <w:color w:val="auto"/>
          <w:sz w:val="32"/>
          <w:szCs w:val="32"/>
        </w:rPr>
        <w:t>“</w:t>
      </w:r>
      <w:r>
        <w:rPr>
          <w:rFonts w:eastAsia="方正仿宋简体"/>
          <w:color w:val="auto"/>
          <w:sz w:val="32"/>
          <w:szCs w:val="32"/>
        </w:rPr>
        <w:t>长吉农品</w:t>
      </w:r>
      <w:r>
        <w:rPr>
          <w:rFonts w:hint="eastAsia" w:eastAsia="方正仿宋简体"/>
          <w:color w:val="auto"/>
          <w:sz w:val="32"/>
          <w:szCs w:val="32"/>
        </w:rPr>
        <w:t>”</w:t>
      </w:r>
      <w:r>
        <w:rPr>
          <w:rFonts w:eastAsia="方正仿宋简体"/>
          <w:color w:val="auto"/>
          <w:sz w:val="32"/>
          <w:szCs w:val="32"/>
        </w:rPr>
        <w:t>区域公用品牌。推动</w:t>
      </w:r>
      <w:r>
        <w:rPr>
          <w:rFonts w:hint="eastAsia" w:eastAsia="方正仿宋简体"/>
          <w:color w:val="auto"/>
          <w:sz w:val="32"/>
          <w:szCs w:val="32"/>
        </w:rPr>
        <w:t>“</w:t>
      </w:r>
      <w:r>
        <w:rPr>
          <w:rFonts w:eastAsia="方正仿宋简体"/>
          <w:color w:val="auto"/>
          <w:sz w:val="32"/>
          <w:szCs w:val="32"/>
        </w:rPr>
        <w:t>万昌大米</w:t>
      </w:r>
      <w:r>
        <w:rPr>
          <w:rFonts w:hint="eastAsia" w:eastAsia="方正仿宋简体"/>
          <w:color w:val="auto"/>
          <w:sz w:val="32"/>
          <w:szCs w:val="32"/>
        </w:rPr>
        <w:t>”“</w:t>
      </w:r>
      <w:r>
        <w:rPr>
          <w:rFonts w:eastAsia="方正仿宋简体"/>
          <w:color w:val="auto"/>
          <w:sz w:val="32"/>
          <w:szCs w:val="32"/>
        </w:rPr>
        <w:t>永吉柞蚕种</w:t>
      </w:r>
      <w:r>
        <w:rPr>
          <w:rFonts w:hint="eastAsia" w:eastAsia="方正仿宋简体"/>
          <w:color w:val="auto"/>
          <w:sz w:val="32"/>
          <w:szCs w:val="32"/>
        </w:rPr>
        <w:t>”</w:t>
      </w:r>
      <w:r>
        <w:rPr>
          <w:rFonts w:eastAsia="方正仿宋简体"/>
          <w:color w:val="auto"/>
          <w:sz w:val="32"/>
          <w:szCs w:val="32"/>
        </w:rPr>
        <w:t>等特色农产品与长春区域品牌联动，统一品质标准和溯源体系，共同进入长春高端商超和电商平台，提升产品附加值和市场竞争力。</w:t>
      </w:r>
    </w:p>
    <w:p w14:paraId="1DBB9F7E">
      <w:pPr>
        <w:spacing w:line="576" w:lineRule="exact"/>
        <w:ind w:firstLine="640" w:firstLineChars="200"/>
        <w:rPr>
          <w:rFonts w:eastAsia="方正仿宋简体"/>
          <w:color w:val="auto"/>
          <w:sz w:val="32"/>
          <w:szCs w:val="32"/>
        </w:rPr>
      </w:pPr>
      <w:r>
        <w:rPr>
          <w:rFonts w:eastAsia="方正仿宋简体"/>
          <w:color w:val="auto"/>
          <w:sz w:val="32"/>
          <w:szCs w:val="32"/>
        </w:rPr>
        <w:t>打造都市圈文旅消费延伸空间。依托永吉独特的冰雪、温泉、生态资源，承接和引流长春消费客群，打造长春都市圈微度假目的地。共推精品旅游线路产品。联合长春旅游机构，设计推广</w:t>
      </w:r>
      <w:r>
        <w:rPr>
          <w:rFonts w:hint="eastAsia" w:eastAsia="方正仿宋简体"/>
          <w:color w:val="auto"/>
          <w:sz w:val="32"/>
          <w:szCs w:val="32"/>
        </w:rPr>
        <w:t>“</w:t>
      </w:r>
      <w:r>
        <w:rPr>
          <w:rFonts w:eastAsia="方正仿宋简体"/>
          <w:color w:val="auto"/>
          <w:sz w:val="32"/>
          <w:szCs w:val="32"/>
        </w:rPr>
        <w:t>长春都市—永吉冰雪</w:t>
      </w:r>
      <w:r>
        <w:rPr>
          <w:rFonts w:hint="eastAsia" w:eastAsia="方正仿宋简体"/>
          <w:color w:val="auto"/>
          <w:sz w:val="32"/>
          <w:szCs w:val="32"/>
        </w:rPr>
        <w:t>”“</w:t>
      </w:r>
      <w:r>
        <w:rPr>
          <w:rFonts w:eastAsia="方正仿宋简体"/>
          <w:color w:val="auto"/>
          <w:sz w:val="32"/>
          <w:szCs w:val="32"/>
        </w:rPr>
        <w:t>长春净月—永吉温泉</w:t>
      </w:r>
      <w:r>
        <w:rPr>
          <w:rFonts w:hint="eastAsia" w:eastAsia="方正仿宋简体"/>
          <w:color w:val="auto"/>
          <w:sz w:val="32"/>
          <w:szCs w:val="32"/>
        </w:rPr>
        <w:t>”</w:t>
      </w:r>
      <w:r>
        <w:rPr>
          <w:rFonts w:eastAsia="方正仿宋简体"/>
          <w:color w:val="auto"/>
          <w:sz w:val="32"/>
          <w:szCs w:val="32"/>
        </w:rPr>
        <w:t>等跨区域旅游线路。开通长春龙嘉机场至北大湖滑雪场、一拉溪温泉群的旅游直通车，实现</w:t>
      </w:r>
      <w:r>
        <w:rPr>
          <w:rFonts w:hint="eastAsia" w:eastAsia="方正仿宋简体"/>
          <w:color w:val="auto"/>
          <w:sz w:val="32"/>
          <w:szCs w:val="32"/>
        </w:rPr>
        <w:t>“</w:t>
      </w:r>
      <w:r>
        <w:rPr>
          <w:rFonts w:eastAsia="方正仿宋简体"/>
          <w:color w:val="auto"/>
          <w:sz w:val="32"/>
          <w:szCs w:val="32"/>
        </w:rPr>
        <w:t>客流互送</w:t>
      </w:r>
      <w:r>
        <w:rPr>
          <w:rFonts w:hint="eastAsia" w:eastAsia="方正仿宋简体"/>
          <w:color w:val="auto"/>
          <w:sz w:val="32"/>
          <w:szCs w:val="32"/>
        </w:rPr>
        <w:t>”</w:t>
      </w:r>
      <w:r>
        <w:rPr>
          <w:rFonts w:eastAsia="方正仿宋简体"/>
          <w:color w:val="auto"/>
          <w:sz w:val="32"/>
          <w:szCs w:val="32"/>
        </w:rPr>
        <w:t>。共创</w:t>
      </w:r>
      <w:r>
        <w:rPr>
          <w:rFonts w:hint="eastAsia" w:eastAsia="方正仿宋简体"/>
          <w:color w:val="auto"/>
          <w:sz w:val="32"/>
          <w:szCs w:val="32"/>
        </w:rPr>
        <w:t>“</w:t>
      </w:r>
      <w:r>
        <w:rPr>
          <w:rFonts w:eastAsia="方正仿宋简体"/>
          <w:color w:val="auto"/>
          <w:sz w:val="32"/>
          <w:szCs w:val="32"/>
        </w:rPr>
        <w:t>双城生活</w:t>
      </w:r>
      <w:r>
        <w:rPr>
          <w:rFonts w:hint="eastAsia" w:eastAsia="方正仿宋简体"/>
          <w:color w:val="auto"/>
          <w:sz w:val="32"/>
          <w:szCs w:val="32"/>
        </w:rPr>
        <w:t>”</w:t>
      </w:r>
      <w:r>
        <w:rPr>
          <w:rFonts w:eastAsia="方正仿宋简体"/>
          <w:color w:val="auto"/>
          <w:sz w:val="32"/>
          <w:szCs w:val="32"/>
        </w:rPr>
        <w:t>消费场景。推动主要景区、酒店与长春文旅平台实现</w:t>
      </w:r>
      <w:r>
        <w:rPr>
          <w:rFonts w:hint="eastAsia" w:eastAsia="方正仿宋简体"/>
          <w:color w:val="auto"/>
          <w:sz w:val="32"/>
          <w:szCs w:val="32"/>
        </w:rPr>
        <w:t>“</w:t>
      </w:r>
      <w:r>
        <w:rPr>
          <w:rFonts w:eastAsia="方正仿宋简体"/>
          <w:color w:val="auto"/>
          <w:sz w:val="32"/>
          <w:szCs w:val="32"/>
        </w:rPr>
        <w:t>联票互通、积分互认</w:t>
      </w:r>
      <w:r>
        <w:rPr>
          <w:rFonts w:hint="eastAsia" w:eastAsia="方正仿宋简体"/>
          <w:color w:val="auto"/>
          <w:sz w:val="32"/>
          <w:szCs w:val="32"/>
        </w:rPr>
        <w:t>”</w:t>
      </w:r>
      <w:r>
        <w:rPr>
          <w:rFonts w:eastAsia="方正仿宋简体"/>
          <w:color w:val="auto"/>
          <w:sz w:val="32"/>
          <w:szCs w:val="32"/>
        </w:rPr>
        <w:t>，降低双城消费门槛。共建区域康养服务网络。依托一拉溪、万昌等地温泉资源，吸引长春康养机构布局旅居养老、康复疗养项目。</w:t>
      </w:r>
    </w:p>
    <w:p w14:paraId="22B6C88E">
      <w:pPr>
        <w:spacing w:line="576" w:lineRule="exact"/>
        <w:jc w:val="center"/>
        <w:rPr>
          <w:rFonts w:eastAsia="方正仿宋简体"/>
          <w:color w:val="auto"/>
          <w:sz w:val="32"/>
          <w:szCs w:val="32"/>
        </w:rPr>
      </w:pPr>
      <w:r>
        <w:rPr>
          <w:rFonts w:eastAsia="方正黑体简体"/>
          <w:color w:val="auto"/>
          <w:sz w:val="32"/>
          <w:szCs w:val="32"/>
        </w:rPr>
        <w:t>第六章  全面推进改革开放，增强高质量发展内生动力</w:t>
      </w:r>
    </w:p>
    <w:p w14:paraId="5938AF93">
      <w:pPr>
        <w:spacing w:line="576" w:lineRule="exact"/>
        <w:ind w:firstLine="640" w:firstLineChars="200"/>
        <w:rPr>
          <w:rFonts w:eastAsia="方正仿宋简体"/>
          <w:color w:val="auto"/>
          <w:sz w:val="32"/>
          <w:szCs w:val="32"/>
        </w:rPr>
      </w:pPr>
      <w:r>
        <w:rPr>
          <w:rFonts w:eastAsia="方正仿宋简体"/>
          <w:color w:val="auto"/>
          <w:sz w:val="32"/>
          <w:szCs w:val="32"/>
        </w:rPr>
        <w:t>以改革优环境、以开放促合作，聚焦营商环境优化与民营经济发展，深化要素改革和区域协同，创新招商机制，拓展对外经贸，全面构筑县域经济高质量发展的强劲动力。</w:t>
      </w:r>
    </w:p>
    <w:p w14:paraId="6EB478E2">
      <w:pPr>
        <w:spacing w:line="576" w:lineRule="exact"/>
        <w:jc w:val="center"/>
        <w:rPr>
          <w:rFonts w:eastAsia="方正楷体简体"/>
          <w:color w:val="auto"/>
          <w:sz w:val="32"/>
          <w:szCs w:val="32"/>
        </w:rPr>
      </w:pPr>
      <w:r>
        <w:rPr>
          <w:rFonts w:eastAsia="方正楷体简体"/>
          <w:color w:val="auto"/>
          <w:sz w:val="32"/>
          <w:szCs w:val="32"/>
        </w:rPr>
        <w:t>第一节  激发经营主体活力</w:t>
      </w:r>
    </w:p>
    <w:p w14:paraId="1C8E782E">
      <w:pPr>
        <w:spacing w:line="576" w:lineRule="exact"/>
        <w:ind w:firstLine="640" w:firstLineChars="200"/>
        <w:rPr>
          <w:rFonts w:eastAsia="方正仿宋简体"/>
          <w:color w:val="auto"/>
          <w:sz w:val="32"/>
          <w:szCs w:val="32"/>
        </w:rPr>
      </w:pPr>
      <w:r>
        <w:rPr>
          <w:rFonts w:eastAsia="方正仿宋简体"/>
          <w:color w:val="auto"/>
          <w:sz w:val="32"/>
          <w:szCs w:val="32"/>
        </w:rPr>
        <w:t>坚持和落实</w:t>
      </w:r>
      <w:r>
        <w:rPr>
          <w:rFonts w:hint="eastAsia" w:eastAsia="方正仿宋简体"/>
          <w:color w:val="auto"/>
          <w:sz w:val="32"/>
          <w:szCs w:val="32"/>
        </w:rPr>
        <w:t>“</w:t>
      </w:r>
      <w:r>
        <w:rPr>
          <w:rFonts w:eastAsia="方正仿宋简体"/>
          <w:color w:val="auto"/>
          <w:sz w:val="32"/>
          <w:szCs w:val="32"/>
        </w:rPr>
        <w:t>两个毫不动摇</w:t>
      </w:r>
      <w:r>
        <w:rPr>
          <w:rFonts w:hint="eastAsia" w:eastAsia="方正仿宋简体"/>
          <w:color w:val="auto"/>
          <w:sz w:val="32"/>
          <w:szCs w:val="32"/>
        </w:rPr>
        <w:t>”</w:t>
      </w:r>
      <w:r>
        <w:rPr>
          <w:rFonts w:eastAsia="方正仿宋简体"/>
          <w:color w:val="auto"/>
          <w:sz w:val="32"/>
          <w:szCs w:val="32"/>
        </w:rPr>
        <w:t>，推进系统性制度创新和精准化供给，全面促进民营经济发展壮大，持续深化国资国企改革，充分释放蕴藏在各类经营主体中的创新活力和发展潜能，为永吉现代化建设注入强劲动力。</w:t>
      </w:r>
    </w:p>
    <w:p w14:paraId="20A53CC7">
      <w:pPr>
        <w:spacing w:line="576" w:lineRule="exact"/>
        <w:ind w:firstLine="640" w:firstLineChars="200"/>
        <w:rPr>
          <w:rFonts w:eastAsia="方正仿宋简体"/>
          <w:color w:val="auto"/>
          <w:sz w:val="32"/>
          <w:szCs w:val="32"/>
        </w:rPr>
      </w:pPr>
      <w:r>
        <w:rPr>
          <w:rFonts w:eastAsia="方正仿宋简体"/>
          <w:color w:val="auto"/>
          <w:sz w:val="32"/>
          <w:szCs w:val="32"/>
        </w:rPr>
        <w:t>促进民营经济发展壮大。支持民营企业深度融入现代</w:t>
      </w:r>
      <w:r>
        <w:rPr>
          <w:rFonts w:hint="eastAsia" w:eastAsia="方正仿宋简体"/>
          <w:color w:val="auto"/>
          <w:sz w:val="32"/>
          <w:szCs w:val="32"/>
        </w:rPr>
        <w:t>大</w:t>
      </w:r>
      <w:r>
        <w:rPr>
          <w:rFonts w:eastAsia="方正仿宋简体"/>
          <w:color w:val="auto"/>
          <w:sz w:val="32"/>
          <w:szCs w:val="32"/>
        </w:rPr>
        <w:t>农业、冰雪装备、温泉康养、乡村旅游等重点领域，参与优质稻米、柞蚕、林下参等特色农产品精深加工和品牌建设。推动民营企业融入现代装备配套、新材料、医药健康等主导产业链条，支持链主企业带动配套中小企业协同发展。完善融资支持政策，建立民营企业融资需求库，常态化开展银企对接，创新知识产权质押、供应链金融等业务。健全防范和化解拖欠中小企业账款长效机制，强化涉企收费监管。实施民营企业家素质提升工程，完善激励机制，大力弘扬优秀企业家精神。</w:t>
      </w:r>
    </w:p>
    <w:p w14:paraId="7E195D61">
      <w:pPr>
        <w:spacing w:line="576" w:lineRule="exact"/>
        <w:ind w:firstLine="640" w:firstLineChars="200"/>
        <w:rPr>
          <w:rFonts w:eastAsia="方正仿宋简体"/>
          <w:color w:val="auto"/>
          <w:sz w:val="32"/>
          <w:szCs w:val="32"/>
        </w:rPr>
      </w:pPr>
      <w:r>
        <w:rPr>
          <w:rFonts w:eastAsia="方正仿宋简体"/>
          <w:color w:val="auto"/>
          <w:sz w:val="32"/>
          <w:szCs w:val="32"/>
        </w:rPr>
        <w:t>深化国资国企改革。</w:t>
      </w:r>
      <w:r>
        <w:rPr>
          <w:rFonts w:hint="eastAsia" w:eastAsia="方正仿宋简体"/>
          <w:color w:val="auto"/>
          <w:sz w:val="32"/>
          <w:szCs w:val="32"/>
        </w:rPr>
        <w:t>持续深化县属国有企业改革，完善现代企业制度，优化人员管理</w:t>
      </w:r>
      <w:r>
        <w:rPr>
          <w:rFonts w:eastAsia="方正仿宋简体"/>
          <w:color w:val="auto"/>
          <w:sz w:val="32"/>
          <w:szCs w:val="32"/>
        </w:rPr>
        <w:t>。加强国有资产监管，推动县属企业转变角色定位，积极参与重大工程和重点项目建设，增强市场化运营能力，实现主营业务收入稳定增长，更好发挥国有资本在县域经济发展中的支撑引领作用。</w:t>
      </w:r>
    </w:p>
    <w:p w14:paraId="2E205032">
      <w:pPr>
        <w:spacing w:line="576" w:lineRule="exact"/>
        <w:jc w:val="center"/>
        <w:rPr>
          <w:rFonts w:eastAsia="方正楷体简体"/>
          <w:color w:val="auto"/>
          <w:sz w:val="32"/>
          <w:szCs w:val="32"/>
        </w:rPr>
      </w:pPr>
      <w:r>
        <w:rPr>
          <w:rFonts w:eastAsia="方正楷体简体"/>
          <w:color w:val="auto"/>
          <w:sz w:val="32"/>
          <w:szCs w:val="32"/>
        </w:rPr>
        <w:t>第二节  持续优化营商环境</w:t>
      </w:r>
    </w:p>
    <w:p w14:paraId="28B14EAE">
      <w:pPr>
        <w:spacing w:line="576" w:lineRule="exact"/>
        <w:ind w:firstLine="640" w:firstLineChars="200"/>
        <w:rPr>
          <w:rFonts w:eastAsia="方正仿宋简体"/>
          <w:color w:val="auto"/>
          <w:sz w:val="32"/>
          <w:szCs w:val="32"/>
        </w:rPr>
      </w:pPr>
      <w:r>
        <w:rPr>
          <w:rFonts w:eastAsia="方正仿宋简体"/>
          <w:color w:val="auto"/>
          <w:sz w:val="32"/>
          <w:szCs w:val="32"/>
        </w:rPr>
        <w:t>以激发市场主体活力、提升政府治理效能为核心，聚焦企业全生命周期服务，系统推进服务型政府建设、市场体系完善与要素保障改革，营造稳定公平透明、可预期的一流营商环境。</w:t>
      </w:r>
    </w:p>
    <w:p w14:paraId="35242BC0">
      <w:pPr>
        <w:spacing w:line="576" w:lineRule="exact"/>
        <w:ind w:firstLine="640" w:firstLineChars="200"/>
        <w:rPr>
          <w:rFonts w:eastAsia="方正仿宋简体"/>
          <w:color w:val="auto"/>
          <w:sz w:val="32"/>
          <w:szCs w:val="32"/>
        </w:rPr>
      </w:pPr>
      <w:r>
        <w:rPr>
          <w:rFonts w:eastAsia="方正仿宋简体"/>
          <w:color w:val="auto"/>
          <w:sz w:val="32"/>
          <w:szCs w:val="32"/>
        </w:rPr>
        <w:t>打造优质高效的政务环境。深化营商环境综合配套改革，深化</w:t>
      </w:r>
      <w:r>
        <w:rPr>
          <w:rFonts w:hint="eastAsia" w:eastAsia="方正仿宋简体"/>
          <w:color w:val="auto"/>
          <w:sz w:val="32"/>
          <w:szCs w:val="32"/>
        </w:rPr>
        <w:t>“</w:t>
      </w:r>
      <w:r>
        <w:rPr>
          <w:rFonts w:eastAsia="方正仿宋简体"/>
          <w:color w:val="auto"/>
          <w:sz w:val="32"/>
          <w:szCs w:val="32"/>
        </w:rPr>
        <w:t>放管服</w:t>
      </w:r>
      <w:r>
        <w:rPr>
          <w:rFonts w:hint="eastAsia" w:eastAsia="方正仿宋简体"/>
          <w:color w:val="auto"/>
          <w:sz w:val="32"/>
          <w:szCs w:val="32"/>
        </w:rPr>
        <w:t>”</w:t>
      </w:r>
      <w:r>
        <w:rPr>
          <w:rFonts w:eastAsia="方正仿宋简体"/>
          <w:color w:val="auto"/>
          <w:sz w:val="32"/>
          <w:szCs w:val="32"/>
        </w:rPr>
        <w:t>改革，推动</w:t>
      </w:r>
      <w:r>
        <w:rPr>
          <w:rFonts w:hint="eastAsia" w:eastAsia="方正仿宋简体"/>
          <w:color w:val="auto"/>
          <w:sz w:val="32"/>
          <w:szCs w:val="32"/>
        </w:rPr>
        <w:t>“</w:t>
      </w:r>
      <w:r>
        <w:rPr>
          <w:rFonts w:eastAsia="方正仿宋简体"/>
          <w:color w:val="auto"/>
          <w:sz w:val="32"/>
          <w:szCs w:val="32"/>
        </w:rPr>
        <w:t>一网通办</w:t>
      </w:r>
      <w:r>
        <w:rPr>
          <w:rFonts w:hint="eastAsia" w:eastAsia="方正仿宋简体"/>
          <w:color w:val="auto"/>
          <w:sz w:val="32"/>
          <w:szCs w:val="32"/>
        </w:rPr>
        <w:t>”</w:t>
      </w:r>
      <w:r>
        <w:rPr>
          <w:rFonts w:eastAsia="方正仿宋简体"/>
          <w:color w:val="auto"/>
          <w:sz w:val="32"/>
          <w:szCs w:val="32"/>
        </w:rPr>
        <w:t>从</w:t>
      </w:r>
      <w:r>
        <w:rPr>
          <w:rFonts w:hint="eastAsia" w:eastAsia="方正仿宋简体"/>
          <w:color w:val="auto"/>
          <w:sz w:val="32"/>
          <w:szCs w:val="32"/>
        </w:rPr>
        <w:t>“</w:t>
      </w:r>
      <w:r>
        <w:rPr>
          <w:rFonts w:eastAsia="方正仿宋简体"/>
          <w:color w:val="auto"/>
          <w:sz w:val="32"/>
          <w:szCs w:val="32"/>
        </w:rPr>
        <w:t>可办</w:t>
      </w:r>
      <w:r>
        <w:rPr>
          <w:rFonts w:hint="eastAsia" w:eastAsia="方正仿宋简体"/>
          <w:color w:val="auto"/>
          <w:sz w:val="32"/>
          <w:szCs w:val="32"/>
        </w:rPr>
        <w:t>”</w:t>
      </w:r>
      <w:r>
        <w:rPr>
          <w:rFonts w:eastAsia="方正仿宋简体"/>
          <w:color w:val="auto"/>
          <w:sz w:val="32"/>
          <w:szCs w:val="32"/>
        </w:rPr>
        <w:t>向</w:t>
      </w:r>
      <w:r>
        <w:rPr>
          <w:rFonts w:hint="eastAsia" w:eastAsia="方正仿宋简体"/>
          <w:color w:val="auto"/>
          <w:sz w:val="32"/>
          <w:szCs w:val="32"/>
        </w:rPr>
        <w:t>“</w:t>
      </w:r>
      <w:r>
        <w:rPr>
          <w:rFonts w:eastAsia="方正仿宋简体"/>
          <w:color w:val="auto"/>
          <w:sz w:val="32"/>
          <w:szCs w:val="32"/>
        </w:rPr>
        <w:t>好办易办</w:t>
      </w:r>
      <w:r>
        <w:rPr>
          <w:rFonts w:hint="eastAsia" w:eastAsia="方正仿宋简体"/>
          <w:color w:val="auto"/>
          <w:sz w:val="32"/>
          <w:szCs w:val="32"/>
        </w:rPr>
        <w:t>”</w:t>
      </w:r>
      <w:r>
        <w:rPr>
          <w:rFonts w:eastAsia="方正仿宋简体"/>
          <w:color w:val="auto"/>
          <w:sz w:val="32"/>
          <w:szCs w:val="32"/>
        </w:rPr>
        <w:t>转变，实现县乡村三级便民服务标准化、智能化。全面推行</w:t>
      </w:r>
      <w:r>
        <w:rPr>
          <w:rFonts w:hint="eastAsia" w:eastAsia="方正仿宋简体"/>
          <w:color w:val="auto"/>
          <w:sz w:val="32"/>
          <w:szCs w:val="32"/>
        </w:rPr>
        <w:t>“</w:t>
      </w:r>
      <w:r>
        <w:rPr>
          <w:rFonts w:eastAsia="方正仿宋简体"/>
          <w:color w:val="auto"/>
          <w:sz w:val="32"/>
          <w:szCs w:val="32"/>
        </w:rPr>
        <w:t>接诉即办</w:t>
      </w:r>
      <w:r>
        <w:rPr>
          <w:rFonts w:hint="eastAsia" w:eastAsia="方正仿宋简体"/>
          <w:color w:val="auto"/>
          <w:sz w:val="32"/>
          <w:szCs w:val="32"/>
        </w:rPr>
        <w:t>”</w:t>
      </w:r>
      <w:r>
        <w:rPr>
          <w:rFonts w:eastAsia="方正仿宋简体"/>
          <w:color w:val="auto"/>
          <w:sz w:val="32"/>
          <w:szCs w:val="32"/>
        </w:rPr>
        <w:t>，整合优化诉求渠道，实现企业群众诉求</w:t>
      </w:r>
      <w:r>
        <w:rPr>
          <w:rFonts w:hint="eastAsia" w:eastAsia="方正仿宋简体"/>
          <w:color w:val="auto"/>
          <w:sz w:val="32"/>
          <w:szCs w:val="32"/>
        </w:rPr>
        <w:t>“</w:t>
      </w:r>
      <w:r>
        <w:rPr>
          <w:rFonts w:eastAsia="方正仿宋简体"/>
          <w:color w:val="auto"/>
          <w:sz w:val="32"/>
          <w:szCs w:val="32"/>
        </w:rPr>
        <w:t>一线应答、高效处置</w:t>
      </w:r>
      <w:r>
        <w:rPr>
          <w:rFonts w:hint="eastAsia" w:eastAsia="方正仿宋简体"/>
          <w:color w:val="auto"/>
          <w:sz w:val="32"/>
          <w:szCs w:val="32"/>
        </w:rPr>
        <w:t>”</w:t>
      </w:r>
      <w:r>
        <w:rPr>
          <w:rFonts w:eastAsia="方正仿宋简体"/>
          <w:color w:val="auto"/>
          <w:sz w:val="32"/>
          <w:szCs w:val="32"/>
        </w:rPr>
        <w:t>，民生诉求受办合理满意率达到98%。深化政企常态化沟通交流机制，解决民营企业诉求。严格规范涉企行政检查，推广</w:t>
      </w:r>
      <w:r>
        <w:rPr>
          <w:rFonts w:hint="eastAsia" w:eastAsia="方正仿宋简体"/>
          <w:color w:val="auto"/>
          <w:sz w:val="32"/>
          <w:szCs w:val="32"/>
        </w:rPr>
        <w:t>“</w:t>
      </w:r>
      <w:r>
        <w:rPr>
          <w:rFonts w:eastAsia="方正仿宋简体"/>
          <w:color w:val="auto"/>
          <w:sz w:val="32"/>
          <w:szCs w:val="32"/>
        </w:rPr>
        <w:t>无事不扰</w:t>
      </w:r>
      <w:r>
        <w:rPr>
          <w:rFonts w:hint="eastAsia" w:eastAsia="方正仿宋简体"/>
          <w:color w:val="auto"/>
          <w:sz w:val="32"/>
          <w:szCs w:val="32"/>
        </w:rPr>
        <w:t>”</w:t>
      </w:r>
      <w:r>
        <w:rPr>
          <w:rFonts w:eastAsia="方正仿宋简体"/>
          <w:color w:val="auto"/>
          <w:sz w:val="32"/>
          <w:szCs w:val="32"/>
        </w:rPr>
        <w:t>白名单、信用分级分类监管。加强县域法治建设，营造稳定公平透明、可预期的法治化营商环境，不断增强市场主体发展信心和安全感。加快诚信永吉建设，健全守信激励和失信惩戒机制，提升信用融资服务水平。</w:t>
      </w:r>
    </w:p>
    <w:p w14:paraId="47AF239D">
      <w:pPr>
        <w:spacing w:line="576" w:lineRule="exact"/>
        <w:ind w:firstLine="640" w:firstLineChars="200"/>
        <w:rPr>
          <w:rFonts w:eastAsia="方正仿宋简体"/>
          <w:color w:val="auto"/>
          <w:sz w:val="32"/>
          <w:szCs w:val="32"/>
        </w:rPr>
      </w:pPr>
      <w:r>
        <w:rPr>
          <w:rFonts w:eastAsia="方正仿宋简体"/>
          <w:color w:val="auto"/>
          <w:sz w:val="32"/>
          <w:szCs w:val="32"/>
        </w:rPr>
        <w:t>深度融入全国统一大市场。严格执行全国统一的市场准入负面清单，全面清理隐性壁垒，保障</w:t>
      </w:r>
      <w:r>
        <w:rPr>
          <w:rFonts w:hint="eastAsia" w:eastAsia="方正仿宋简体"/>
          <w:color w:val="auto"/>
          <w:sz w:val="32"/>
          <w:szCs w:val="32"/>
        </w:rPr>
        <w:t>“</w:t>
      </w:r>
      <w:r>
        <w:rPr>
          <w:rFonts w:eastAsia="方正仿宋简体"/>
          <w:color w:val="auto"/>
          <w:sz w:val="32"/>
          <w:szCs w:val="32"/>
        </w:rPr>
        <w:t>非禁即入</w:t>
      </w:r>
      <w:r>
        <w:rPr>
          <w:rFonts w:hint="eastAsia" w:eastAsia="方正仿宋简体"/>
          <w:color w:val="auto"/>
          <w:sz w:val="32"/>
          <w:szCs w:val="32"/>
        </w:rPr>
        <w:t>”</w:t>
      </w:r>
      <w:r>
        <w:rPr>
          <w:rFonts w:eastAsia="方正仿宋简体"/>
          <w:color w:val="auto"/>
          <w:sz w:val="32"/>
          <w:szCs w:val="32"/>
        </w:rPr>
        <w:t>。深化公平竞争审查，维护公平透明市场秩序。推进</w:t>
      </w:r>
      <w:r>
        <w:rPr>
          <w:rFonts w:hint="eastAsia" w:eastAsia="方正仿宋简体"/>
          <w:color w:val="auto"/>
          <w:sz w:val="32"/>
          <w:szCs w:val="32"/>
        </w:rPr>
        <w:t>“</w:t>
      </w:r>
      <w:r>
        <w:rPr>
          <w:rFonts w:eastAsia="方正仿宋简体"/>
          <w:color w:val="auto"/>
          <w:sz w:val="32"/>
          <w:szCs w:val="32"/>
        </w:rPr>
        <w:t>标准地+承诺制</w:t>
      </w:r>
      <w:r>
        <w:rPr>
          <w:rFonts w:hint="eastAsia" w:eastAsia="方正仿宋简体"/>
          <w:color w:val="auto"/>
          <w:sz w:val="32"/>
          <w:szCs w:val="32"/>
        </w:rPr>
        <w:t>”</w:t>
      </w:r>
      <w:r>
        <w:rPr>
          <w:rFonts w:eastAsia="方正仿宋简体"/>
          <w:color w:val="auto"/>
          <w:sz w:val="32"/>
          <w:szCs w:val="32"/>
        </w:rPr>
        <w:t>供地模式，完善工业用地全生命周期管理，促进土地集约高效利用，完善物流网络。依托永吉区位与平台优势，借助永吉经济开发区、中新食品区、北大湖滑雪度假区等开放平台产业集聚与要素吸附能力。创新招商引资模式，精准招引产业链项目。规范招标投标管理，全面推行</w:t>
      </w:r>
      <w:r>
        <w:rPr>
          <w:rFonts w:hint="eastAsia" w:eastAsia="方正仿宋简体"/>
          <w:color w:val="auto"/>
          <w:sz w:val="32"/>
          <w:szCs w:val="32"/>
        </w:rPr>
        <w:t>“</w:t>
      </w:r>
      <w:r>
        <w:rPr>
          <w:rFonts w:eastAsia="方正仿宋简体"/>
          <w:color w:val="auto"/>
          <w:sz w:val="32"/>
          <w:szCs w:val="32"/>
        </w:rPr>
        <w:t>双盲</w:t>
      </w:r>
      <w:r>
        <w:rPr>
          <w:rFonts w:hint="eastAsia" w:eastAsia="方正仿宋简体"/>
          <w:color w:val="auto"/>
          <w:sz w:val="32"/>
          <w:szCs w:val="32"/>
        </w:rPr>
        <w:t>”</w:t>
      </w:r>
      <w:r>
        <w:rPr>
          <w:rFonts w:eastAsia="方正仿宋简体"/>
          <w:color w:val="auto"/>
          <w:sz w:val="32"/>
          <w:szCs w:val="32"/>
        </w:rPr>
        <w:t>评审。深化市场监管规范化建设，统一执法标准和裁量基准。</w:t>
      </w:r>
    </w:p>
    <w:p w14:paraId="24F62716">
      <w:pPr>
        <w:spacing w:line="576" w:lineRule="exact"/>
        <w:jc w:val="center"/>
        <w:rPr>
          <w:rFonts w:eastAsia="方正楷体简体"/>
          <w:color w:val="auto"/>
          <w:sz w:val="32"/>
          <w:szCs w:val="32"/>
        </w:rPr>
      </w:pPr>
      <w:r>
        <w:rPr>
          <w:rFonts w:eastAsia="方正楷体简体"/>
          <w:color w:val="auto"/>
          <w:sz w:val="32"/>
          <w:szCs w:val="32"/>
        </w:rPr>
        <w:t>第三节  深化重点领域改革</w:t>
      </w:r>
    </w:p>
    <w:p w14:paraId="124643CC">
      <w:pPr>
        <w:spacing w:line="576" w:lineRule="exact"/>
        <w:ind w:firstLine="640" w:firstLineChars="200"/>
        <w:rPr>
          <w:rFonts w:eastAsia="方正仿宋简体"/>
          <w:color w:val="auto"/>
          <w:sz w:val="32"/>
          <w:szCs w:val="32"/>
        </w:rPr>
      </w:pPr>
      <w:r>
        <w:rPr>
          <w:rFonts w:eastAsia="方正仿宋简体"/>
          <w:color w:val="auto"/>
          <w:sz w:val="32"/>
          <w:szCs w:val="32"/>
        </w:rPr>
        <w:t>聚焦制约永吉高质量发展的突出体制机制障碍，围绕开发区管理、财税金融等重点领域实施靶向突破，优化资源配置效率，提升治理能力，构建更富活力、更具韧性的制度环境。</w:t>
      </w:r>
    </w:p>
    <w:p w14:paraId="2CA3A38E">
      <w:pPr>
        <w:spacing w:line="576" w:lineRule="exact"/>
        <w:ind w:firstLine="640" w:firstLineChars="200"/>
        <w:rPr>
          <w:rFonts w:eastAsia="方正仿宋简体"/>
          <w:color w:val="auto"/>
          <w:sz w:val="32"/>
          <w:szCs w:val="32"/>
        </w:rPr>
      </w:pPr>
      <w:r>
        <w:rPr>
          <w:rFonts w:eastAsia="方正仿宋简体"/>
          <w:color w:val="auto"/>
          <w:sz w:val="32"/>
          <w:szCs w:val="32"/>
        </w:rPr>
        <w:t>全面落实开发区改革。落实省、市深化开发区改革推动高质量发展部署要求，以吉林永吉经济开发区为核心载体，聚焦激发内生动力和发展活力，全力推进开发区体制机制创新。推进人事薪酬制度改革，建立起</w:t>
      </w:r>
      <w:r>
        <w:rPr>
          <w:rFonts w:hint="eastAsia" w:eastAsia="方正仿宋简体"/>
          <w:color w:val="auto"/>
          <w:sz w:val="32"/>
          <w:szCs w:val="32"/>
        </w:rPr>
        <w:t>“</w:t>
      </w:r>
      <w:r>
        <w:rPr>
          <w:rFonts w:eastAsia="方正仿宋简体"/>
          <w:color w:val="auto"/>
          <w:sz w:val="32"/>
          <w:szCs w:val="32"/>
        </w:rPr>
        <w:t>权责清晰、考核科学、激励有效</w:t>
      </w:r>
      <w:r>
        <w:rPr>
          <w:rFonts w:hint="eastAsia" w:eastAsia="方正仿宋简体"/>
          <w:color w:val="auto"/>
          <w:sz w:val="32"/>
          <w:szCs w:val="32"/>
        </w:rPr>
        <w:t>”</w:t>
      </w:r>
      <w:r>
        <w:rPr>
          <w:rFonts w:eastAsia="方正仿宋简体"/>
          <w:color w:val="auto"/>
          <w:sz w:val="32"/>
          <w:szCs w:val="32"/>
        </w:rPr>
        <w:t>的干部管理体系，推动经济发展、项目建设、招商引资等重点领域专业干部占比持续提高，干部干事创业积极性与专业服务能力显著增强。</w:t>
      </w:r>
    </w:p>
    <w:p w14:paraId="1CC64C24">
      <w:pPr>
        <w:spacing w:line="576" w:lineRule="exact"/>
        <w:ind w:firstLine="640" w:firstLineChars="200"/>
        <w:rPr>
          <w:rFonts w:eastAsia="方正仿宋简体"/>
          <w:color w:val="auto"/>
          <w:sz w:val="32"/>
          <w:szCs w:val="32"/>
        </w:rPr>
      </w:pPr>
      <w:r>
        <w:rPr>
          <w:rFonts w:eastAsia="方正仿宋简体"/>
          <w:color w:val="auto"/>
          <w:sz w:val="32"/>
          <w:szCs w:val="32"/>
        </w:rPr>
        <w:t>深化财税金融改革。构建现代财税金融体制，增强对经济社会发展的支撑保障能力。加强财政资源和预算统筹，深化零基预算改革，优化财政支出结构，全面实施预算绩效管理，提高财政资金使用效益。强化财政金融协同，推进与县域银行机构合作，精准支持智能制造、冰雪装备、现代农业等特色产业。继续深化</w:t>
      </w:r>
      <w:r>
        <w:rPr>
          <w:rFonts w:hint="eastAsia" w:eastAsia="方正仿宋简体"/>
          <w:color w:val="auto"/>
          <w:sz w:val="32"/>
          <w:szCs w:val="32"/>
          <w:lang w:val="en-US" w:eastAsia="zh-CN"/>
        </w:rPr>
        <w:t>金融</w:t>
      </w:r>
      <w:r>
        <w:rPr>
          <w:rFonts w:eastAsia="方正仿宋简体"/>
          <w:color w:val="auto"/>
          <w:sz w:val="32"/>
          <w:szCs w:val="32"/>
        </w:rPr>
        <w:t>改革创新，完善并建立财政金融协同长效机制，持续加大对</w:t>
      </w:r>
      <w:r>
        <w:rPr>
          <w:rFonts w:hint="eastAsia" w:eastAsia="方正仿宋简体"/>
          <w:color w:val="auto"/>
          <w:sz w:val="32"/>
          <w:szCs w:val="32"/>
        </w:rPr>
        <w:t>“</w:t>
      </w:r>
      <w:r>
        <w:rPr>
          <w:rFonts w:eastAsia="方正仿宋简体"/>
          <w:color w:val="auto"/>
          <w:sz w:val="32"/>
          <w:szCs w:val="32"/>
        </w:rPr>
        <w:t>三农</w:t>
      </w:r>
      <w:r>
        <w:rPr>
          <w:rFonts w:hint="eastAsia" w:eastAsia="方正仿宋简体"/>
          <w:color w:val="auto"/>
          <w:sz w:val="32"/>
          <w:szCs w:val="32"/>
        </w:rPr>
        <w:t>”</w:t>
      </w:r>
      <w:r>
        <w:rPr>
          <w:rFonts w:eastAsia="方正仿宋简体"/>
          <w:color w:val="auto"/>
          <w:sz w:val="32"/>
          <w:szCs w:val="32"/>
        </w:rPr>
        <w:t>领域的支持力度，不断创新财政金融协同支农新模式。推进</w:t>
      </w:r>
      <w:r>
        <w:rPr>
          <w:rFonts w:hint="eastAsia" w:eastAsia="方正仿宋简体"/>
          <w:color w:val="auto"/>
          <w:sz w:val="32"/>
          <w:szCs w:val="32"/>
        </w:rPr>
        <w:t>“</w:t>
      </w:r>
      <w:r>
        <w:rPr>
          <w:rFonts w:eastAsia="方正仿宋简体"/>
          <w:color w:val="auto"/>
          <w:sz w:val="32"/>
          <w:szCs w:val="32"/>
        </w:rPr>
        <w:t>吉农金服</w:t>
      </w:r>
      <w:r>
        <w:rPr>
          <w:rFonts w:hint="eastAsia" w:eastAsia="方正仿宋简体"/>
          <w:color w:val="auto"/>
          <w:sz w:val="32"/>
          <w:szCs w:val="32"/>
        </w:rPr>
        <w:t>”</w:t>
      </w:r>
      <w:r>
        <w:rPr>
          <w:rFonts w:eastAsia="方正仿宋简体"/>
          <w:color w:val="auto"/>
          <w:sz w:val="32"/>
          <w:szCs w:val="32"/>
        </w:rPr>
        <w:t>建设初具规模，有力激发农村金融活力，全面优化农村金融生态环境。推动县域银行机构简化、优化信贷流程，提升服务效能。推动农信改革进展，妥善处置不良信贷、不良资产，优化信贷结构。健全金融风险监测预警和协同处置机制，筑牢区域金融安全防线。</w:t>
      </w:r>
    </w:p>
    <w:p w14:paraId="7E63B47A">
      <w:pPr>
        <w:spacing w:line="576" w:lineRule="exact"/>
        <w:jc w:val="center"/>
        <w:rPr>
          <w:rFonts w:eastAsia="方正楷体简体"/>
          <w:color w:val="auto"/>
          <w:sz w:val="32"/>
          <w:szCs w:val="32"/>
        </w:rPr>
      </w:pPr>
      <w:r>
        <w:rPr>
          <w:rFonts w:eastAsia="方正楷体简体"/>
          <w:color w:val="auto"/>
          <w:sz w:val="32"/>
          <w:szCs w:val="32"/>
        </w:rPr>
        <w:t>第四节  推进高水平开放发展</w:t>
      </w:r>
    </w:p>
    <w:p w14:paraId="520F9D63">
      <w:pPr>
        <w:spacing w:line="576" w:lineRule="exact"/>
        <w:ind w:firstLine="640" w:firstLineChars="200"/>
        <w:rPr>
          <w:rFonts w:eastAsia="方正仿宋简体"/>
          <w:color w:val="auto"/>
          <w:sz w:val="32"/>
          <w:szCs w:val="32"/>
        </w:rPr>
      </w:pPr>
      <w:r>
        <w:rPr>
          <w:rFonts w:eastAsia="方正仿宋简体"/>
          <w:color w:val="auto"/>
          <w:sz w:val="32"/>
          <w:szCs w:val="32"/>
        </w:rPr>
        <w:t>统筹推进对外开放与对内合作、</w:t>
      </w:r>
      <w:r>
        <w:rPr>
          <w:rFonts w:hint="eastAsia" w:eastAsia="方正仿宋简体"/>
          <w:color w:val="auto"/>
          <w:sz w:val="32"/>
          <w:szCs w:val="32"/>
        </w:rPr>
        <w:t>“</w:t>
      </w:r>
      <w:r>
        <w:rPr>
          <w:rFonts w:eastAsia="方正仿宋简体"/>
          <w:color w:val="auto"/>
          <w:sz w:val="32"/>
          <w:szCs w:val="32"/>
        </w:rPr>
        <w:t>走出去</w:t>
      </w:r>
      <w:r>
        <w:rPr>
          <w:rFonts w:hint="eastAsia" w:eastAsia="方正仿宋简体"/>
          <w:color w:val="auto"/>
          <w:sz w:val="32"/>
          <w:szCs w:val="32"/>
        </w:rPr>
        <w:t>”</w:t>
      </w:r>
      <w:r>
        <w:rPr>
          <w:rFonts w:eastAsia="方正仿宋简体"/>
          <w:color w:val="auto"/>
          <w:sz w:val="32"/>
          <w:szCs w:val="32"/>
        </w:rPr>
        <w:t>与</w:t>
      </w:r>
      <w:r>
        <w:rPr>
          <w:rFonts w:hint="eastAsia" w:eastAsia="方正仿宋简体"/>
          <w:color w:val="auto"/>
          <w:sz w:val="32"/>
          <w:szCs w:val="32"/>
        </w:rPr>
        <w:t>“</w:t>
      </w:r>
      <w:r>
        <w:rPr>
          <w:rFonts w:eastAsia="方正仿宋简体"/>
          <w:color w:val="auto"/>
          <w:sz w:val="32"/>
          <w:szCs w:val="32"/>
        </w:rPr>
        <w:t>引进来</w:t>
      </w:r>
      <w:r>
        <w:rPr>
          <w:rFonts w:hint="eastAsia" w:eastAsia="方正仿宋简体"/>
          <w:color w:val="auto"/>
          <w:sz w:val="32"/>
          <w:szCs w:val="32"/>
        </w:rPr>
        <w:t>”</w:t>
      </w:r>
      <w:r>
        <w:rPr>
          <w:rFonts w:eastAsia="方正仿宋简体"/>
          <w:color w:val="auto"/>
          <w:sz w:val="32"/>
          <w:szCs w:val="32"/>
        </w:rPr>
        <w:t>，构建全方位、宽领域、多层次的高水平开放发展新格局。</w:t>
      </w:r>
    </w:p>
    <w:p w14:paraId="3C15BC8D">
      <w:pPr>
        <w:spacing w:line="576" w:lineRule="exact"/>
        <w:ind w:firstLine="640" w:firstLineChars="200"/>
        <w:rPr>
          <w:rFonts w:eastAsia="方正仿宋简体"/>
          <w:color w:val="auto"/>
          <w:sz w:val="32"/>
          <w:szCs w:val="32"/>
        </w:rPr>
      </w:pPr>
      <w:r>
        <w:rPr>
          <w:rFonts w:eastAsia="方正仿宋简体"/>
          <w:color w:val="auto"/>
          <w:sz w:val="32"/>
          <w:szCs w:val="32"/>
        </w:rPr>
        <w:t>拓宽对外经贸合作领域。积极发挥装备制造、农特产品、工艺品等特色产业优势，推动凌远科技TBM刀具出口</w:t>
      </w:r>
      <w:r>
        <w:rPr>
          <w:rFonts w:hint="eastAsia" w:eastAsia="方正仿宋简体"/>
          <w:color w:val="auto"/>
          <w:sz w:val="32"/>
          <w:szCs w:val="32"/>
        </w:rPr>
        <w:t>“</w:t>
      </w:r>
      <w:r>
        <w:rPr>
          <w:rFonts w:eastAsia="方正仿宋简体"/>
          <w:color w:val="auto"/>
          <w:sz w:val="32"/>
          <w:szCs w:val="32"/>
        </w:rPr>
        <w:t>一带一路</w:t>
      </w:r>
      <w:r>
        <w:rPr>
          <w:rFonts w:hint="eastAsia" w:eastAsia="方正仿宋简体"/>
          <w:color w:val="auto"/>
          <w:sz w:val="32"/>
          <w:szCs w:val="32"/>
        </w:rPr>
        <w:t>”</w:t>
      </w:r>
      <w:r>
        <w:rPr>
          <w:rFonts w:eastAsia="方正仿宋简体"/>
          <w:color w:val="auto"/>
          <w:sz w:val="32"/>
          <w:szCs w:val="32"/>
        </w:rPr>
        <w:t>市场，支持紫苏企业抱团开拓海外市场。引导汽车零部件、生产原料等中间品企业开展国际认证，提升产品国际竞争力。组织企业参加</w:t>
      </w:r>
      <w:r>
        <w:rPr>
          <w:rFonts w:hint="eastAsia" w:eastAsia="方正仿宋简体"/>
          <w:color w:val="auto"/>
          <w:sz w:val="32"/>
          <w:szCs w:val="32"/>
        </w:rPr>
        <w:t>“</w:t>
      </w:r>
      <w:r>
        <w:rPr>
          <w:rFonts w:eastAsia="方正仿宋简体"/>
          <w:color w:val="auto"/>
          <w:sz w:val="32"/>
          <w:szCs w:val="32"/>
        </w:rPr>
        <w:t>吉品出海</w:t>
      </w:r>
      <w:r>
        <w:rPr>
          <w:rFonts w:hint="eastAsia" w:eastAsia="方正仿宋简体"/>
          <w:color w:val="auto"/>
          <w:sz w:val="32"/>
          <w:szCs w:val="32"/>
        </w:rPr>
        <w:t>”</w:t>
      </w:r>
      <w:r>
        <w:rPr>
          <w:rFonts w:eastAsia="方正仿宋简体"/>
          <w:color w:val="auto"/>
          <w:sz w:val="32"/>
          <w:szCs w:val="32"/>
        </w:rPr>
        <w:t>行动，利用进博会、广交会等拓展市场，依托中国—东北亚博览会、寒地冰雪经济大会等平台对接国际渠道。</w:t>
      </w:r>
    </w:p>
    <w:p w14:paraId="28EF420B">
      <w:pPr>
        <w:spacing w:line="576" w:lineRule="exact"/>
        <w:ind w:firstLine="640" w:firstLineChars="200"/>
        <w:rPr>
          <w:rFonts w:eastAsia="方正仿宋简体"/>
          <w:color w:val="auto"/>
          <w:sz w:val="32"/>
          <w:szCs w:val="32"/>
        </w:rPr>
      </w:pPr>
      <w:r>
        <w:rPr>
          <w:rFonts w:eastAsia="方正仿宋简体"/>
          <w:color w:val="auto"/>
          <w:sz w:val="32"/>
          <w:szCs w:val="32"/>
        </w:rPr>
        <w:t>强化重点领域交流合作。立足</w:t>
      </w:r>
      <w:r>
        <w:rPr>
          <w:rFonts w:hint="eastAsia" w:eastAsia="方正仿宋简体"/>
          <w:color w:val="auto"/>
          <w:sz w:val="32"/>
          <w:szCs w:val="32"/>
        </w:rPr>
        <w:t>“</w:t>
      </w:r>
      <w:r>
        <w:rPr>
          <w:rFonts w:eastAsia="方正仿宋简体"/>
          <w:color w:val="auto"/>
          <w:sz w:val="32"/>
          <w:szCs w:val="32"/>
        </w:rPr>
        <w:t>一体两翼</w:t>
      </w:r>
      <w:r>
        <w:rPr>
          <w:rFonts w:hint="eastAsia" w:eastAsia="方正仿宋简体"/>
          <w:color w:val="auto"/>
          <w:sz w:val="32"/>
          <w:szCs w:val="32"/>
        </w:rPr>
        <w:t>”</w:t>
      </w:r>
      <w:r>
        <w:rPr>
          <w:rFonts w:eastAsia="方正仿宋简体"/>
          <w:color w:val="auto"/>
          <w:sz w:val="32"/>
          <w:szCs w:val="32"/>
        </w:rPr>
        <w:t>协同发展战略，依托中新食品区国家级对外开放平台，充分发挥无规定动物疫病区优势，发展外向型农产品精深加工，推动现代农业与国际市场对接。借助冰雪试验区丰富客流资源，拓展冰雪产业，提升配套服务能力，推动永吉、中新食品区与冰雪试验区优势互补、协同发展。深化与温州市瑞安市对口合作，聚焦产业协同与资源互补，建立常态化沟通机制，每年组织商务对接与企业交流活动，推动瑞安在智能制造、数字经济领域的优势资源与我县特色产业深度融合，促进合作项目落地见效。做响</w:t>
      </w:r>
      <w:r>
        <w:rPr>
          <w:rFonts w:hint="eastAsia" w:eastAsia="方正仿宋简体"/>
          <w:color w:val="auto"/>
          <w:sz w:val="32"/>
          <w:szCs w:val="32"/>
        </w:rPr>
        <w:t>“</w:t>
      </w:r>
      <w:r>
        <w:rPr>
          <w:rFonts w:eastAsia="方正仿宋简体"/>
          <w:color w:val="auto"/>
          <w:sz w:val="32"/>
          <w:szCs w:val="32"/>
        </w:rPr>
        <w:t>万昌大米</w:t>
      </w:r>
      <w:r>
        <w:rPr>
          <w:rFonts w:hint="eastAsia" w:eastAsia="方正仿宋简体"/>
          <w:color w:val="auto"/>
          <w:sz w:val="32"/>
          <w:szCs w:val="32"/>
        </w:rPr>
        <w:t>”</w:t>
      </w:r>
      <w:r>
        <w:rPr>
          <w:rFonts w:eastAsia="方正仿宋简体"/>
          <w:color w:val="auto"/>
          <w:sz w:val="32"/>
          <w:szCs w:val="32"/>
        </w:rPr>
        <w:t>品牌，以温州为长三角市场突破口，举办大型推介活动，联合电商平台开展直播带货、设立品牌专区，推动</w:t>
      </w:r>
      <w:r>
        <w:rPr>
          <w:rFonts w:hint="eastAsia" w:eastAsia="方正仿宋简体"/>
          <w:color w:val="auto"/>
          <w:sz w:val="32"/>
          <w:szCs w:val="32"/>
        </w:rPr>
        <w:t>“</w:t>
      </w:r>
      <w:r>
        <w:rPr>
          <w:rFonts w:eastAsia="方正仿宋简体"/>
          <w:color w:val="auto"/>
          <w:sz w:val="32"/>
          <w:szCs w:val="32"/>
        </w:rPr>
        <w:t>万昌大米</w:t>
      </w:r>
      <w:r>
        <w:rPr>
          <w:rFonts w:hint="eastAsia" w:eastAsia="方正仿宋简体"/>
          <w:color w:val="auto"/>
          <w:sz w:val="32"/>
          <w:szCs w:val="32"/>
        </w:rPr>
        <w:t>”</w:t>
      </w:r>
      <w:r>
        <w:rPr>
          <w:rFonts w:eastAsia="方正仿宋简体"/>
          <w:color w:val="auto"/>
          <w:sz w:val="32"/>
          <w:szCs w:val="32"/>
        </w:rPr>
        <w:t>标准化生产、品质化提升，强化地理标志保护，提升品牌溢价能力。</w:t>
      </w:r>
    </w:p>
    <w:p w14:paraId="19AC71C4">
      <w:pPr>
        <w:spacing w:line="576" w:lineRule="exact"/>
        <w:ind w:firstLine="640" w:firstLineChars="200"/>
        <w:rPr>
          <w:rFonts w:eastAsia="方正仿宋简体"/>
          <w:color w:val="auto"/>
          <w:sz w:val="32"/>
          <w:szCs w:val="32"/>
        </w:rPr>
      </w:pPr>
      <w:r>
        <w:rPr>
          <w:rFonts w:eastAsia="方正仿宋简体"/>
          <w:color w:val="auto"/>
          <w:sz w:val="32"/>
          <w:szCs w:val="32"/>
        </w:rPr>
        <w:t>强化招商引资质效。聚焦现代装备制造、新材料、医药健康等优势产业，绘制产业链图谱和招商地图，开展靶向招商。创新招商方式，积极推行以商招商、委托招商、平台招商等多元化模式，深化与商会协会、行业组织、域外永吉籍人才的常态化合作。强化资源要素保障，系统盘活闲置土地、厂房等沉睡资产，建立招商引资要素资源库。提升招商专业化水平，组建专业化招商团队，开展产业知识、谈判技巧等专项培训，完善项目全周期服务机制。健全考核激励机制，突出项目落地率、资金到位率、投产达效率等实效指标，形成</w:t>
      </w:r>
      <w:r>
        <w:rPr>
          <w:rFonts w:hint="eastAsia" w:eastAsia="方正仿宋简体"/>
          <w:color w:val="auto"/>
          <w:sz w:val="32"/>
          <w:szCs w:val="32"/>
        </w:rPr>
        <w:t>“</w:t>
      </w:r>
      <w:r>
        <w:rPr>
          <w:rFonts w:eastAsia="方正仿宋简体"/>
          <w:color w:val="auto"/>
          <w:sz w:val="32"/>
          <w:szCs w:val="32"/>
        </w:rPr>
        <w:t>谋划—对接—落地—达效</w:t>
      </w:r>
      <w:r>
        <w:rPr>
          <w:rFonts w:hint="eastAsia" w:eastAsia="方正仿宋简体"/>
          <w:color w:val="auto"/>
          <w:sz w:val="32"/>
          <w:szCs w:val="32"/>
        </w:rPr>
        <w:t>”</w:t>
      </w:r>
      <w:r>
        <w:rPr>
          <w:rFonts w:eastAsia="方正仿宋简体"/>
          <w:color w:val="auto"/>
          <w:sz w:val="32"/>
          <w:szCs w:val="32"/>
        </w:rPr>
        <w:t>的招商闭环。</w:t>
      </w:r>
    </w:p>
    <w:p w14:paraId="7F3224C7">
      <w:pPr>
        <w:spacing w:line="576" w:lineRule="exact"/>
        <w:jc w:val="center"/>
        <w:rPr>
          <w:rFonts w:eastAsia="方正仿宋简体"/>
          <w:color w:val="auto"/>
          <w:sz w:val="32"/>
          <w:szCs w:val="32"/>
        </w:rPr>
      </w:pPr>
      <w:r>
        <w:rPr>
          <w:rFonts w:eastAsia="方正黑体简体"/>
          <w:color w:val="auto"/>
          <w:sz w:val="32"/>
          <w:szCs w:val="32"/>
        </w:rPr>
        <w:t>第七章  提升城市功能品质，建设现代化人民城市</w:t>
      </w:r>
    </w:p>
    <w:p w14:paraId="41B9CFDE">
      <w:pPr>
        <w:spacing w:line="576" w:lineRule="exact"/>
        <w:ind w:firstLine="640" w:firstLineChars="200"/>
        <w:rPr>
          <w:rFonts w:eastAsia="方正仿宋简体"/>
          <w:color w:val="auto"/>
          <w:sz w:val="32"/>
          <w:szCs w:val="32"/>
        </w:rPr>
      </w:pPr>
      <w:r>
        <w:rPr>
          <w:rFonts w:eastAsia="方正仿宋简体"/>
          <w:color w:val="auto"/>
          <w:sz w:val="32"/>
          <w:szCs w:val="32"/>
        </w:rPr>
        <w:t>系统推进新型城镇化建设、城市空间优化、更新改造提升、基础设施完善和精细管理治理。全面增强城市人口承载力、产业集聚力和区域辐射力，加快建设现代化人民城市。</w:t>
      </w:r>
    </w:p>
    <w:p w14:paraId="10684EF1">
      <w:pPr>
        <w:spacing w:line="576" w:lineRule="exact"/>
        <w:jc w:val="center"/>
        <w:rPr>
          <w:rFonts w:eastAsia="方正楷体简体"/>
          <w:color w:val="auto"/>
          <w:sz w:val="32"/>
          <w:szCs w:val="32"/>
        </w:rPr>
      </w:pPr>
      <w:r>
        <w:rPr>
          <w:rFonts w:eastAsia="方正楷体简体"/>
          <w:color w:val="auto"/>
          <w:sz w:val="32"/>
          <w:szCs w:val="32"/>
        </w:rPr>
        <w:t>第一节  推进新型城镇化高质量发展</w:t>
      </w:r>
    </w:p>
    <w:p w14:paraId="0CA93E7C">
      <w:pPr>
        <w:spacing w:line="576" w:lineRule="exact"/>
        <w:ind w:firstLine="640" w:firstLineChars="200"/>
        <w:rPr>
          <w:rFonts w:eastAsia="方正仿宋简体"/>
          <w:color w:val="auto"/>
          <w:sz w:val="32"/>
          <w:szCs w:val="32"/>
        </w:rPr>
      </w:pPr>
      <w:r>
        <w:rPr>
          <w:rFonts w:eastAsia="方正仿宋简体"/>
          <w:color w:val="auto"/>
          <w:sz w:val="32"/>
          <w:szCs w:val="32"/>
        </w:rPr>
        <w:t>科学有序推进农业转移人口市民化，落实落细常住地登记户口、基本公共服务衔接等配套政策。强化县城作为城镇化重要载体的功能，提升产业支撑能力和综合服务能级，增强对县域人口和资源的集聚能力。坚持城市内涵式发展，高标准推进城市更新，完善市政基础设施，增强产业集聚和人口吸纳能力。强化就业支撑，提供定制化职业技能培训和公共就业服务，提升农业转移人口稳定就业能力，全面提升城镇的承载力和吸引力。</w:t>
      </w:r>
    </w:p>
    <w:p w14:paraId="53CEC0BC">
      <w:pPr>
        <w:spacing w:line="576" w:lineRule="exact"/>
        <w:jc w:val="center"/>
        <w:rPr>
          <w:rFonts w:eastAsia="方正楷体简体"/>
          <w:color w:val="auto"/>
          <w:sz w:val="32"/>
          <w:szCs w:val="32"/>
        </w:rPr>
      </w:pPr>
      <w:r>
        <w:rPr>
          <w:rFonts w:eastAsia="方正楷体简体"/>
          <w:color w:val="auto"/>
          <w:sz w:val="32"/>
          <w:szCs w:val="32"/>
        </w:rPr>
        <w:t>第二节  优化城市载体功能</w:t>
      </w:r>
    </w:p>
    <w:p w14:paraId="3DC4D426">
      <w:pPr>
        <w:spacing w:line="576" w:lineRule="exact"/>
        <w:ind w:firstLine="640" w:firstLineChars="200"/>
        <w:rPr>
          <w:rFonts w:eastAsia="方正仿宋简体"/>
          <w:color w:val="auto"/>
          <w:sz w:val="32"/>
          <w:szCs w:val="32"/>
        </w:rPr>
      </w:pPr>
      <w:r>
        <w:rPr>
          <w:rFonts w:eastAsia="方正仿宋简体"/>
          <w:color w:val="auto"/>
          <w:sz w:val="32"/>
          <w:szCs w:val="32"/>
        </w:rPr>
        <w:t>立足</w:t>
      </w:r>
      <w:r>
        <w:rPr>
          <w:rFonts w:hint="eastAsia" w:eastAsia="方正仿宋简体"/>
          <w:color w:val="auto"/>
          <w:sz w:val="32"/>
          <w:szCs w:val="32"/>
        </w:rPr>
        <w:t>“</w:t>
      </w:r>
      <w:r>
        <w:rPr>
          <w:rFonts w:eastAsia="方正仿宋简体"/>
          <w:color w:val="auto"/>
          <w:sz w:val="32"/>
          <w:szCs w:val="32"/>
        </w:rPr>
        <w:t>内涵发展、品质提升</w:t>
      </w:r>
      <w:r>
        <w:rPr>
          <w:rFonts w:hint="eastAsia" w:eastAsia="方正仿宋简体"/>
          <w:color w:val="auto"/>
          <w:sz w:val="32"/>
          <w:szCs w:val="32"/>
        </w:rPr>
        <w:t>”</w:t>
      </w:r>
      <w:r>
        <w:rPr>
          <w:rFonts w:eastAsia="方正仿宋简体"/>
          <w:color w:val="auto"/>
          <w:sz w:val="32"/>
          <w:szCs w:val="32"/>
        </w:rPr>
        <w:t>的核心要求，遵循精明增长模式，优化县域空间结构，推进重点片区开发，强化城市核心功能承载，构建功能明晰、集约高效、宜居宜业的城市发展新格局。</w:t>
      </w:r>
    </w:p>
    <w:p w14:paraId="430B8634">
      <w:pPr>
        <w:spacing w:line="576" w:lineRule="exact"/>
        <w:ind w:firstLine="640" w:firstLineChars="200"/>
        <w:rPr>
          <w:rFonts w:eastAsia="方正仿宋简体"/>
          <w:color w:val="auto"/>
          <w:sz w:val="32"/>
          <w:szCs w:val="32"/>
        </w:rPr>
      </w:pPr>
      <w:r>
        <w:rPr>
          <w:rFonts w:eastAsia="方正仿宋简体"/>
          <w:color w:val="auto"/>
          <w:sz w:val="32"/>
          <w:szCs w:val="32"/>
        </w:rPr>
        <w:t>强化城市空间功能塑造。优化调整县城功能布局与管理机制，推动管理服务下沉，提升资源配置效率与基层治理效能。强化轴线带动与片区功能塑造。重点推进温德河、巴虎河、吉桦路两侧区域开发，打造高品质旅居区和城市功能拓展区。深度挖掘北山、铁路遗址等自然与人文景观价值，开发休闲游憩项目，打造满足市民需求的短途旅游与亲子休闲目的地。围绕四间河及兴凯路，打造商业氛围浓厚、互动体验强的特色商业街区，提升城市商业服务能级。</w:t>
      </w:r>
    </w:p>
    <w:p w14:paraId="2C284EE9">
      <w:pPr>
        <w:spacing w:line="576" w:lineRule="exact"/>
        <w:ind w:firstLine="640" w:firstLineChars="200"/>
        <w:rPr>
          <w:rFonts w:eastAsia="方正仿宋简体"/>
          <w:color w:val="auto"/>
          <w:sz w:val="32"/>
          <w:szCs w:val="32"/>
        </w:rPr>
      </w:pPr>
      <w:r>
        <w:rPr>
          <w:rFonts w:eastAsia="方正仿宋简体"/>
          <w:color w:val="auto"/>
          <w:sz w:val="32"/>
          <w:szCs w:val="32"/>
        </w:rPr>
        <w:t>建设产教城融合创新活力区。高标准推进大学城周边综合开发。优化空间环境，重点建设商业步行街、商务宾馆、师生集聚广场等配套设施，完善服务功能。打造沿路景观带与口袋公园，推进建筑立面改造，统一风格色彩，营造</w:t>
      </w:r>
      <w:r>
        <w:rPr>
          <w:rFonts w:hint="eastAsia" w:eastAsia="方正仿宋简体"/>
          <w:color w:val="auto"/>
          <w:sz w:val="32"/>
          <w:szCs w:val="32"/>
        </w:rPr>
        <w:t>“</w:t>
      </w:r>
      <w:r>
        <w:rPr>
          <w:rFonts w:eastAsia="方正仿宋简体"/>
          <w:color w:val="auto"/>
          <w:sz w:val="32"/>
          <w:szCs w:val="32"/>
        </w:rPr>
        <w:t>青春、活力、现代</w:t>
      </w:r>
      <w:r>
        <w:rPr>
          <w:rFonts w:hint="eastAsia" w:eastAsia="方正仿宋简体"/>
          <w:color w:val="auto"/>
          <w:sz w:val="32"/>
          <w:szCs w:val="32"/>
        </w:rPr>
        <w:t>”</w:t>
      </w:r>
      <w:r>
        <w:rPr>
          <w:rFonts w:eastAsia="方正仿宋简体"/>
          <w:color w:val="auto"/>
          <w:sz w:val="32"/>
          <w:szCs w:val="32"/>
        </w:rPr>
        <w:t>的氛围。促进校区城区互动融合。建设体育公园，与高校共建</w:t>
      </w:r>
      <w:r>
        <w:rPr>
          <w:rFonts w:hint="eastAsia" w:eastAsia="方正仿宋简体"/>
          <w:color w:val="auto"/>
          <w:sz w:val="32"/>
          <w:szCs w:val="32"/>
        </w:rPr>
        <w:t>“</w:t>
      </w:r>
      <w:r>
        <w:rPr>
          <w:rFonts w:eastAsia="方正仿宋简体"/>
          <w:color w:val="auto"/>
          <w:sz w:val="32"/>
          <w:szCs w:val="32"/>
        </w:rPr>
        <w:t>冰雪运动实训基地</w:t>
      </w:r>
      <w:r>
        <w:rPr>
          <w:rFonts w:hint="eastAsia" w:eastAsia="方正仿宋简体"/>
          <w:color w:val="auto"/>
          <w:sz w:val="32"/>
          <w:szCs w:val="32"/>
        </w:rPr>
        <w:t>”“</w:t>
      </w:r>
      <w:r>
        <w:rPr>
          <w:rFonts w:eastAsia="方正仿宋简体"/>
          <w:color w:val="auto"/>
          <w:sz w:val="32"/>
          <w:szCs w:val="32"/>
        </w:rPr>
        <w:t>文化创意实践中心</w:t>
      </w:r>
      <w:r>
        <w:rPr>
          <w:rFonts w:hint="eastAsia" w:eastAsia="方正仿宋简体"/>
          <w:color w:val="auto"/>
          <w:sz w:val="32"/>
          <w:szCs w:val="32"/>
        </w:rPr>
        <w:t>”</w:t>
      </w:r>
      <w:r>
        <w:rPr>
          <w:rFonts w:eastAsia="方正仿宋简体"/>
          <w:color w:val="auto"/>
          <w:sz w:val="32"/>
          <w:szCs w:val="32"/>
        </w:rPr>
        <w:t>；联合定期举办大学生文化活动、冰雪嘉年华、创意设计大赛等活动，提升区域活力与知名度。</w:t>
      </w:r>
    </w:p>
    <w:p w14:paraId="21680834">
      <w:pPr>
        <w:spacing w:line="576" w:lineRule="exact"/>
        <w:ind w:firstLine="640" w:firstLineChars="200"/>
        <w:rPr>
          <w:rFonts w:eastAsia="方正仿宋简体"/>
          <w:color w:val="auto"/>
          <w:sz w:val="32"/>
          <w:szCs w:val="32"/>
        </w:rPr>
      </w:pPr>
      <w:r>
        <w:rPr>
          <w:rFonts w:eastAsia="方正仿宋简体"/>
          <w:color w:val="auto"/>
          <w:sz w:val="32"/>
          <w:szCs w:val="32"/>
        </w:rPr>
        <w:t>盘活激活城市低效空间资源。全面清查批而未供、供而未用、用而低效的工业用地、闲置房产及农村宅基地，建立动态数据库并绘制</w:t>
      </w:r>
      <w:r>
        <w:rPr>
          <w:rFonts w:hint="eastAsia" w:eastAsia="方正仿宋简体"/>
          <w:color w:val="auto"/>
          <w:sz w:val="32"/>
          <w:szCs w:val="32"/>
        </w:rPr>
        <w:t>“</w:t>
      </w:r>
      <w:r>
        <w:rPr>
          <w:rFonts w:eastAsia="方正仿宋简体"/>
          <w:color w:val="auto"/>
          <w:sz w:val="32"/>
          <w:szCs w:val="32"/>
        </w:rPr>
        <w:t>资源地图</w:t>
      </w:r>
      <w:r>
        <w:rPr>
          <w:rFonts w:hint="eastAsia" w:eastAsia="方正仿宋简体"/>
          <w:color w:val="auto"/>
          <w:sz w:val="32"/>
          <w:szCs w:val="32"/>
        </w:rPr>
        <w:t>”</w:t>
      </w:r>
      <w:r>
        <w:rPr>
          <w:rFonts w:eastAsia="方正仿宋简体"/>
          <w:color w:val="auto"/>
          <w:sz w:val="32"/>
          <w:szCs w:val="32"/>
        </w:rPr>
        <w:t>。对闲置低效工业用地和厂房，通过协商收回、流转嫁接招商等方式导入新项目；对城镇闲置商办房产，支持改造为保障性租赁住房、社区养老中心及文创空间；对农村闲置宅基地和农房，稳妥发展民宿、电商、康养等业态。</w:t>
      </w:r>
      <w:r>
        <w:rPr>
          <w:rFonts w:hint="eastAsia" w:eastAsia="方正仿宋简体"/>
          <w:color w:val="auto"/>
          <w:sz w:val="32"/>
          <w:szCs w:val="32"/>
          <w:lang w:val="en-US" w:eastAsia="zh-CN"/>
        </w:rPr>
        <w:t>综合</w:t>
      </w:r>
      <w:r>
        <w:rPr>
          <w:rFonts w:eastAsia="方正仿宋简体"/>
          <w:color w:val="auto"/>
          <w:sz w:val="32"/>
          <w:szCs w:val="32"/>
        </w:rPr>
        <w:t>开发巴虎河桥头区域，将原棚户区用地转为体育用地、公园绿地，打造冰雪旅游门户与市民休闲中心；盘活闲置地块，因地制宜建设停车场、农贸市场、口袋公园等便民场所。</w:t>
      </w:r>
    </w:p>
    <w:p w14:paraId="2F0F7847">
      <w:pPr>
        <w:spacing w:line="576" w:lineRule="exact"/>
        <w:jc w:val="center"/>
        <w:rPr>
          <w:rFonts w:eastAsia="方正楷体简体"/>
          <w:color w:val="auto"/>
          <w:sz w:val="32"/>
          <w:szCs w:val="32"/>
        </w:rPr>
      </w:pPr>
      <w:r>
        <w:rPr>
          <w:rFonts w:eastAsia="方正楷体简体"/>
          <w:color w:val="auto"/>
          <w:sz w:val="32"/>
          <w:szCs w:val="32"/>
        </w:rPr>
        <w:t>第三节  大力实施城市更新</w:t>
      </w:r>
    </w:p>
    <w:p w14:paraId="7F85F6E8">
      <w:pPr>
        <w:spacing w:line="576" w:lineRule="exact"/>
        <w:ind w:firstLine="640" w:firstLineChars="200"/>
        <w:rPr>
          <w:rFonts w:eastAsia="方正仿宋简体"/>
          <w:color w:val="auto"/>
          <w:sz w:val="32"/>
          <w:szCs w:val="32"/>
        </w:rPr>
      </w:pPr>
      <w:r>
        <w:rPr>
          <w:rFonts w:eastAsia="方正仿宋简体"/>
          <w:color w:val="auto"/>
          <w:sz w:val="32"/>
          <w:szCs w:val="32"/>
        </w:rPr>
        <w:t>坚持</w:t>
      </w:r>
      <w:r>
        <w:rPr>
          <w:rFonts w:hint="eastAsia" w:eastAsia="方正仿宋简体"/>
          <w:color w:val="auto"/>
          <w:sz w:val="32"/>
          <w:szCs w:val="32"/>
        </w:rPr>
        <w:t>“</w:t>
      </w:r>
      <w:r>
        <w:rPr>
          <w:rFonts w:eastAsia="方正仿宋简体"/>
          <w:color w:val="auto"/>
          <w:sz w:val="32"/>
          <w:szCs w:val="32"/>
        </w:rPr>
        <w:t>留改拆</w:t>
      </w:r>
      <w:r>
        <w:rPr>
          <w:rFonts w:hint="eastAsia" w:eastAsia="方正仿宋简体"/>
          <w:color w:val="auto"/>
          <w:sz w:val="32"/>
          <w:szCs w:val="32"/>
        </w:rPr>
        <w:t>”</w:t>
      </w:r>
      <w:r>
        <w:rPr>
          <w:rFonts w:eastAsia="方正仿宋简体"/>
          <w:color w:val="auto"/>
          <w:sz w:val="32"/>
          <w:szCs w:val="32"/>
        </w:rPr>
        <w:t>并举，以提升城市人居环境为核心，统筹推进老旧小区改造、基础设施补短和特色风貌塑造，推动城市开发建设方式从粗放型外延式发展转向集约型内涵式发展。</w:t>
      </w:r>
    </w:p>
    <w:p w14:paraId="515E2E8C">
      <w:pPr>
        <w:spacing w:line="576" w:lineRule="exact"/>
        <w:ind w:firstLine="640" w:firstLineChars="200"/>
        <w:rPr>
          <w:rFonts w:eastAsia="方正仿宋简体"/>
          <w:color w:val="auto"/>
          <w:sz w:val="32"/>
          <w:szCs w:val="32"/>
        </w:rPr>
      </w:pPr>
      <w:r>
        <w:rPr>
          <w:rFonts w:eastAsia="方正仿宋简体"/>
          <w:color w:val="auto"/>
          <w:sz w:val="32"/>
          <w:szCs w:val="32"/>
        </w:rPr>
        <w:t>持续推进县城更新行动。统筹推进老旧小区和市政管网改造，完善城市基础设施配套，不断提升城市品质。增强城市综合防灾减灾救灾能力。积极推进铁路改线工程建设解决铁路穿城引发的交通拥堵，科学规划城市环路系统。加快老旧小区改造更新，持续盘活闲置地块。精准施策，实施永吉县兴南棚户区改造工程，消除安全隐患，改善居民基本居住条件。推进居住社区设施补短板。重点支持有条件的老旧住宅加装电梯，完善无障碍设施。系统开展居住社区设施补短板行动，全面改造提升社区内老化的供水、排水、供电、燃气、供热、通信等市政基础设施，以及养老、托育、便民市场等公共服务设施，构建功能完善的</w:t>
      </w:r>
      <w:r>
        <w:rPr>
          <w:rFonts w:hint="eastAsia" w:eastAsia="方正仿宋简体"/>
          <w:color w:val="auto"/>
          <w:sz w:val="32"/>
          <w:szCs w:val="32"/>
        </w:rPr>
        <w:t>“</w:t>
      </w:r>
      <w:r>
        <w:rPr>
          <w:rFonts w:eastAsia="方正仿宋简体"/>
          <w:color w:val="auto"/>
          <w:sz w:val="32"/>
          <w:szCs w:val="32"/>
        </w:rPr>
        <w:t>完整社区</w:t>
      </w:r>
      <w:r>
        <w:rPr>
          <w:rFonts w:hint="eastAsia" w:eastAsia="方正仿宋简体"/>
          <w:color w:val="auto"/>
          <w:sz w:val="32"/>
          <w:szCs w:val="32"/>
        </w:rPr>
        <w:t>”</w:t>
      </w:r>
      <w:r>
        <w:rPr>
          <w:rFonts w:eastAsia="方正仿宋简体"/>
          <w:color w:val="auto"/>
          <w:sz w:val="32"/>
          <w:szCs w:val="32"/>
        </w:rPr>
        <w:t>。</w:t>
      </w:r>
    </w:p>
    <w:p w14:paraId="252C8BE6">
      <w:pPr>
        <w:spacing w:line="576" w:lineRule="exact"/>
        <w:ind w:firstLine="640" w:firstLineChars="200"/>
        <w:rPr>
          <w:rFonts w:eastAsia="方正仿宋简体"/>
          <w:color w:val="auto"/>
          <w:sz w:val="32"/>
          <w:szCs w:val="32"/>
        </w:rPr>
      </w:pPr>
      <w:r>
        <w:rPr>
          <w:rFonts w:eastAsia="方正仿宋简体"/>
          <w:color w:val="auto"/>
          <w:sz w:val="32"/>
          <w:szCs w:val="32"/>
        </w:rPr>
        <w:t>打造精致特色城镇风貌。实施吉桦路东出口多功能城市驿站建设，打造集地标、生态游憩、休闲运动、旅游康养及停车服务于一体的综合空间。推进欧亚大学城周边景观风貌提升，优化商业步行街、集聚广场、停车换乘等商业活力空间。加快创建省级生态园林城市，推进园林式单位小区街道建设，实施滨河生态带</w:t>
      </w:r>
      <w:r>
        <w:rPr>
          <w:rFonts w:hint="eastAsia" w:eastAsia="方正仿宋简体"/>
          <w:color w:val="auto"/>
          <w:sz w:val="32"/>
          <w:szCs w:val="32"/>
          <w:lang w:val="en-US" w:eastAsia="zh-CN"/>
        </w:rPr>
        <w:t>建设</w:t>
      </w:r>
      <w:r>
        <w:rPr>
          <w:rFonts w:eastAsia="方正仿宋简体"/>
          <w:color w:val="auto"/>
          <w:sz w:val="32"/>
          <w:szCs w:val="32"/>
        </w:rPr>
        <w:t>，构建15分钟生态圈。完善城市慢行系统，沿吉桦路南侧水渠打造慢行绿道，串联工业区与生活区。到2030年，新增城市绿地5.53公顷，建成区绿化覆盖率达到33%。</w:t>
      </w:r>
    </w:p>
    <w:p w14:paraId="38FFC4A1">
      <w:pPr>
        <w:spacing w:line="576" w:lineRule="exact"/>
        <w:jc w:val="center"/>
        <w:rPr>
          <w:rFonts w:eastAsia="方正楷体简体"/>
          <w:color w:val="auto"/>
          <w:sz w:val="32"/>
          <w:szCs w:val="32"/>
        </w:rPr>
      </w:pPr>
      <w:r>
        <w:rPr>
          <w:rFonts w:eastAsia="方正楷体简体"/>
          <w:color w:val="auto"/>
          <w:sz w:val="32"/>
          <w:szCs w:val="32"/>
        </w:rPr>
        <w:t>第四节  完善现代化基础设施</w:t>
      </w:r>
    </w:p>
    <w:p w14:paraId="472738AB">
      <w:pPr>
        <w:spacing w:line="576" w:lineRule="exact"/>
        <w:ind w:firstLine="640" w:firstLineChars="200"/>
        <w:rPr>
          <w:rFonts w:eastAsia="方正仿宋简体"/>
          <w:color w:val="auto"/>
          <w:sz w:val="32"/>
          <w:szCs w:val="32"/>
        </w:rPr>
      </w:pPr>
      <w:r>
        <w:rPr>
          <w:rFonts w:eastAsia="方正仿宋简体"/>
          <w:color w:val="auto"/>
          <w:sz w:val="32"/>
          <w:szCs w:val="32"/>
        </w:rPr>
        <w:t>坚持适度超前、整体优化、智慧融合、安全韧性原则，推进基础设施现代化，筑牢城市高效运行底座，为产业发展和人口集聚提供坚实保障。</w:t>
      </w:r>
    </w:p>
    <w:p w14:paraId="46B5CC57">
      <w:pPr>
        <w:spacing w:line="576" w:lineRule="exact"/>
        <w:ind w:firstLine="640" w:firstLineChars="200"/>
        <w:rPr>
          <w:rFonts w:eastAsia="方正仿宋简体"/>
          <w:color w:val="auto"/>
          <w:sz w:val="32"/>
          <w:szCs w:val="32"/>
        </w:rPr>
      </w:pPr>
      <w:r>
        <w:rPr>
          <w:rFonts w:eastAsia="方正仿宋简体"/>
          <w:color w:val="auto"/>
          <w:sz w:val="32"/>
          <w:szCs w:val="32"/>
        </w:rPr>
        <w:t>构建现代化综合交通体系。打造</w:t>
      </w:r>
      <w:r>
        <w:rPr>
          <w:rFonts w:hint="eastAsia" w:eastAsia="方正仿宋简体"/>
          <w:color w:val="auto"/>
          <w:sz w:val="32"/>
          <w:szCs w:val="32"/>
        </w:rPr>
        <w:t>“</w:t>
      </w:r>
      <w:r>
        <w:rPr>
          <w:rFonts w:eastAsia="方正仿宋简体"/>
          <w:color w:val="auto"/>
          <w:sz w:val="32"/>
          <w:szCs w:val="32"/>
        </w:rPr>
        <w:t>吉永20分钟通勤圈</w:t>
      </w:r>
      <w:r>
        <w:rPr>
          <w:rFonts w:hint="eastAsia" w:eastAsia="方正仿宋简体"/>
          <w:color w:val="auto"/>
          <w:sz w:val="32"/>
          <w:szCs w:val="32"/>
        </w:rPr>
        <w:t>”</w:t>
      </w:r>
      <w:r>
        <w:rPr>
          <w:rFonts w:eastAsia="方正仿宋简体"/>
          <w:color w:val="auto"/>
          <w:sz w:val="32"/>
          <w:szCs w:val="32"/>
        </w:rPr>
        <w:t>。加快推进G202国道永吉—吉林段、巴虎—万科段纳入市政管理；协同推进吉林—桦甸高速、国道黑大公路绕越线等跨区域项目；贯通连接温德河滨河景观路。全新升级国省干道、高速引线等交通节点性服务设施，配套建设兼具停车场、候车亭的</w:t>
      </w:r>
      <w:r>
        <w:rPr>
          <w:rFonts w:hint="eastAsia" w:eastAsia="方正仿宋简体"/>
          <w:color w:val="auto"/>
          <w:sz w:val="32"/>
          <w:szCs w:val="32"/>
        </w:rPr>
        <w:t>“</w:t>
      </w:r>
      <w:r>
        <w:rPr>
          <w:rFonts w:eastAsia="方正仿宋简体"/>
          <w:color w:val="auto"/>
          <w:sz w:val="32"/>
          <w:szCs w:val="32"/>
        </w:rPr>
        <w:t>一站式换乘</w:t>
      </w:r>
      <w:r>
        <w:rPr>
          <w:rFonts w:hint="eastAsia" w:eastAsia="方正仿宋简体"/>
          <w:color w:val="auto"/>
          <w:sz w:val="32"/>
          <w:szCs w:val="32"/>
        </w:rPr>
        <w:t>”</w:t>
      </w:r>
      <w:r>
        <w:rPr>
          <w:rFonts w:eastAsia="方正仿宋简体"/>
          <w:color w:val="auto"/>
          <w:sz w:val="32"/>
          <w:szCs w:val="32"/>
        </w:rPr>
        <w:t>综合交通枢纽，系统打造绿化景观、路灯照明及充电、休憩等精致化功能。优化同城公交服务。进一步优化丰富市县公交路线，针对游客、教职员工、企业职工等群体形成定制化快速公交网络，加密城际公交/BRT班次，推行一卡通和票价一体化。完善城乡交通网络。推进龙嘉机场－岔路河－北大湖市郊铁路建设，完善龙嘉机场至北大湖高速、旺北线等道路改建工程，增强旅游客运服务和区域联通能力。加快推进县域内危桥改造。完善城市道路交通网，打通县城断头路，推进巴虎路、南环路、滨河路、绕越线等街路建成通车，形成</w:t>
      </w:r>
      <w:r>
        <w:rPr>
          <w:rFonts w:hint="eastAsia" w:eastAsia="方正仿宋简体"/>
          <w:color w:val="auto"/>
          <w:sz w:val="32"/>
          <w:szCs w:val="32"/>
        </w:rPr>
        <w:t>“</w:t>
      </w:r>
      <w:r>
        <w:rPr>
          <w:rFonts w:eastAsia="方正仿宋简体"/>
          <w:color w:val="auto"/>
          <w:sz w:val="32"/>
          <w:szCs w:val="32"/>
        </w:rPr>
        <w:t>四纵五横</w:t>
      </w:r>
      <w:r>
        <w:rPr>
          <w:rFonts w:hint="eastAsia" w:eastAsia="方正仿宋简体"/>
          <w:color w:val="auto"/>
          <w:sz w:val="32"/>
          <w:szCs w:val="32"/>
        </w:rPr>
        <w:t>”</w:t>
      </w:r>
      <w:r>
        <w:rPr>
          <w:rFonts w:eastAsia="方正仿宋简体"/>
          <w:color w:val="auto"/>
          <w:sz w:val="32"/>
          <w:szCs w:val="32"/>
        </w:rPr>
        <w:t>路网体系，科学规划、配套建设新能源汽车充电桩等公共配套设施。</w:t>
      </w:r>
    </w:p>
    <w:p w14:paraId="476D05BD">
      <w:pPr>
        <w:spacing w:line="576" w:lineRule="exact"/>
        <w:ind w:firstLine="640" w:firstLineChars="200"/>
        <w:rPr>
          <w:rFonts w:eastAsia="方正仿宋简体"/>
          <w:color w:val="auto"/>
          <w:sz w:val="32"/>
          <w:szCs w:val="32"/>
        </w:rPr>
      </w:pPr>
      <w:r>
        <w:rPr>
          <w:rFonts w:eastAsia="方正仿宋简体"/>
          <w:color w:val="auto"/>
          <w:sz w:val="32"/>
          <w:szCs w:val="32"/>
        </w:rPr>
        <w:t>筑牢智慧韧性市政设施网络。推进市政设施互联互通。推进四间净水厂及配套管网建设，形成双回路供水；实施二次供水及智慧水务系统改造。推进温德河城区段壅水坝及智慧水利控制系统建设，提升城市防洪调蓄能力。推进综合管廊建设，增强排涝韧性。推进城区大型集中热源建设及老旧管网等设施更新，形成双热源保障。加强燃气安全管理，提升管道燃气覆盖率至45%，完成燃气设施更新改造并安装智慧监测单元。</w:t>
      </w:r>
    </w:p>
    <w:p w14:paraId="3C81FF39">
      <w:pPr>
        <w:spacing w:line="576" w:lineRule="exact"/>
        <w:jc w:val="center"/>
        <w:rPr>
          <w:rFonts w:eastAsia="方正楷体简体"/>
          <w:color w:val="auto"/>
          <w:sz w:val="32"/>
          <w:szCs w:val="32"/>
        </w:rPr>
      </w:pPr>
      <w:r>
        <w:rPr>
          <w:rFonts w:eastAsia="方正楷体简体"/>
          <w:color w:val="auto"/>
          <w:sz w:val="32"/>
          <w:szCs w:val="32"/>
        </w:rPr>
        <w:t>第五节  推动城市治理精细化</w:t>
      </w:r>
    </w:p>
    <w:p w14:paraId="62290632">
      <w:pPr>
        <w:spacing w:line="576" w:lineRule="exact"/>
        <w:ind w:firstLine="640" w:firstLineChars="200"/>
        <w:rPr>
          <w:rFonts w:eastAsia="方正仿宋简体"/>
          <w:color w:val="auto"/>
          <w:sz w:val="32"/>
          <w:szCs w:val="32"/>
        </w:rPr>
      </w:pPr>
      <w:r>
        <w:rPr>
          <w:rFonts w:eastAsia="方正仿宋简体"/>
          <w:color w:val="auto"/>
          <w:sz w:val="32"/>
          <w:szCs w:val="32"/>
        </w:rPr>
        <w:t>以网格化、智慧化为手段，推动城市管理精细化，着力构建权责明晰、服务高效、运行有序的现代化城市治理新格局。构建智慧交通管理体系，应用大数据和物联网技术实现实时监测，推进客运车辆安装智能监控，在重点路段布设视频监控；推出</w:t>
      </w:r>
      <w:r>
        <w:rPr>
          <w:rFonts w:hint="eastAsia" w:eastAsia="方正仿宋简体"/>
          <w:color w:val="auto"/>
          <w:sz w:val="32"/>
          <w:szCs w:val="32"/>
        </w:rPr>
        <w:t>“</w:t>
      </w:r>
      <w:r>
        <w:rPr>
          <w:rFonts w:eastAsia="方正仿宋简体"/>
          <w:color w:val="auto"/>
          <w:sz w:val="32"/>
          <w:szCs w:val="32"/>
        </w:rPr>
        <w:t>永吉交通出行</w:t>
      </w:r>
      <w:r>
        <w:rPr>
          <w:rFonts w:hint="eastAsia" w:eastAsia="方正仿宋简体"/>
          <w:color w:val="auto"/>
          <w:sz w:val="32"/>
          <w:szCs w:val="32"/>
        </w:rPr>
        <w:t>”</w:t>
      </w:r>
      <w:r>
        <w:rPr>
          <w:rFonts w:eastAsia="方正仿宋简体"/>
          <w:color w:val="auto"/>
          <w:sz w:val="32"/>
          <w:szCs w:val="32"/>
        </w:rPr>
        <w:t>APP，实施智能公路桥梁改造，强化科技治堵和智慧停车管理。全面整治市容环境，替换违规户外广告牌匾并健全设置标准，落实野广告惩戒措施，开展临时违建清零行动，规范占道经营。提升环卫基础设施，主次街路机械化清扫率保持80%以上；推动物业服务提质升级，鼓励物业服务企业拓展线上线下生活服务，加快发展居家养老、托幼、家政、快递收发等社区增值服务。推动城市管理重心下移，落实社区的管理服务责任，全面提升社区生活的便利度、幸福感与精细化管理水平。</w:t>
      </w:r>
    </w:p>
    <w:p w14:paraId="5ADF99DC">
      <w:pPr>
        <w:spacing w:line="576" w:lineRule="exact"/>
        <w:jc w:val="center"/>
        <w:rPr>
          <w:rFonts w:eastAsia="方正楷体简体"/>
          <w:color w:val="auto"/>
          <w:sz w:val="32"/>
          <w:szCs w:val="32"/>
        </w:rPr>
      </w:pPr>
      <w:r>
        <w:rPr>
          <w:rFonts w:eastAsia="方正楷体简体"/>
          <w:color w:val="auto"/>
          <w:sz w:val="32"/>
          <w:szCs w:val="32"/>
        </w:rPr>
        <w:t>第六节  强化有效投资支撑</w:t>
      </w:r>
    </w:p>
    <w:p w14:paraId="4F1E63C3">
      <w:pPr>
        <w:spacing w:line="576" w:lineRule="exact"/>
        <w:ind w:firstLine="640" w:firstLineChars="200"/>
        <w:rPr>
          <w:rFonts w:eastAsia="方正仿宋简体"/>
          <w:color w:val="auto"/>
          <w:sz w:val="32"/>
          <w:szCs w:val="32"/>
        </w:rPr>
      </w:pPr>
      <w:r>
        <w:rPr>
          <w:rFonts w:eastAsia="方正仿宋简体"/>
          <w:color w:val="auto"/>
          <w:sz w:val="32"/>
          <w:szCs w:val="32"/>
        </w:rPr>
        <w:t>坚持把扩大有效投资作为推动城市高质量发展、提升综合承载能力的关键抓手，以高质量投资支撑现代化人民城市建设。</w:t>
      </w:r>
    </w:p>
    <w:p w14:paraId="5BE61DAF">
      <w:pPr>
        <w:spacing w:line="576" w:lineRule="exact"/>
        <w:ind w:firstLine="640" w:firstLineChars="200"/>
        <w:rPr>
          <w:rFonts w:eastAsia="方正仿宋简体"/>
          <w:color w:val="auto"/>
          <w:sz w:val="32"/>
          <w:szCs w:val="32"/>
        </w:rPr>
      </w:pPr>
      <w:r>
        <w:rPr>
          <w:rFonts w:eastAsia="方正仿宋简体"/>
          <w:color w:val="auto"/>
          <w:sz w:val="32"/>
          <w:szCs w:val="32"/>
        </w:rPr>
        <w:t>提高政府投资效益与引导作用。坚持</w:t>
      </w:r>
      <w:r>
        <w:rPr>
          <w:rFonts w:hint="eastAsia" w:eastAsia="方正仿宋简体"/>
          <w:color w:val="auto"/>
          <w:sz w:val="32"/>
          <w:szCs w:val="32"/>
        </w:rPr>
        <w:t>“</w:t>
      </w:r>
      <w:r>
        <w:rPr>
          <w:rFonts w:eastAsia="方正仿宋简体"/>
          <w:color w:val="auto"/>
          <w:sz w:val="32"/>
          <w:szCs w:val="32"/>
        </w:rPr>
        <w:t>项目为王</w:t>
      </w:r>
      <w:r>
        <w:rPr>
          <w:rFonts w:hint="eastAsia" w:eastAsia="方正仿宋简体"/>
          <w:color w:val="auto"/>
          <w:sz w:val="32"/>
          <w:szCs w:val="32"/>
        </w:rPr>
        <w:t>”</w:t>
      </w:r>
      <w:r>
        <w:rPr>
          <w:rFonts w:eastAsia="方正仿宋简体"/>
          <w:color w:val="auto"/>
          <w:sz w:val="32"/>
          <w:szCs w:val="32"/>
        </w:rPr>
        <w:t>，科学确定政府投资方向，优化投资结构。完善政府投资项目决策与实施程序，加强项目全生命周期管理。注重结构优化和效益提升，围绕产业升级、农田水利、城市更新、基础设施完善、社会事业进步及设备更新、消费品以旧换新等重点领域，科学谋划、实施一批打基础、利长远、惠民生的重大项目，精准高效投放资源，保持投资合理增长。</w:t>
      </w:r>
    </w:p>
    <w:p w14:paraId="260DA75B">
      <w:pPr>
        <w:spacing w:line="576" w:lineRule="exact"/>
        <w:ind w:firstLine="640" w:firstLineChars="200"/>
        <w:rPr>
          <w:rFonts w:eastAsia="方正仿宋简体"/>
          <w:color w:val="auto"/>
          <w:sz w:val="32"/>
          <w:szCs w:val="32"/>
        </w:rPr>
      </w:pPr>
      <w:r>
        <w:rPr>
          <w:rFonts w:eastAsia="方正仿宋简体"/>
          <w:color w:val="auto"/>
          <w:sz w:val="32"/>
          <w:szCs w:val="32"/>
        </w:rPr>
        <w:t>充分激发社会资本投资活力。持续优化营商环境，破除市场准入隐性壁垒，稳定社会资本预期。建立健全向民间资本推介项目长效机制，动态发布项目清单。鼓励和引导民间资本通过特许经营、股权合作等方式，依法依规参与市政基础设施、公共服务设施、重点产业项目等建设与运营。拓展投资空间，更大力度吸引社会资本参与创业投资和产业升级。</w:t>
      </w:r>
    </w:p>
    <w:p w14:paraId="74DA0D4C">
      <w:pPr>
        <w:pStyle w:val="3"/>
        <w:spacing w:before="0" w:after="0" w:line="500" w:lineRule="exact"/>
        <w:jc w:val="center"/>
        <w:rPr>
          <w:rFonts w:eastAsia="方正黑体简体"/>
          <w:color w:val="auto"/>
          <w:sz w:val="32"/>
          <w:szCs w:val="32"/>
        </w:rPr>
      </w:pPr>
    </w:p>
    <w:p w14:paraId="6C3D0223">
      <w:pPr>
        <w:pStyle w:val="3"/>
        <w:spacing w:before="0" w:after="0" w:line="500" w:lineRule="exact"/>
        <w:jc w:val="center"/>
        <w:rPr>
          <w:rFonts w:eastAsia="方正黑体简体"/>
          <w:color w:val="auto"/>
          <w:sz w:val="32"/>
          <w:szCs w:val="32"/>
        </w:rPr>
      </w:pPr>
      <w:r>
        <w:rPr>
          <w:rFonts w:eastAsia="方正黑体简体"/>
          <w:color w:val="auto"/>
          <w:sz w:val="32"/>
          <w:szCs w:val="32"/>
        </w:rPr>
        <w:t xml:space="preserve">专栏4 </w:t>
      </w:r>
      <w:r>
        <w:rPr>
          <w:rFonts w:hint="eastAsia" w:eastAsia="方正黑体简体"/>
          <w:color w:val="auto"/>
          <w:sz w:val="32"/>
          <w:szCs w:val="32"/>
        </w:rPr>
        <w:t>“</w:t>
      </w:r>
      <w:r>
        <w:rPr>
          <w:rFonts w:eastAsia="方正黑体简体"/>
          <w:color w:val="auto"/>
          <w:sz w:val="32"/>
          <w:szCs w:val="32"/>
        </w:rPr>
        <w:t>十五五</w:t>
      </w:r>
      <w:r>
        <w:rPr>
          <w:rFonts w:hint="eastAsia" w:eastAsia="方正黑体简体"/>
          <w:color w:val="auto"/>
          <w:sz w:val="32"/>
          <w:szCs w:val="32"/>
        </w:rPr>
        <w:t>”</w:t>
      </w:r>
      <w:r>
        <w:rPr>
          <w:rFonts w:eastAsia="方正黑体简体"/>
          <w:color w:val="auto"/>
          <w:sz w:val="32"/>
          <w:szCs w:val="32"/>
        </w:rPr>
        <w:t>期间城市更新建设重大工程</w:t>
      </w:r>
    </w:p>
    <w:tbl>
      <w:tblPr>
        <w:tblStyle w:val="15"/>
        <w:tblW w:w="9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8"/>
      </w:tblGrid>
      <w:tr w14:paraId="46BC0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8" w:type="dxa"/>
          </w:tcPr>
          <w:p w14:paraId="7B87D759">
            <w:pPr>
              <w:spacing w:line="560" w:lineRule="exact"/>
              <w:ind w:firstLine="640" w:firstLineChars="200"/>
              <w:rPr>
                <w:rFonts w:eastAsia="方正仿宋简体"/>
                <w:color w:val="auto"/>
                <w:sz w:val="32"/>
                <w:szCs w:val="32"/>
              </w:rPr>
            </w:pPr>
            <w:r>
              <w:rPr>
                <w:rFonts w:eastAsia="方正楷体简体"/>
                <w:color w:val="auto"/>
                <w:sz w:val="32"/>
                <w:szCs w:val="32"/>
              </w:rPr>
              <w:t>交通网络建设工程。</w:t>
            </w:r>
            <w:r>
              <w:rPr>
                <w:rFonts w:eastAsia="方正仿宋简体"/>
                <w:color w:val="auto"/>
                <w:sz w:val="32"/>
                <w:szCs w:val="32"/>
              </w:rPr>
              <w:t>为构建安全高效、内外联通的综合交通体系，破解区域交通瓶颈，保障群众出行安全与经济发展运输需求，谋划推动绕越线工程、立交桥安全韧性提升工程、道路改建工程等项目。</w:t>
            </w:r>
          </w:p>
          <w:p w14:paraId="255D5B0F">
            <w:pPr>
              <w:spacing w:line="560" w:lineRule="exact"/>
              <w:ind w:firstLine="640" w:firstLineChars="200"/>
              <w:rPr>
                <w:rFonts w:eastAsia="方正仿宋简体"/>
                <w:color w:val="auto"/>
                <w:sz w:val="32"/>
                <w:szCs w:val="32"/>
              </w:rPr>
            </w:pPr>
            <w:r>
              <w:rPr>
                <w:rFonts w:eastAsia="方正楷体简体"/>
                <w:color w:val="auto"/>
                <w:sz w:val="32"/>
                <w:szCs w:val="32"/>
              </w:rPr>
              <w:t>水利设施建设工程。</w:t>
            </w:r>
            <w:r>
              <w:rPr>
                <w:rFonts w:eastAsia="方正仿宋简体"/>
                <w:color w:val="auto"/>
                <w:sz w:val="32"/>
                <w:szCs w:val="32"/>
              </w:rPr>
              <w:t>以筑牢水安全屏障、改善水环境质量、保障城乡供水安全为核心目标，着力补齐水利基础设施短板，提升防灾减灾与水资源保障能力，谋划推动水毁桥涵重建工程等项目。</w:t>
            </w:r>
          </w:p>
          <w:p w14:paraId="097B0D51">
            <w:pPr>
              <w:spacing w:line="560" w:lineRule="exact"/>
              <w:ind w:firstLine="640" w:firstLineChars="200"/>
              <w:rPr>
                <w:rFonts w:eastAsia="方正仿宋简体"/>
                <w:color w:val="auto"/>
                <w:sz w:val="32"/>
                <w:szCs w:val="32"/>
                <w:highlight w:val="yellow"/>
              </w:rPr>
            </w:pPr>
            <w:r>
              <w:rPr>
                <w:rFonts w:eastAsia="方正楷体简体"/>
                <w:color w:val="auto"/>
                <w:sz w:val="32"/>
                <w:szCs w:val="32"/>
                <w:highlight w:val="none"/>
              </w:rPr>
              <w:t>能源设施建设工程。</w:t>
            </w:r>
            <w:r>
              <w:rPr>
                <w:rFonts w:eastAsia="方正仿宋简体"/>
                <w:color w:val="auto"/>
                <w:sz w:val="32"/>
                <w:szCs w:val="32"/>
                <w:highlight w:val="none"/>
              </w:rPr>
              <w:t>为优化能源供给结构、提升能源保障稳定性、推动绿色低碳发展，构建多元互补的现代化能源体系，谋划推动输变电工程、地热供暖、农村电网巩固提升等项目。</w:t>
            </w:r>
          </w:p>
          <w:p w14:paraId="50BA9F1C">
            <w:pPr>
              <w:spacing w:line="560" w:lineRule="exact"/>
              <w:ind w:firstLine="640" w:firstLineChars="200"/>
              <w:rPr>
                <w:rFonts w:eastAsia="方正仿宋简体"/>
                <w:color w:val="auto"/>
                <w:sz w:val="32"/>
                <w:szCs w:val="32"/>
              </w:rPr>
            </w:pPr>
            <w:r>
              <w:rPr>
                <w:rFonts w:eastAsia="方正楷体简体"/>
                <w:color w:val="auto"/>
                <w:sz w:val="32"/>
                <w:szCs w:val="32"/>
              </w:rPr>
              <w:t>韧性城市建设工程。</w:t>
            </w:r>
            <w:r>
              <w:rPr>
                <w:rFonts w:eastAsia="方正仿宋简体"/>
                <w:color w:val="auto"/>
                <w:sz w:val="32"/>
                <w:szCs w:val="32"/>
              </w:rPr>
              <w:t>推进城市基础设施建设，聚焦城市功能升级、民生福祉改善与城市空间拓展，加快补齐市政基础设施短板，提升城市综合承载能力与宜居水平，谋划推动桥梁工程、管线建设、老旧小区改造等项目。</w:t>
            </w:r>
          </w:p>
          <w:p w14:paraId="2276E857">
            <w:pPr>
              <w:spacing w:line="560" w:lineRule="exact"/>
              <w:ind w:firstLine="640" w:firstLineChars="200"/>
              <w:rPr>
                <w:rFonts w:eastAsia="方正仿宋简体"/>
                <w:color w:val="auto"/>
                <w:sz w:val="32"/>
                <w:szCs w:val="32"/>
              </w:rPr>
            </w:pPr>
            <w:r>
              <w:rPr>
                <w:rFonts w:eastAsia="方正楷体简体"/>
                <w:color w:val="auto"/>
                <w:sz w:val="32"/>
                <w:szCs w:val="32"/>
              </w:rPr>
              <w:t>城市治理提升工程。</w:t>
            </w:r>
            <w:r>
              <w:rPr>
                <w:rFonts w:eastAsia="方正仿宋简体"/>
                <w:color w:val="auto"/>
                <w:sz w:val="32"/>
                <w:szCs w:val="32"/>
              </w:rPr>
              <w:t>以推进城市治理体系和治理能力现代化为导向，借助数字化手段提升城市管理效率与精细化水平，实现城市治理精准化、智能化，谋划推动数字化城市管理平台等项目。</w:t>
            </w:r>
          </w:p>
        </w:tc>
      </w:tr>
    </w:tbl>
    <w:p w14:paraId="37271C46">
      <w:pPr>
        <w:spacing w:line="576" w:lineRule="exact"/>
        <w:ind w:firstLine="640" w:firstLineChars="200"/>
        <w:rPr>
          <w:rFonts w:eastAsia="方正仿宋简体"/>
          <w:color w:val="auto"/>
          <w:sz w:val="32"/>
          <w:szCs w:val="32"/>
        </w:rPr>
      </w:pPr>
    </w:p>
    <w:p w14:paraId="72748331">
      <w:pPr>
        <w:spacing w:line="576" w:lineRule="exact"/>
        <w:jc w:val="center"/>
        <w:rPr>
          <w:rFonts w:eastAsia="方正黑体简体"/>
          <w:color w:val="auto"/>
          <w:sz w:val="32"/>
          <w:szCs w:val="32"/>
        </w:rPr>
      </w:pPr>
      <w:r>
        <w:rPr>
          <w:rFonts w:eastAsia="方正黑体简体"/>
          <w:color w:val="auto"/>
          <w:sz w:val="32"/>
          <w:szCs w:val="32"/>
        </w:rPr>
        <w:t>第八章  着力保障和改善民生，建设宜居宜业幸福新家园</w:t>
      </w:r>
    </w:p>
    <w:p w14:paraId="7AD9DFDD">
      <w:pPr>
        <w:spacing w:line="576" w:lineRule="exact"/>
        <w:ind w:firstLine="640" w:firstLineChars="200"/>
        <w:rPr>
          <w:rFonts w:eastAsia="方正仿宋简体"/>
          <w:color w:val="auto"/>
          <w:sz w:val="32"/>
          <w:szCs w:val="32"/>
        </w:rPr>
      </w:pPr>
    </w:p>
    <w:p w14:paraId="136E253D">
      <w:pPr>
        <w:spacing w:line="576" w:lineRule="exact"/>
        <w:ind w:firstLine="640" w:firstLineChars="200"/>
        <w:rPr>
          <w:rFonts w:eastAsia="方正仿宋简体"/>
          <w:color w:val="auto"/>
          <w:sz w:val="32"/>
          <w:szCs w:val="32"/>
        </w:rPr>
      </w:pPr>
      <w:r>
        <w:rPr>
          <w:rFonts w:eastAsia="方正仿宋简体"/>
          <w:color w:val="auto"/>
          <w:sz w:val="32"/>
          <w:szCs w:val="32"/>
        </w:rPr>
        <w:t>深入践行以人民为中心的发展理念，始终把人民安居乐业、冷暖安危放在心上，聚焦民生领域突出问题，破解民生难点，畅通民生堵点，消除民生痛点，不断增强群众获得感、幸福感、安全感，促进人的全面发展、社会全面进步。</w:t>
      </w:r>
    </w:p>
    <w:p w14:paraId="039743B2">
      <w:pPr>
        <w:spacing w:line="576" w:lineRule="exact"/>
        <w:jc w:val="center"/>
        <w:rPr>
          <w:rFonts w:eastAsia="方正仿宋简体"/>
          <w:color w:val="auto"/>
          <w:sz w:val="32"/>
          <w:szCs w:val="32"/>
        </w:rPr>
      </w:pPr>
      <w:r>
        <w:rPr>
          <w:rFonts w:eastAsia="方正仿宋简体"/>
          <w:color w:val="auto"/>
          <w:sz w:val="32"/>
          <w:szCs w:val="32"/>
        </w:rPr>
        <w:t>第一节  促进高质量就业增收</w:t>
      </w:r>
    </w:p>
    <w:p w14:paraId="5D0CAF6C">
      <w:pPr>
        <w:spacing w:line="576" w:lineRule="exact"/>
        <w:ind w:firstLine="640" w:firstLineChars="200"/>
        <w:rPr>
          <w:rFonts w:eastAsia="方正仿宋简体"/>
          <w:color w:val="auto"/>
          <w:sz w:val="32"/>
          <w:szCs w:val="32"/>
        </w:rPr>
      </w:pPr>
      <w:r>
        <w:rPr>
          <w:rFonts w:eastAsia="方正仿宋简体"/>
          <w:color w:val="auto"/>
          <w:sz w:val="32"/>
          <w:szCs w:val="32"/>
        </w:rPr>
        <w:t>实施就业优先战略，强化高质量充分就业政策保障，把握县域人口结构变化、产业转型升级和新业态蓬勃发展的新机遇，坚持经济发展与就业扩容提质并重，以产业链带动就业链，以技能提升增强就业韧性，以服务优化保障就业权益，建立促进就业创业责任体系，全力打造</w:t>
      </w:r>
      <w:r>
        <w:rPr>
          <w:rFonts w:hint="eastAsia" w:eastAsia="方正仿宋简体"/>
          <w:color w:val="auto"/>
          <w:sz w:val="32"/>
          <w:szCs w:val="32"/>
        </w:rPr>
        <w:t>“</w:t>
      </w:r>
      <w:r>
        <w:rPr>
          <w:rFonts w:eastAsia="方正仿宋简体"/>
          <w:color w:val="auto"/>
          <w:sz w:val="32"/>
          <w:szCs w:val="32"/>
        </w:rPr>
        <w:t>就业友好型</w:t>
      </w:r>
      <w:r>
        <w:rPr>
          <w:rFonts w:hint="eastAsia" w:eastAsia="方正仿宋简体"/>
          <w:color w:val="auto"/>
          <w:sz w:val="32"/>
          <w:szCs w:val="32"/>
        </w:rPr>
        <w:t>”</w:t>
      </w:r>
      <w:r>
        <w:rPr>
          <w:rFonts w:eastAsia="方正仿宋简体"/>
          <w:color w:val="auto"/>
          <w:sz w:val="32"/>
          <w:szCs w:val="32"/>
        </w:rPr>
        <w:t>城市。</w:t>
      </w:r>
    </w:p>
    <w:p w14:paraId="4AB29F12">
      <w:pPr>
        <w:spacing w:line="576" w:lineRule="exact"/>
        <w:ind w:firstLine="640" w:firstLineChars="200"/>
        <w:rPr>
          <w:rFonts w:eastAsia="方正仿宋简体"/>
          <w:color w:val="auto"/>
          <w:sz w:val="32"/>
          <w:szCs w:val="32"/>
        </w:rPr>
      </w:pPr>
      <w:r>
        <w:rPr>
          <w:rFonts w:eastAsia="方正仿宋简体"/>
          <w:color w:val="auto"/>
          <w:sz w:val="32"/>
          <w:szCs w:val="32"/>
        </w:rPr>
        <w:t>拓展本地化就业渠道。支持企业稳岗扩岗，积极培育新职业新岗位，增强现代化产业体系就业协同性。以新材料、装备制造、冰雪旅游等重点产业和凌远重工、大黑山等重大项目为依托，每年新增高质量就业岗位1000个以上。积极开发冰雪旅游、温泉休闲等新业态岗位，促进城乡劳动者就地、就近转移就业。提升劳动者就业能力，推行</w:t>
      </w:r>
      <w:r>
        <w:rPr>
          <w:rFonts w:hint="eastAsia" w:eastAsia="方正仿宋简体"/>
          <w:color w:val="auto"/>
          <w:sz w:val="32"/>
          <w:szCs w:val="32"/>
        </w:rPr>
        <w:t>“</w:t>
      </w:r>
      <w:r>
        <w:rPr>
          <w:rFonts w:eastAsia="方正仿宋简体"/>
          <w:color w:val="auto"/>
          <w:sz w:val="32"/>
          <w:szCs w:val="32"/>
        </w:rPr>
        <w:t>订单式</w:t>
      </w:r>
      <w:r>
        <w:rPr>
          <w:rFonts w:hint="eastAsia" w:eastAsia="方正仿宋简体"/>
          <w:color w:val="auto"/>
          <w:sz w:val="32"/>
          <w:szCs w:val="32"/>
        </w:rPr>
        <w:t>”</w:t>
      </w:r>
      <w:r>
        <w:rPr>
          <w:rFonts w:eastAsia="方正仿宋简体"/>
          <w:color w:val="auto"/>
          <w:sz w:val="32"/>
          <w:szCs w:val="32"/>
        </w:rPr>
        <w:t>培养和校企联合模式，精准开展供需对接，建立永吉</w:t>
      </w:r>
      <w:r>
        <w:rPr>
          <w:rFonts w:hint="eastAsia" w:eastAsia="方正仿宋简体"/>
          <w:color w:val="auto"/>
          <w:sz w:val="32"/>
          <w:szCs w:val="32"/>
        </w:rPr>
        <w:t>“</w:t>
      </w:r>
      <w:r>
        <w:rPr>
          <w:rFonts w:eastAsia="方正仿宋简体"/>
          <w:color w:val="auto"/>
          <w:sz w:val="32"/>
          <w:szCs w:val="32"/>
        </w:rPr>
        <w:t>人才库</w:t>
      </w:r>
      <w:r>
        <w:rPr>
          <w:rFonts w:hint="eastAsia" w:eastAsia="方正仿宋简体"/>
          <w:color w:val="auto"/>
          <w:sz w:val="32"/>
          <w:szCs w:val="32"/>
        </w:rPr>
        <w:t>”</w:t>
      </w:r>
      <w:r>
        <w:rPr>
          <w:rFonts w:eastAsia="方正仿宋简体"/>
          <w:color w:val="auto"/>
          <w:sz w:val="32"/>
          <w:szCs w:val="32"/>
        </w:rPr>
        <w:t>，运用</w:t>
      </w:r>
      <w:r>
        <w:rPr>
          <w:rFonts w:hint="eastAsia" w:eastAsia="方正仿宋简体"/>
          <w:color w:val="auto"/>
          <w:sz w:val="32"/>
          <w:szCs w:val="32"/>
        </w:rPr>
        <w:t>“</w:t>
      </w:r>
      <w:r>
        <w:rPr>
          <w:rFonts w:eastAsia="方正仿宋简体"/>
          <w:color w:val="auto"/>
          <w:sz w:val="32"/>
          <w:szCs w:val="32"/>
        </w:rPr>
        <w:t>云招聘</w:t>
      </w:r>
      <w:r>
        <w:rPr>
          <w:rFonts w:hint="eastAsia" w:eastAsia="方正仿宋简体"/>
          <w:color w:val="auto"/>
          <w:sz w:val="32"/>
          <w:szCs w:val="32"/>
        </w:rPr>
        <w:t>”</w:t>
      </w:r>
      <w:r>
        <w:rPr>
          <w:rFonts w:eastAsia="方正仿宋简体"/>
          <w:color w:val="auto"/>
          <w:sz w:val="32"/>
          <w:szCs w:val="32"/>
        </w:rPr>
        <w:t>等方式，实现岗位与求职者</w:t>
      </w:r>
      <w:r>
        <w:rPr>
          <w:rFonts w:hint="eastAsia" w:eastAsia="方正仿宋简体"/>
          <w:color w:val="auto"/>
          <w:sz w:val="32"/>
          <w:szCs w:val="32"/>
        </w:rPr>
        <w:t>“</w:t>
      </w:r>
      <w:r>
        <w:rPr>
          <w:rFonts w:eastAsia="方正仿宋简体"/>
          <w:color w:val="auto"/>
          <w:sz w:val="32"/>
          <w:szCs w:val="32"/>
        </w:rPr>
        <w:t>一键匹配、精准对接</w:t>
      </w:r>
      <w:r>
        <w:rPr>
          <w:rFonts w:hint="eastAsia" w:eastAsia="方正仿宋简体"/>
          <w:color w:val="auto"/>
          <w:sz w:val="32"/>
          <w:szCs w:val="32"/>
        </w:rPr>
        <w:t>”</w:t>
      </w:r>
      <w:r>
        <w:rPr>
          <w:rFonts w:eastAsia="方正仿宋简体"/>
          <w:color w:val="auto"/>
          <w:sz w:val="32"/>
          <w:szCs w:val="32"/>
        </w:rPr>
        <w:t>。</w:t>
      </w:r>
    </w:p>
    <w:p w14:paraId="418D5167">
      <w:pPr>
        <w:spacing w:line="576" w:lineRule="exact"/>
        <w:ind w:firstLine="640" w:firstLineChars="200"/>
        <w:rPr>
          <w:rFonts w:eastAsia="方正仿宋简体"/>
          <w:color w:val="auto"/>
          <w:sz w:val="32"/>
          <w:szCs w:val="32"/>
        </w:rPr>
      </w:pPr>
      <w:r>
        <w:rPr>
          <w:rFonts w:eastAsia="方正仿宋简体"/>
          <w:color w:val="auto"/>
          <w:sz w:val="32"/>
          <w:szCs w:val="32"/>
        </w:rPr>
        <w:t>优化就业服务生态。健全覆盖城乡的公共就业服务体系，提升</w:t>
      </w:r>
      <w:r>
        <w:rPr>
          <w:rFonts w:hint="eastAsia" w:eastAsia="方正仿宋简体"/>
          <w:color w:val="auto"/>
          <w:sz w:val="32"/>
          <w:szCs w:val="32"/>
        </w:rPr>
        <w:t>“</w:t>
      </w:r>
      <w:r>
        <w:rPr>
          <w:rFonts w:eastAsia="方正仿宋简体"/>
          <w:color w:val="auto"/>
          <w:sz w:val="32"/>
          <w:szCs w:val="32"/>
        </w:rPr>
        <w:t>家门口</w:t>
      </w:r>
      <w:r>
        <w:rPr>
          <w:rFonts w:hint="eastAsia" w:eastAsia="方正仿宋简体"/>
          <w:color w:val="auto"/>
          <w:sz w:val="32"/>
          <w:szCs w:val="32"/>
        </w:rPr>
        <w:t>”</w:t>
      </w:r>
      <w:r>
        <w:rPr>
          <w:rFonts w:eastAsia="方正仿宋简体"/>
          <w:color w:val="auto"/>
          <w:sz w:val="32"/>
          <w:szCs w:val="32"/>
        </w:rPr>
        <w:t>就业创业服务站、</w:t>
      </w:r>
      <w:r>
        <w:rPr>
          <w:rFonts w:hint="eastAsia" w:eastAsia="方正仿宋简体"/>
          <w:color w:val="auto"/>
          <w:sz w:val="32"/>
          <w:szCs w:val="32"/>
        </w:rPr>
        <w:t>“</w:t>
      </w:r>
      <w:r>
        <w:rPr>
          <w:rFonts w:eastAsia="方正仿宋简体"/>
          <w:color w:val="auto"/>
          <w:sz w:val="32"/>
          <w:szCs w:val="32"/>
        </w:rPr>
        <w:t>15分钟就业服务圈</w:t>
      </w:r>
      <w:r>
        <w:rPr>
          <w:rFonts w:hint="eastAsia" w:eastAsia="方正仿宋简体"/>
          <w:color w:val="auto"/>
          <w:sz w:val="32"/>
          <w:szCs w:val="32"/>
        </w:rPr>
        <w:t>”</w:t>
      </w:r>
      <w:r>
        <w:rPr>
          <w:rFonts w:eastAsia="方正仿宋简体"/>
          <w:color w:val="auto"/>
          <w:sz w:val="32"/>
          <w:szCs w:val="32"/>
        </w:rPr>
        <w:t>、零工市场及驿站的规范化服务水平，发挥就业服务专员队伍作用，推动服务资源下沉基层。优化</w:t>
      </w:r>
      <w:r>
        <w:rPr>
          <w:rFonts w:hint="eastAsia" w:eastAsia="方正仿宋简体"/>
          <w:color w:val="auto"/>
          <w:sz w:val="32"/>
          <w:szCs w:val="32"/>
        </w:rPr>
        <w:t>“</w:t>
      </w:r>
      <w:r>
        <w:rPr>
          <w:rFonts w:eastAsia="方正仿宋简体"/>
          <w:color w:val="auto"/>
          <w:sz w:val="32"/>
          <w:szCs w:val="32"/>
        </w:rPr>
        <w:t>永吉就业视频号</w:t>
      </w:r>
      <w:r>
        <w:rPr>
          <w:rFonts w:hint="eastAsia" w:eastAsia="方正仿宋简体"/>
          <w:color w:val="auto"/>
          <w:sz w:val="32"/>
          <w:szCs w:val="32"/>
        </w:rPr>
        <w:t>”</w:t>
      </w:r>
      <w:r>
        <w:rPr>
          <w:rFonts w:eastAsia="方正仿宋简体"/>
          <w:color w:val="auto"/>
          <w:sz w:val="32"/>
          <w:szCs w:val="32"/>
        </w:rPr>
        <w:t>，集成岗位发布、技能培训与政策咨询功能，建立全县就业信息资源库，持续运营</w:t>
      </w:r>
      <w:r>
        <w:rPr>
          <w:rFonts w:hint="eastAsia" w:eastAsia="方正仿宋简体"/>
          <w:color w:val="auto"/>
          <w:sz w:val="32"/>
          <w:szCs w:val="32"/>
        </w:rPr>
        <w:t>“</w:t>
      </w:r>
      <w:r>
        <w:rPr>
          <w:rFonts w:eastAsia="方正仿宋简体"/>
          <w:color w:val="auto"/>
          <w:sz w:val="32"/>
          <w:szCs w:val="32"/>
        </w:rPr>
        <w:t>直播带岗</w:t>
      </w:r>
      <w:r>
        <w:rPr>
          <w:rFonts w:hint="eastAsia" w:eastAsia="方正仿宋简体"/>
          <w:color w:val="auto"/>
          <w:sz w:val="32"/>
          <w:szCs w:val="32"/>
        </w:rPr>
        <w:t>”</w:t>
      </w:r>
      <w:r>
        <w:rPr>
          <w:rFonts w:eastAsia="方正仿宋简体"/>
          <w:color w:val="auto"/>
          <w:sz w:val="32"/>
          <w:szCs w:val="32"/>
        </w:rPr>
        <w:t>云招聘，打造24小时线上就业服务超市。加强劳动者权益保护，完善政府、工会、企业协商协调机制，建立县、乡、企三级劳动关系协调员队伍并实现规上企业全覆盖，加强劳动关系风险季度排查与重点行业监测，推行</w:t>
      </w:r>
      <w:r>
        <w:rPr>
          <w:rFonts w:hint="eastAsia" w:eastAsia="方正仿宋简体"/>
          <w:color w:val="auto"/>
          <w:sz w:val="32"/>
          <w:szCs w:val="32"/>
        </w:rPr>
        <w:t>“</w:t>
      </w:r>
      <w:r>
        <w:rPr>
          <w:rFonts w:eastAsia="方正仿宋简体"/>
          <w:color w:val="auto"/>
          <w:sz w:val="32"/>
          <w:szCs w:val="32"/>
        </w:rPr>
        <w:t>智慧监察</w:t>
      </w:r>
      <w:r>
        <w:rPr>
          <w:rFonts w:hint="eastAsia" w:eastAsia="方正仿宋简体"/>
          <w:color w:val="auto"/>
          <w:sz w:val="32"/>
          <w:szCs w:val="32"/>
        </w:rPr>
        <w:t>”</w:t>
      </w:r>
      <w:r>
        <w:rPr>
          <w:rFonts w:eastAsia="方正仿宋简体"/>
          <w:color w:val="auto"/>
          <w:sz w:val="32"/>
          <w:szCs w:val="32"/>
        </w:rPr>
        <w:t>系统。</w:t>
      </w:r>
    </w:p>
    <w:p w14:paraId="6578AA6B">
      <w:pPr>
        <w:spacing w:line="576" w:lineRule="exact"/>
        <w:ind w:firstLine="640" w:firstLineChars="200"/>
        <w:rPr>
          <w:rFonts w:eastAsia="方正仿宋简体"/>
          <w:color w:val="auto"/>
          <w:sz w:val="32"/>
          <w:szCs w:val="32"/>
        </w:rPr>
      </w:pPr>
      <w:r>
        <w:rPr>
          <w:rFonts w:eastAsia="方正仿宋简体"/>
          <w:color w:val="auto"/>
          <w:sz w:val="32"/>
          <w:szCs w:val="32"/>
        </w:rPr>
        <w:t>持续深化富民增收。坚持按劳分配为主体、多种分配方式并存，健全工资合理增长机制，逐步提高最低工资标准，提高劳动报酬在初次分配中的比重。完善劳动者工资决定、合理增长和支付保障机制，深化事业单位薪酬制度改革。健全各类生产要素由市场评价贡献、按贡献决定报酬的机制，构建体现知识、技术、创新要素价值的收益分配体系，多渠道增加城乡居民财产性收入。完善税收、社会保障、转移支付等再分配调节机制，合理调节过高收入，取缔非法收入，扩大中等收入群体规模；设置公益性岗位，拓宽低收入群体收入渠道。针对脱贫人口、残疾人、零就业家庭、退役军人等重点群体实施</w:t>
      </w:r>
      <w:r>
        <w:rPr>
          <w:rFonts w:hint="eastAsia" w:eastAsia="方正仿宋简体"/>
          <w:color w:val="auto"/>
          <w:sz w:val="32"/>
          <w:szCs w:val="32"/>
        </w:rPr>
        <w:t>“</w:t>
      </w:r>
      <w:r>
        <w:rPr>
          <w:rFonts w:eastAsia="方正仿宋简体"/>
          <w:color w:val="auto"/>
          <w:sz w:val="32"/>
          <w:szCs w:val="32"/>
        </w:rPr>
        <w:t>一户一策</w:t>
      </w:r>
      <w:r>
        <w:rPr>
          <w:rFonts w:hint="eastAsia" w:eastAsia="方正仿宋简体"/>
          <w:color w:val="auto"/>
          <w:sz w:val="32"/>
          <w:szCs w:val="32"/>
        </w:rPr>
        <w:t>”</w:t>
      </w:r>
      <w:r>
        <w:rPr>
          <w:rFonts w:eastAsia="方正仿宋简体"/>
          <w:color w:val="auto"/>
          <w:sz w:val="32"/>
          <w:szCs w:val="32"/>
        </w:rPr>
        <w:t>精准增收计划。鼓励创业带动就业，发放创业担保贷款，支持返乡创业基地与中小微企业发展。</w:t>
      </w:r>
    </w:p>
    <w:p w14:paraId="612EA815">
      <w:pPr>
        <w:spacing w:line="576" w:lineRule="exact"/>
        <w:jc w:val="center"/>
        <w:rPr>
          <w:rFonts w:eastAsia="方正楷体简体"/>
          <w:color w:val="auto"/>
          <w:sz w:val="32"/>
          <w:szCs w:val="32"/>
        </w:rPr>
      </w:pPr>
      <w:r>
        <w:rPr>
          <w:rFonts w:eastAsia="方正楷体简体"/>
          <w:color w:val="auto"/>
          <w:sz w:val="32"/>
          <w:szCs w:val="32"/>
        </w:rPr>
        <w:t>第二节  全面提高公共服务质量</w:t>
      </w:r>
    </w:p>
    <w:p w14:paraId="55F305F8">
      <w:pPr>
        <w:spacing w:line="576" w:lineRule="exact"/>
        <w:ind w:firstLine="640" w:firstLineChars="200"/>
        <w:rPr>
          <w:rFonts w:eastAsia="方正仿宋简体"/>
          <w:color w:val="auto"/>
          <w:sz w:val="32"/>
          <w:szCs w:val="32"/>
        </w:rPr>
      </w:pPr>
      <w:r>
        <w:rPr>
          <w:rFonts w:eastAsia="方正仿宋简体"/>
          <w:color w:val="auto"/>
          <w:sz w:val="32"/>
          <w:szCs w:val="32"/>
        </w:rPr>
        <w:t>以标准化、数智化、融合化为路径，系统推进教育、医疗、养老、托育、康体、文化等服务资源扩容下沉和提质增效，加快构建城乡一体、普惠共享、智慧便捷、富有韧性的现代公共服务体系。</w:t>
      </w:r>
    </w:p>
    <w:p w14:paraId="6738DADA">
      <w:pPr>
        <w:spacing w:line="576" w:lineRule="exact"/>
        <w:ind w:firstLine="640" w:firstLineChars="200"/>
        <w:rPr>
          <w:rFonts w:eastAsia="方正仿宋简体"/>
          <w:color w:val="auto"/>
          <w:sz w:val="32"/>
          <w:szCs w:val="32"/>
        </w:rPr>
      </w:pPr>
      <w:r>
        <w:rPr>
          <w:rFonts w:eastAsia="方正仿宋简体"/>
          <w:color w:val="auto"/>
          <w:sz w:val="32"/>
          <w:szCs w:val="32"/>
        </w:rPr>
        <w:t>推进教育高质量发展。立足县域人口发展趋势与教育实际，践行</w:t>
      </w:r>
      <w:r>
        <w:rPr>
          <w:rFonts w:hint="eastAsia" w:eastAsia="方正仿宋简体"/>
          <w:color w:val="auto"/>
          <w:sz w:val="32"/>
          <w:szCs w:val="32"/>
        </w:rPr>
        <w:t>“</w:t>
      </w:r>
      <w:r>
        <w:rPr>
          <w:rFonts w:eastAsia="方正仿宋简体"/>
          <w:color w:val="auto"/>
          <w:sz w:val="32"/>
          <w:szCs w:val="32"/>
        </w:rPr>
        <w:t>小而精、小而美、小而优</w:t>
      </w:r>
      <w:r>
        <w:rPr>
          <w:rFonts w:hint="eastAsia" w:eastAsia="方正仿宋简体"/>
          <w:color w:val="auto"/>
          <w:sz w:val="32"/>
          <w:szCs w:val="32"/>
        </w:rPr>
        <w:t>”</w:t>
      </w:r>
      <w:r>
        <w:rPr>
          <w:rFonts w:eastAsia="方正仿宋简体"/>
          <w:color w:val="auto"/>
          <w:sz w:val="32"/>
          <w:szCs w:val="32"/>
        </w:rPr>
        <w:t>发展路径，促进优质教育资源普惠共享，加快构建与人口变化相适应、与现代教育体系相契合的高质量教育发展新格局。优化教育资源布局配置。健全与人口动态变化相适应的基础教育资源统筹调配机制，有序推进村教学点撤并与学校整合，计划撤并10所学校（教学点）。持续改善办学条件，全力推动永吉县第四中学移址新建项目落地见效。逐步推行学前教育免费政策，推动学前教育普及普惠优质发展，改造4所农村校带幼儿园，确保学前三年毛入园率稳定在95.5%以上、普惠性幼儿园覆盖率达90%，争创全国学前教育普及普惠发展县。加快特殊教育普惠发展，健全全学段精准资助体系，严格落实义务教育控辍保学动态清零，完善农村留守儿童关爱服务与监测机制。增强职业教育适配发展能力。构建</w:t>
      </w:r>
      <w:r>
        <w:rPr>
          <w:rFonts w:hint="eastAsia" w:eastAsia="方正仿宋简体"/>
          <w:color w:val="auto"/>
          <w:sz w:val="32"/>
          <w:szCs w:val="32"/>
        </w:rPr>
        <w:t>“</w:t>
      </w:r>
      <w:r>
        <w:rPr>
          <w:rFonts w:eastAsia="方正仿宋简体"/>
          <w:color w:val="auto"/>
          <w:sz w:val="32"/>
          <w:szCs w:val="32"/>
        </w:rPr>
        <w:t>产教融合、职普融通、校企协同</w:t>
      </w:r>
      <w:r>
        <w:rPr>
          <w:rFonts w:hint="eastAsia" w:eastAsia="方正仿宋简体"/>
          <w:color w:val="auto"/>
          <w:sz w:val="32"/>
          <w:szCs w:val="32"/>
        </w:rPr>
        <w:t>”</w:t>
      </w:r>
      <w:r>
        <w:rPr>
          <w:rFonts w:eastAsia="方正仿宋简体"/>
          <w:color w:val="auto"/>
          <w:sz w:val="32"/>
          <w:szCs w:val="32"/>
        </w:rPr>
        <w:t>的现代职业教育体系，深化职普融通改革，推行现代学徒制与企业新型学徒制。探索建立</w:t>
      </w:r>
      <w:r>
        <w:rPr>
          <w:rFonts w:hint="eastAsia" w:eastAsia="方正仿宋简体"/>
          <w:color w:val="auto"/>
          <w:sz w:val="32"/>
          <w:szCs w:val="32"/>
        </w:rPr>
        <w:t>“</w:t>
      </w:r>
      <w:r>
        <w:rPr>
          <w:rFonts w:eastAsia="方正仿宋简体"/>
          <w:color w:val="auto"/>
          <w:sz w:val="32"/>
          <w:szCs w:val="32"/>
        </w:rPr>
        <w:t>技能大师工作室</w:t>
      </w:r>
      <w:r>
        <w:rPr>
          <w:rFonts w:hint="eastAsia" w:eastAsia="方正仿宋简体"/>
          <w:color w:val="auto"/>
          <w:sz w:val="32"/>
          <w:szCs w:val="32"/>
        </w:rPr>
        <w:t>”</w:t>
      </w:r>
      <w:r>
        <w:rPr>
          <w:rFonts w:eastAsia="方正仿宋简体"/>
          <w:color w:val="auto"/>
          <w:sz w:val="32"/>
          <w:szCs w:val="32"/>
        </w:rPr>
        <w:t>，强化与高校、县域重点企业的产学研合作，培育适配县域产业发展的技能型人才。推进教育数智化转型。建成覆盖全县的</w:t>
      </w:r>
      <w:r>
        <w:rPr>
          <w:rFonts w:hint="eastAsia" w:eastAsia="方正仿宋简体"/>
          <w:color w:val="auto"/>
          <w:sz w:val="32"/>
          <w:szCs w:val="32"/>
        </w:rPr>
        <w:t>“</w:t>
      </w:r>
      <w:r>
        <w:rPr>
          <w:rFonts w:eastAsia="方正仿宋简体"/>
          <w:color w:val="auto"/>
          <w:sz w:val="32"/>
          <w:szCs w:val="32"/>
        </w:rPr>
        <w:t>智慧教育云平台</w:t>
      </w:r>
      <w:r>
        <w:rPr>
          <w:rFonts w:hint="eastAsia" w:eastAsia="方正仿宋简体"/>
          <w:color w:val="auto"/>
          <w:sz w:val="32"/>
          <w:szCs w:val="32"/>
        </w:rPr>
        <w:t>”</w:t>
      </w:r>
      <w:r>
        <w:rPr>
          <w:rFonts w:eastAsia="方正仿宋简体"/>
          <w:color w:val="auto"/>
          <w:sz w:val="32"/>
          <w:szCs w:val="32"/>
        </w:rPr>
        <w:t>，实现城乡学生</w:t>
      </w:r>
      <w:r>
        <w:rPr>
          <w:rFonts w:hint="eastAsia" w:eastAsia="方正仿宋简体"/>
          <w:color w:val="auto"/>
          <w:sz w:val="32"/>
          <w:szCs w:val="32"/>
        </w:rPr>
        <w:t>“</w:t>
      </w:r>
      <w:r>
        <w:rPr>
          <w:rFonts w:eastAsia="方正仿宋简体"/>
          <w:color w:val="auto"/>
          <w:sz w:val="32"/>
          <w:szCs w:val="32"/>
        </w:rPr>
        <w:t>同屏上课、共享名师</w:t>
      </w:r>
      <w:r>
        <w:rPr>
          <w:rFonts w:hint="eastAsia" w:eastAsia="方正仿宋简体"/>
          <w:color w:val="auto"/>
          <w:sz w:val="32"/>
          <w:szCs w:val="32"/>
        </w:rPr>
        <w:t>”</w:t>
      </w:r>
      <w:r>
        <w:rPr>
          <w:rFonts w:eastAsia="方正仿宋简体"/>
          <w:color w:val="auto"/>
          <w:sz w:val="32"/>
          <w:szCs w:val="32"/>
        </w:rPr>
        <w:t>，促进优质教育资源共建共享。积极探索人工智能教育应用，深化信息技术与教育教学深度融合，赋能教育教学提质增效。加强高素质教师队伍建设。强化师德师风建设，加大教师培训与校际交流力度，补充体育、思政等紧缺教师。实施基础教育强师行动，全面提升教师专业素养。深化教育综合改革。构建</w:t>
      </w:r>
      <w:r>
        <w:rPr>
          <w:rFonts w:hint="eastAsia" w:eastAsia="方正仿宋简体"/>
          <w:color w:val="auto"/>
          <w:sz w:val="32"/>
          <w:szCs w:val="32"/>
        </w:rPr>
        <w:t>“</w:t>
      </w:r>
      <w:r>
        <w:rPr>
          <w:rFonts w:eastAsia="方正仿宋简体"/>
          <w:color w:val="auto"/>
          <w:sz w:val="32"/>
          <w:szCs w:val="32"/>
        </w:rPr>
        <w:t>五育并举</w:t>
      </w:r>
      <w:r>
        <w:rPr>
          <w:rFonts w:hint="eastAsia" w:eastAsia="方正仿宋简体"/>
          <w:color w:val="auto"/>
          <w:sz w:val="32"/>
          <w:szCs w:val="32"/>
        </w:rPr>
        <w:t>”</w:t>
      </w:r>
      <w:r>
        <w:rPr>
          <w:rFonts w:eastAsia="方正仿宋简体"/>
          <w:color w:val="auto"/>
          <w:sz w:val="32"/>
          <w:szCs w:val="32"/>
        </w:rPr>
        <w:t>育人体系，强化学生积极心理培育，推进心理健康</w:t>
      </w:r>
      <w:r>
        <w:rPr>
          <w:rFonts w:hint="eastAsia" w:eastAsia="方正仿宋简体"/>
          <w:color w:val="auto"/>
          <w:sz w:val="32"/>
          <w:szCs w:val="32"/>
        </w:rPr>
        <w:t>“</w:t>
      </w:r>
      <w:r>
        <w:rPr>
          <w:rFonts w:eastAsia="方正仿宋简体"/>
          <w:color w:val="auto"/>
          <w:sz w:val="32"/>
          <w:szCs w:val="32"/>
        </w:rPr>
        <w:t>润心行动</w:t>
      </w:r>
      <w:r>
        <w:rPr>
          <w:rFonts w:hint="eastAsia" w:eastAsia="方正仿宋简体"/>
          <w:color w:val="auto"/>
          <w:sz w:val="32"/>
          <w:szCs w:val="32"/>
        </w:rPr>
        <w:t>”</w:t>
      </w:r>
      <w:r>
        <w:rPr>
          <w:rFonts w:eastAsia="方正仿宋简体"/>
          <w:color w:val="auto"/>
          <w:sz w:val="32"/>
          <w:szCs w:val="32"/>
        </w:rPr>
        <w:t>，落实体育、艺术与劳动教育，提升实践教学质量；深化招生评价改革，探索将冰雪项目纳入体育中考，完善阳光招生政策；规范民办教育发展，深化与吉林市优质校合作及职校－高职协同办学，探索将实验职业高中办成综合性高中，全面提升县域教育整体质量。加强未成年人法治教育和思想道德建设，用习近平新时代中国特色社会主义思想培根铸魂。</w:t>
      </w:r>
    </w:p>
    <w:p w14:paraId="0B30BC48">
      <w:pPr>
        <w:spacing w:line="576" w:lineRule="exact"/>
        <w:ind w:firstLine="640" w:firstLineChars="200"/>
        <w:rPr>
          <w:rFonts w:eastAsia="方正仿宋简体"/>
          <w:color w:val="auto"/>
          <w:sz w:val="32"/>
          <w:szCs w:val="32"/>
        </w:rPr>
      </w:pPr>
      <w:r>
        <w:rPr>
          <w:rFonts w:eastAsia="方正仿宋简体"/>
          <w:color w:val="auto"/>
          <w:sz w:val="32"/>
          <w:szCs w:val="32"/>
        </w:rPr>
        <w:t>建设更高水平健康永吉。落实健康优先发展战略，完善人民健康促进政策，实现从以治病为中心向以健康为中心的转变，构建优质共享医疗卫生服务体系。深化以公益性为导向的公立医院改革，全面推进紧密型县域医共体建设，提升县域医疗卫生服务能力，促进优质医疗资源下沉和均衡布局，为实现</w:t>
      </w:r>
      <w:r>
        <w:rPr>
          <w:rFonts w:hint="eastAsia" w:eastAsia="方正仿宋简体"/>
          <w:color w:val="auto"/>
          <w:sz w:val="32"/>
          <w:szCs w:val="32"/>
        </w:rPr>
        <w:t>“</w:t>
      </w:r>
      <w:r>
        <w:rPr>
          <w:rFonts w:eastAsia="方正仿宋简体"/>
          <w:color w:val="auto"/>
          <w:sz w:val="32"/>
          <w:szCs w:val="32"/>
        </w:rPr>
        <w:t>大病不出县</w:t>
      </w:r>
      <w:r>
        <w:rPr>
          <w:rFonts w:hint="eastAsia" w:eastAsia="方正仿宋简体"/>
          <w:color w:val="auto"/>
          <w:sz w:val="32"/>
          <w:szCs w:val="32"/>
        </w:rPr>
        <w:t>”</w:t>
      </w:r>
      <w:r>
        <w:rPr>
          <w:rFonts w:eastAsia="方正仿宋简体"/>
          <w:color w:val="auto"/>
          <w:sz w:val="32"/>
          <w:szCs w:val="32"/>
        </w:rPr>
        <w:t>和全民全周期健康保障提供有力支撑。不断深化爱国卫生运动，形成健康生活方式。完善医疗卫生服务体系。构建以县医院为龙头、乡镇卫生院为枢纽、村卫生室为网底的三级医疗网络。强化县医院重症和疑难病症救治能力，推动二医院转型为区域医疗次中心，加强学科和人才建设，重点补充中医、儿科、影像等紧缺专业。切实提高乡镇医疗服务能力，强化医德医风建设，推进中心卫生院分类建设，整合非建制卫生院，深化医共体管理机制。建立智慧医疗体系，推广AI辅助诊断与移动医疗，推动信息互联与资源共享。加强中医药服务。推广中医适宜技术，推动县中医院异地回迁，实现乡镇卫生院中医馆全覆盖，完善基层中医网络，推进</w:t>
      </w:r>
      <w:r>
        <w:rPr>
          <w:rFonts w:hint="eastAsia" w:eastAsia="方正仿宋简体"/>
          <w:color w:val="auto"/>
          <w:sz w:val="32"/>
          <w:szCs w:val="32"/>
        </w:rPr>
        <w:t>“</w:t>
      </w:r>
      <w:r>
        <w:rPr>
          <w:rFonts w:eastAsia="方正仿宋简体"/>
          <w:color w:val="auto"/>
          <w:sz w:val="32"/>
          <w:szCs w:val="32"/>
        </w:rPr>
        <w:t>师带徒</w:t>
      </w:r>
      <w:r>
        <w:rPr>
          <w:rFonts w:hint="eastAsia" w:eastAsia="方正仿宋简体"/>
          <w:color w:val="auto"/>
          <w:sz w:val="32"/>
          <w:szCs w:val="32"/>
        </w:rPr>
        <w:t>”</w:t>
      </w:r>
      <w:r>
        <w:rPr>
          <w:rFonts w:eastAsia="方正仿宋简体"/>
          <w:color w:val="auto"/>
          <w:sz w:val="32"/>
          <w:szCs w:val="32"/>
        </w:rPr>
        <w:t>培养和人才下沉。健全公共卫生与应急管理体系。坚持预防为主的健康理念，健全医防协同、医防融合机制，强化重大传染病和地方病防控，提升慢性病综合防控与突发公共卫生事件应急救治能力，加强孕产妇和新生儿健康管理，持续降低孕产妇和婴儿死亡率。完善公共卫生应急体系，建设县</w:t>
      </w:r>
      <w:r>
        <w:rPr>
          <w:rFonts w:hint="eastAsia" w:eastAsia="方正仿宋简体"/>
          <w:color w:val="auto"/>
          <w:sz w:val="32"/>
          <w:szCs w:val="32"/>
        </w:rPr>
        <w:t>“</w:t>
      </w:r>
      <w:r>
        <w:rPr>
          <w:rFonts w:eastAsia="方正仿宋简体"/>
          <w:color w:val="auto"/>
          <w:sz w:val="32"/>
          <w:szCs w:val="32"/>
        </w:rPr>
        <w:t>120</w:t>
      </w:r>
      <w:r>
        <w:rPr>
          <w:rFonts w:hint="eastAsia" w:eastAsia="方正仿宋简体"/>
          <w:color w:val="auto"/>
          <w:sz w:val="32"/>
          <w:szCs w:val="32"/>
        </w:rPr>
        <w:t>”</w:t>
      </w:r>
      <w:r>
        <w:rPr>
          <w:rFonts w:eastAsia="方正仿宋简体"/>
          <w:color w:val="auto"/>
          <w:sz w:val="32"/>
          <w:szCs w:val="32"/>
        </w:rPr>
        <w:t>急救中心，建立统一信息化指挥调度平台。提升突发公共卫生事件监测预警、快速响应和处置能力，加强职业健康监管与卫生监督执法，提升健康服务与产业融合水平。</w:t>
      </w:r>
    </w:p>
    <w:p w14:paraId="67B3DCE3">
      <w:pPr>
        <w:spacing w:line="576" w:lineRule="exact"/>
        <w:ind w:firstLine="640" w:firstLineChars="200"/>
        <w:rPr>
          <w:rFonts w:eastAsia="方正仿宋简体"/>
          <w:color w:val="auto"/>
          <w:sz w:val="32"/>
          <w:szCs w:val="32"/>
        </w:rPr>
      </w:pPr>
      <w:r>
        <w:rPr>
          <w:rFonts w:eastAsia="方正仿宋简体"/>
          <w:color w:val="auto"/>
          <w:sz w:val="32"/>
          <w:szCs w:val="32"/>
        </w:rPr>
        <w:t>推动人口高质量发展。立足县域人口老龄化加剧和优化生育政策新阶段，系统推进各年龄段人口服务保障，建设全龄友好型社会。提升优生优育服务水平。强化母婴安全保障，扩大婚检、孕检、产前筛查和新生儿筛查等服务供给能力，健全婴幼儿照护与妇幼健康服务体系，落实三孩政策及配套措施，发展普惠托育服务，依托社会力量扩大托育服务覆盖范围，建设社区嵌入式托育中心，提升服务质量，建立婴幼儿照护服务标准规范体系，加快形成多元化、多层次、覆盖城乡的服务供给体系。完善养老服务体系。加强人口老龄化国情教育。科学规划养老服务供给，推进公办养老院、社区养老服务中心及失能照护专区建设，改造老旧设施，增加护理型床位。着力推动公办养老机构提质升级，切实发挥公办机构在兜底保障、普惠服务与行业引领中的核心作用；扎实推进困难老年人家庭适老化改造，建立健全省、县、乡、第三方协同联动的工作机制，严格规范对象识别、项目实施与竣工验收等环节，切实增强老年人居家生活的安全性、便利性和舒适度。促进青少年健康成长。围绕青年思想道德、教育、健康、就业创业等重点领域，实施青年思想引领工程，促进青少年健康成长，完善青年就业创业支持体系，加强困难青年帮扶和农村留守儿童关爱服务。保障妇女儿童全面发展。促进妇女平等就业创业，提升妇女参与经济社会事务管理水平，保障儿童在健康、安全、教育等领域的权利。</w:t>
      </w:r>
    </w:p>
    <w:p w14:paraId="7A2DDC49">
      <w:pPr>
        <w:spacing w:line="576" w:lineRule="exact"/>
        <w:ind w:firstLine="640" w:firstLineChars="200"/>
        <w:rPr>
          <w:rFonts w:eastAsia="方正仿宋简体"/>
          <w:color w:val="auto"/>
          <w:sz w:val="32"/>
          <w:szCs w:val="32"/>
        </w:rPr>
      </w:pPr>
      <w:r>
        <w:rPr>
          <w:rFonts w:eastAsia="方正仿宋简体"/>
          <w:color w:val="auto"/>
          <w:sz w:val="32"/>
          <w:szCs w:val="32"/>
        </w:rPr>
        <w:t>加强体育运动服务设施建设。聚焦群众日益增长的高品质文体服务需求，高标准推进文体设施补短板、强功能、提效能，打造长吉近郊文体休闲新高地。构建覆盖城乡的全民健身体系。利用城镇闲置建筑物、构筑物和场地、荒地、广场等</w:t>
      </w:r>
      <w:r>
        <w:rPr>
          <w:rFonts w:hint="eastAsia" w:eastAsia="方正仿宋简体"/>
          <w:color w:val="auto"/>
          <w:sz w:val="32"/>
          <w:szCs w:val="32"/>
        </w:rPr>
        <w:t>“</w:t>
      </w:r>
      <w:r>
        <w:rPr>
          <w:rFonts w:eastAsia="方正仿宋简体"/>
          <w:color w:val="auto"/>
          <w:sz w:val="32"/>
          <w:szCs w:val="32"/>
        </w:rPr>
        <w:t>金角银边</w:t>
      </w:r>
      <w:r>
        <w:rPr>
          <w:rFonts w:hint="eastAsia" w:eastAsia="方正仿宋简体"/>
          <w:color w:val="auto"/>
          <w:sz w:val="32"/>
          <w:szCs w:val="32"/>
        </w:rPr>
        <w:t>”</w:t>
      </w:r>
      <w:r>
        <w:rPr>
          <w:rFonts w:eastAsia="方正仿宋简体"/>
          <w:color w:val="auto"/>
          <w:sz w:val="32"/>
          <w:szCs w:val="32"/>
        </w:rPr>
        <w:t>，推进乡镇、村（社区）小型多功能健身中心或文体活动中心建设。深度融合生态与健身功能，重点建设温德河幸福河湖景观带、城北公园等项目的健身步道、笼式多功能运动场、健身路径等全民健身设施，构建城乡一体、便捷高效的健身网络。广泛开展群众性体育运动，推进教体融合，提高竞技运动水平。加强青少年体育训练，建立</w:t>
      </w:r>
      <w:r>
        <w:rPr>
          <w:rFonts w:hint="eastAsia" w:eastAsia="方正仿宋简体"/>
          <w:color w:val="auto"/>
          <w:sz w:val="32"/>
          <w:szCs w:val="32"/>
        </w:rPr>
        <w:t>“</w:t>
      </w:r>
      <w:r>
        <w:rPr>
          <w:rFonts w:eastAsia="方正仿宋简体"/>
          <w:color w:val="auto"/>
          <w:sz w:val="32"/>
          <w:szCs w:val="32"/>
        </w:rPr>
        <w:t>三大球</w:t>
      </w:r>
      <w:r>
        <w:rPr>
          <w:rFonts w:hint="eastAsia" w:eastAsia="方正仿宋简体"/>
          <w:color w:val="auto"/>
          <w:sz w:val="32"/>
          <w:szCs w:val="32"/>
        </w:rPr>
        <w:t>”</w:t>
      </w:r>
      <w:r>
        <w:rPr>
          <w:rFonts w:eastAsia="方正仿宋简体"/>
          <w:color w:val="auto"/>
          <w:sz w:val="32"/>
          <w:szCs w:val="32"/>
        </w:rPr>
        <w:t>梯队，培养后备人才，依托县域山水资源，开发四间水库、星星哨水库及紫薇山，建设帆板、滑翔伞等户外训练基地与休闲项目，完善接待服务设施，推动体育旅游深度融合。</w:t>
      </w:r>
    </w:p>
    <w:p w14:paraId="4C68C4F8">
      <w:pPr>
        <w:spacing w:line="576" w:lineRule="exact"/>
        <w:ind w:firstLine="640" w:firstLineChars="200"/>
        <w:rPr>
          <w:rFonts w:eastAsia="方正仿宋简体"/>
          <w:color w:val="auto"/>
          <w:sz w:val="32"/>
          <w:szCs w:val="32"/>
        </w:rPr>
      </w:pPr>
      <w:r>
        <w:rPr>
          <w:rFonts w:eastAsia="方正仿宋简体"/>
          <w:color w:val="auto"/>
          <w:sz w:val="32"/>
          <w:szCs w:val="32"/>
        </w:rPr>
        <w:t>提升公共文化服务能级。构建普惠可及的文化服务体系，丰富文化产品供给形态，培育引进优秀文化企业，加快文化产业发展。以提升服务效能为导向，优化现有文化馆、图书馆、博物馆等公共文化场馆功能布局与管理机制，推动县级文化馆、图书馆达到国家一级馆标准。统筹推进</w:t>
      </w:r>
      <w:r>
        <w:rPr>
          <w:rFonts w:hint="eastAsia" w:eastAsia="方正仿宋简体"/>
          <w:color w:val="auto"/>
          <w:sz w:val="32"/>
          <w:szCs w:val="32"/>
        </w:rPr>
        <w:t>“</w:t>
      </w:r>
      <w:r>
        <w:rPr>
          <w:rFonts w:eastAsia="方正仿宋简体"/>
          <w:color w:val="auto"/>
          <w:sz w:val="32"/>
          <w:szCs w:val="32"/>
        </w:rPr>
        <w:t>三馆</w:t>
      </w:r>
      <w:r>
        <w:rPr>
          <w:rFonts w:hint="eastAsia" w:eastAsia="方正仿宋简体"/>
          <w:color w:val="auto"/>
          <w:sz w:val="32"/>
          <w:szCs w:val="32"/>
        </w:rPr>
        <w:t>”</w:t>
      </w:r>
      <w:r>
        <w:rPr>
          <w:rFonts w:eastAsia="方正仿宋简体"/>
          <w:color w:val="auto"/>
          <w:sz w:val="32"/>
          <w:szCs w:val="32"/>
        </w:rPr>
        <w:t>数字化建设，重点搭建智慧导览系统与文物数字墙互动展示系统，拓展线上服务空间，力争创建省级公共文化数智化示范基地。加强乡镇综合文化站、村（社区）综合性文化服务中心建设，对有条件的村屯推进新建文化广场项目，实现乡镇综合文化站和村（社区）综合性文化服务中心全覆盖，打通公共文化服务</w:t>
      </w:r>
      <w:r>
        <w:rPr>
          <w:rFonts w:hint="eastAsia" w:eastAsia="方正仿宋简体"/>
          <w:color w:val="auto"/>
          <w:sz w:val="32"/>
          <w:szCs w:val="32"/>
        </w:rPr>
        <w:t>“</w:t>
      </w:r>
      <w:r>
        <w:rPr>
          <w:rFonts w:eastAsia="方正仿宋简体"/>
          <w:color w:val="auto"/>
          <w:sz w:val="32"/>
          <w:szCs w:val="32"/>
        </w:rPr>
        <w:t>最后一公里</w:t>
      </w:r>
      <w:r>
        <w:rPr>
          <w:rFonts w:hint="eastAsia" w:eastAsia="方正仿宋简体"/>
          <w:color w:val="auto"/>
          <w:sz w:val="32"/>
          <w:szCs w:val="32"/>
        </w:rPr>
        <w:t>”</w:t>
      </w:r>
      <w:r>
        <w:rPr>
          <w:rFonts w:eastAsia="方正仿宋简体"/>
          <w:color w:val="auto"/>
          <w:sz w:val="32"/>
          <w:szCs w:val="32"/>
        </w:rPr>
        <w:t>。丰富公共文化服务供给。精心组织开展各类群众性文化活动，广泛开展</w:t>
      </w:r>
      <w:r>
        <w:rPr>
          <w:rFonts w:hint="eastAsia" w:eastAsia="方正仿宋简体"/>
          <w:color w:val="auto"/>
          <w:sz w:val="32"/>
          <w:szCs w:val="32"/>
        </w:rPr>
        <w:t>“</w:t>
      </w:r>
      <w:r>
        <w:rPr>
          <w:rFonts w:eastAsia="方正仿宋简体"/>
          <w:color w:val="auto"/>
          <w:sz w:val="32"/>
          <w:szCs w:val="32"/>
        </w:rPr>
        <w:t>农民文化节</w:t>
      </w:r>
      <w:r>
        <w:rPr>
          <w:rFonts w:hint="eastAsia" w:eastAsia="方正仿宋简体"/>
          <w:color w:val="auto"/>
          <w:sz w:val="32"/>
          <w:szCs w:val="32"/>
        </w:rPr>
        <w:t>”“</w:t>
      </w:r>
      <w:r>
        <w:rPr>
          <w:rFonts w:eastAsia="方正仿宋简体"/>
          <w:color w:val="auto"/>
          <w:sz w:val="32"/>
          <w:szCs w:val="32"/>
        </w:rPr>
        <w:t>市民文化节</w:t>
      </w:r>
      <w:r>
        <w:rPr>
          <w:rFonts w:hint="eastAsia" w:eastAsia="方正仿宋简体"/>
          <w:color w:val="auto"/>
          <w:sz w:val="32"/>
          <w:szCs w:val="32"/>
        </w:rPr>
        <w:t>”“</w:t>
      </w:r>
      <w:r>
        <w:rPr>
          <w:rFonts w:eastAsia="方正仿宋简体"/>
          <w:color w:val="auto"/>
          <w:sz w:val="32"/>
          <w:szCs w:val="32"/>
        </w:rPr>
        <w:t>送演出下基层</w:t>
      </w:r>
      <w:r>
        <w:rPr>
          <w:rFonts w:hint="eastAsia" w:eastAsia="方正仿宋简体"/>
          <w:color w:val="auto"/>
          <w:sz w:val="32"/>
          <w:szCs w:val="32"/>
        </w:rPr>
        <w:t>”“</w:t>
      </w:r>
      <w:r>
        <w:rPr>
          <w:rFonts w:eastAsia="方正仿宋简体"/>
          <w:color w:val="auto"/>
          <w:sz w:val="32"/>
          <w:szCs w:val="32"/>
        </w:rPr>
        <w:t>全民健身</w:t>
      </w:r>
      <w:r>
        <w:rPr>
          <w:rFonts w:hint="eastAsia" w:eastAsia="方正仿宋简体"/>
          <w:color w:val="auto"/>
          <w:sz w:val="32"/>
          <w:szCs w:val="32"/>
        </w:rPr>
        <w:t>”“</w:t>
      </w:r>
      <w:r>
        <w:rPr>
          <w:rFonts w:eastAsia="方正仿宋简体"/>
          <w:color w:val="auto"/>
          <w:sz w:val="32"/>
          <w:szCs w:val="32"/>
        </w:rPr>
        <w:t>全民阅读</w:t>
      </w:r>
      <w:r>
        <w:rPr>
          <w:rFonts w:hint="eastAsia" w:eastAsia="方正仿宋简体"/>
          <w:color w:val="auto"/>
          <w:sz w:val="32"/>
          <w:szCs w:val="32"/>
        </w:rPr>
        <w:t>”</w:t>
      </w:r>
      <w:r>
        <w:rPr>
          <w:rFonts w:eastAsia="方正仿宋简体"/>
          <w:color w:val="auto"/>
          <w:sz w:val="32"/>
          <w:szCs w:val="32"/>
        </w:rPr>
        <w:t>等活动，持续做优广场舞区域赛、文化大院精品展演、金秋音乐会、</w:t>
      </w:r>
      <w:r>
        <w:rPr>
          <w:rFonts w:hint="eastAsia" w:eastAsia="方正仿宋简体"/>
          <w:color w:val="auto"/>
          <w:sz w:val="32"/>
          <w:szCs w:val="32"/>
        </w:rPr>
        <w:t>“</w:t>
      </w:r>
      <w:r>
        <w:rPr>
          <w:rFonts w:eastAsia="方正仿宋简体"/>
          <w:color w:val="auto"/>
          <w:sz w:val="32"/>
          <w:szCs w:val="32"/>
        </w:rPr>
        <w:t>消夏娱乐周</w:t>
      </w:r>
      <w:r>
        <w:rPr>
          <w:rFonts w:hint="eastAsia" w:eastAsia="方正仿宋简体"/>
          <w:color w:val="auto"/>
          <w:sz w:val="32"/>
          <w:szCs w:val="32"/>
        </w:rPr>
        <w:t>”“</w:t>
      </w:r>
      <w:r>
        <w:rPr>
          <w:rFonts w:eastAsia="方正仿宋简体"/>
          <w:color w:val="auto"/>
          <w:sz w:val="32"/>
          <w:szCs w:val="32"/>
        </w:rPr>
        <w:t>新春游园会</w:t>
      </w:r>
      <w:r>
        <w:rPr>
          <w:rFonts w:hint="eastAsia" w:eastAsia="方正仿宋简体"/>
          <w:color w:val="auto"/>
          <w:sz w:val="32"/>
          <w:szCs w:val="32"/>
        </w:rPr>
        <w:t>”“</w:t>
      </w:r>
      <w:r>
        <w:rPr>
          <w:rFonts w:eastAsia="方正仿宋简体"/>
          <w:color w:val="auto"/>
          <w:sz w:val="32"/>
          <w:szCs w:val="32"/>
        </w:rPr>
        <w:t>大众冰雪季</w:t>
      </w:r>
      <w:r>
        <w:rPr>
          <w:rFonts w:hint="eastAsia" w:eastAsia="方正仿宋简体"/>
          <w:color w:val="auto"/>
          <w:sz w:val="32"/>
          <w:szCs w:val="32"/>
        </w:rPr>
        <w:t>”</w:t>
      </w:r>
      <w:r>
        <w:rPr>
          <w:rFonts w:eastAsia="方正仿宋简体"/>
          <w:color w:val="auto"/>
          <w:sz w:val="32"/>
          <w:szCs w:val="32"/>
        </w:rPr>
        <w:t>等品牌活动。</w:t>
      </w:r>
    </w:p>
    <w:p w14:paraId="6A594006">
      <w:pPr>
        <w:spacing w:line="576" w:lineRule="exact"/>
        <w:jc w:val="center"/>
        <w:rPr>
          <w:rFonts w:eastAsia="方正楷体简体"/>
          <w:color w:val="auto"/>
          <w:sz w:val="32"/>
          <w:szCs w:val="32"/>
        </w:rPr>
      </w:pPr>
      <w:r>
        <w:rPr>
          <w:rFonts w:eastAsia="方正楷体简体"/>
          <w:color w:val="auto"/>
          <w:sz w:val="32"/>
          <w:szCs w:val="32"/>
        </w:rPr>
        <w:t>第三节  持续完善社会保障体系</w:t>
      </w:r>
    </w:p>
    <w:p w14:paraId="7CFA0F87">
      <w:pPr>
        <w:spacing w:line="576" w:lineRule="exact"/>
        <w:ind w:firstLine="640" w:firstLineChars="200"/>
        <w:rPr>
          <w:rFonts w:eastAsia="方正仿宋简体"/>
          <w:color w:val="auto"/>
          <w:sz w:val="32"/>
          <w:szCs w:val="32"/>
        </w:rPr>
      </w:pPr>
      <w:r>
        <w:rPr>
          <w:rFonts w:eastAsia="方正仿宋简体"/>
          <w:color w:val="auto"/>
          <w:sz w:val="32"/>
          <w:szCs w:val="32"/>
        </w:rPr>
        <w:t>聚焦基本保障兜牢、制度体系优化、服务效能提升，加快构建覆盖全民、城乡统筹、权责清晰、保障适度的多层次社会保障体系，增强制度的公平性、统一性和规范性，为全县人民提供更可靠、更充分的社会保障。</w:t>
      </w:r>
    </w:p>
    <w:p w14:paraId="203296B8">
      <w:pPr>
        <w:spacing w:line="576" w:lineRule="exact"/>
        <w:ind w:firstLine="640" w:firstLineChars="200"/>
        <w:rPr>
          <w:rFonts w:eastAsia="方正仿宋简体"/>
          <w:color w:val="auto"/>
          <w:sz w:val="32"/>
          <w:szCs w:val="32"/>
        </w:rPr>
      </w:pPr>
      <w:r>
        <w:rPr>
          <w:rFonts w:eastAsia="方正仿宋简体"/>
          <w:color w:val="auto"/>
          <w:sz w:val="32"/>
          <w:szCs w:val="32"/>
        </w:rPr>
        <w:t>健全多层次社会保障体系。全面落实基本养老保险统筹，稳步提升基本养老保险参保质量。深入开展</w:t>
      </w:r>
      <w:r>
        <w:rPr>
          <w:rFonts w:hint="eastAsia" w:eastAsia="方正仿宋简体"/>
          <w:color w:val="auto"/>
          <w:sz w:val="32"/>
          <w:szCs w:val="32"/>
        </w:rPr>
        <w:t>“</w:t>
      </w:r>
      <w:r>
        <w:rPr>
          <w:rFonts w:eastAsia="方正仿宋简体"/>
          <w:color w:val="auto"/>
          <w:sz w:val="32"/>
          <w:szCs w:val="32"/>
        </w:rPr>
        <w:t>社保服务进万家</w:t>
      </w:r>
      <w:r>
        <w:rPr>
          <w:rFonts w:hint="eastAsia" w:eastAsia="方正仿宋简体"/>
          <w:color w:val="auto"/>
          <w:sz w:val="32"/>
          <w:szCs w:val="32"/>
        </w:rPr>
        <w:t>”</w:t>
      </w:r>
      <w:r>
        <w:rPr>
          <w:rFonts w:eastAsia="方正仿宋简体"/>
          <w:color w:val="auto"/>
          <w:sz w:val="32"/>
          <w:szCs w:val="32"/>
        </w:rPr>
        <w:t>行动，针对灵活就业人员、农民工等群体精准扩面，确保养老保险待遇足额发放率100%。推动基本医疗保险省级统筹，建立居民医保财政补助动态调整机制，对低保、特困人员实行参保梯度补贴。强化失业保险稳岗返还和扩岗补助</w:t>
      </w:r>
      <w:r>
        <w:rPr>
          <w:rFonts w:hint="eastAsia" w:eastAsia="方正仿宋简体"/>
          <w:color w:val="auto"/>
          <w:sz w:val="32"/>
          <w:szCs w:val="32"/>
        </w:rPr>
        <w:t>“</w:t>
      </w:r>
      <w:r>
        <w:rPr>
          <w:rFonts w:eastAsia="方正仿宋简体"/>
          <w:color w:val="auto"/>
          <w:sz w:val="32"/>
          <w:szCs w:val="32"/>
        </w:rPr>
        <w:t>免申即享</w:t>
      </w:r>
      <w:r>
        <w:rPr>
          <w:rFonts w:hint="eastAsia" w:eastAsia="方正仿宋简体"/>
          <w:color w:val="auto"/>
          <w:sz w:val="32"/>
          <w:szCs w:val="32"/>
        </w:rPr>
        <w:t>”</w:t>
      </w:r>
      <w:r>
        <w:rPr>
          <w:rFonts w:eastAsia="方正仿宋简体"/>
          <w:color w:val="auto"/>
          <w:sz w:val="32"/>
          <w:szCs w:val="32"/>
        </w:rPr>
        <w:t>，推进快递从业人员优先参加工伤保险。</w:t>
      </w:r>
    </w:p>
    <w:p w14:paraId="4FCCE13E">
      <w:pPr>
        <w:spacing w:line="576" w:lineRule="exact"/>
        <w:ind w:firstLine="640" w:firstLineChars="200"/>
        <w:rPr>
          <w:rFonts w:eastAsia="方正仿宋简体"/>
          <w:color w:val="auto"/>
          <w:sz w:val="32"/>
          <w:szCs w:val="32"/>
        </w:rPr>
      </w:pPr>
      <w:r>
        <w:rPr>
          <w:rFonts w:eastAsia="方正仿宋简体"/>
          <w:color w:val="auto"/>
          <w:sz w:val="32"/>
          <w:szCs w:val="32"/>
        </w:rPr>
        <w:t>提升社会救助与福利保障综合能力。完善分层分类救助制度，应用家庭经济状况量化评估体系，精准认定救助对象。提升残疾人多元托养服务质量，强化困境儿童保障，发展服务类和慈善救助。加强殡葬行业监管。推动慈善事业健康发展，鼓励社会力量参与救助。建设全县大救助信息系统，强化部门数据共享，完善低收入人口动态监测平台，提升智慧救助水平。</w:t>
      </w:r>
    </w:p>
    <w:p w14:paraId="01E9DD8C">
      <w:pPr>
        <w:spacing w:line="576" w:lineRule="exact"/>
        <w:jc w:val="center"/>
        <w:rPr>
          <w:rFonts w:eastAsia="方正楷体简体"/>
          <w:color w:val="auto"/>
          <w:sz w:val="32"/>
          <w:szCs w:val="32"/>
        </w:rPr>
      </w:pPr>
      <w:r>
        <w:rPr>
          <w:rFonts w:eastAsia="方正楷体简体"/>
          <w:color w:val="auto"/>
          <w:sz w:val="32"/>
          <w:szCs w:val="32"/>
        </w:rPr>
        <w:t>第四节  满足群众高品质居住需求</w:t>
      </w:r>
    </w:p>
    <w:p w14:paraId="03E4E50E">
      <w:pPr>
        <w:spacing w:line="576" w:lineRule="exact"/>
        <w:ind w:firstLine="640" w:firstLineChars="200"/>
        <w:rPr>
          <w:rFonts w:eastAsia="方正仿宋简体"/>
          <w:color w:val="auto"/>
          <w:sz w:val="32"/>
          <w:szCs w:val="32"/>
        </w:rPr>
      </w:pPr>
      <w:r>
        <w:rPr>
          <w:rFonts w:eastAsia="方正仿宋简体"/>
          <w:color w:val="auto"/>
          <w:sz w:val="32"/>
          <w:szCs w:val="32"/>
        </w:rPr>
        <w:t>顺应人民群众对美好生活的新期待，以满足多元住房需求、提升居住品质为核心，加快构建房地产发展新模式，推动住房供给从</w:t>
      </w:r>
      <w:r>
        <w:rPr>
          <w:rFonts w:hint="eastAsia" w:eastAsia="方正仿宋简体"/>
          <w:color w:val="auto"/>
          <w:sz w:val="32"/>
          <w:szCs w:val="32"/>
        </w:rPr>
        <w:t>“</w:t>
      </w:r>
      <w:r>
        <w:rPr>
          <w:rFonts w:eastAsia="方正仿宋简体"/>
          <w:color w:val="auto"/>
          <w:sz w:val="32"/>
          <w:szCs w:val="32"/>
        </w:rPr>
        <w:t>有没有</w:t>
      </w:r>
      <w:r>
        <w:rPr>
          <w:rFonts w:hint="eastAsia" w:eastAsia="方正仿宋简体"/>
          <w:color w:val="auto"/>
          <w:sz w:val="32"/>
          <w:szCs w:val="32"/>
        </w:rPr>
        <w:t>”</w:t>
      </w:r>
      <w:r>
        <w:rPr>
          <w:rFonts w:eastAsia="方正仿宋简体"/>
          <w:color w:val="auto"/>
          <w:sz w:val="32"/>
          <w:szCs w:val="32"/>
        </w:rPr>
        <w:t>向</w:t>
      </w:r>
      <w:r>
        <w:rPr>
          <w:rFonts w:hint="eastAsia" w:eastAsia="方正仿宋简体"/>
          <w:color w:val="auto"/>
          <w:sz w:val="32"/>
          <w:szCs w:val="32"/>
        </w:rPr>
        <w:t>“</w:t>
      </w:r>
      <w:r>
        <w:rPr>
          <w:rFonts w:eastAsia="方正仿宋简体"/>
          <w:color w:val="auto"/>
          <w:sz w:val="32"/>
          <w:szCs w:val="32"/>
        </w:rPr>
        <w:t>好不好</w:t>
      </w:r>
      <w:r>
        <w:rPr>
          <w:rFonts w:hint="eastAsia" w:eastAsia="方正仿宋简体"/>
          <w:color w:val="auto"/>
          <w:sz w:val="32"/>
          <w:szCs w:val="32"/>
        </w:rPr>
        <w:t>”</w:t>
      </w:r>
      <w:r>
        <w:rPr>
          <w:rFonts w:eastAsia="方正仿宋简体"/>
          <w:color w:val="auto"/>
          <w:sz w:val="32"/>
          <w:szCs w:val="32"/>
        </w:rPr>
        <w:t>升级。</w:t>
      </w:r>
    </w:p>
    <w:p w14:paraId="7F340F78">
      <w:pPr>
        <w:spacing w:line="576" w:lineRule="exact"/>
        <w:ind w:firstLine="640" w:firstLineChars="200"/>
        <w:rPr>
          <w:rFonts w:eastAsia="方正仿宋简体"/>
          <w:color w:val="auto"/>
          <w:sz w:val="32"/>
          <w:szCs w:val="32"/>
        </w:rPr>
      </w:pPr>
      <w:r>
        <w:rPr>
          <w:rFonts w:eastAsia="方正仿宋简体"/>
          <w:color w:val="auto"/>
          <w:sz w:val="32"/>
          <w:szCs w:val="32"/>
        </w:rPr>
        <w:t>健全多层次住房供应体系。优化商品房供给结构，科学规划住房开发布局，在县城、北大湖镇等重点区域适度增加多样化、改善型住房供给。完善住房保障体系，以满足新市民、青年人和住房困难家庭基本需求为重点，加大保障性租赁住房建设和供给力度，探索利用存量闲置房屋改建保障性租赁住房，为产业工人、青年教师等群体提供稳定居所。</w:t>
      </w:r>
    </w:p>
    <w:p w14:paraId="0B426713">
      <w:pPr>
        <w:spacing w:line="576" w:lineRule="exact"/>
        <w:ind w:firstLine="640" w:firstLineChars="200"/>
        <w:rPr>
          <w:rFonts w:eastAsia="方正仿宋简体"/>
          <w:color w:val="auto"/>
          <w:sz w:val="32"/>
          <w:szCs w:val="32"/>
        </w:rPr>
      </w:pPr>
      <w:r>
        <w:rPr>
          <w:rFonts w:eastAsia="方正仿宋简体"/>
          <w:color w:val="auto"/>
          <w:sz w:val="32"/>
          <w:szCs w:val="32"/>
        </w:rPr>
        <w:t>提升住房建设与安全管理品质。建设安全舒适绿色智慧的</w:t>
      </w:r>
      <w:r>
        <w:rPr>
          <w:rFonts w:hint="eastAsia" w:eastAsia="方正仿宋简体"/>
          <w:color w:val="auto"/>
          <w:sz w:val="32"/>
          <w:szCs w:val="32"/>
        </w:rPr>
        <w:t>“</w:t>
      </w:r>
      <w:r>
        <w:rPr>
          <w:rFonts w:eastAsia="方正仿宋简体"/>
          <w:color w:val="auto"/>
          <w:sz w:val="32"/>
          <w:szCs w:val="32"/>
        </w:rPr>
        <w:t>好房子</w:t>
      </w:r>
      <w:r>
        <w:rPr>
          <w:rFonts w:hint="eastAsia" w:eastAsia="方正仿宋简体"/>
          <w:color w:val="auto"/>
          <w:sz w:val="32"/>
          <w:szCs w:val="32"/>
        </w:rPr>
        <w:t>”</w:t>
      </w:r>
      <w:r>
        <w:rPr>
          <w:rFonts w:eastAsia="方正仿宋简体"/>
          <w:color w:val="auto"/>
          <w:sz w:val="32"/>
          <w:szCs w:val="32"/>
        </w:rPr>
        <w:t>。严格新建住宅项目建设标准，推广绿色建筑技术。强化房屋全生命周期安全管理，建立房屋定期安全排查与维护制度，加强对老旧房屋的动态监测与风险处置。提升物业管理服务水平，鼓励拓展社区增值服务，营造便利舒适的居住环境。</w:t>
      </w:r>
    </w:p>
    <w:p w14:paraId="0D78EB3E">
      <w:pPr>
        <w:spacing w:line="576" w:lineRule="exact"/>
        <w:jc w:val="center"/>
        <w:rPr>
          <w:rFonts w:eastAsia="方正楷体简体"/>
          <w:color w:val="auto"/>
          <w:sz w:val="32"/>
          <w:szCs w:val="32"/>
        </w:rPr>
      </w:pPr>
      <w:r>
        <w:rPr>
          <w:rFonts w:eastAsia="方正楷体简体"/>
          <w:color w:val="auto"/>
          <w:sz w:val="32"/>
          <w:szCs w:val="32"/>
        </w:rPr>
        <w:t>第五节  筑牢安全发展根基</w:t>
      </w:r>
    </w:p>
    <w:p w14:paraId="72E56ADC">
      <w:pPr>
        <w:spacing w:line="576" w:lineRule="exact"/>
        <w:ind w:firstLine="640" w:firstLineChars="200"/>
        <w:rPr>
          <w:rFonts w:eastAsia="方正仿宋简体"/>
          <w:color w:val="auto"/>
          <w:sz w:val="32"/>
          <w:szCs w:val="32"/>
        </w:rPr>
      </w:pPr>
      <w:r>
        <w:rPr>
          <w:rFonts w:eastAsia="方正仿宋简体"/>
          <w:color w:val="auto"/>
          <w:sz w:val="32"/>
          <w:szCs w:val="32"/>
        </w:rPr>
        <w:t>坚持总体国家安全观，统筹发展和安全，立足永吉县实际，构建与高质量发展相适应的新安全格局，以高水平安全护航高质量发展，确保社会大局稳定、人民安居乐业。</w:t>
      </w:r>
    </w:p>
    <w:p w14:paraId="664162BF">
      <w:pPr>
        <w:spacing w:line="576" w:lineRule="exact"/>
        <w:ind w:firstLine="640" w:firstLineChars="200"/>
        <w:rPr>
          <w:rFonts w:eastAsia="方正仿宋简体"/>
          <w:color w:val="auto"/>
          <w:sz w:val="32"/>
          <w:szCs w:val="32"/>
        </w:rPr>
      </w:pPr>
      <w:r>
        <w:rPr>
          <w:rFonts w:eastAsia="方正仿宋简体"/>
          <w:color w:val="auto"/>
          <w:sz w:val="32"/>
          <w:szCs w:val="32"/>
        </w:rPr>
        <w:t>健全维护国家安全体系。严格落实国家安全责任制，健全指挥高效、协同有力、反应灵敏的县域国家安全工作体系和运行机制。完善国家安全重点领域工作协调、督促检查、考核评价和责任追究机制，切实扛起维护国家</w:t>
      </w:r>
      <w:r>
        <w:rPr>
          <w:rFonts w:hint="eastAsia" w:eastAsia="方正仿宋简体"/>
          <w:color w:val="auto"/>
          <w:sz w:val="32"/>
          <w:szCs w:val="32"/>
        </w:rPr>
        <w:t>“</w:t>
      </w:r>
      <w:r>
        <w:rPr>
          <w:rFonts w:eastAsia="方正仿宋简体"/>
          <w:color w:val="auto"/>
          <w:sz w:val="32"/>
          <w:szCs w:val="32"/>
        </w:rPr>
        <w:t>五大安全</w:t>
      </w:r>
      <w:r>
        <w:rPr>
          <w:rFonts w:hint="eastAsia" w:eastAsia="方正仿宋简体"/>
          <w:color w:val="auto"/>
          <w:sz w:val="32"/>
          <w:szCs w:val="32"/>
        </w:rPr>
        <w:t>”</w:t>
      </w:r>
      <w:r>
        <w:rPr>
          <w:rFonts w:eastAsia="方正仿宋简体"/>
          <w:color w:val="auto"/>
          <w:sz w:val="32"/>
          <w:szCs w:val="32"/>
        </w:rPr>
        <w:t>的政治责任。整合公安、信访、网信、应急等部门信息资源，探索打造县域综合性风险监测预警信息平台，构建全域感知、灵敏高效、科学精准、立体联动的国家安全风险监测预警体系。深入开展国家安全宣传教育活动，巩固拓展县、乡、村三级人民防线组织网络，增强全民国家安全意识，筑牢国家安全人民防线。</w:t>
      </w:r>
      <w:r>
        <w:rPr>
          <w:rFonts w:hint="eastAsia" w:eastAsia="方正仿宋简体"/>
          <w:color w:val="auto"/>
          <w:sz w:val="32"/>
          <w:szCs w:val="32"/>
          <w:lang w:eastAsia="zh-CN"/>
        </w:rPr>
        <w:t>强化新时代全民国防教育，完善国防动员体系，加强国防后备力量。深化拓展各领域“双拥”工作，积极推进军地融合、军民融合。</w:t>
      </w:r>
    </w:p>
    <w:p w14:paraId="757617B8">
      <w:pPr>
        <w:spacing w:line="576" w:lineRule="exact"/>
        <w:ind w:firstLine="640" w:firstLineChars="200"/>
        <w:rPr>
          <w:rFonts w:eastAsia="方正仿宋简体"/>
          <w:color w:val="auto"/>
          <w:sz w:val="32"/>
          <w:szCs w:val="32"/>
        </w:rPr>
      </w:pPr>
      <w:r>
        <w:rPr>
          <w:rFonts w:eastAsia="方正仿宋简体"/>
          <w:color w:val="auto"/>
          <w:sz w:val="32"/>
          <w:szCs w:val="32"/>
        </w:rPr>
        <w:t>防范化解重点领域风险。深化意识形态领域斗争，防范化解民族和宗教领域风险隐患。聚焦粮食、生态、能源、金融、数据等关键领域，补短板、强弱项，提升专业化风险防控和应急处置能力，牢牢守住安全底线。严格落实耕地保护制度，强化粮食生产、储备和流通环节安全监管。常态化开展生态环境风险排查整治，加大重点流域水环境生态综合治理与保护修复力度，持续推进矿山生态环境治理恢复项目，筑牢东部森林生态安全屏障。构建清洁低碳、安全高效的能源安全保障体系，围绕风电、光伏、生物质能等清洁能源项目，优化能源布局，</w:t>
      </w:r>
      <w:r>
        <w:rPr>
          <w:rFonts w:hint="eastAsia" w:eastAsia="方正仿宋简体"/>
          <w:color w:val="auto"/>
          <w:sz w:val="32"/>
          <w:szCs w:val="32"/>
          <w:lang w:val="en-US" w:eastAsia="zh-CN"/>
        </w:rPr>
        <w:t>谋划推动我县储能电站建设，</w:t>
      </w:r>
      <w:r>
        <w:rPr>
          <w:rFonts w:eastAsia="方正仿宋简体"/>
          <w:color w:val="auto"/>
          <w:sz w:val="32"/>
          <w:szCs w:val="32"/>
        </w:rPr>
        <w:t>健全能源供需监测预警和应急调峰机制，提升能源供应链韧性和安全保障水平。完善金融风险联防联控机制，整合市场监管、公安、银行等多方数据，利用</w:t>
      </w:r>
      <w:r>
        <w:rPr>
          <w:rFonts w:hint="eastAsia" w:eastAsia="方正仿宋简体"/>
          <w:color w:val="auto"/>
          <w:sz w:val="32"/>
          <w:szCs w:val="32"/>
        </w:rPr>
        <w:t>“</w:t>
      </w:r>
      <w:r>
        <w:rPr>
          <w:rFonts w:eastAsia="方正仿宋简体"/>
          <w:color w:val="auto"/>
          <w:sz w:val="32"/>
          <w:szCs w:val="32"/>
        </w:rPr>
        <w:t>智慧警务</w:t>
      </w:r>
      <w:r>
        <w:rPr>
          <w:rFonts w:hint="eastAsia" w:eastAsia="方正仿宋简体"/>
          <w:color w:val="auto"/>
          <w:sz w:val="32"/>
          <w:szCs w:val="32"/>
        </w:rPr>
        <w:t>”“</w:t>
      </w:r>
      <w:r>
        <w:rPr>
          <w:rFonts w:eastAsia="方正仿宋简体"/>
          <w:color w:val="auto"/>
          <w:sz w:val="32"/>
          <w:szCs w:val="32"/>
        </w:rPr>
        <w:t>智慧法治</w:t>
      </w:r>
      <w:r>
        <w:rPr>
          <w:rFonts w:hint="eastAsia" w:eastAsia="方正仿宋简体"/>
          <w:color w:val="auto"/>
          <w:sz w:val="32"/>
          <w:szCs w:val="32"/>
        </w:rPr>
        <w:t>”</w:t>
      </w:r>
      <w:r>
        <w:rPr>
          <w:rFonts w:eastAsia="方正仿宋简体"/>
          <w:color w:val="auto"/>
          <w:sz w:val="32"/>
          <w:szCs w:val="32"/>
        </w:rPr>
        <w:t>等平台资源，实时监测预警和严厉打击非法集资等非法金融活动。强化统计数据质量管控，深化金融知识普及教育，推进金融纠纷多元化解机制建设，增强社会公众风险意识和辨识能力，坚决防范区域性、系统性金融风险。积极盘活闲置低效资产，推动低效工业用地</w:t>
      </w:r>
      <w:r>
        <w:rPr>
          <w:rFonts w:hint="eastAsia" w:eastAsia="方正仿宋简体"/>
          <w:color w:val="auto"/>
          <w:sz w:val="32"/>
          <w:szCs w:val="32"/>
        </w:rPr>
        <w:t>“</w:t>
      </w:r>
      <w:r>
        <w:rPr>
          <w:rFonts w:eastAsia="方正仿宋简体"/>
          <w:color w:val="auto"/>
          <w:sz w:val="32"/>
          <w:szCs w:val="32"/>
        </w:rPr>
        <w:t>腾笼换鸟</w:t>
      </w:r>
      <w:r>
        <w:rPr>
          <w:rFonts w:hint="eastAsia" w:eastAsia="方正仿宋简体"/>
          <w:color w:val="auto"/>
          <w:sz w:val="32"/>
          <w:szCs w:val="32"/>
        </w:rPr>
        <w:t>”</w:t>
      </w:r>
      <w:r>
        <w:rPr>
          <w:rFonts w:eastAsia="方正仿宋简体"/>
          <w:color w:val="auto"/>
          <w:sz w:val="32"/>
          <w:szCs w:val="32"/>
        </w:rPr>
        <w:t>，新增土地收益优先用于化解存量债务。强化数据安全与应用安全管理，严格落实数据安全与个人信息保护法律法规，建立政务数据、企业商业秘密和个人信息分类分级管理制度。提升关键信息基础设施安全防护水平，健全人工智能、工业互联网、智慧城市等新技术新应用安全审查与监管机制，有效防范新兴领域安全风险。</w:t>
      </w:r>
    </w:p>
    <w:p w14:paraId="4E78E1FB">
      <w:pPr>
        <w:spacing w:line="576" w:lineRule="exact"/>
        <w:ind w:firstLine="640" w:firstLineChars="200"/>
        <w:rPr>
          <w:rFonts w:eastAsia="方正仿宋简体"/>
          <w:color w:val="auto"/>
          <w:sz w:val="32"/>
          <w:szCs w:val="32"/>
        </w:rPr>
      </w:pPr>
      <w:r>
        <w:rPr>
          <w:rFonts w:eastAsia="方正仿宋简体"/>
          <w:color w:val="auto"/>
          <w:sz w:val="32"/>
          <w:szCs w:val="32"/>
        </w:rPr>
        <w:t>强化公共安全治理。坚持</w:t>
      </w:r>
      <w:r>
        <w:rPr>
          <w:rFonts w:hint="eastAsia" w:eastAsia="方正仿宋简体"/>
          <w:color w:val="auto"/>
          <w:sz w:val="32"/>
          <w:szCs w:val="32"/>
        </w:rPr>
        <w:t>“</w:t>
      </w:r>
      <w:r>
        <w:rPr>
          <w:rFonts w:eastAsia="方正仿宋简体"/>
          <w:color w:val="auto"/>
          <w:sz w:val="32"/>
          <w:szCs w:val="32"/>
        </w:rPr>
        <w:t>防胜于救</w:t>
      </w:r>
      <w:r>
        <w:rPr>
          <w:rFonts w:hint="eastAsia" w:eastAsia="方正仿宋简体"/>
          <w:color w:val="auto"/>
          <w:sz w:val="32"/>
          <w:szCs w:val="32"/>
        </w:rPr>
        <w:t>”</w:t>
      </w:r>
      <w:r>
        <w:rPr>
          <w:rFonts w:eastAsia="方正仿宋简体"/>
          <w:color w:val="auto"/>
          <w:sz w:val="32"/>
          <w:szCs w:val="32"/>
        </w:rPr>
        <w:t>理念，完善公共安全体系，健全风险管控与隐患排查双重预防机制。落实维护社会稳定责任，强化圈层查控、要素管控，推进扫黑除恶常态化；全面贯彻宽严相济刑事政策，推进智慧警务建设，打造</w:t>
      </w:r>
      <w:r>
        <w:rPr>
          <w:rFonts w:hint="eastAsia" w:eastAsia="方正仿宋简体"/>
          <w:color w:val="auto"/>
          <w:sz w:val="32"/>
          <w:szCs w:val="32"/>
        </w:rPr>
        <w:t>“</w:t>
      </w:r>
      <w:r>
        <w:rPr>
          <w:rFonts w:eastAsia="方正仿宋简体"/>
          <w:color w:val="auto"/>
          <w:sz w:val="32"/>
          <w:szCs w:val="32"/>
        </w:rPr>
        <w:t>情指行</w:t>
      </w:r>
      <w:r>
        <w:rPr>
          <w:rFonts w:hint="eastAsia" w:eastAsia="方正仿宋简体"/>
          <w:color w:val="auto"/>
          <w:sz w:val="32"/>
          <w:szCs w:val="32"/>
        </w:rPr>
        <w:t>”</w:t>
      </w:r>
      <w:r>
        <w:rPr>
          <w:rFonts w:eastAsia="方正仿宋简体"/>
          <w:color w:val="auto"/>
          <w:sz w:val="32"/>
          <w:szCs w:val="32"/>
        </w:rPr>
        <w:t>一体化实战中心，提升应急处突能力。筑牢安全生产防线，对重点企业实行</w:t>
      </w:r>
      <w:r>
        <w:rPr>
          <w:rFonts w:hint="eastAsia" w:eastAsia="方正仿宋简体"/>
          <w:color w:val="auto"/>
          <w:sz w:val="32"/>
          <w:szCs w:val="32"/>
        </w:rPr>
        <w:t>“</w:t>
      </w:r>
      <w:r>
        <w:rPr>
          <w:rFonts w:eastAsia="方正仿宋简体"/>
          <w:color w:val="auto"/>
          <w:sz w:val="32"/>
          <w:szCs w:val="32"/>
        </w:rPr>
        <w:t>红橙黄蓝</w:t>
      </w:r>
      <w:r>
        <w:rPr>
          <w:rFonts w:hint="eastAsia" w:eastAsia="方正仿宋简体"/>
          <w:color w:val="auto"/>
          <w:sz w:val="32"/>
          <w:szCs w:val="32"/>
        </w:rPr>
        <w:t>”</w:t>
      </w:r>
      <w:r>
        <w:rPr>
          <w:rFonts w:eastAsia="方正仿宋简体"/>
          <w:color w:val="auto"/>
          <w:sz w:val="32"/>
          <w:szCs w:val="32"/>
        </w:rPr>
        <w:t>风险分级管控，推行</w:t>
      </w:r>
      <w:r>
        <w:rPr>
          <w:rFonts w:hint="eastAsia" w:eastAsia="方正仿宋简体"/>
          <w:color w:val="auto"/>
          <w:sz w:val="32"/>
          <w:szCs w:val="32"/>
        </w:rPr>
        <w:t>“</w:t>
      </w:r>
      <w:r>
        <w:rPr>
          <w:rFonts w:eastAsia="方正仿宋简体"/>
          <w:color w:val="auto"/>
          <w:sz w:val="32"/>
          <w:szCs w:val="32"/>
        </w:rPr>
        <w:t>专家驻企+旁站指导</w:t>
      </w:r>
      <w:r>
        <w:rPr>
          <w:rFonts w:hint="eastAsia" w:eastAsia="方正仿宋简体"/>
          <w:color w:val="auto"/>
          <w:sz w:val="32"/>
          <w:szCs w:val="32"/>
        </w:rPr>
        <w:t>”</w:t>
      </w:r>
      <w:r>
        <w:rPr>
          <w:rFonts w:eastAsia="方正仿宋简体"/>
          <w:color w:val="auto"/>
          <w:sz w:val="32"/>
          <w:szCs w:val="32"/>
        </w:rPr>
        <w:t>，规上企业自动化改造率达80%；实施食品安全</w:t>
      </w:r>
      <w:r>
        <w:rPr>
          <w:rFonts w:hint="eastAsia" w:eastAsia="方正仿宋简体"/>
          <w:color w:val="auto"/>
          <w:sz w:val="32"/>
          <w:szCs w:val="32"/>
        </w:rPr>
        <w:t>“</w:t>
      </w:r>
      <w:r>
        <w:rPr>
          <w:rFonts w:eastAsia="方正仿宋简体"/>
          <w:color w:val="auto"/>
          <w:sz w:val="32"/>
          <w:szCs w:val="32"/>
        </w:rPr>
        <w:t>智慧监管</w:t>
      </w:r>
      <w:r>
        <w:rPr>
          <w:rFonts w:hint="eastAsia" w:eastAsia="方正仿宋简体"/>
          <w:color w:val="auto"/>
          <w:sz w:val="32"/>
          <w:szCs w:val="32"/>
        </w:rPr>
        <w:t>”</w:t>
      </w:r>
      <w:r>
        <w:rPr>
          <w:rFonts w:eastAsia="方正仿宋简体"/>
          <w:color w:val="auto"/>
          <w:sz w:val="32"/>
          <w:szCs w:val="32"/>
        </w:rPr>
        <w:t>，实现学校食堂AI监控全覆盖；加强医疗机构量化分级管理，建设网络综合治理平台。提升自然灾害防治能力，加强气象、水文、地质灾害监测预警，强化口前镇歪头村等地质灾害隐患点工程治理；新建应急物资储备中心，统筹存放防汛、防火、抗震物资。深化法治永吉建设，全面推行行政执法</w:t>
      </w:r>
      <w:r>
        <w:rPr>
          <w:rFonts w:hint="eastAsia" w:eastAsia="方正仿宋简体"/>
          <w:color w:val="auto"/>
          <w:sz w:val="32"/>
          <w:szCs w:val="32"/>
        </w:rPr>
        <w:t>“</w:t>
      </w:r>
      <w:r>
        <w:rPr>
          <w:rFonts w:eastAsia="方正仿宋简体"/>
          <w:color w:val="auto"/>
          <w:sz w:val="32"/>
          <w:szCs w:val="32"/>
        </w:rPr>
        <w:t>三项制度</w:t>
      </w:r>
      <w:r>
        <w:rPr>
          <w:rFonts w:hint="eastAsia" w:eastAsia="方正仿宋简体"/>
          <w:color w:val="auto"/>
          <w:sz w:val="32"/>
          <w:szCs w:val="32"/>
        </w:rPr>
        <w:t>”</w:t>
      </w:r>
      <w:r>
        <w:rPr>
          <w:rFonts w:eastAsia="方正仿宋简体"/>
          <w:color w:val="auto"/>
          <w:sz w:val="32"/>
          <w:szCs w:val="32"/>
        </w:rPr>
        <w:t>，完善执法监督系统；推进信访法治化，优化网上信访平台；健全公共法律服务网络，实现</w:t>
      </w:r>
      <w:r>
        <w:rPr>
          <w:rFonts w:hint="eastAsia" w:eastAsia="方正仿宋简体"/>
          <w:color w:val="auto"/>
          <w:sz w:val="32"/>
          <w:szCs w:val="32"/>
        </w:rPr>
        <w:t>“</w:t>
      </w:r>
      <w:r>
        <w:rPr>
          <w:rFonts w:eastAsia="方正仿宋简体"/>
          <w:color w:val="auto"/>
          <w:sz w:val="32"/>
          <w:szCs w:val="32"/>
        </w:rPr>
        <w:t>一村一法律顾问</w:t>
      </w:r>
      <w:r>
        <w:rPr>
          <w:rFonts w:hint="eastAsia" w:eastAsia="方正仿宋简体"/>
          <w:color w:val="auto"/>
          <w:sz w:val="32"/>
          <w:szCs w:val="32"/>
        </w:rPr>
        <w:t>”</w:t>
      </w:r>
      <w:r>
        <w:rPr>
          <w:rFonts w:eastAsia="方正仿宋简体"/>
          <w:color w:val="auto"/>
          <w:sz w:val="32"/>
          <w:szCs w:val="32"/>
        </w:rPr>
        <w:t>全覆盖，建成智慧公共法律服务平台，为公共安全提供坚实法治保障。</w:t>
      </w:r>
    </w:p>
    <w:p w14:paraId="0E824902">
      <w:pPr>
        <w:spacing w:line="576" w:lineRule="exact"/>
        <w:ind w:firstLine="640" w:firstLineChars="200"/>
        <w:rPr>
          <w:rFonts w:eastAsia="方正仿宋简体"/>
          <w:color w:val="auto"/>
          <w:sz w:val="32"/>
          <w:szCs w:val="32"/>
        </w:rPr>
      </w:pPr>
      <w:r>
        <w:rPr>
          <w:rFonts w:eastAsia="方正仿宋简体"/>
          <w:color w:val="auto"/>
          <w:sz w:val="32"/>
          <w:szCs w:val="32"/>
        </w:rPr>
        <w:t>健全应急管理指挥体制。健全应急管理相关议事协调机构运行规则和工作制度，构建标准化、模块化的专业应急指挥组织模式，实现灾害事故处置的统一指挥、反应灵敏、协调有序、运转高效。深化应急指挥联动机制建设，横向联动各部门，纵向贯通上级指挥中心，建设权责一致、专项负责的应急处置流程，并建立指挥人员定期培训与考核评估制度。加强县级应急指挥中心标准化建设，引入大数据、人工智能等技术赋能调度决策。全面落实应急系统24小时值班值守，推动县、乡一体化值班值守体系建设，强化应急物资统一调度与多灾种保障能力，提升基层风险早期识别与先期处置效能。扎实做好防汛备汛、森林防火等各项工作，建立健全应急响应机制，提升防灾减灾救灾能力，切实保障人民群众生命财产安全。</w:t>
      </w:r>
    </w:p>
    <w:p w14:paraId="373777A4">
      <w:pPr>
        <w:spacing w:line="576" w:lineRule="exact"/>
        <w:jc w:val="center"/>
        <w:rPr>
          <w:rFonts w:eastAsia="方正楷体简体"/>
          <w:color w:val="auto"/>
          <w:sz w:val="32"/>
          <w:szCs w:val="32"/>
        </w:rPr>
      </w:pPr>
      <w:r>
        <w:rPr>
          <w:rFonts w:eastAsia="方正楷体简体"/>
          <w:color w:val="auto"/>
          <w:sz w:val="32"/>
          <w:szCs w:val="32"/>
        </w:rPr>
        <w:t>第六节  提升社会治理效能</w:t>
      </w:r>
    </w:p>
    <w:p w14:paraId="65F5A4F8">
      <w:pPr>
        <w:spacing w:line="576" w:lineRule="exact"/>
        <w:ind w:firstLine="640" w:firstLineChars="200"/>
        <w:rPr>
          <w:rFonts w:eastAsia="方正仿宋简体"/>
          <w:color w:val="auto"/>
          <w:sz w:val="32"/>
          <w:szCs w:val="32"/>
        </w:rPr>
      </w:pPr>
      <w:r>
        <w:rPr>
          <w:rFonts w:eastAsia="方正仿宋简体"/>
          <w:color w:val="auto"/>
          <w:sz w:val="32"/>
          <w:szCs w:val="32"/>
        </w:rPr>
        <w:t>推动社会治理从碎片化向系统化、从被动响应向主动预防转变，构建网格化管理、精细化服务、信息化支撑、法治化保障的现代化治理体系，全面提升风险防控能力、矛盾化解效率和公共服务水平。</w:t>
      </w:r>
    </w:p>
    <w:p w14:paraId="1BC6A87F">
      <w:pPr>
        <w:spacing w:line="576" w:lineRule="exact"/>
        <w:ind w:firstLine="640" w:firstLineChars="200"/>
        <w:rPr>
          <w:rFonts w:eastAsia="方正仿宋简体"/>
          <w:color w:val="auto"/>
          <w:sz w:val="32"/>
          <w:szCs w:val="32"/>
        </w:rPr>
      </w:pPr>
      <w:r>
        <w:rPr>
          <w:rFonts w:eastAsia="方正仿宋简体"/>
          <w:color w:val="auto"/>
          <w:sz w:val="32"/>
          <w:szCs w:val="32"/>
        </w:rPr>
        <w:t>提升基层社会治理水平。坚持和发展新时代</w:t>
      </w:r>
      <w:r>
        <w:rPr>
          <w:rFonts w:hint="eastAsia" w:eastAsia="方正仿宋简体"/>
          <w:color w:val="auto"/>
          <w:sz w:val="32"/>
          <w:szCs w:val="32"/>
        </w:rPr>
        <w:t>“</w:t>
      </w:r>
      <w:r>
        <w:rPr>
          <w:rFonts w:eastAsia="方正仿宋简体"/>
          <w:color w:val="auto"/>
          <w:sz w:val="32"/>
          <w:szCs w:val="32"/>
        </w:rPr>
        <w:t>枫桥经验</w:t>
      </w:r>
      <w:r>
        <w:rPr>
          <w:rFonts w:hint="eastAsia" w:eastAsia="方正仿宋简体"/>
          <w:color w:val="auto"/>
          <w:sz w:val="32"/>
          <w:szCs w:val="32"/>
        </w:rPr>
        <w:t>”</w:t>
      </w:r>
      <w:r>
        <w:rPr>
          <w:rFonts w:eastAsia="方正仿宋简体"/>
          <w:color w:val="auto"/>
          <w:sz w:val="32"/>
          <w:szCs w:val="32"/>
        </w:rPr>
        <w:t>，加强综治中心规范化建设，整合调解资源，推动矛盾纠纷就地化解。健全党组织领导下的</w:t>
      </w:r>
      <w:r>
        <w:rPr>
          <w:rFonts w:hint="eastAsia" w:eastAsia="方正仿宋简体"/>
          <w:color w:val="auto"/>
          <w:sz w:val="32"/>
          <w:szCs w:val="32"/>
        </w:rPr>
        <w:t>“</w:t>
      </w:r>
      <w:r>
        <w:rPr>
          <w:rFonts w:eastAsia="方正仿宋简体"/>
          <w:color w:val="auto"/>
          <w:sz w:val="32"/>
          <w:szCs w:val="32"/>
        </w:rPr>
        <w:t>一核多元</w:t>
      </w:r>
      <w:r>
        <w:rPr>
          <w:rFonts w:hint="eastAsia" w:eastAsia="方正仿宋简体"/>
          <w:color w:val="auto"/>
          <w:sz w:val="32"/>
          <w:szCs w:val="32"/>
        </w:rPr>
        <w:t>”</w:t>
      </w:r>
      <w:r>
        <w:rPr>
          <w:rFonts w:eastAsia="方正仿宋简体"/>
          <w:color w:val="auto"/>
          <w:sz w:val="32"/>
          <w:szCs w:val="32"/>
        </w:rPr>
        <w:t>治理架构，完善</w:t>
      </w:r>
      <w:r>
        <w:rPr>
          <w:rFonts w:hint="eastAsia" w:eastAsia="方正仿宋简体"/>
          <w:color w:val="auto"/>
          <w:sz w:val="32"/>
          <w:szCs w:val="32"/>
        </w:rPr>
        <w:t>“</w:t>
      </w:r>
      <w:r>
        <w:rPr>
          <w:rFonts w:eastAsia="方正仿宋简体"/>
          <w:color w:val="auto"/>
          <w:sz w:val="32"/>
          <w:szCs w:val="32"/>
        </w:rPr>
        <w:t>社区—网格—楼栋—党员中心户</w:t>
      </w:r>
      <w:r>
        <w:rPr>
          <w:rFonts w:hint="eastAsia" w:eastAsia="方正仿宋简体"/>
          <w:color w:val="auto"/>
          <w:sz w:val="32"/>
          <w:szCs w:val="32"/>
        </w:rPr>
        <w:t>”</w:t>
      </w:r>
      <w:r>
        <w:rPr>
          <w:rFonts w:eastAsia="方正仿宋简体"/>
          <w:color w:val="auto"/>
          <w:sz w:val="32"/>
          <w:szCs w:val="32"/>
        </w:rPr>
        <w:t>组织链条，深化网格化管理与社区工作者职业体系建设。搭建议事协商与线上互动平台，引导社会组织、志愿者、企业等有序参与治理。深化乡镇综合执法改革，推动执法力量下沉，实行</w:t>
      </w:r>
      <w:r>
        <w:rPr>
          <w:rFonts w:hint="eastAsia" w:eastAsia="方正仿宋简体"/>
          <w:color w:val="auto"/>
          <w:sz w:val="32"/>
          <w:szCs w:val="32"/>
        </w:rPr>
        <w:t>“</w:t>
      </w:r>
      <w:r>
        <w:rPr>
          <w:rFonts w:eastAsia="方正仿宋简体"/>
          <w:color w:val="auto"/>
          <w:sz w:val="32"/>
          <w:szCs w:val="32"/>
        </w:rPr>
        <w:t>一支队伍管执法</w:t>
      </w:r>
      <w:r>
        <w:rPr>
          <w:rFonts w:hint="eastAsia" w:eastAsia="方正仿宋简体"/>
          <w:color w:val="auto"/>
          <w:sz w:val="32"/>
          <w:szCs w:val="32"/>
        </w:rPr>
        <w:t>”</w:t>
      </w:r>
      <w:r>
        <w:rPr>
          <w:rFonts w:eastAsia="方正仿宋简体"/>
          <w:color w:val="auto"/>
          <w:sz w:val="32"/>
          <w:szCs w:val="32"/>
        </w:rPr>
        <w:t>。</w:t>
      </w:r>
      <w:r>
        <w:rPr>
          <w:rFonts w:hint="eastAsia" w:eastAsia="方正仿宋简体"/>
          <w:color w:val="auto"/>
          <w:sz w:val="32"/>
          <w:szCs w:val="32"/>
          <w:lang w:val="en-US" w:eastAsia="zh-CN"/>
        </w:rPr>
        <w:t>推进</w:t>
      </w:r>
      <w:r>
        <w:rPr>
          <w:rFonts w:eastAsia="方正仿宋简体"/>
          <w:color w:val="auto"/>
          <w:sz w:val="32"/>
          <w:szCs w:val="32"/>
        </w:rPr>
        <w:t>物业服务与社区治理深度融合，完善服务质量考评机制。完善</w:t>
      </w:r>
      <w:r>
        <w:rPr>
          <w:rFonts w:hint="eastAsia" w:eastAsia="方正仿宋简体"/>
          <w:color w:val="auto"/>
          <w:sz w:val="32"/>
          <w:szCs w:val="32"/>
        </w:rPr>
        <w:t>“</w:t>
      </w:r>
      <w:r>
        <w:rPr>
          <w:rFonts w:eastAsia="方正仿宋简体"/>
          <w:color w:val="auto"/>
          <w:sz w:val="32"/>
          <w:szCs w:val="32"/>
        </w:rPr>
        <w:t>数字村</w:t>
      </w:r>
      <w:r>
        <w:rPr>
          <w:rFonts w:hint="eastAsia" w:eastAsia="方正仿宋简体"/>
          <w:color w:val="auto"/>
          <w:sz w:val="32"/>
          <w:szCs w:val="32"/>
        </w:rPr>
        <w:t>”</w:t>
      </w:r>
      <w:r>
        <w:rPr>
          <w:rFonts w:eastAsia="方正仿宋简体"/>
          <w:color w:val="auto"/>
          <w:sz w:val="32"/>
          <w:szCs w:val="32"/>
        </w:rPr>
        <w:t>治理平台功能，实现党务、村务、财务</w:t>
      </w:r>
      <w:r>
        <w:rPr>
          <w:rFonts w:hint="eastAsia" w:eastAsia="方正仿宋简体"/>
          <w:color w:val="auto"/>
          <w:sz w:val="32"/>
          <w:szCs w:val="32"/>
        </w:rPr>
        <w:t>“</w:t>
      </w:r>
      <w:r>
        <w:rPr>
          <w:rFonts w:eastAsia="方正仿宋简体"/>
          <w:color w:val="auto"/>
          <w:sz w:val="32"/>
          <w:szCs w:val="32"/>
        </w:rPr>
        <w:t>三公开</w:t>
      </w:r>
      <w:r>
        <w:rPr>
          <w:rFonts w:hint="eastAsia" w:eastAsia="方正仿宋简体"/>
          <w:color w:val="auto"/>
          <w:sz w:val="32"/>
          <w:szCs w:val="32"/>
        </w:rPr>
        <w:t>”</w:t>
      </w:r>
      <w:r>
        <w:rPr>
          <w:rFonts w:eastAsia="方正仿宋简体"/>
          <w:color w:val="auto"/>
          <w:sz w:val="32"/>
          <w:szCs w:val="32"/>
        </w:rPr>
        <w:t>数智化。强化社区风险防范，结合洪涝、地质灾害等开展常态化应急演练，提升基层应急处突能力。</w:t>
      </w:r>
    </w:p>
    <w:p w14:paraId="2F3AC0EB">
      <w:pPr>
        <w:spacing w:line="576" w:lineRule="exact"/>
        <w:ind w:firstLine="640" w:firstLineChars="200"/>
        <w:rPr>
          <w:rFonts w:eastAsia="方正黑体简体"/>
          <w:color w:val="auto"/>
          <w:sz w:val="32"/>
          <w:szCs w:val="32"/>
        </w:rPr>
      </w:pPr>
      <w:r>
        <w:rPr>
          <w:rFonts w:eastAsia="方正仿宋简体"/>
          <w:color w:val="auto"/>
          <w:sz w:val="32"/>
          <w:szCs w:val="32"/>
        </w:rPr>
        <w:t>完善凝聚服务群众工作机制。加强思想政治引领，健全社会群体利益协调和合法权益保障机制，分级分类做好退役军人、困难群体等重点人群服务管理，完善帮扶救助、心理疏导、风险预警等工作机制。强化社会心理服务体系和危机干预能力建设，畅通和规范群众诉求表达渠道，提升市民热线等公共服务平台响应效能。深入推进信访工作法治化，推动矛盾纠纷源头化解、多元调解，促进</w:t>
      </w:r>
      <w:r>
        <w:rPr>
          <w:rFonts w:hint="eastAsia" w:eastAsia="方正仿宋简体"/>
          <w:color w:val="auto"/>
          <w:sz w:val="32"/>
          <w:szCs w:val="32"/>
        </w:rPr>
        <w:t>“</w:t>
      </w:r>
      <w:r>
        <w:rPr>
          <w:rFonts w:eastAsia="方正仿宋简体"/>
          <w:color w:val="auto"/>
          <w:sz w:val="32"/>
          <w:szCs w:val="32"/>
        </w:rPr>
        <w:t>事心双解</w:t>
      </w:r>
      <w:r>
        <w:rPr>
          <w:rFonts w:hint="eastAsia" w:eastAsia="方正仿宋简体"/>
          <w:color w:val="auto"/>
          <w:sz w:val="32"/>
          <w:szCs w:val="32"/>
        </w:rPr>
        <w:t>”</w:t>
      </w:r>
      <w:r>
        <w:rPr>
          <w:rFonts w:eastAsia="方正仿宋简体"/>
          <w:color w:val="auto"/>
          <w:sz w:val="32"/>
          <w:szCs w:val="32"/>
        </w:rPr>
        <w:t>。完善志愿服务体系和工作机制，广泛动员社会力量参与社区服务。加强社会工作者队伍建设，创新群众工作方法，提升专业化服务水平，构建共建共治共享的社会治理新格局。</w:t>
      </w:r>
    </w:p>
    <w:p w14:paraId="7C07B45C">
      <w:pPr>
        <w:pStyle w:val="3"/>
        <w:spacing w:before="0" w:after="0" w:line="500" w:lineRule="exact"/>
        <w:rPr>
          <w:rFonts w:eastAsia="方正黑体简体"/>
          <w:color w:val="auto"/>
          <w:sz w:val="32"/>
          <w:szCs w:val="32"/>
        </w:rPr>
      </w:pPr>
    </w:p>
    <w:p w14:paraId="4E9F2814">
      <w:pPr>
        <w:pStyle w:val="3"/>
        <w:spacing w:before="0" w:after="0" w:line="500" w:lineRule="exact"/>
        <w:jc w:val="center"/>
        <w:rPr>
          <w:rFonts w:eastAsia="方正黑体简体"/>
          <w:color w:val="auto"/>
          <w:sz w:val="32"/>
          <w:szCs w:val="32"/>
        </w:rPr>
      </w:pPr>
      <w:r>
        <w:rPr>
          <w:rFonts w:eastAsia="方正黑体简体"/>
          <w:color w:val="auto"/>
          <w:sz w:val="32"/>
          <w:szCs w:val="32"/>
        </w:rPr>
        <w:t xml:space="preserve">专栏5 </w:t>
      </w:r>
      <w:r>
        <w:rPr>
          <w:rFonts w:hint="eastAsia" w:eastAsia="方正黑体简体"/>
          <w:color w:val="auto"/>
          <w:sz w:val="32"/>
          <w:szCs w:val="32"/>
        </w:rPr>
        <w:t>“</w:t>
      </w:r>
      <w:r>
        <w:rPr>
          <w:rFonts w:eastAsia="方正黑体简体"/>
          <w:color w:val="auto"/>
          <w:sz w:val="32"/>
          <w:szCs w:val="32"/>
        </w:rPr>
        <w:t>十五五</w:t>
      </w:r>
      <w:r>
        <w:rPr>
          <w:rFonts w:hint="eastAsia" w:eastAsia="方正黑体简体"/>
          <w:color w:val="auto"/>
          <w:sz w:val="32"/>
          <w:szCs w:val="32"/>
        </w:rPr>
        <w:t>”</w:t>
      </w:r>
      <w:r>
        <w:rPr>
          <w:rFonts w:eastAsia="方正黑体简体"/>
          <w:color w:val="auto"/>
          <w:sz w:val="32"/>
          <w:szCs w:val="32"/>
        </w:rPr>
        <w:t>期间民生福祉提升重大工程</w:t>
      </w:r>
    </w:p>
    <w:tbl>
      <w:tblPr>
        <w:tblStyle w:val="15"/>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21"/>
      </w:tblGrid>
      <w:tr w14:paraId="16F73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21" w:type="dxa"/>
          </w:tcPr>
          <w:p w14:paraId="4AD16E71">
            <w:pPr>
              <w:spacing w:line="560" w:lineRule="exact"/>
              <w:ind w:firstLine="640" w:firstLineChars="200"/>
              <w:rPr>
                <w:rFonts w:eastAsia="方正仿宋简体"/>
                <w:color w:val="auto"/>
                <w:sz w:val="32"/>
                <w:szCs w:val="32"/>
              </w:rPr>
            </w:pPr>
            <w:r>
              <w:rPr>
                <w:rFonts w:eastAsia="方正楷体简体"/>
                <w:color w:val="auto"/>
                <w:sz w:val="32"/>
                <w:szCs w:val="32"/>
              </w:rPr>
              <w:t>教育优质发展提升工程。</w:t>
            </w:r>
            <w:r>
              <w:rPr>
                <w:rFonts w:eastAsia="方正仿宋简体"/>
                <w:color w:val="auto"/>
                <w:sz w:val="32"/>
                <w:szCs w:val="32"/>
              </w:rPr>
              <w:t>为破解区域教育资源供需矛盾、推动教育硬件设施提档升级，夯实优质教育供给基础，谋划推动学校扩建、新建等项目。</w:t>
            </w:r>
          </w:p>
          <w:p w14:paraId="5F86C375">
            <w:pPr>
              <w:spacing w:line="560" w:lineRule="exact"/>
              <w:ind w:firstLine="640" w:firstLineChars="200"/>
              <w:rPr>
                <w:rFonts w:eastAsia="方正仿宋简体"/>
                <w:color w:val="auto"/>
                <w:sz w:val="32"/>
                <w:szCs w:val="32"/>
              </w:rPr>
            </w:pPr>
            <w:r>
              <w:rPr>
                <w:rFonts w:eastAsia="方正楷体简体"/>
                <w:color w:val="auto"/>
                <w:sz w:val="32"/>
                <w:szCs w:val="32"/>
              </w:rPr>
              <w:t>医疗服务能级提升工程。</w:t>
            </w:r>
            <w:r>
              <w:rPr>
                <w:rFonts w:eastAsia="方正仿宋简体"/>
                <w:color w:val="auto"/>
                <w:sz w:val="32"/>
                <w:szCs w:val="32"/>
              </w:rPr>
              <w:t>为补齐县域医疗资源短板、优化医疗服务布局、提升群众就医便捷度与诊疗水平，强化公共卫生服务保障能力，谋划推动综合楼扩建项目、异地新建等项目。</w:t>
            </w:r>
          </w:p>
          <w:p w14:paraId="50055A9C">
            <w:pPr>
              <w:spacing w:line="560" w:lineRule="exact"/>
              <w:ind w:firstLine="640" w:firstLineChars="200"/>
              <w:rPr>
                <w:rFonts w:eastAsia="方正仿宋简体"/>
                <w:color w:val="auto"/>
                <w:sz w:val="32"/>
                <w:szCs w:val="32"/>
              </w:rPr>
            </w:pPr>
            <w:r>
              <w:rPr>
                <w:rFonts w:eastAsia="方正楷体简体"/>
                <w:color w:val="auto"/>
                <w:sz w:val="32"/>
                <w:szCs w:val="32"/>
              </w:rPr>
              <w:t>文体服务设施提升工程。</w:t>
            </w:r>
            <w:r>
              <w:rPr>
                <w:rFonts w:eastAsia="方正仿宋简体"/>
                <w:color w:val="auto"/>
                <w:sz w:val="32"/>
                <w:szCs w:val="32"/>
              </w:rPr>
              <w:t>为丰富群众精神文化生活、满足全民健身需求、完善公共文体服务体系，打造高品质文体活动空间，谋划推动体育公园等项目。</w:t>
            </w:r>
          </w:p>
          <w:p w14:paraId="7871FD37">
            <w:pPr>
              <w:spacing w:line="560" w:lineRule="exact"/>
              <w:ind w:firstLine="640" w:firstLineChars="200"/>
              <w:rPr>
                <w:rFonts w:eastAsia="方正仿宋简体"/>
                <w:color w:val="auto"/>
                <w:sz w:val="32"/>
                <w:szCs w:val="32"/>
              </w:rPr>
            </w:pPr>
            <w:r>
              <w:rPr>
                <w:rFonts w:eastAsia="方正楷体简体"/>
                <w:color w:val="auto"/>
                <w:sz w:val="32"/>
                <w:szCs w:val="32"/>
              </w:rPr>
              <w:t>社会福利保障工程。</w:t>
            </w:r>
            <w:r>
              <w:rPr>
                <w:rFonts w:eastAsia="方正仿宋简体"/>
                <w:color w:val="auto"/>
                <w:sz w:val="32"/>
                <w:szCs w:val="32"/>
              </w:rPr>
              <w:t>为健全多层次社会保障体系、提升民生兜底保障能力与职业技能培训水平，筑牢民生安全防线，谋划推动殡葬基础设施、公共实训基地等项目。</w:t>
            </w:r>
          </w:p>
          <w:p w14:paraId="480C326C">
            <w:pPr>
              <w:spacing w:line="560" w:lineRule="exact"/>
              <w:ind w:firstLine="640" w:firstLineChars="200"/>
              <w:rPr>
                <w:rFonts w:eastAsia="方正仿宋简体"/>
                <w:color w:val="auto"/>
                <w:sz w:val="32"/>
                <w:szCs w:val="32"/>
              </w:rPr>
            </w:pPr>
            <w:r>
              <w:rPr>
                <w:rFonts w:eastAsia="方正楷体简体"/>
                <w:color w:val="auto"/>
                <w:sz w:val="32"/>
                <w:szCs w:val="32"/>
              </w:rPr>
              <w:t>社会治理效能提升工程。</w:t>
            </w:r>
            <w:r>
              <w:rPr>
                <w:rFonts w:eastAsia="方正仿宋简体"/>
                <w:color w:val="auto"/>
                <w:sz w:val="32"/>
                <w:szCs w:val="32"/>
              </w:rPr>
              <w:t>为推进治理体系和治理能力现代化、增强风险防范与应急处置能力、提升社会治理精细化水平，构建平安和谐发展环境，谋划推动智慧法治信息化、综合防灾能力等项目。</w:t>
            </w:r>
          </w:p>
        </w:tc>
      </w:tr>
    </w:tbl>
    <w:p w14:paraId="24A2EF40">
      <w:pPr>
        <w:spacing w:line="576" w:lineRule="exact"/>
        <w:ind w:firstLine="640" w:firstLineChars="200"/>
        <w:rPr>
          <w:rFonts w:eastAsia="方正仿宋简体"/>
          <w:color w:val="auto"/>
          <w:sz w:val="32"/>
          <w:szCs w:val="32"/>
        </w:rPr>
      </w:pPr>
    </w:p>
    <w:p w14:paraId="20EEB6A0">
      <w:pPr>
        <w:spacing w:line="576" w:lineRule="exact"/>
        <w:jc w:val="center"/>
        <w:rPr>
          <w:rFonts w:eastAsia="方正仿宋简体"/>
          <w:color w:val="auto"/>
          <w:sz w:val="32"/>
          <w:szCs w:val="32"/>
        </w:rPr>
      </w:pPr>
      <w:r>
        <w:rPr>
          <w:rFonts w:eastAsia="方正黑体简体"/>
          <w:color w:val="auto"/>
          <w:sz w:val="32"/>
          <w:szCs w:val="32"/>
        </w:rPr>
        <w:t>第九章  推进绿色低碳转型，建设生态秀美新永吉</w:t>
      </w:r>
    </w:p>
    <w:p w14:paraId="00E0CADB">
      <w:pPr>
        <w:spacing w:line="576" w:lineRule="exact"/>
        <w:ind w:firstLine="640" w:firstLineChars="200"/>
        <w:rPr>
          <w:rFonts w:eastAsia="方正仿宋简体"/>
          <w:color w:val="auto"/>
          <w:sz w:val="32"/>
          <w:szCs w:val="32"/>
        </w:rPr>
      </w:pPr>
      <w:r>
        <w:rPr>
          <w:rFonts w:eastAsia="方正仿宋简体"/>
          <w:color w:val="auto"/>
          <w:sz w:val="32"/>
          <w:szCs w:val="32"/>
        </w:rPr>
        <w:t>深入践行绿水青山就是金山银山理念，全领域、全地域、全过程、全方位推进新时代美丽永吉建设，厚植生态本底优势，加快建设人与自然和谐相处、共生共荣的宜居城市。</w:t>
      </w:r>
    </w:p>
    <w:p w14:paraId="4AD2E5E9">
      <w:pPr>
        <w:spacing w:line="576" w:lineRule="exact"/>
        <w:jc w:val="center"/>
        <w:rPr>
          <w:rFonts w:eastAsia="方正楷体简体"/>
          <w:color w:val="auto"/>
          <w:sz w:val="32"/>
          <w:szCs w:val="32"/>
        </w:rPr>
      </w:pPr>
      <w:r>
        <w:rPr>
          <w:rFonts w:eastAsia="方正楷体简体"/>
          <w:color w:val="auto"/>
          <w:sz w:val="32"/>
          <w:szCs w:val="32"/>
        </w:rPr>
        <w:t>第一节  持续改善生态环境质量</w:t>
      </w:r>
    </w:p>
    <w:p w14:paraId="17CAF7E3">
      <w:pPr>
        <w:spacing w:line="576" w:lineRule="exact"/>
        <w:ind w:firstLine="640" w:firstLineChars="200"/>
        <w:rPr>
          <w:rFonts w:eastAsia="方正仿宋简体"/>
          <w:color w:val="auto"/>
          <w:sz w:val="32"/>
          <w:szCs w:val="32"/>
        </w:rPr>
      </w:pPr>
      <w:r>
        <w:rPr>
          <w:rFonts w:eastAsia="方正仿宋简体"/>
          <w:color w:val="auto"/>
          <w:sz w:val="32"/>
          <w:szCs w:val="32"/>
        </w:rPr>
        <w:t>聚焦大气、水、土壤等重点领域污染防治，加强多污染物协同控制和区域协同治理，提升生态环境治理现代化水平，增强人民群众生态环境获得感。</w:t>
      </w:r>
    </w:p>
    <w:p w14:paraId="60946F0B">
      <w:pPr>
        <w:spacing w:line="576" w:lineRule="exact"/>
        <w:ind w:firstLine="640" w:firstLineChars="200"/>
        <w:rPr>
          <w:rFonts w:eastAsia="方正仿宋简体"/>
          <w:color w:val="auto"/>
          <w:sz w:val="32"/>
          <w:szCs w:val="32"/>
        </w:rPr>
      </w:pPr>
      <w:r>
        <w:rPr>
          <w:rFonts w:eastAsia="方正仿宋简体"/>
          <w:color w:val="auto"/>
          <w:sz w:val="32"/>
          <w:szCs w:val="32"/>
        </w:rPr>
        <w:t>持续推进大气污染防治。强化燃煤污染治理，完善燃煤供热锅炉错时启炉，实行水泥等重点行业差异化错峰生产；推动清洁取暖，开展城乡接合部及乡镇散煤整治，推广生物质替代模式；推进鑫光热力2台46MW燃煤锅炉超低排放改造和一拉溪镇锅炉改造项目，提升电能清洁取暖和生物质供暖面积。协同推动多污染物减排，严格落实秸秆禁烧，组织残茬处置和巡查灭火；落实重污染天气应急响应，监督检查重点企业</w:t>
      </w:r>
      <w:r>
        <w:rPr>
          <w:rFonts w:hint="eastAsia" w:eastAsia="方正仿宋简体"/>
          <w:color w:val="auto"/>
          <w:sz w:val="32"/>
          <w:szCs w:val="32"/>
        </w:rPr>
        <w:t>“</w:t>
      </w:r>
      <w:r>
        <w:rPr>
          <w:rFonts w:eastAsia="方正仿宋简体"/>
          <w:color w:val="auto"/>
          <w:sz w:val="32"/>
          <w:szCs w:val="32"/>
        </w:rPr>
        <w:t>一厂一策</w:t>
      </w:r>
      <w:r>
        <w:rPr>
          <w:rFonts w:hint="eastAsia" w:eastAsia="方正仿宋简体"/>
          <w:color w:val="auto"/>
          <w:sz w:val="32"/>
          <w:szCs w:val="32"/>
        </w:rPr>
        <w:t>”</w:t>
      </w:r>
      <w:r>
        <w:rPr>
          <w:rFonts w:eastAsia="方正仿宋简体"/>
          <w:color w:val="auto"/>
          <w:sz w:val="32"/>
          <w:szCs w:val="32"/>
        </w:rPr>
        <w:t>减排执行；开展VOCs综合整治和异味排查，强化无组织排放</w:t>
      </w:r>
      <w:r>
        <w:rPr>
          <w:rFonts w:hint="eastAsia" w:eastAsia="方正仿宋简体"/>
          <w:color w:val="auto"/>
          <w:sz w:val="32"/>
          <w:szCs w:val="32"/>
        </w:rPr>
        <w:t>管控</w:t>
      </w:r>
      <w:r>
        <w:rPr>
          <w:rFonts w:eastAsia="方正仿宋简体"/>
          <w:color w:val="auto"/>
          <w:sz w:val="32"/>
          <w:szCs w:val="32"/>
        </w:rPr>
        <w:t>；推进移动源和面源污染治理，持续监测柴油货车和非道路移动机械，加快淘汰国三及以下排放标准营运柴油货车和老旧内燃机车，优良天气指数达到90%以上。</w:t>
      </w:r>
    </w:p>
    <w:p w14:paraId="3974DFF3">
      <w:pPr>
        <w:spacing w:line="576" w:lineRule="exact"/>
        <w:ind w:firstLine="640" w:firstLineChars="200"/>
        <w:rPr>
          <w:rFonts w:eastAsia="方正仿宋简体"/>
          <w:color w:val="auto"/>
          <w:sz w:val="32"/>
          <w:szCs w:val="32"/>
        </w:rPr>
      </w:pPr>
      <w:r>
        <w:rPr>
          <w:rFonts w:eastAsia="方正仿宋简体"/>
          <w:color w:val="auto"/>
          <w:sz w:val="32"/>
          <w:szCs w:val="32"/>
        </w:rPr>
        <w:t>推进水环境综合治理。强化饮用水水源地安全保障，加强对石头口门水库和星星哨水库等饮用水水源地的保护和规范化建设，系统开展水环境治理和水生态修复工程。</w:t>
      </w:r>
      <w:r>
        <w:rPr>
          <w:rFonts w:hint="eastAsia" w:eastAsia="方正仿宋简体"/>
          <w:color w:val="auto"/>
          <w:sz w:val="32"/>
          <w:szCs w:val="32"/>
        </w:rPr>
        <w:t>推动万昌镇农村生活污水管网、生态沟渠及缓冲带项目建设。</w:t>
      </w:r>
      <w:r>
        <w:rPr>
          <w:rFonts w:eastAsia="方正仿宋简体"/>
          <w:color w:val="auto"/>
          <w:sz w:val="32"/>
          <w:szCs w:val="32"/>
        </w:rPr>
        <w:t>实施河道整治、堤防加固和生态护坡建设，推进温德河幸福河湖等工程；常态化开展河湖</w:t>
      </w:r>
      <w:r>
        <w:rPr>
          <w:rFonts w:hint="eastAsia" w:eastAsia="方正仿宋简体"/>
          <w:color w:val="auto"/>
          <w:sz w:val="32"/>
          <w:szCs w:val="32"/>
        </w:rPr>
        <w:t>“</w:t>
      </w:r>
      <w:r>
        <w:rPr>
          <w:rFonts w:eastAsia="方正仿宋简体"/>
          <w:color w:val="auto"/>
          <w:sz w:val="32"/>
          <w:szCs w:val="32"/>
        </w:rPr>
        <w:t>清四乱</w:t>
      </w:r>
      <w:r>
        <w:rPr>
          <w:rFonts w:hint="eastAsia" w:eastAsia="方正仿宋简体"/>
          <w:color w:val="auto"/>
          <w:sz w:val="32"/>
          <w:szCs w:val="32"/>
        </w:rPr>
        <w:t>”</w:t>
      </w:r>
      <w:r>
        <w:rPr>
          <w:rFonts w:eastAsia="方正仿宋简体"/>
          <w:color w:val="auto"/>
          <w:sz w:val="32"/>
          <w:szCs w:val="32"/>
        </w:rPr>
        <w:t>行动，保护水域岸线面貌，促进水生态改善。到2030年，地表水国考断面达到国省</w:t>
      </w:r>
      <w:r>
        <w:rPr>
          <w:rFonts w:hint="eastAsia" w:eastAsia="方正仿宋简体"/>
          <w:color w:val="auto"/>
          <w:sz w:val="32"/>
          <w:szCs w:val="32"/>
        </w:rPr>
        <w:t>考核</w:t>
      </w:r>
      <w:r>
        <w:rPr>
          <w:rFonts w:eastAsia="方正仿宋简体"/>
          <w:color w:val="auto"/>
          <w:sz w:val="32"/>
          <w:szCs w:val="32"/>
        </w:rPr>
        <w:t>要求，消除劣Ⅴ类水体。提升城镇污水处理水平，推进污水处理厂提质增效与管网改造，消除管网空白区；推动再生水用于工业冷却和生态补水；强化工业企业、污水处理厂和规模化养殖场排污监管，依法打击超标排放。推进农业农村水污染防治，实施畜禽粪污资源化处理项目，加强散养畜禽粪污收集与利用，切实解决鳌龙河等流域养殖污染问题。结合灌区现代化改造推广高效节水灌溉，降低农业退水污染；协同推进畜禽养殖废弃物资源化利用，加强农村生活污水和垃圾治理，控制化肥农药施用，防范面源污染入河。</w:t>
      </w:r>
    </w:p>
    <w:p w14:paraId="53C036C8">
      <w:pPr>
        <w:spacing w:line="576" w:lineRule="exact"/>
        <w:ind w:firstLine="640" w:firstLineChars="200"/>
        <w:rPr>
          <w:rFonts w:eastAsia="方正仿宋简体"/>
          <w:color w:val="auto"/>
          <w:sz w:val="32"/>
          <w:szCs w:val="32"/>
        </w:rPr>
      </w:pPr>
      <w:r>
        <w:rPr>
          <w:rFonts w:eastAsia="方正仿宋简体"/>
          <w:color w:val="auto"/>
          <w:sz w:val="32"/>
          <w:szCs w:val="32"/>
        </w:rPr>
        <w:t>强化土壤与固废污染风险防控。强化土壤重点监管企业监管，动态更新管控名单，强化土地收储和流转前土壤调查，淘汰重金属落后产能，实施强制性清洁生产审核。深化固废综合治理，建立固体废物信息管理平台，健全危险废物申报登记和转移联单制度，加强医疗废物、危险废物、生活垃圾处置设施建设，提升建筑垃圾、工业固废、塑料废弃物资源化利用水平，推进白色污染治理和包装物减量化，开展危险废物专项整治和无主污染源清理，强化农业面源污染防治，推广农药化肥减量技术。</w:t>
      </w:r>
    </w:p>
    <w:p w14:paraId="100277C4">
      <w:pPr>
        <w:spacing w:line="576" w:lineRule="exact"/>
        <w:ind w:firstLine="640" w:firstLineChars="200"/>
        <w:rPr>
          <w:rFonts w:eastAsia="方正仿宋简体"/>
          <w:color w:val="auto"/>
          <w:sz w:val="32"/>
          <w:szCs w:val="32"/>
        </w:rPr>
      </w:pPr>
      <w:r>
        <w:rPr>
          <w:rFonts w:eastAsia="方正仿宋简体"/>
          <w:color w:val="auto"/>
          <w:sz w:val="32"/>
          <w:szCs w:val="32"/>
        </w:rPr>
        <w:t>推进全域</w:t>
      </w:r>
      <w:r>
        <w:rPr>
          <w:rFonts w:hint="eastAsia" w:eastAsia="方正仿宋简体"/>
          <w:color w:val="auto"/>
          <w:sz w:val="32"/>
          <w:szCs w:val="32"/>
        </w:rPr>
        <w:t>“</w:t>
      </w:r>
      <w:r>
        <w:rPr>
          <w:rFonts w:eastAsia="方正仿宋简体"/>
          <w:color w:val="auto"/>
          <w:sz w:val="32"/>
          <w:szCs w:val="32"/>
        </w:rPr>
        <w:t>无废城市</w:t>
      </w:r>
      <w:r>
        <w:rPr>
          <w:rFonts w:hint="eastAsia" w:eastAsia="方正仿宋简体"/>
          <w:color w:val="auto"/>
          <w:sz w:val="32"/>
          <w:szCs w:val="32"/>
        </w:rPr>
        <w:t>”</w:t>
      </w:r>
      <w:r>
        <w:rPr>
          <w:rFonts w:eastAsia="方正仿宋简体"/>
          <w:color w:val="auto"/>
          <w:sz w:val="32"/>
          <w:szCs w:val="32"/>
        </w:rPr>
        <w:t>建设。高标准</w:t>
      </w:r>
      <w:r>
        <w:rPr>
          <w:rFonts w:hint="eastAsia" w:eastAsia="方正仿宋简体"/>
          <w:color w:val="auto"/>
          <w:sz w:val="32"/>
          <w:szCs w:val="32"/>
          <w:lang w:val="en-US" w:eastAsia="zh-CN"/>
        </w:rPr>
        <w:t>开展</w:t>
      </w:r>
      <w:r>
        <w:rPr>
          <w:rFonts w:hint="eastAsia" w:eastAsia="方正仿宋简体"/>
          <w:color w:val="auto"/>
          <w:sz w:val="32"/>
          <w:szCs w:val="32"/>
        </w:rPr>
        <w:t>“</w:t>
      </w:r>
      <w:r>
        <w:rPr>
          <w:rFonts w:eastAsia="方正仿宋简体"/>
          <w:color w:val="auto"/>
          <w:sz w:val="32"/>
          <w:szCs w:val="32"/>
        </w:rPr>
        <w:t>无废城市</w:t>
      </w:r>
      <w:r>
        <w:rPr>
          <w:rFonts w:hint="eastAsia" w:eastAsia="方正仿宋简体"/>
          <w:color w:val="auto"/>
          <w:sz w:val="32"/>
          <w:szCs w:val="32"/>
        </w:rPr>
        <w:t>”</w:t>
      </w:r>
      <w:r>
        <w:rPr>
          <w:rFonts w:eastAsia="方正仿宋简体"/>
          <w:color w:val="auto"/>
          <w:sz w:val="32"/>
          <w:szCs w:val="32"/>
        </w:rPr>
        <w:t>建设，推动工业固体废物、生活垃圾、建筑垃圾、医疗废物和农业废弃物源头减量、资源化利用和安全处置。健全危险废弃物全过程监管体系，构建分级分类的生活垃圾循环利用体系。推进钼尾矿废弃物全链化再生利用和建筑固废资源化利用基地建设，建成覆盖全面、运转高效的废弃物循环利用体系。</w:t>
      </w:r>
    </w:p>
    <w:p w14:paraId="49B95D44">
      <w:pPr>
        <w:spacing w:line="576" w:lineRule="exact"/>
        <w:ind w:firstLine="640" w:firstLineChars="200"/>
        <w:rPr>
          <w:rFonts w:eastAsia="方正仿宋简体"/>
          <w:color w:val="auto"/>
          <w:sz w:val="32"/>
          <w:szCs w:val="32"/>
        </w:rPr>
      </w:pPr>
      <w:r>
        <w:rPr>
          <w:rFonts w:eastAsia="方正仿宋简体"/>
          <w:color w:val="auto"/>
          <w:sz w:val="32"/>
          <w:szCs w:val="32"/>
        </w:rPr>
        <w:t>深化噪声污染综合防治。强化工业噪声整治，严格管控工业企业噪声，督促企业落实有效噪声控制措施。优化交通噪声控制，强化</w:t>
      </w:r>
      <w:r>
        <w:rPr>
          <w:rFonts w:hint="eastAsia" w:eastAsia="方正仿宋简体"/>
          <w:color w:val="auto"/>
          <w:sz w:val="32"/>
          <w:szCs w:val="32"/>
        </w:rPr>
        <w:t>交通隔音屏障等设施</w:t>
      </w:r>
      <w:r>
        <w:rPr>
          <w:rFonts w:eastAsia="方正仿宋简体"/>
          <w:color w:val="auto"/>
          <w:sz w:val="32"/>
          <w:szCs w:val="32"/>
        </w:rPr>
        <w:t>的应用，加强机动车噪声排放监管，严格执行噪声排放标准。加大噪声污染防治执法检查力度，对违反噪声污染防治规定的行为</w:t>
      </w:r>
      <w:r>
        <w:rPr>
          <w:rFonts w:hint="eastAsia" w:eastAsia="方正仿宋简体"/>
          <w:color w:val="auto"/>
          <w:sz w:val="32"/>
          <w:szCs w:val="32"/>
        </w:rPr>
        <w:t>依法进行处罚</w:t>
      </w:r>
      <w:r>
        <w:rPr>
          <w:rFonts w:hint="eastAsia" w:eastAsia="方正仿宋简体"/>
          <w:color w:val="auto"/>
          <w:sz w:val="32"/>
          <w:szCs w:val="32"/>
          <w:lang w:eastAsia="zh-CN"/>
        </w:rPr>
        <w:t>。</w:t>
      </w:r>
      <w:r>
        <w:rPr>
          <w:rFonts w:eastAsia="方正仿宋简体"/>
          <w:color w:val="auto"/>
          <w:sz w:val="32"/>
          <w:szCs w:val="32"/>
        </w:rPr>
        <w:t>针对特殊时期噪声管控，在</w:t>
      </w:r>
      <w:r>
        <w:rPr>
          <w:rFonts w:hint="eastAsia" w:eastAsia="方正仿宋简体"/>
          <w:color w:val="auto"/>
          <w:sz w:val="32"/>
          <w:szCs w:val="32"/>
        </w:rPr>
        <w:t>“</w:t>
      </w:r>
      <w:r>
        <w:rPr>
          <w:rFonts w:eastAsia="方正仿宋简体"/>
          <w:color w:val="auto"/>
          <w:sz w:val="32"/>
          <w:szCs w:val="32"/>
        </w:rPr>
        <w:t>两考</w:t>
      </w:r>
      <w:r>
        <w:rPr>
          <w:rFonts w:hint="eastAsia" w:eastAsia="方正仿宋简体"/>
          <w:color w:val="auto"/>
          <w:sz w:val="32"/>
          <w:szCs w:val="32"/>
        </w:rPr>
        <w:t>”</w:t>
      </w:r>
      <w:r>
        <w:rPr>
          <w:rFonts w:eastAsia="方正仿宋简体"/>
          <w:color w:val="auto"/>
          <w:sz w:val="32"/>
          <w:szCs w:val="32"/>
        </w:rPr>
        <w:t>、重大节日等特殊时期，对考点周边、居民区等噪声敏感区域进行全面排查，确保噪声污染防治措施得到有效执行。</w:t>
      </w:r>
    </w:p>
    <w:p w14:paraId="673BC2FB">
      <w:pPr>
        <w:spacing w:line="576" w:lineRule="exact"/>
        <w:jc w:val="center"/>
        <w:rPr>
          <w:rFonts w:eastAsia="方正楷体简体"/>
          <w:color w:val="auto"/>
          <w:sz w:val="32"/>
          <w:szCs w:val="32"/>
        </w:rPr>
      </w:pPr>
      <w:r>
        <w:rPr>
          <w:rFonts w:eastAsia="方正楷体简体"/>
          <w:color w:val="auto"/>
          <w:sz w:val="32"/>
          <w:szCs w:val="32"/>
        </w:rPr>
        <w:t>第二节  提升生态系统质量和稳定性</w:t>
      </w:r>
    </w:p>
    <w:p w14:paraId="7AB409BF">
      <w:pPr>
        <w:spacing w:line="576" w:lineRule="exact"/>
        <w:ind w:firstLine="640" w:firstLineChars="200"/>
        <w:rPr>
          <w:rFonts w:eastAsia="方正仿宋简体"/>
          <w:color w:val="auto"/>
          <w:sz w:val="32"/>
          <w:szCs w:val="32"/>
        </w:rPr>
      </w:pPr>
      <w:r>
        <w:rPr>
          <w:rFonts w:eastAsia="方正仿宋简体"/>
          <w:color w:val="auto"/>
          <w:sz w:val="32"/>
          <w:szCs w:val="32"/>
        </w:rPr>
        <w:t>严守生态保护红线，坚持</w:t>
      </w:r>
      <w:r>
        <w:rPr>
          <w:rFonts w:hint="eastAsia" w:eastAsia="方正仿宋简体"/>
          <w:color w:val="auto"/>
          <w:sz w:val="32"/>
          <w:szCs w:val="32"/>
        </w:rPr>
        <w:t>“</w:t>
      </w:r>
      <w:r>
        <w:rPr>
          <w:rFonts w:eastAsia="方正仿宋简体"/>
          <w:color w:val="auto"/>
          <w:sz w:val="32"/>
          <w:szCs w:val="32"/>
        </w:rPr>
        <w:t>山水林田湖草沙</w:t>
      </w:r>
      <w:r>
        <w:rPr>
          <w:rFonts w:hint="eastAsia" w:eastAsia="方正仿宋简体"/>
          <w:color w:val="auto"/>
          <w:sz w:val="32"/>
          <w:szCs w:val="32"/>
        </w:rPr>
        <w:t>”</w:t>
      </w:r>
      <w:r>
        <w:rPr>
          <w:rFonts w:eastAsia="方正仿宋简体"/>
          <w:color w:val="auto"/>
          <w:sz w:val="32"/>
          <w:szCs w:val="32"/>
        </w:rPr>
        <w:t>一体化保护和系统治理。加强森林、水源地、湿地保护修复，增强生态系统稳定性和服务功能，提高生态系统稳定性，守住自然生态安全边界。</w:t>
      </w:r>
    </w:p>
    <w:p w14:paraId="67E6DA2C">
      <w:pPr>
        <w:spacing w:line="576" w:lineRule="exact"/>
        <w:ind w:firstLine="640" w:firstLineChars="200"/>
        <w:rPr>
          <w:rFonts w:eastAsia="方正仿宋简体"/>
          <w:color w:val="auto"/>
          <w:sz w:val="32"/>
          <w:szCs w:val="32"/>
        </w:rPr>
      </w:pPr>
      <w:r>
        <w:rPr>
          <w:rFonts w:eastAsia="方正仿宋简体"/>
          <w:color w:val="auto"/>
          <w:sz w:val="32"/>
          <w:szCs w:val="32"/>
        </w:rPr>
        <w:t>坚守生态保护红线。强化生态红线刚性约束，完善生态保护红线动态监测机制，确保生态红线面积稳定在228.73平方千米以上，生态功能不降低、性质不改变。实施生态环境分区管控，衔接国土空间规划</w:t>
      </w:r>
      <w:r>
        <w:rPr>
          <w:rFonts w:hint="eastAsia" w:eastAsia="方正仿宋简体"/>
          <w:color w:val="auto"/>
          <w:sz w:val="32"/>
          <w:szCs w:val="32"/>
        </w:rPr>
        <w:t>“</w:t>
      </w:r>
      <w:r>
        <w:rPr>
          <w:rFonts w:eastAsia="方正仿宋简体"/>
          <w:color w:val="auto"/>
          <w:sz w:val="32"/>
          <w:szCs w:val="32"/>
        </w:rPr>
        <w:t>一张图</w:t>
      </w:r>
      <w:r>
        <w:rPr>
          <w:rFonts w:hint="eastAsia" w:eastAsia="方正仿宋简体"/>
          <w:color w:val="auto"/>
          <w:sz w:val="32"/>
          <w:szCs w:val="32"/>
        </w:rPr>
        <w:t>”</w:t>
      </w:r>
      <w:r>
        <w:rPr>
          <w:rFonts w:eastAsia="方正仿宋简体"/>
          <w:color w:val="auto"/>
          <w:sz w:val="32"/>
          <w:szCs w:val="32"/>
        </w:rPr>
        <w:t>，落实优先保护、重点管控和一般管控单元差异化要求。建立生态破坏监督机制，完善生物安全防控体系，持续开展</w:t>
      </w:r>
      <w:r>
        <w:rPr>
          <w:rFonts w:hint="eastAsia" w:eastAsia="方正仿宋简体"/>
          <w:color w:val="auto"/>
          <w:sz w:val="32"/>
          <w:szCs w:val="32"/>
        </w:rPr>
        <w:t>“</w:t>
      </w:r>
      <w:r>
        <w:rPr>
          <w:rFonts w:eastAsia="方正仿宋简体"/>
          <w:color w:val="auto"/>
          <w:sz w:val="32"/>
          <w:szCs w:val="32"/>
        </w:rPr>
        <w:t>绿盾</w:t>
      </w:r>
      <w:r>
        <w:rPr>
          <w:rFonts w:hint="eastAsia" w:eastAsia="方正仿宋简体"/>
          <w:color w:val="auto"/>
          <w:sz w:val="32"/>
          <w:szCs w:val="32"/>
        </w:rPr>
        <w:t>”</w:t>
      </w:r>
      <w:r>
        <w:rPr>
          <w:rFonts w:eastAsia="方正仿宋简体"/>
          <w:color w:val="auto"/>
          <w:sz w:val="32"/>
          <w:szCs w:val="32"/>
        </w:rPr>
        <w:t>专项行动，严查毁林毁湿毁草行为。</w:t>
      </w:r>
    </w:p>
    <w:p w14:paraId="1E4CB882">
      <w:pPr>
        <w:spacing w:line="576" w:lineRule="exact"/>
        <w:ind w:firstLine="640" w:firstLineChars="200"/>
        <w:rPr>
          <w:rFonts w:eastAsia="方正仿宋简体"/>
          <w:color w:val="auto"/>
          <w:sz w:val="32"/>
          <w:szCs w:val="32"/>
        </w:rPr>
      </w:pPr>
      <w:r>
        <w:rPr>
          <w:rFonts w:eastAsia="方正仿宋简体"/>
          <w:color w:val="auto"/>
          <w:sz w:val="32"/>
          <w:szCs w:val="32"/>
        </w:rPr>
        <w:t>加强森林生态系统保护与质量提升。深化林长制改革，持续推进生态防护林建设，重点推进红松果林基地等项目建设。加强生态脆弱区植被修复与管护，严格执行森林采伐限额制度，规范林木采伐及林地用途管理。强化公益林、国有林和蚕场林地监管，提升资源管理规范化水平。加快林业转型发展，稳步推进国有林场、集体林权制度改革。增强森林火灾综合防控能力，推进专业消防队伍和基础设施建设，提升监测预警和应急处置能力。加强林业有害生物防控，加大松材线虫病等疫情监测防治力度，组织开展森林与陆生野生动物资源动态监测评价。</w:t>
      </w:r>
    </w:p>
    <w:p w14:paraId="004F03A2">
      <w:pPr>
        <w:spacing w:line="576" w:lineRule="exact"/>
        <w:ind w:firstLine="640" w:firstLineChars="200"/>
        <w:rPr>
          <w:rFonts w:eastAsia="方正仿宋简体"/>
          <w:color w:val="auto"/>
          <w:sz w:val="32"/>
          <w:szCs w:val="32"/>
        </w:rPr>
      </w:pPr>
      <w:r>
        <w:rPr>
          <w:rFonts w:eastAsia="方正仿宋简体"/>
          <w:color w:val="auto"/>
          <w:sz w:val="32"/>
          <w:szCs w:val="32"/>
        </w:rPr>
        <w:t>推进水源涵养与河流生态综合治理。以星星哨水库水源地为核心，系统推进水源涵养区生态保护与修复。持续推进鳌龙河、温德河、岔路河、饮马河等重点流域综合治理，实施温德河流域水生态保护修复、星星哨水库控制流域生态保护等工程，恢复河湖水域岸线生态功能。强化生态流量管控，保障河流基本生态用水。推进抗旱应急水源、重点河流清淤疏浚和水系连通工程建设，完善水库、泵站等水利设施布局，提升区域防洪抗旱减灾与供水保障能力。</w:t>
      </w:r>
    </w:p>
    <w:p w14:paraId="724B1E5D">
      <w:pPr>
        <w:spacing w:line="576" w:lineRule="exact"/>
        <w:ind w:firstLine="640" w:firstLineChars="200"/>
        <w:rPr>
          <w:rFonts w:eastAsia="方正仿宋简体"/>
          <w:color w:val="auto"/>
          <w:sz w:val="32"/>
          <w:szCs w:val="32"/>
        </w:rPr>
      </w:pPr>
      <w:r>
        <w:rPr>
          <w:rFonts w:eastAsia="方正仿宋简体"/>
          <w:color w:val="auto"/>
          <w:sz w:val="32"/>
          <w:szCs w:val="32"/>
        </w:rPr>
        <w:t>强化湿地保护与生物多样性保护。采取生态补水、建设人工湿地、恢复湿地植被等方式，系统开展湿地生态修复，增强湿地生态系统自然修复能力，营建湿地动物栖息地，维护湿地生物多样性。加强矿山生态治理与恢复，持续优化矿山生态环境。强化野生动植物保护，推进重点野生动植物资源调查与动态监测，有序开展珍稀物种栖息地修复与保护，构建健康稳定的生态安全屏障。</w:t>
      </w:r>
    </w:p>
    <w:p w14:paraId="46D8BEB0">
      <w:pPr>
        <w:spacing w:line="576" w:lineRule="exact"/>
        <w:jc w:val="center"/>
        <w:rPr>
          <w:rFonts w:eastAsia="方正楷体简体"/>
          <w:color w:val="auto"/>
          <w:sz w:val="32"/>
          <w:szCs w:val="32"/>
        </w:rPr>
      </w:pPr>
      <w:r>
        <w:rPr>
          <w:rFonts w:eastAsia="方正楷体简体"/>
          <w:color w:val="auto"/>
          <w:sz w:val="32"/>
          <w:szCs w:val="32"/>
        </w:rPr>
        <w:t>第三节  推动经济社会绿色转型</w:t>
      </w:r>
    </w:p>
    <w:p w14:paraId="04183331">
      <w:pPr>
        <w:spacing w:line="576" w:lineRule="exact"/>
        <w:ind w:firstLine="640" w:firstLineChars="200"/>
        <w:rPr>
          <w:rFonts w:eastAsia="方正仿宋简体"/>
          <w:color w:val="auto"/>
          <w:sz w:val="32"/>
          <w:szCs w:val="32"/>
        </w:rPr>
      </w:pPr>
      <w:r>
        <w:rPr>
          <w:rFonts w:eastAsia="方正仿宋简体"/>
          <w:color w:val="auto"/>
          <w:sz w:val="32"/>
          <w:szCs w:val="32"/>
        </w:rPr>
        <w:t>落实碳达峰实施方案，完善</w:t>
      </w:r>
      <w:r>
        <w:rPr>
          <w:rFonts w:hint="eastAsia" w:eastAsia="方正仿宋简体"/>
          <w:color w:val="auto"/>
          <w:sz w:val="32"/>
          <w:szCs w:val="32"/>
        </w:rPr>
        <w:t>“</w:t>
      </w:r>
      <w:r>
        <w:rPr>
          <w:rFonts w:eastAsia="方正仿宋简体"/>
          <w:color w:val="auto"/>
          <w:sz w:val="32"/>
          <w:szCs w:val="32"/>
        </w:rPr>
        <w:t>双碳</w:t>
      </w:r>
      <w:r>
        <w:rPr>
          <w:rFonts w:hint="eastAsia" w:eastAsia="方正仿宋简体"/>
          <w:color w:val="auto"/>
          <w:sz w:val="32"/>
          <w:szCs w:val="32"/>
        </w:rPr>
        <w:t>”</w:t>
      </w:r>
      <w:r>
        <w:rPr>
          <w:rFonts w:eastAsia="方正仿宋简体"/>
          <w:color w:val="auto"/>
          <w:sz w:val="32"/>
          <w:szCs w:val="32"/>
        </w:rPr>
        <w:t>工作机制，以产业生态化、资源集约化、城乡绿色化为核心路径，系统推进经济结构、能源利用、空间布局和生活方式全面绿色低碳转型，构建科技引领、循环高效、低碳和谐的现代化发展新体系。</w:t>
      </w:r>
    </w:p>
    <w:p w14:paraId="2F709CB1">
      <w:pPr>
        <w:spacing w:line="576" w:lineRule="exact"/>
        <w:ind w:firstLine="640" w:firstLineChars="200"/>
        <w:rPr>
          <w:rFonts w:eastAsia="方正仿宋简体"/>
          <w:color w:val="auto"/>
          <w:sz w:val="32"/>
          <w:szCs w:val="32"/>
        </w:rPr>
      </w:pPr>
      <w:r>
        <w:rPr>
          <w:rFonts w:eastAsia="方正仿宋简体"/>
          <w:color w:val="auto"/>
          <w:sz w:val="32"/>
          <w:szCs w:val="32"/>
        </w:rPr>
        <w:t>构建绿色低碳循环发展体系。深化循环经济模式，以建设西阳静脉循环产业园为核心载体，系统布局工业固废、建筑垃圾、报废装备等资源的无害化处置与规模化利用，构建覆盖全社会的</w:t>
      </w:r>
      <w:r>
        <w:rPr>
          <w:rFonts w:hint="eastAsia" w:eastAsia="方正仿宋简体"/>
          <w:color w:val="auto"/>
          <w:sz w:val="32"/>
          <w:szCs w:val="32"/>
        </w:rPr>
        <w:t>“</w:t>
      </w:r>
      <w:r>
        <w:rPr>
          <w:rFonts w:eastAsia="方正仿宋简体"/>
          <w:color w:val="auto"/>
          <w:sz w:val="32"/>
          <w:szCs w:val="32"/>
        </w:rPr>
        <w:t>回收－拆解－再生－利用</w:t>
      </w:r>
      <w:r>
        <w:rPr>
          <w:rFonts w:hint="eastAsia" w:eastAsia="方正仿宋简体"/>
          <w:color w:val="auto"/>
          <w:sz w:val="32"/>
          <w:szCs w:val="32"/>
        </w:rPr>
        <w:t>”</w:t>
      </w:r>
      <w:r>
        <w:rPr>
          <w:rFonts w:eastAsia="方正仿宋简体"/>
          <w:color w:val="auto"/>
          <w:sz w:val="32"/>
          <w:szCs w:val="32"/>
        </w:rPr>
        <w:t>一体化循环链条。</w:t>
      </w:r>
      <w:r>
        <w:rPr>
          <w:rFonts w:hint="eastAsia" w:eastAsia="方正仿宋简体"/>
          <w:color w:val="auto"/>
          <w:sz w:val="32"/>
          <w:szCs w:val="32"/>
        </w:rPr>
        <w:t>鼓励企业攻关</w:t>
      </w:r>
      <w:r>
        <w:rPr>
          <w:rFonts w:eastAsia="方正仿宋简体"/>
          <w:color w:val="auto"/>
          <w:sz w:val="32"/>
          <w:szCs w:val="32"/>
        </w:rPr>
        <w:t>钼尾矿有价组分回收及大宗消纳等关键核心技术，提升区域资源循环利用水平。推广节能环保技术与装备，加快节能环保装备制造业发展，推进坤博自清灰烟气热量高效回收装置、伸飞生活垃圾亚临界水解燃料化设备制造等项目产业化。鼓励采用合同能源管理、环保服务总承包等新模式实施节能技术改造与系统化污染治理。全面推行绿色清洁生产，在有色采选、化工、农产品加工等重点行业全面推行清洁生产审核，实施技术改造，强化</w:t>
      </w:r>
      <w:r>
        <w:rPr>
          <w:rFonts w:hint="eastAsia" w:eastAsia="方正仿宋简体"/>
          <w:color w:val="auto"/>
          <w:sz w:val="32"/>
          <w:szCs w:val="32"/>
        </w:rPr>
        <w:t>“</w:t>
      </w:r>
      <w:r>
        <w:rPr>
          <w:rFonts w:eastAsia="方正仿宋简体"/>
          <w:color w:val="auto"/>
          <w:sz w:val="32"/>
          <w:szCs w:val="32"/>
        </w:rPr>
        <w:t>三废</w:t>
      </w:r>
      <w:r>
        <w:rPr>
          <w:rFonts w:hint="eastAsia" w:eastAsia="方正仿宋简体"/>
          <w:color w:val="auto"/>
          <w:sz w:val="32"/>
          <w:szCs w:val="32"/>
        </w:rPr>
        <w:t>”</w:t>
      </w:r>
      <w:r>
        <w:rPr>
          <w:rFonts w:eastAsia="方正仿宋简体"/>
          <w:color w:val="auto"/>
          <w:sz w:val="32"/>
          <w:szCs w:val="32"/>
        </w:rPr>
        <w:t>循环利用与无害化处理。构建绿色制造体系，以永吉经济开发区为核心，深入推进园区循环化改造，引导企业开发绿色产品、创建绿色工厂和绿色供应链，力争到2030年建成一批国家级和省级绿色工厂与绿色园区。</w:t>
      </w:r>
    </w:p>
    <w:p w14:paraId="0E380D7E">
      <w:pPr>
        <w:spacing w:line="576" w:lineRule="exact"/>
        <w:ind w:firstLine="640" w:firstLineChars="200"/>
        <w:rPr>
          <w:rFonts w:eastAsia="方正仿宋简体"/>
          <w:b/>
          <w:bCs/>
          <w:color w:val="auto"/>
          <w:sz w:val="32"/>
          <w:szCs w:val="32"/>
        </w:rPr>
      </w:pPr>
      <w:r>
        <w:rPr>
          <w:rFonts w:eastAsia="方正仿宋简体"/>
          <w:color w:val="auto"/>
          <w:sz w:val="32"/>
          <w:szCs w:val="32"/>
        </w:rPr>
        <w:t>推动资源节约与高效利用。加快构建新型能源体系，持续推动能源结构优化调整，在确保能源安全保供的基础上，强化能源消费总量和强度双控，实施能量系统优化和余热余压利用等节能改造，推进天然气利用，有序发展分散式风电和分布式光伏，加快生物质热电联产应用，全力推进抽水蓄能工程</w:t>
      </w:r>
      <w:r>
        <w:rPr>
          <w:rFonts w:hint="eastAsia" w:eastAsia="方正仿宋简体"/>
          <w:color w:val="auto"/>
          <w:sz w:val="32"/>
          <w:szCs w:val="32"/>
          <w:lang w:eastAsia="zh-CN"/>
        </w:rPr>
        <w:t>、</w:t>
      </w:r>
      <w:r>
        <w:rPr>
          <w:rFonts w:hint="eastAsia" w:eastAsia="方正仿宋简体"/>
          <w:color w:val="auto"/>
          <w:sz w:val="32"/>
          <w:szCs w:val="32"/>
          <w:lang w:val="en-US" w:eastAsia="zh-CN"/>
        </w:rPr>
        <w:t>储能电站建设，</w:t>
      </w:r>
      <w:r>
        <w:rPr>
          <w:rFonts w:eastAsia="方正仿宋简体"/>
          <w:color w:val="auto"/>
          <w:sz w:val="32"/>
          <w:szCs w:val="32"/>
        </w:rPr>
        <w:t>提升非化石能源消费占比，形成多能互补的新能源供应格局，持续推动降低用电成本，协同推进碳达峰碳中和。严格执行节约集约用地制度，全面推行工业用地</w:t>
      </w:r>
      <w:r>
        <w:rPr>
          <w:rFonts w:hint="eastAsia" w:eastAsia="方正仿宋简体"/>
          <w:color w:val="auto"/>
          <w:sz w:val="32"/>
          <w:szCs w:val="32"/>
        </w:rPr>
        <w:t>“</w:t>
      </w:r>
      <w:r>
        <w:rPr>
          <w:rFonts w:eastAsia="方正仿宋简体"/>
          <w:color w:val="auto"/>
          <w:sz w:val="32"/>
          <w:szCs w:val="32"/>
        </w:rPr>
        <w:t>标准地</w:t>
      </w:r>
      <w:r>
        <w:rPr>
          <w:rFonts w:hint="eastAsia" w:eastAsia="方正仿宋简体"/>
          <w:color w:val="auto"/>
          <w:sz w:val="32"/>
          <w:szCs w:val="32"/>
        </w:rPr>
        <w:t>”</w:t>
      </w:r>
      <w:r>
        <w:rPr>
          <w:rFonts w:eastAsia="方正仿宋简体"/>
          <w:color w:val="auto"/>
          <w:sz w:val="32"/>
          <w:szCs w:val="32"/>
        </w:rPr>
        <w:t>供应全覆盖，建立低效闲置土地台账，推进市场化再开发，优先保障产业升级和民生项目。落实用水总量与强度双控，年用水总量控制在2.3亿立方米以内，地下水开采量不超过5700万立方米，推进农业、工业和城镇节水，加快灌区现代化改造，推广高效节水灌溉，完善城乡供水安全保障体系，构建</w:t>
      </w:r>
      <w:r>
        <w:rPr>
          <w:rFonts w:hint="eastAsia" w:eastAsia="方正仿宋简体"/>
          <w:color w:val="auto"/>
          <w:sz w:val="32"/>
          <w:szCs w:val="32"/>
        </w:rPr>
        <w:t>“</w:t>
      </w:r>
      <w:r>
        <w:rPr>
          <w:rFonts w:eastAsia="方正仿宋简体"/>
          <w:color w:val="auto"/>
          <w:sz w:val="32"/>
          <w:szCs w:val="32"/>
        </w:rPr>
        <w:t>蓄引提调</w:t>
      </w:r>
      <w:r>
        <w:rPr>
          <w:rFonts w:hint="eastAsia" w:eastAsia="方正仿宋简体"/>
          <w:color w:val="auto"/>
          <w:sz w:val="32"/>
          <w:szCs w:val="32"/>
        </w:rPr>
        <w:t>”</w:t>
      </w:r>
      <w:r>
        <w:rPr>
          <w:rFonts w:eastAsia="方正仿宋简体"/>
          <w:color w:val="auto"/>
          <w:sz w:val="32"/>
          <w:szCs w:val="32"/>
        </w:rPr>
        <w:t>相结合的水资源配置格局，建设数字孪生水网。优化矿产资源开发，严格执行新建矿山最低开采规模标准，推进绿色矿山建设，有序开发万昌—一拉溪地热资源，</w:t>
      </w:r>
      <w:r>
        <w:rPr>
          <w:rFonts w:hint="eastAsia" w:eastAsia="方正仿宋简体"/>
          <w:color w:val="auto"/>
          <w:sz w:val="32"/>
          <w:szCs w:val="32"/>
        </w:rPr>
        <w:t>推动</w:t>
      </w:r>
      <w:r>
        <w:rPr>
          <w:rFonts w:eastAsia="方正仿宋简体"/>
          <w:color w:val="auto"/>
          <w:sz w:val="32"/>
          <w:szCs w:val="32"/>
        </w:rPr>
        <w:t>地热温泉综合利用，统筹开发西阳—双河镇钼及水泥用灰岩资源产业带，加强矿业废渣综合利用。</w:t>
      </w:r>
      <w:r>
        <w:rPr>
          <w:rFonts w:hint="eastAsia" w:eastAsia="方正仿宋简体"/>
          <w:color w:val="auto"/>
          <w:sz w:val="32"/>
          <w:szCs w:val="32"/>
        </w:rPr>
        <w:t>推进</w:t>
      </w:r>
      <w:r>
        <w:rPr>
          <w:rFonts w:hint="eastAsia" w:eastAsia="方正仿宋简体"/>
          <w:color w:val="auto"/>
          <w:sz w:val="32"/>
          <w:szCs w:val="32"/>
          <w:lang w:val="en-US" w:eastAsia="zh-CN"/>
        </w:rPr>
        <w:t>口前镇</w:t>
      </w:r>
      <w:r>
        <w:rPr>
          <w:rFonts w:hint="eastAsia" w:eastAsia="方正仿宋简体"/>
          <w:color w:val="auto"/>
          <w:sz w:val="32"/>
          <w:szCs w:val="32"/>
        </w:rPr>
        <w:t>建筑用安山岩矿开采与加工，保障县域工程建设石料需求。</w:t>
      </w:r>
      <w:bookmarkStart w:id="12" w:name="_GoBack"/>
      <w:bookmarkEnd w:id="12"/>
    </w:p>
    <w:p w14:paraId="176A506D">
      <w:pPr>
        <w:spacing w:line="576" w:lineRule="exact"/>
        <w:ind w:firstLine="640" w:firstLineChars="200"/>
        <w:rPr>
          <w:rFonts w:hint="eastAsia" w:eastAsia="方正仿宋简体"/>
          <w:color w:val="auto"/>
          <w:sz w:val="32"/>
          <w:szCs w:val="32"/>
        </w:rPr>
      </w:pPr>
      <w:r>
        <w:rPr>
          <w:rFonts w:eastAsia="方正仿宋简体"/>
          <w:color w:val="auto"/>
          <w:sz w:val="32"/>
          <w:szCs w:val="32"/>
        </w:rPr>
        <w:t>推动城乡建设低碳转型。加快交通运输绿色转型，推广铁路运输和绿色低碳运输工具，发展绿色物流，推进公共交通优先发展，建设城市慢行系统，倡导绿色出行。提升绿色建筑发展水平，到2030年新建民用建筑中绿色建筑占比达100%；践行绿色低碳生活方式，开展节约型机关、绿色家庭、学校、社区等创建行动，完善绿色产品认证与标识制度，推行绿色政府采购，建立节能家电、节水器具、绿色建材和新能源汽车等推广机制。</w:t>
      </w:r>
      <w:r>
        <w:rPr>
          <w:rFonts w:hint="eastAsia" w:eastAsia="方正仿宋简体"/>
          <w:color w:val="auto"/>
          <w:sz w:val="32"/>
          <w:szCs w:val="32"/>
          <w:lang w:val="en-US" w:eastAsia="zh-CN"/>
        </w:rPr>
        <w:t>加快节能降碳先进技术研发和推广应用，打造国家级、省级绿色工厂与绿色园区。</w:t>
      </w:r>
    </w:p>
    <w:p w14:paraId="649C1B2B">
      <w:pPr>
        <w:spacing w:line="576" w:lineRule="exact"/>
        <w:jc w:val="center"/>
        <w:rPr>
          <w:rFonts w:eastAsia="方正楷体简体"/>
          <w:color w:val="auto"/>
          <w:sz w:val="32"/>
          <w:szCs w:val="32"/>
        </w:rPr>
      </w:pPr>
      <w:r>
        <w:rPr>
          <w:rFonts w:eastAsia="方正楷体简体"/>
          <w:color w:val="auto"/>
          <w:sz w:val="32"/>
          <w:szCs w:val="32"/>
        </w:rPr>
        <w:t>第四节  拓展生态价值转化路径</w:t>
      </w:r>
    </w:p>
    <w:p w14:paraId="53CB3BF4">
      <w:pPr>
        <w:spacing w:line="576" w:lineRule="exact"/>
        <w:ind w:firstLine="640" w:firstLineChars="200"/>
        <w:rPr>
          <w:rFonts w:eastAsia="方正仿宋简体"/>
          <w:color w:val="auto"/>
          <w:sz w:val="32"/>
          <w:szCs w:val="32"/>
        </w:rPr>
      </w:pPr>
      <w:r>
        <w:rPr>
          <w:rFonts w:eastAsia="方正仿宋简体"/>
          <w:color w:val="auto"/>
          <w:sz w:val="32"/>
          <w:szCs w:val="32"/>
        </w:rPr>
        <w:t>全面创新</w:t>
      </w:r>
      <w:r>
        <w:rPr>
          <w:rFonts w:hint="eastAsia" w:eastAsia="方正仿宋简体"/>
          <w:color w:val="auto"/>
          <w:sz w:val="32"/>
          <w:szCs w:val="32"/>
        </w:rPr>
        <w:t>“</w:t>
      </w:r>
      <w:r>
        <w:rPr>
          <w:rFonts w:eastAsia="方正仿宋简体"/>
          <w:color w:val="auto"/>
          <w:sz w:val="32"/>
          <w:szCs w:val="32"/>
        </w:rPr>
        <w:t>生态+</w:t>
      </w:r>
      <w:r>
        <w:rPr>
          <w:rFonts w:hint="eastAsia" w:eastAsia="方正仿宋简体"/>
          <w:color w:val="auto"/>
          <w:sz w:val="32"/>
          <w:szCs w:val="32"/>
        </w:rPr>
        <w:t>”</w:t>
      </w:r>
      <w:r>
        <w:rPr>
          <w:rFonts w:eastAsia="方正仿宋简体"/>
          <w:color w:val="auto"/>
          <w:sz w:val="32"/>
          <w:szCs w:val="32"/>
        </w:rPr>
        <w:t>产业、模式、路径，提升生态产品品质，推动生态资源向优质生态产品与特色生态服务高效转化，促进生态保护、民生改善与经济发展良性循环。</w:t>
      </w:r>
    </w:p>
    <w:p w14:paraId="36C7D8BB">
      <w:pPr>
        <w:spacing w:line="576" w:lineRule="exact"/>
        <w:ind w:firstLine="640" w:firstLineChars="200"/>
        <w:rPr>
          <w:rFonts w:eastAsia="方正仿宋简体"/>
          <w:color w:val="auto"/>
          <w:sz w:val="32"/>
          <w:szCs w:val="32"/>
        </w:rPr>
      </w:pPr>
      <w:r>
        <w:rPr>
          <w:rFonts w:eastAsia="方正仿宋简体"/>
          <w:color w:val="auto"/>
          <w:sz w:val="32"/>
          <w:szCs w:val="32"/>
        </w:rPr>
        <w:t>系统开发生态服务产品。以提供专业化、规范化的生态服务为核心，推动生态资源直接转化为可消费、可盈利的市场产品。重点依托森林资源、水库资源等优质生态空间，系统开发自然教育、生态研学等标准化课程体系。规范提升红松林雪地穿越、冰湖冬捕等现有项目的生态文化内涵与服务品质，配套建设必要的生态观测与低碳服务设施，打造特色鲜明的深度生态体验产品。</w:t>
      </w:r>
    </w:p>
    <w:p w14:paraId="2BD256A6">
      <w:pPr>
        <w:spacing w:line="576" w:lineRule="exact"/>
        <w:ind w:firstLine="640" w:firstLineChars="200"/>
        <w:rPr>
          <w:rFonts w:eastAsia="方正仿宋简体"/>
          <w:color w:val="auto"/>
          <w:sz w:val="32"/>
          <w:szCs w:val="32"/>
        </w:rPr>
      </w:pPr>
      <w:r>
        <w:rPr>
          <w:rFonts w:eastAsia="方正仿宋简体"/>
          <w:color w:val="auto"/>
          <w:sz w:val="32"/>
          <w:szCs w:val="32"/>
        </w:rPr>
        <w:t>深化</w:t>
      </w:r>
      <w:r>
        <w:rPr>
          <w:rFonts w:hint="eastAsia" w:eastAsia="方正仿宋简体"/>
          <w:color w:val="auto"/>
          <w:sz w:val="32"/>
          <w:szCs w:val="32"/>
        </w:rPr>
        <w:t>“</w:t>
      </w:r>
      <w:r>
        <w:rPr>
          <w:rFonts w:eastAsia="方正仿宋简体"/>
          <w:color w:val="auto"/>
          <w:sz w:val="32"/>
          <w:szCs w:val="32"/>
        </w:rPr>
        <w:t>生态+</w:t>
      </w:r>
      <w:r>
        <w:rPr>
          <w:rFonts w:hint="eastAsia" w:eastAsia="方正仿宋简体"/>
          <w:color w:val="auto"/>
          <w:sz w:val="32"/>
          <w:szCs w:val="32"/>
        </w:rPr>
        <w:t>”</w:t>
      </w:r>
      <w:r>
        <w:rPr>
          <w:rFonts w:eastAsia="方正仿宋简体"/>
          <w:color w:val="auto"/>
          <w:sz w:val="32"/>
          <w:szCs w:val="32"/>
        </w:rPr>
        <w:t>产业融合。推动生态本底与文旅康养产业深度融合，以生态赋能提升关联产业附加值。提升水木年华森林康养基地服务功能，谋划实施星星哨景区提升项目，将森林、水域的生态要素深度融入康养度假业态，打造区域生态康养品牌。推动生态景观与万昌稻作文化、乡村民俗等文化资源协同，在主题旅游线路开发中突出生态文化体验，增强农耕研学等活动的生态教育功能。深化生态与冰雪经济联动，在冰雪娱乐项目中融入生态观测与解说服务，拓展生态冰雪体验的深度与价值。</w:t>
      </w:r>
    </w:p>
    <w:p w14:paraId="3F52FA8B">
      <w:pPr>
        <w:spacing w:line="500" w:lineRule="exact"/>
        <w:ind w:firstLine="640" w:firstLineChars="200"/>
        <w:rPr>
          <w:rFonts w:eastAsia="方正黑体简体"/>
          <w:color w:val="auto"/>
          <w:sz w:val="32"/>
          <w:szCs w:val="32"/>
        </w:rPr>
      </w:pPr>
      <w:r>
        <w:rPr>
          <w:rFonts w:eastAsia="方正仿宋简体"/>
          <w:color w:val="auto"/>
          <w:sz w:val="32"/>
          <w:szCs w:val="32"/>
        </w:rPr>
        <w:t>夯实生态价值转化支撑体系。强化智慧化管理应用，推进国有林场智能巡护体系建设，运用无人机、红外监测等设备构建森林资源数字化监管网络，为生态资源的可持续利用提供精准保障。完善生态产品与服务市场对接机制，推动生态产品与服务对接域外中高端市场。加强本土化人才培养，开展生态导览、项目运营等专业技能培训，为生态价值转化提供稳定的人力资源支撑。</w:t>
      </w:r>
    </w:p>
    <w:p w14:paraId="6D6270F9">
      <w:pPr>
        <w:pStyle w:val="3"/>
        <w:spacing w:before="0" w:after="0" w:line="500" w:lineRule="exact"/>
        <w:rPr>
          <w:rFonts w:eastAsia="方正黑体简体"/>
          <w:color w:val="auto"/>
          <w:sz w:val="32"/>
          <w:szCs w:val="32"/>
        </w:rPr>
      </w:pPr>
    </w:p>
    <w:p w14:paraId="7494EF6C">
      <w:pPr>
        <w:pStyle w:val="3"/>
        <w:spacing w:before="0" w:after="0" w:line="500" w:lineRule="exact"/>
        <w:jc w:val="center"/>
        <w:rPr>
          <w:rFonts w:eastAsia="方正黑体简体"/>
          <w:color w:val="auto"/>
          <w:sz w:val="32"/>
          <w:szCs w:val="32"/>
        </w:rPr>
      </w:pPr>
      <w:r>
        <w:rPr>
          <w:rFonts w:eastAsia="方正黑体简体"/>
          <w:color w:val="auto"/>
          <w:sz w:val="32"/>
          <w:szCs w:val="32"/>
        </w:rPr>
        <w:t xml:space="preserve">专栏6 </w:t>
      </w:r>
      <w:r>
        <w:rPr>
          <w:rFonts w:hint="eastAsia" w:eastAsia="方正黑体简体"/>
          <w:color w:val="auto"/>
          <w:sz w:val="32"/>
          <w:szCs w:val="32"/>
        </w:rPr>
        <w:t>“</w:t>
      </w:r>
      <w:r>
        <w:rPr>
          <w:rFonts w:eastAsia="方正黑体简体"/>
          <w:color w:val="auto"/>
          <w:sz w:val="32"/>
          <w:szCs w:val="32"/>
        </w:rPr>
        <w:t>十五五</w:t>
      </w:r>
      <w:r>
        <w:rPr>
          <w:rFonts w:hint="eastAsia" w:eastAsia="方正黑体简体"/>
          <w:color w:val="auto"/>
          <w:sz w:val="32"/>
          <w:szCs w:val="32"/>
        </w:rPr>
        <w:t>”</w:t>
      </w:r>
      <w:r>
        <w:rPr>
          <w:rFonts w:eastAsia="方正黑体简体"/>
          <w:color w:val="auto"/>
          <w:sz w:val="32"/>
          <w:szCs w:val="32"/>
        </w:rPr>
        <w:t>期间绿色低碳转型发展重大工程</w:t>
      </w:r>
    </w:p>
    <w:tbl>
      <w:tblPr>
        <w:tblStyle w:val="15"/>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0"/>
      </w:tblGrid>
      <w:tr w14:paraId="11B4B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9580" w:type="dxa"/>
          </w:tcPr>
          <w:p w14:paraId="10B202E4">
            <w:pPr>
              <w:spacing w:line="560" w:lineRule="exact"/>
              <w:ind w:firstLine="640" w:firstLineChars="200"/>
              <w:rPr>
                <w:rFonts w:eastAsia="方正仿宋简体"/>
                <w:color w:val="auto"/>
                <w:sz w:val="32"/>
                <w:szCs w:val="32"/>
              </w:rPr>
            </w:pPr>
            <w:r>
              <w:rPr>
                <w:rFonts w:eastAsia="方正楷体简体"/>
                <w:color w:val="auto"/>
                <w:sz w:val="32"/>
                <w:szCs w:val="32"/>
              </w:rPr>
              <w:t>绿色低碳转型升级工程。</w:t>
            </w:r>
            <w:r>
              <w:rPr>
                <w:rFonts w:eastAsia="方正仿宋简体"/>
                <w:color w:val="auto"/>
                <w:sz w:val="32"/>
                <w:szCs w:val="32"/>
              </w:rPr>
              <w:t>为加快推进全县绿色低碳发展步伐，构建资源循环利用体系，减少环境污染与碳排放，谋划推动固体废物处理、报废机动车拆解等项目。</w:t>
            </w:r>
          </w:p>
          <w:p w14:paraId="182593A9">
            <w:pPr>
              <w:spacing w:line="560" w:lineRule="exact"/>
              <w:ind w:firstLine="640" w:firstLineChars="200"/>
              <w:rPr>
                <w:rFonts w:eastAsia="方正仿宋简体"/>
                <w:color w:val="auto"/>
                <w:sz w:val="32"/>
                <w:szCs w:val="32"/>
              </w:rPr>
            </w:pPr>
            <w:r>
              <w:rPr>
                <w:rFonts w:eastAsia="方正楷体简体"/>
                <w:color w:val="auto"/>
                <w:sz w:val="32"/>
                <w:szCs w:val="32"/>
              </w:rPr>
              <w:t>生态环境系统治理工程。</w:t>
            </w:r>
            <w:r>
              <w:rPr>
                <w:rFonts w:eastAsia="方正仿宋简体"/>
                <w:color w:val="auto"/>
                <w:sz w:val="32"/>
                <w:szCs w:val="32"/>
              </w:rPr>
              <w:t>以系统性提升区域生态环境承载能力为目标，聚焦生态修复关键领域，谋划推动水生态修复、水资源保护等项目。</w:t>
            </w:r>
          </w:p>
          <w:p w14:paraId="749E8206">
            <w:pPr>
              <w:spacing w:line="560" w:lineRule="exact"/>
              <w:ind w:firstLine="640" w:firstLineChars="200"/>
              <w:rPr>
                <w:rFonts w:eastAsia="方正仿宋简体"/>
                <w:color w:val="auto"/>
                <w:sz w:val="32"/>
                <w:szCs w:val="32"/>
              </w:rPr>
            </w:pPr>
            <w:r>
              <w:rPr>
                <w:rFonts w:eastAsia="方正楷体简体"/>
                <w:color w:val="auto"/>
                <w:sz w:val="32"/>
                <w:szCs w:val="32"/>
              </w:rPr>
              <w:t>生态环境质量持续改善工程。</w:t>
            </w:r>
            <w:r>
              <w:rPr>
                <w:rFonts w:eastAsia="方正仿宋简体"/>
                <w:color w:val="auto"/>
                <w:sz w:val="32"/>
                <w:szCs w:val="32"/>
              </w:rPr>
              <w:t>围绕流域生态保护、水环境优化及生态功能修复，推动全县生态环境质量稳步提升，重点实施小流域综合治理、生态缓冲带修复、淤积治理等项目。</w:t>
            </w:r>
          </w:p>
          <w:p w14:paraId="7FEF12E4">
            <w:pPr>
              <w:spacing w:line="560" w:lineRule="exact"/>
              <w:ind w:firstLine="640" w:firstLineChars="200"/>
              <w:rPr>
                <w:rFonts w:eastAsia="方正仿宋简体"/>
                <w:color w:val="auto"/>
                <w:sz w:val="32"/>
                <w:szCs w:val="32"/>
              </w:rPr>
            </w:pPr>
            <w:r>
              <w:rPr>
                <w:rFonts w:eastAsia="方正楷体简体"/>
                <w:color w:val="auto"/>
                <w:sz w:val="32"/>
                <w:szCs w:val="32"/>
              </w:rPr>
              <w:t>生态价值转化工程。</w:t>
            </w:r>
            <w:r>
              <w:rPr>
                <w:rFonts w:eastAsia="方正仿宋简体"/>
                <w:color w:val="auto"/>
                <w:sz w:val="32"/>
                <w:szCs w:val="32"/>
              </w:rPr>
              <w:t>围绕紫薇山、星星哨水库、国有林场等优质自然资源，推动生态资源与文旅产业协同，打造康养旅游业态。</w:t>
            </w:r>
          </w:p>
        </w:tc>
      </w:tr>
    </w:tbl>
    <w:p w14:paraId="5D1BBF72">
      <w:pPr>
        <w:spacing w:line="576" w:lineRule="exact"/>
        <w:ind w:firstLine="640" w:firstLineChars="200"/>
        <w:rPr>
          <w:rFonts w:eastAsia="方正仿宋简体"/>
          <w:color w:val="auto"/>
          <w:sz w:val="32"/>
          <w:szCs w:val="32"/>
        </w:rPr>
      </w:pPr>
    </w:p>
    <w:p w14:paraId="7E507860">
      <w:pPr>
        <w:spacing w:line="576" w:lineRule="exact"/>
        <w:jc w:val="center"/>
        <w:rPr>
          <w:rFonts w:eastAsia="方正仿宋简体"/>
          <w:color w:val="auto"/>
          <w:sz w:val="32"/>
          <w:szCs w:val="32"/>
        </w:rPr>
      </w:pPr>
      <w:r>
        <w:rPr>
          <w:rFonts w:eastAsia="方正黑体简体"/>
          <w:color w:val="auto"/>
          <w:sz w:val="32"/>
          <w:szCs w:val="32"/>
        </w:rPr>
        <w:t>第十章  健全规划实施机制，确保规划蓝图落地见效</w:t>
      </w:r>
    </w:p>
    <w:p w14:paraId="70270424">
      <w:pPr>
        <w:spacing w:line="576" w:lineRule="exact"/>
        <w:ind w:firstLine="640" w:firstLineChars="200"/>
        <w:rPr>
          <w:rFonts w:eastAsia="方正仿宋简体"/>
          <w:color w:val="auto"/>
          <w:sz w:val="32"/>
          <w:szCs w:val="32"/>
        </w:rPr>
      </w:pPr>
      <w:r>
        <w:rPr>
          <w:rFonts w:eastAsia="方正仿宋简体"/>
          <w:color w:val="auto"/>
          <w:sz w:val="32"/>
          <w:szCs w:val="32"/>
        </w:rPr>
        <w:t>坚持党的领导贯穿始终，进一步强化规划管理的规范性、权威性和刚性约束作用。持续健全衔接协调和实施保障机制，进一步提升规划管理标准化法治化水平，充分凝聚全社会合力，共同将规划蓝图转化为发展成效。</w:t>
      </w:r>
    </w:p>
    <w:p w14:paraId="23D6D04B">
      <w:pPr>
        <w:spacing w:line="576" w:lineRule="exact"/>
        <w:jc w:val="center"/>
        <w:rPr>
          <w:rFonts w:eastAsia="方正楷体简体"/>
          <w:color w:val="auto"/>
          <w:sz w:val="32"/>
          <w:szCs w:val="32"/>
        </w:rPr>
      </w:pPr>
      <w:r>
        <w:rPr>
          <w:rFonts w:eastAsia="方正楷体简体"/>
          <w:color w:val="auto"/>
          <w:sz w:val="32"/>
          <w:szCs w:val="32"/>
        </w:rPr>
        <w:t>第一节  加强党的全面领导</w:t>
      </w:r>
    </w:p>
    <w:p w14:paraId="0301806D">
      <w:pPr>
        <w:spacing w:line="576" w:lineRule="exact"/>
        <w:ind w:firstLine="640" w:firstLineChars="200"/>
        <w:rPr>
          <w:rFonts w:eastAsia="方正仿宋简体"/>
          <w:color w:val="auto"/>
          <w:sz w:val="32"/>
          <w:szCs w:val="32"/>
        </w:rPr>
      </w:pPr>
      <w:r>
        <w:rPr>
          <w:rFonts w:eastAsia="方正仿宋简体"/>
          <w:color w:val="auto"/>
          <w:sz w:val="32"/>
          <w:szCs w:val="32"/>
        </w:rPr>
        <w:t>坚决维护党中央权威和集中统一领导。持续用党的创新理论统一思想、统一意志、统一行动，再学习、再对标、再落实习近平总书记关于东北全面振兴和吉林工作的系列重要指示精神，深刻领悟</w:t>
      </w:r>
      <w:r>
        <w:rPr>
          <w:rFonts w:hint="eastAsia" w:eastAsia="方正仿宋简体"/>
          <w:color w:val="auto"/>
          <w:sz w:val="32"/>
          <w:szCs w:val="32"/>
        </w:rPr>
        <w:t>“</w:t>
      </w:r>
      <w:r>
        <w:rPr>
          <w:rFonts w:eastAsia="方正仿宋简体"/>
          <w:color w:val="auto"/>
          <w:sz w:val="32"/>
          <w:szCs w:val="32"/>
        </w:rPr>
        <w:t>两个确立</w:t>
      </w:r>
      <w:r>
        <w:rPr>
          <w:rFonts w:hint="eastAsia" w:eastAsia="方正仿宋简体"/>
          <w:color w:val="auto"/>
          <w:sz w:val="32"/>
          <w:szCs w:val="32"/>
        </w:rPr>
        <w:t>”</w:t>
      </w:r>
      <w:r>
        <w:rPr>
          <w:rFonts w:eastAsia="方正仿宋简体"/>
          <w:color w:val="auto"/>
          <w:sz w:val="32"/>
          <w:szCs w:val="32"/>
        </w:rPr>
        <w:t>的决定性意义，增强</w:t>
      </w:r>
      <w:r>
        <w:rPr>
          <w:rFonts w:hint="eastAsia" w:eastAsia="方正仿宋简体"/>
          <w:color w:val="auto"/>
          <w:sz w:val="32"/>
          <w:szCs w:val="32"/>
        </w:rPr>
        <w:t>“</w:t>
      </w:r>
      <w:r>
        <w:rPr>
          <w:rFonts w:eastAsia="方正仿宋简体"/>
          <w:color w:val="auto"/>
          <w:sz w:val="32"/>
          <w:szCs w:val="32"/>
        </w:rPr>
        <w:t>四个意识</w:t>
      </w:r>
      <w:r>
        <w:rPr>
          <w:rFonts w:hint="eastAsia" w:eastAsia="方正仿宋简体"/>
          <w:color w:val="auto"/>
          <w:sz w:val="32"/>
          <w:szCs w:val="32"/>
        </w:rPr>
        <w:t>”</w:t>
      </w:r>
      <w:r>
        <w:rPr>
          <w:rFonts w:eastAsia="方正仿宋简体"/>
          <w:color w:val="auto"/>
          <w:sz w:val="32"/>
          <w:szCs w:val="32"/>
        </w:rPr>
        <w:t>、坚定</w:t>
      </w:r>
      <w:r>
        <w:rPr>
          <w:rFonts w:hint="eastAsia" w:eastAsia="方正仿宋简体"/>
          <w:color w:val="auto"/>
          <w:sz w:val="32"/>
          <w:szCs w:val="32"/>
        </w:rPr>
        <w:t>“</w:t>
      </w:r>
      <w:r>
        <w:rPr>
          <w:rFonts w:eastAsia="方正仿宋简体"/>
          <w:color w:val="auto"/>
          <w:sz w:val="32"/>
          <w:szCs w:val="32"/>
        </w:rPr>
        <w:t>四个自信</w:t>
      </w:r>
      <w:r>
        <w:rPr>
          <w:rFonts w:hint="eastAsia" w:eastAsia="方正仿宋简体"/>
          <w:color w:val="auto"/>
          <w:sz w:val="32"/>
          <w:szCs w:val="32"/>
        </w:rPr>
        <w:t>”</w:t>
      </w:r>
      <w:r>
        <w:rPr>
          <w:rFonts w:eastAsia="方正仿宋简体"/>
          <w:color w:val="auto"/>
          <w:sz w:val="32"/>
          <w:szCs w:val="32"/>
        </w:rPr>
        <w:t>、做到</w:t>
      </w:r>
      <w:r>
        <w:rPr>
          <w:rFonts w:hint="eastAsia" w:eastAsia="方正仿宋简体"/>
          <w:color w:val="auto"/>
          <w:sz w:val="32"/>
          <w:szCs w:val="32"/>
        </w:rPr>
        <w:t>“</w:t>
      </w:r>
      <w:r>
        <w:rPr>
          <w:rFonts w:eastAsia="方正仿宋简体"/>
          <w:color w:val="auto"/>
          <w:sz w:val="32"/>
          <w:szCs w:val="32"/>
        </w:rPr>
        <w:t>两个维护</w:t>
      </w:r>
      <w:r>
        <w:rPr>
          <w:rFonts w:hint="eastAsia" w:eastAsia="方正仿宋简体"/>
          <w:color w:val="auto"/>
          <w:sz w:val="32"/>
          <w:szCs w:val="32"/>
        </w:rPr>
        <w:t>”</w:t>
      </w:r>
      <w:r>
        <w:rPr>
          <w:rFonts w:eastAsia="方正仿宋简体"/>
          <w:color w:val="auto"/>
          <w:sz w:val="32"/>
          <w:szCs w:val="32"/>
        </w:rPr>
        <w:t>。</w:t>
      </w:r>
    </w:p>
    <w:p w14:paraId="6BA88B65">
      <w:pPr>
        <w:spacing w:line="576" w:lineRule="exact"/>
        <w:ind w:firstLine="640" w:firstLineChars="200"/>
        <w:rPr>
          <w:rFonts w:eastAsia="方正仿宋简体"/>
          <w:color w:val="auto"/>
          <w:sz w:val="32"/>
          <w:szCs w:val="32"/>
        </w:rPr>
      </w:pPr>
      <w:r>
        <w:rPr>
          <w:rFonts w:eastAsia="方正仿宋简体"/>
          <w:color w:val="auto"/>
          <w:sz w:val="32"/>
          <w:szCs w:val="32"/>
        </w:rPr>
        <w:t>坚持党对规划实施工作的全面领导。充分发挥县委总揽全局、协调各方的领导核心作用，健全完善党委定期研究部署、统筹决策重大事项、协调破解关键难题的规划推进机制。将规划确定的核心发展指标、重大战略任务、关键改革举措和标志性工程项目，全面纳入县委、县政府年度重点工作清单及重点督查考核范畴，强化全过程督查督办和刚性化跟踪问效，确保规划部署一贯到底、落地生根。</w:t>
      </w:r>
    </w:p>
    <w:p w14:paraId="3BF88B91">
      <w:pPr>
        <w:spacing w:line="576" w:lineRule="exact"/>
        <w:ind w:firstLine="640" w:firstLineChars="200"/>
        <w:rPr>
          <w:rFonts w:eastAsia="方正仿宋简体"/>
          <w:color w:val="auto"/>
          <w:sz w:val="32"/>
          <w:szCs w:val="32"/>
        </w:rPr>
      </w:pPr>
      <w:r>
        <w:rPr>
          <w:rFonts w:eastAsia="方正仿宋简体"/>
          <w:color w:val="auto"/>
          <w:sz w:val="32"/>
          <w:szCs w:val="32"/>
        </w:rPr>
        <w:t>坚持正确选人用人导向，健全领导干部选育管用长效机制，牢固树立和践行正确政绩观，完善干部考核评价机制，坚持严管和厚爱结合、激励和约束并重，激发干部队伍整体活力。推进各领域基层党组织建设，增强党组织政治功能和组织功能，全面提升党员队伍建设质量。压实全面从严治党主体责任，锲而不舍落实中央八项规定精神，驰而不息纠</w:t>
      </w:r>
      <w:r>
        <w:rPr>
          <w:rFonts w:hint="eastAsia" w:eastAsia="方正仿宋简体"/>
          <w:color w:val="auto"/>
          <w:sz w:val="32"/>
          <w:szCs w:val="32"/>
        </w:rPr>
        <w:t>“</w:t>
      </w:r>
      <w:r>
        <w:rPr>
          <w:rFonts w:eastAsia="方正仿宋简体"/>
          <w:color w:val="auto"/>
          <w:sz w:val="32"/>
          <w:szCs w:val="32"/>
        </w:rPr>
        <w:t>四风</w:t>
      </w:r>
      <w:r>
        <w:rPr>
          <w:rFonts w:hint="eastAsia" w:eastAsia="方正仿宋简体"/>
          <w:color w:val="auto"/>
          <w:sz w:val="32"/>
          <w:szCs w:val="32"/>
        </w:rPr>
        <w:t>”</w:t>
      </w:r>
      <w:r>
        <w:rPr>
          <w:rFonts w:eastAsia="方正仿宋简体"/>
          <w:color w:val="auto"/>
          <w:sz w:val="32"/>
          <w:szCs w:val="32"/>
        </w:rPr>
        <w:t>树新风，加强对权力配置、运行的规范和监督，推动各类监督有效对接、有机贯通、相互协调。一体推进不敢腐、不能腐、不想腐，坚决打好反腐败斗争攻坚战、持久战、总体战。</w:t>
      </w:r>
    </w:p>
    <w:p w14:paraId="490F1D68">
      <w:pPr>
        <w:spacing w:line="576" w:lineRule="exact"/>
        <w:ind w:firstLine="640" w:firstLineChars="200"/>
        <w:rPr>
          <w:rFonts w:eastAsia="方正仿宋简体"/>
          <w:color w:val="auto"/>
          <w:sz w:val="32"/>
          <w:szCs w:val="32"/>
        </w:rPr>
      </w:pPr>
      <w:r>
        <w:rPr>
          <w:rFonts w:eastAsia="方正仿宋简体"/>
          <w:color w:val="auto"/>
          <w:sz w:val="32"/>
          <w:szCs w:val="32"/>
        </w:rPr>
        <w:t>加强社会主义民主法治建设。支持县人大及其常委会依法行使职权，强化对</w:t>
      </w:r>
      <w:r>
        <w:rPr>
          <w:rFonts w:hint="eastAsia" w:eastAsia="方正仿宋简体"/>
          <w:color w:val="auto"/>
          <w:sz w:val="32"/>
          <w:szCs w:val="32"/>
        </w:rPr>
        <w:t>“</w:t>
      </w:r>
      <w:r>
        <w:rPr>
          <w:rFonts w:eastAsia="方正仿宋简体"/>
          <w:color w:val="auto"/>
          <w:sz w:val="32"/>
          <w:szCs w:val="32"/>
        </w:rPr>
        <w:t>一府一委两院</w:t>
      </w:r>
      <w:r>
        <w:rPr>
          <w:rFonts w:hint="eastAsia" w:eastAsia="方正仿宋简体"/>
          <w:color w:val="auto"/>
          <w:sz w:val="32"/>
          <w:szCs w:val="32"/>
        </w:rPr>
        <w:t>”</w:t>
      </w:r>
      <w:r>
        <w:rPr>
          <w:rFonts w:eastAsia="方正仿宋简体"/>
          <w:color w:val="auto"/>
          <w:sz w:val="32"/>
          <w:szCs w:val="32"/>
        </w:rPr>
        <w:t>的监督，健全政府重大决策出台前向人大报告制度，确保人民群众民主权利、合法权益得到维护和实现。发挥人民政协作为专门协商机构作用，加强各种协商渠道协同配合，推进协商民主广泛多层制度化发展。健全基层民主制度，保障人民依法管理基层公共事务和公益事业。更好地发挥群团组织作用，加强产业工人队伍建设、青少年发展、妇女儿童事业发展政策保障。持续完善大统战工作格局，</w:t>
      </w:r>
      <w:r>
        <w:rPr>
          <w:rFonts w:hint="eastAsia" w:eastAsia="方正仿宋简体"/>
          <w:color w:val="auto"/>
          <w:sz w:val="32"/>
          <w:szCs w:val="32"/>
          <w:lang w:val="en-US" w:eastAsia="zh-CN"/>
        </w:rPr>
        <w:t>落实统战工作责任制，</w:t>
      </w:r>
      <w:r>
        <w:rPr>
          <w:rFonts w:eastAsia="方正仿宋简体"/>
          <w:color w:val="auto"/>
          <w:sz w:val="32"/>
          <w:szCs w:val="32"/>
        </w:rPr>
        <w:t>不断巩固和发展最广泛的爱国统一战线。推进中华民族共同体建设，</w:t>
      </w:r>
      <w:r>
        <w:rPr>
          <w:rFonts w:hint="eastAsia" w:eastAsia="方正仿宋简体"/>
          <w:color w:val="auto"/>
          <w:sz w:val="32"/>
          <w:szCs w:val="32"/>
          <w:lang w:eastAsia="zh-CN"/>
        </w:rPr>
        <w:t>筑牢中华民族共同体意识，</w:t>
      </w:r>
      <w:r>
        <w:rPr>
          <w:rFonts w:eastAsia="方正仿宋简体"/>
          <w:color w:val="auto"/>
          <w:sz w:val="32"/>
          <w:szCs w:val="32"/>
        </w:rPr>
        <w:t>提升民族事务治理水平。推进我国宗教中国化永吉实践，加强宗教事务治理法治化。</w:t>
      </w:r>
      <w:r>
        <w:rPr>
          <w:rFonts w:hint="eastAsia" w:eastAsia="方正仿宋简体"/>
          <w:color w:val="auto"/>
          <w:sz w:val="32"/>
          <w:szCs w:val="32"/>
        </w:rPr>
        <w:t>改进和完善</w:t>
      </w:r>
      <w:r>
        <w:rPr>
          <w:rFonts w:eastAsia="方正仿宋简体"/>
          <w:color w:val="auto"/>
          <w:sz w:val="32"/>
          <w:szCs w:val="32"/>
        </w:rPr>
        <w:t>党外代表人士工作方法。坚持依法治县，协同推进严格执法、公正司法、全民守法。强化法治政府建设，深化院府联动建设，推进行政争议实质性化解。加强领导干部依法办事监督检查，做强法治化营商环境。加大执法司法监督力度，强化跨部门执法司法协同和监督。完善司法权力运行机制，强化检察监督。全面规范行政执法行为，防止和纠正违规异地执法和趋利性执法。推进法治社会建设，强化法治宣传教育，营造全社会崇尚法治、恪守规则、尊重契约、维护公正的良好环境。</w:t>
      </w:r>
    </w:p>
    <w:p w14:paraId="63E7EF8D">
      <w:pPr>
        <w:spacing w:line="576" w:lineRule="exact"/>
        <w:jc w:val="center"/>
        <w:rPr>
          <w:rFonts w:eastAsia="方正楷体简体"/>
          <w:color w:val="auto"/>
          <w:sz w:val="32"/>
          <w:szCs w:val="32"/>
        </w:rPr>
      </w:pPr>
      <w:r>
        <w:rPr>
          <w:rFonts w:eastAsia="方正楷体简体"/>
          <w:color w:val="auto"/>
          <w:sz w:val="32"/>
          <w:szCs w:val="32"/>
        </w:rPr>
        <w:t>第二节  强化规划统领与实施</w:t>
      </w:r>
    </w:p>
    <w:p w14:paraId="53DDED15">
      <w:pPr>
        <w:spacing w:line="576" w:lineRule="exact"/>
        <w:ind w:firstLine="640" w:firstLineChars="200"/>
        <w:rPr>
          <w:rFonts w:eastAsia="方正仿宋简体"/>
          <w:color w:val="auto"/>
          <w:sz w:val="32"/>
          <w:szCs w:val="32"/>
        </w:rPr>
      </w:pPr>
      <w:r>
        <w:rPr>
          <w:rFonts w:eastAsia="方正仿宋简体"/>
          <w:color w:val="auto"/>
          <w:sz w:val="32"/>
          <w:szCs w:val="32"/>
        </w:rPr>
        <w:t>强化规划体系协同。建立健全以发展规划为统领，以国土空间规划为基础，专项规划、区域规划为支撑，定位清晰、功能互补、统一衔接的规划体系。推进其他规划在主要目标、发展方向、总体布局、重大工程项目、风险防控等方面与发展规划协调一致，切实保障下级规划服从上级规划、专项规划服务总体规划、近期安排支撑长远目标，坚决维护发展规划的权威性、严肃性和整体效能，形成全县规划</w:t>
      </w:r>
      <w:r>
        <w:rPr>
          <w:rFonts w:hint="eastAsia" w:eastAsia="方正仿宋简体"/>
          <w:color w:val="auto"/>
          <w:sz w:val="32"/>
          <w:szCs w:val="32"/>
        </w:rPr>
        <w:t>“</w:t>
      </w:r>
      <w:r>
        <w:rPr>
          <w:rFonts w:eastAsia="方正仿宋简体"/>
          <w:color w:val="auto"/>
          <w:sz w:val="32"/>
          <w:szCs w:val="32"/>
        </w:rPr>
        <w:t>一盘棋</w:t>
      </w:r>
      <w:r>
        <w:rPr>
          <w:rFonts w:hint="eastAsia" w:eastAsia="方正仿宋简体"/>
          <w:color w:val="auto"/>
          <w:sz w:val="32"/>
          <w:szCs w:val="32"/>
        </w:rPr>
        <w:t>”</w:t>
      </w:r>
      <w:r>
        <w:rPr>
          <w:rFonts w:eastAsia="方正仿宋简体"/>
          <w:color w:val="auto"/>
          <w:sz w:val="32"/>
          <w:szCs w:val="32"/>
        </w:rPr>
        <w:t>的工作格局。</w:t>
      </w:r>
    </w:p>
    <w:p w14:paraId="03DD17F3">
      <w:pPr>
        <w:spacing w:line="576" w:lineRule="exact"/>
        <w:ind w:firstLine="640" w:firstLineChars="200"/>
        <w:rPr>
          <w:rFonts w:eastAsia="方正仿宋简体"/>
          <w:color w:val="auto"/>
          <w:sz w:val="32"/>
          <w:szCs w:val="32"/>
        </w:rPr>
      </w:pPr>
      <w:r>
        <w:rPr>
          <w:rFonts w:eastAsia="方正仿宋简体"/>
          <w:color w:val="auto"/>
          <w:sz w:val="32"/>
          <w:szCs w:val="32"/>
        </w:rPr>
        <w:t>健全规划落实机制。将规划目标任务分解落实，实行清单化管理、台账式推进，明确责任主体、工作要求和进度节点。对纳入规划的重大项目，在审批、用地用能、环境容量、资金安排、配套设施等方面给予优先保障和高效服务，完善重大项目协同推进和问题协调解决机制，</w:t>
      </w:r>
      <w:r>
        <w:rPr>
          <w:rFonts w:hint="eastAsia" w:eastAsia="方正仿宋简体"/>
          <w:color w:val="auto"/>
          <w:sz w:val="32"/>
          <w:szCs w:val="32"/>
        </w:rPr>
        <w:t>确保项目早落地、早见效</w:t>
      </w:r>
      <w:r>
        <w:rPr>
          <w:rFonts w:eastAsia="方正仿宋简体"/>
          <w:color w:val="auto"/>
          <w:sz w:val="32"/>
          <w:szCs w:val="32"/>
        </w:rPr>
        <w:t>。构建覆盖规划实施全过程的动态监测、定期评估和总结评价体系，建立健全年度监测分析报告制度，密切跟踪指标进展、任务落实和项目推进情况，及时预警提示偏差。规范开展中期评估和总结评估，依据评估结果依法按程序进行必要调整。</w:t>
      </w:r>
    </w:p>
    <w:p w14:paraId="53EC662C">
      <w:pPr>
        <w:spacing w:line="576" w:lineRule="exact"/>
        <w:ind w:firstLine="640" w:firstLineChars="200"/>
        <w:rPr>
          <w:rFonts w:eastAsia="方正仿宋简体"/>
          <w:color w:val="auto"/>
          <w:sz w:val="32"/>
          <w:szCs w:val="32"/>
        </w:rPr>
      </w:pPr>
      <w:r>
        <w:rPr>
          <w:rFonts w:eastAsia="方正仿宋简体"/>
          <w:color w:val="auto"/>
          <w:sz w:val="32"/>
          <w:szCs w:val="32"/>
        </w:rPr>
        <w:t>营造真抓实干浓厚氛围。充分发挥县委核心领导作用，引导全县广大党员干部争当</w:t>
      </w:r>
      <w:r>
        <w:rPr>
          <w:rFonts w:hint="eastAsia" w:eastAsia="方正仿宋简体"/>
          <w:color w:val="auto"/>
          <w:sz w:val="32"/>
          <w:szCs w:val="32"/>
        </w:rPr>
        <w:t>“</w:t>
      </w:r>
      <w:r>
        <w:rPr>
          <w:rFonts w:eastAsia="方正仿宋简体"/>
          <w:color w:val="auto"/>
          <w:sz w:val="32"/>
          <w:szCs w:val="32"/>
        </w:rPr>
        <w:t>雄狮型</w:t>
      </w:r>
      <w:r>
        <w:rPr>
          <w:rFonts w:hint="eastAsia" w:eastAsia="方正仿宋简体"/>
          <w:color w:val="auto"/>
          <w:sz w:val="32"/>
          <w:szCs w:val="32"/>
        </w:rPr>
        <w:t>”</w:t>
      </w:r>
      <w:r>
        <w:rPr>
          <w:rFonts w:eastAsia="方正仿宋简体"/>
          <w:color w:val="auto"/>
          <w:sz w:val="32"/>
          <w:szCs w:val="32"/>
        </w:rPr>
        <w:t>干部，秉持</w:t>
      </w:r>
      <w:r>
        <w:rPr>
          <w:rFonts w:hint="eastAsia" w:eastAsia="方正仿宋简体"/>
          <w:color w:val="auto"/>
          <w:sz w:val="32"/>
          <w:szCs w:val="32"/>
        </w:rPr>
        <w:t>“</w:t>
      </w:r>
      <w:r>
        <w:rPr>
          <w:rFonts w:eastAsia="方正仿宋简体"/>
          <w:color w:val="auto"/>
          <w:sz w:val="32"/>
          <w:szCs w:val="32"/>
        </w:rPr>
        <w:t>功成不必在我、功成必定有我</w:t>
      </w:r>
      <w:r>
        <w:rPr>
          <w:rFonts w:hint="eastAsia" w:eastAsia="方正仿宋简体"/>
          <w:color w:val="auto"/>
          <w:sz w:val="32"/>
          <w:szCs w:val="32"/>
        </w:rPr>
        <w:t>”</w:t>
      </w:r>
      <w:r>
        <w:rPr>
          <w:rFonts w:eastAsia="方正仿宋简体"/>
          <w:color w:val="auto"/>
          <w:sz w:val="32"/>
          <w:szCs w:val="32"/>
        </w:rPr>
        <w:t>的境界担当，努力创造经得起历史和实践检验的实绩。全面落实尊重劳动、尊重知识、尊重人才、尊重创造的方针，持续激活全社会内生动力与创新潜能，营造人才竞相涌现、各展其才、才尽其用的良好态势。走好新时代党的群众路线，团结一切可以团结的力量，调动一切可以调动的积极因素，最大限度凝聚起共促永吉高质量发展的强大合力。</w:t>
      </w:r>
    </w:p>
    <w:p w14:paraId="2F1875DC">
      <w:pPr>
        <w:spacing w:line="576" w:lineRule="exact"/>
        <w:jc w:val="center"/>
        <w:rPr>
          <w:rFonts w:eastAsia="方正楷体简体"/>
          <w:color w:val="auto"/>
          <w:sz w:val="32"/>
          <w:szCs w:val="32"/>
        </w:rPr>
      </w:pPr>
      <w:r>
        <w:rPr>
          <w:rFonts w:eastAsia="方正楷体简体"/>
          <w:color w:val="auto"/>
          <w:sz w:val="32"/>
          <w:szCs w:val="32"/>
        </w:rPr>
        <w:t>第三节  广泛凝聚社会力量</w:t>
      </w:r>
    </w:p>
    <w:p w14:paraId="586E4486">
      <w:pPr>
        <w:spacing w:line="576" w:lineRule="exact"/>
        <w:ind w:firstLine="640" w:firstLineChars="200"/>
        <w:rPr>
          <w:rFonts w:eastAsia="方正仿宋简体"/>
          <w:color w:val="auto"/>
          <w:sz w:val="32"/>
          <w:szCs w:val="32"/>
        </w:rPr>
      </w:pPr>
      <w:r>
        <w:rPr>
          <w:rFonts w:eastAsia="方正仿宋简体"/>
          <w:color w:val="auto"/>
          <w:sz w:val="32"/>
          <w:szCs w:val="32"/>
        </w:rPr>
        <w:t>加强规划宣传解读和舆论引导，及时发布规划实施进展信息，增进全社会对规划愿景、发展目标和政策导向的认知认同，营造共同关心、支持和参与规划实施的良好氛围。充分激发各类市场主体活力和创造力，鼓励企业、行业协会、商会等积极投身规划确定的产业发展、科技创新、城乡建设等重点领域。畅通社会组织、智库机构参与规划实施、政策咨询、规划评估等渠道，有效发挥其专业优势和桥梁纽带作用。创新公众参与机制，保障人民群众对规划实施的知情权、参与权、监督权，最大程度凝聚社会各界智慧和力量，形成群策群力、共建共享的强大合力。</w:t>
      </w:r>
    </w:p>
    <w:p w14:paraId="1947AD16">
      <w:pPr>
        <w:spacing w:line="576" w:lineRule="exact"/>
        <w:ind w:firstLine="640" w:firstLineChars="200"/>
        <w:rPr>
          <w:rFonts w:eastAsia="方正仿宋简体"/>
          <w:color w:val="auto"/>
          <w:sz w:val="32"/>
          <w:szCs w:val="32"/>
        </w:rPr>
      </w:pPr>
      <w:r>
        <w:rPr>
          <w:rFonts w:eastAsia="方正仿宋简体"/>
          <w:color w:val="auto"/>
          <w:sz w:val="32"/>
          <w:szCs w:val="32"/>
        </w:rPr>
        <w:t>蓝图已绘就，奋进正当时。站在新的起点，</w:t>
      </w:r>
      <w:r>
        <w:rPr>
          <w:rFonts w:hint="eastAsia" w:eastAsia="方正仿宋简体"/>
          <w:color w:val="auto"/>
          <w:sz w:val="32"/>
          <w:szCs w:val="32"/>
        </w:rPr>
        <w:t>未来机遇与挑战并存</w:t>
      </w:r>
      <w:r>
        <w:rPr>
          <w:rFonts w:eastAsia="方正仿宋简体"/>
          <w:color w:val="auto"/>
          <w:sz w:val="32"/>
          <w:szCs w:val="32"/>
        </w:rPr>
        <w:t>。让我们更加紧密地团结起来，在县委、县政府的坚强领导下，以时不我待的紧迫感、舍我其谁的责任感，开拓进取，砥砺前行，为胜利完成</w:t>
      </w:r>
      <w:r>
        <w:rPr>
          <w:rFonts w:hint="eastAsia" w:eastAsia="方正仿宋简体"/>
          <w:color w:val="auto"/>
          <w:sz w:val="32"/>
          <w:szCs w:val="32"/>
        </w:rPr>
        <w:t>“</w:t>
      </w:r>
      <w:r>
        <w:rPr>
          <w:rFonts w:eastAsia="方正仿宋简体"/>
          <w:color w:val="auto"/>
          <w:sz w:val="32"/>
          <w:szCs w:val="32"/>
        </w:rPr>
        <w:t>十五五</w:t>
      </w:r>
      <w:r>
        <w:rPr>
          <w:rFonts w:hint="eastAsia" w:eastAsia="方正仿宋简体"/>
          <w:color w:val="auto"/>
          <w:sz w:val="32"/>
          <w:szCs w:val="32"/>
        </w:rPr>
        <w:t>”</w:t>
      </w:r>
      <w:r>
        <w:rPr>
          <w:rFonts w:eastAsia="方正仿宋简体"/>
          <w:color w:val="auto"/>
          <w:sz w:val="32"/>
          <w:szCs w:val="32"/>
        </w:rPr>
        <w:t>规划各项目标任务，全面建设动能强劲、生态宜居、和谐幸福的新时代市域副中心而努力奋斗！</w:t>
      </w:r>
    </w:p>
    <w:p w14:paraId="6DC7E7C0">
      <w:pPr>
        <w:spacing w:line="576" w:lineRule="exact"/>
        <w:ind w:firstLine="640" w:firstLineChars="200"/>
        <w:rPr>
          <w:rFonts w:eastAsia="方正仿宋简体"/>
          <w:color w:val="auto"/>
          <w:sz w:val="32"/>
          <w:szCs w:val="32"/>
        </w:rPr>
      </w:pPr>
    </w:p>
    <w:p w14:paraId="2912AAE3">
      <w:pPr>
        <w:spacing w:line="576" w:lineRule="exact"/>
        <w:ind w:firstLine="640" w:firstLineChars="200"/>
        <w:rPr>
          <w:rFonts w:eastAsia="方正仿宋简体"/>
          <w:color w:val="auto"/>
          <w:sz w:val="32"/>
          <w:szCs w:val="32"/>
        </w:rPr>
      </w:pPr>
    </w:p>
    <w:p w14:paraId="2BE0C10B">
      <w:pPr>
        <w:rPr>
          <w:color w:val="auto"/>
        </w:rPr>
      </w:pPr>
    </w:p>
    <w:sectPr>
      <w:footerReference r:id="rId8" w:type="default"/>
      <w:pgSz w:w="11906" w:h="16838"/>
      <w:pgMar w:top="2098" w:right="1531" w:bottom="1984" w:left="1531"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B82E0A5-74B6-4E9A-81EC-D2ECC847544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869D83C-1E6F-4C19-B7E0-9B240C9C1BCC}"/>
  </w:font>
  <w:font w:name="楷体">
    <w:panose1 w:val="02010609060101010101"/>
    <w:charset w:val="86"/>
    <w:family w:val="modern"/>
    <w:pitch w:val="default"/>
    <w:sig w:usb0="800002BF" w:usb1="38CF7CFA" w:usb2="00000016" w:usb3="00000000" w:csb0="00040001" w:csb1="00000000"/>
    <w:embedRegular r:id="rId3" w:fontKey="{748C4166-F506-41FB-A25C-07540FEEC651}"/>
  </w:font>
  <w:font w:name="仿宋_GB2312">
    <w:panose1 w:val="02010609030101010101"/>
    <w:charset w:val="86"/>
    <w:family w:val="modern"/>
    <w:pitch w:val="default"/>
    <w:sig w:usb0="00000001" w:usb1="080E0000" w:usb2="00000000" w:usb3="00000000" w:csb0="00040000" w:csb1="00000000"/>
    <w:embedRegular r:id="rId4" w:fontKey="{8680083E-2AE1-4C85-B4D6-78AD7DE8D794}"/>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FDE4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29CAD">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72BA8">
    <w:pPr>
      <w:tabs>
        <w:tab w:val="center" w:pos="4153"/>
        <w:tab w:val="right" w:pos="8306"/>
      </w:tabs>
      <w:snapToGrid w:val="0"/>
      <w:ind w:firstLine="360"/>
      <w:jc w:val="center"/>
      <w:rPr>
        <w:rFonts w:ascii="Calibri" w:hAnsi="Calibri"/>
        <w:sz w:val="18"/>
        <w:szCs w:val="18"/>
      </w:rPr>
    </w:pPr>
  </w:p>
  <w:p w14:paraId="4F72B707">
    <w:pPr>
      <w:tabs>
        <w:tab w:val="center" w:pos="4153"/>
        <w:tab w:val="right" w:pos="8306"/>
      </w:tabs>
      <w:snapToGrid w:val="0"/>
      <w:ind w:firstLine="360"/>
      <w:jc w:val="left"/>
      <w:rPr>
        <w:rFonts w:ascii="Calibri" w:hAnsi="Calibri"/>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C24EE">
    <w:pPr>
      <w:pStyle w:val="5"/>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FE7A7">
    <w:pPr>
      <w:spacing w:line="576" w:lineRule="exact"/>
      <w:ind w:firstLine="360" w:firstLineChars="20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FB701">
                          <w:pPr>
                            <w:pStyle w:val="5"/>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426FB701">
                    <w:pPr>
                      <w:pStyle w:val="5"/>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19DE3">
    <w:pPr>
      <w:pBdr>
        <w:bottom w:val="none" w:color="auto" w:sz="0" w:space="1"/>
      </w:pBdr>
      <w:tabs>
        <w:tab w:val="center" w:pos="4153"/>
        <w:tab w:val="right" w:pos="8306"/>
      </w:tabs>
      <w:snapToGrid w:val="0"/>
      <w:ind w:firstLine="360"/>
      <w:jc w:val="center"/>
      <w:rPr>
        <w:rFonts w:ascii="Calibri" w:hAnsi="Calibri"/>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wZGExZjhiZmE2NTZiNmNjNDZkOGFjNjI3Mzk2NTcifQ=="/>
  </w:docVars>
  <w:rsids>
    <w:rsidRoot w:val="1BE87F84"/>
    <w:rsid w:val="0002659E"/>
    <w:rsid w:val="00043144"/>
    <w:rsid w:val="00164BD9"/>
    <w:rsid w:val="001F2A9C"/>
    <w:rsid w:val="004277C9"/>
    <w:rsid w:val="00577718"/>
    <w:rsid w:val="0078768E"/>
    <w:rsid w:val="007A3406"/>
    <w:rsid w:val="00824069"/>
    <w:rsid w:val="009E3532"/>
    <w:rsid w:val="00A87F74"/>
    <w:rsid w:val="00B72065"/>
    <w:rsid w:val="00C50B26"/>
    <w:rsid w:val="00DD6E08"/>
    <w:rsid w:val="01B3097E"/>
    <w:rsid w:val="01B36BD0"/>
    <w:rsid w:val="01E90844"/>
    <w:rsid w:val="01EE7C08"/>
    <w:rsid w:val="020E7E2D"/>
    <w:rsid w:val="02104F7F"/>
    <w:rsid w:val="02535CBD"/>
    <w:rsid w:val="025B2DC4"/>
    <w:rsid w:val="0264611C"/>
    <w:rsid w:val="029F53A6"/>
    <w:rsid w:val="03304250"/>
    <w:rsid w:val="03343D40"/>
    <w:rsid w:val="03AA4003"/>
    <w:rsid w:val="03CF5817"/>
    <w:rsid w:val="03DE5A5A"/>
    <w:rsid w:val="04333FF8"/>
    <w:rsid w:val="04581CB1"/>
    <w:rsid w:val="046E5030"/>
    <w:rsid w:val="04AB0032"/>
    <w:rsid w:val="04AD368E"/>
    <w:rsid w:val="04B36EE7"/>
    <w:rsid w:val="0560706F"/>
    <w:rsid w:val="05776166"/>
    <w:rsid w:val="05E76E48"/>
    <w:rsid w:val="060A0277"/>
    <w:rsid w:val="06175475"/>
    <w:rsid w:val="06367DD0"/>
    <w:rsid w:val="06622973"/>
    <w:rsid w:val="06770305"/>
    <w:rsid w:val="06905732"/>
    <w:rsid w:val="06D05B2E"/>
    <w:rsid w:val="06D33870"/>
    <w:rsid w:val="06D819F0"/>
    <w:rsid w:val="06FF4665"/>
    <w:rsid w:val="071023CF"/>
    <w:rsid w:val="082A5712"/>
    <w:rsid w:val="082A74C0"/>
    <w:rsid w:val="085B3B1D"/>
    <w:rsid w:val="08703851"/>
    <w:rsid w:val="08EE4992"/>
    <w:rsid w:val="09173EE8"/>
    <w:rsid w:val="095D5673"/>
    <w:rsid w:val="099E0166"/>
    <w:rsid w:val="09DC0C8E"/>
    <w:rsid w:val="09F204B1"/>
    <w:rsid w:val="0A0855DF"/>
    <w:rsid w:val="0A7318D3"/>
    <w:rsid w:val="0AC37758"/>
    <w:rsid w:val="0AD16319"/>
    <w:rsid w:val="0AD61B81"/>
    <w:rsid w:val="0AF67B2D"/>
    <w:rsid w:val="0B093D05"/>
    <w:rsid w:val="0B3D1D48"/>
    <w:rsid w:val="0B7F7B23"/>
    <w:rsid w:val="0C104C1F"/>
    <w:rsid w:val="0C1C35C4"/>
    <w:rsid w:val="0C582550"/>
    <w:rsid w:val="0C6311F3"/>
    <w:rsid w:val="0C992E66"/>
    <w:rsid w:val="0CAF61E6"/>
    <w:rsid w:val="0CC779D3"/>
    <w:rsid w:val="0CDD71F7"/>
    <w:rsid w:val="0CF4009D"/>
    <w:rsid w:val="0D1A5D55"/>
    <w:rsid w:val="0D1D1C55"/>
    <w:rsid w:val="0D8E04F1"/>
    <w:rsid w:val="0DED5218"/>
    <w:rsid w:val="0DF91E0E"/>
    <w:rsid w:val="0DF93BBD"/>
    <w:rsid w:val="0DFF4F4B"/>
    <w:rsid w:val="0E2B3F92"/>
    <w:rsid w:val="0E4A4418"/>
    <w:rsid w:val="0E4B0190"/>
    <w:rsid w:val="0ECD6DF7"/>
    <w:rsid w:val="0F1B5DB5"/>
    <w:rsid w:val="0F655282"/>
    <w:rsid w:val="0F6C4862"/>
    <w:rsid w:val="0F781A43"/>
    <w:rsid w:val="0F803E6A"/>
    <w:rsid w:val="0F81030D"/>
    <w:rsid w:val="0FE10DAC"/>
    <w:rsid w:val="100A06B6"/>
    <w:rsid w:val="102173FB"/>
    <w:rsid w:val="111D5E14"/>
    <w:rsid w:val="11405FA6"/>
    <w:rsid w:val="11494E5B"/>
    <w:rsid w:val="114C494B"/>
    <w:rsid w:val="11875983"/>
    <w:rsid w:val="11A402E3"/>
    <w:rsid w:val="11FF19BD"/>
    <w:rsid w:val="120E47CA"/>
    <w:rsid w:val="121D1E44"/>
    <w:rsid w:val="12614426"/>
    <w:rsid w:val="128C2FD3"/>
    <w:rsid w:val="129640D0"/>
    <w:rsid w:val="129F4C66"/>
    <w:rsid w:val="12E87FE2"/>
    <w:rsid w:val="12FD414F"/>
    <w:rsid w:val="138A3509"/>
    <w:rsid w:val="139D4FEA"/>
    <w:rsid w:val="13B32A60"/>
    <w:rsid w:val="13BF31B2"/>
    <w:rsid w:val="14011A1D"/>
    <w:rsid w:val="14065285"/>
    <w:rsid w:val="14506500"/>
    <w:rsid w:val="145C30F7"/>
    <w:rsid w:val="148F7029"/>
    <w:rsid w:val="149D63BB"/>
    <w:rsid w:val="14B52807"/>
    <w:rsid w:val="14F25809"/>
    <w:rsid w:val="15794922"/>
    <w:rsid w:val="15877D00"/>
    <w:rsid w:val="159E5049"/>
    <w:rsid w:val="15B50D11"/>
    <w:rsid w:val="15DD0268"/>
    <w:rsid w:val="15E2587E"/>
    <w:rsid w:val="15F555B1"/>
    <w:rsid w:val="160173A0"/>
    <w:rsid w:val="161B48EC"/>
    <w:rsid w:val="16900E36"/>
    <w:rsid w:val="169052DA"/>
    <w:rsid w:val="16921052"/>
    <w:rsid w:val="16CF5E02"/>
    <w:rsid w:val="16E15B36"/>
    <w:rsid w:val="16E473F0"/>
    <w:rsid w:val="170610F8"/>
    <w:rsid w:val="17371DE5"/>
    <w:rsid w:val="18003D99"/>
    <w:rsid w:val="182B52BA"/>
    <w:rsid w:val="188E3A9B"/>
    <w:rsid w:val="18932C5E"/>
    <w:rsid w:val="18AD3F21"/>
    <w:rsid w:val="18C474BD"/>
    <w:rsid w:val="18C64FE3"/>
    <w:rsid w:val="18C66D91"/>
    <w:rsid w:val="18F47222"/>
    <w:rsid w:val="193463F1"/>
    <w:rsid w:val="194A79C2"/>
    <w:rsid w:val="197113F3"/>
    <w:rsid w:val="19766A09"/>
    <w:rsid w:val="19831126"/>
    <w:rsid w:val="19AC5F87"/>
    <w:rsid w:val="19B412DF"/>
    <w:rsid w:val="19B72B7E"/>
    <w:rsid w:val="19D674A8"/>
    <w:rsid w:val="19E971DB"/>
    <w:rsid w:val="1A085187"/>
    <w:rsid w:val="1A231FC1"/>
    <w:rsid w:val="1A58610F"/>
    <w:rsid w:val="1A5A1E87"/>
    <w:rsid w:val="1A725422"/>
    <w:rsid w:val="1AAB19FE"/>
    <w:rsid w:val="1AB1581F"/>
    <w:rsid w:val="1AE17D45"/>
    <w:rsid w:val="1B171B26"/>
    <w:rsid w:val="1B2F50C2"/>
    <w:rsid w:val="1B50328A"/>
    <w:rsid w:val="1B8F365D"/>
    <w:rsid w:val="1BE87F84"/>
    <w:rsid w:val="1BF105C9"/>
    <w:rsid w:val="1C054074"/>
    <w:rsid w:val="1C220782"/>
    <w:rsid w:val="1CC61A56"/>
    <w:rsid w:val="1CF245F9"/>
    <w:rsid w:val="1CFE11EF"/>
    <w:rsid w:val="1D04257E"/>
    <w:rsid w:val="1D33076D"/>
    <w:rsid w:val="1D65301C"/>
    <w:rsid w:val="1D7E40DE"/>
    <w:rsid w:val="1D976F4E"/>
    <w:rsid w:val="1E0779BB"/>
    <w:rsid w:val="1E1B192D"/>
    <w:rsid w:val="1E360515"/>
    <w:rsid w:val="1E4C7D38"/>
    <w:rsid w:val="1E7E3C6A"/>
    <w:rsid w:val="1E917E41"/>
    <w:rsid w:val="1EAA6939"/>
    <w:rsid w:val="1ED1023E"/>
    <w:rsid w:val="1ED3045A"/>
    <w:rsid w:val="1EE021C5"/>
    <w:rsid w:val="1EEA12FF"/>
    <w:rsid w:val="1EF04B68"/>
    <w:rsid w:val="1F022AED"/>
    <w:rsid w:val="1F1545CE"/>
    <w:rsid w:val="1F204D21"/>
    <w:rsid w:val="1F5350F7"/>
    <w:rsid w:val="1F5A46D7"/>
    <w:rsid w:val="1F75506D"/>
    <w:rsid w:val="1FDE70B6"/>
    <w:rsid w:val="1FE43FA1"/>
    <w:rsid w:val="202251F5"/>
    <w:rsid w:val="20436F19"/>
    <w:rsid w:val="205630F0"/>
    <w:rsid w:val="20EC135F"/>
    <w:rsid w:val="21296020"/>
    <w:rsid w:val="212B00D9"/>
    <w:rsid w:val="21423675"/>
    <w:rsid w:val="21464F13"/>
    <w:rsid w:val="2148274F"/>
    <w:rsid w:val="214E697E"/>
    <w:rsid w:val="21780E44"/>
    <w:rsid w:val="21902632"/>
    <w:rsid w:val="21FF50C2"/>
    <w:rsid w:val="22032E04"/>
    <w:rsid w:val="2208041A"/>
    <w:rsid w:val="22596EC8"/>
    <w:rsid w:val="227B0BEC"/>
    <w:rsid w:val="22AC524A"/>
    <w:rsid w:val="22D87DED"/>
    <w:rsid w:val="23052BAC"/>
    <w:rsid w:val="23160915"/>
    <w:rsid w:val="237C4C1C"/>
    <w:rsid w:val="238910E7"/>
    <w:rsid w:val="23CB20F0"/>
    <w:rsid w:val="245C67FB"/>
    <w:rsid w:val="24635DDC"/>
    <w:rsid w:val="24A00DDE"/>
    <w:rsid w:val="24D942F0"/>
    <w:rsid w:val="2500362B"/>
    <w:rsid w:val="251B2213"/>
    <w:rsid w:val="2527505B"/>
    <w:rsid w:val="253357AE"/>
    <w:rsid w:val="253D487F"/>
    <w:rsid w:val="255B6AB3"/>
    <w:rsid w:val="2580651A"/>
    <w:rsid w:val="259A3A7F"/>
    <w:rsid w:val="25BD32CA"/>
    <w:rsid w:val="25FD7B6A"/>
    <w:rsid w:val="25FF7D86"/>
    <w:rsid w:val="263E318C"/>
    <w:rsid w:val="267F67D1"/>
    <w:rsid w:val="268A58A2"/>
    <w:rsid w:val="26B11081"/>
    <w:rsid w:val="26EF1BA9"/>
    <w:rsid w:val="27595274"/>
    <w:rsid w:val="279B3ADF"/>
    <w:rsid w:val="27BA3F65"/>
    <w:rsid w:val="280E42B1"/>
    <w:rsid w:val="28221B0A"/>
    <w:rsid w:val="28E76FDC"/>
    <w:rsid w:val="28F96D0F"/>
    <w:rsid w:val="28FB2A87"/>
    <w:rsid w:val="2903193C"/>
    <w:rsid w:val="29543F45"/>
    <w:rsid w:val="29626662"/>
    <w:rsid w:val="2964062C"/>
    <w:rsid w:val="297D16EE"/>
    <w:rsid w:val="298A7967"/>
    <w:rsid w:val="29954C89"/>
    <w:rsid w:val="29AC1FD3"/>
    <w:rsid w:val="29B844D4"/>
    <w:rsid w:val="29C54E43"/>
    <w:rsid w:val="29EE7EF6"/>
    <w:rsid w:val="2A027E45"/>
    <w:rsid w:val="2A693A20"/>
    <w:rsid w:val="2A74238E"/>
    <w:rsid w:val="2A866380"/>
    <w:rsid w:val="2ACD0453"/>
    <w:rsid w:val="2AEF03C9"/>
    <w:rsid w:val="2AF14141"/>
    <w:rsid w:val="2B3E6C5B"/>
    <w:rsid w:val="2B591CE7"/>
    <w:rsid w:val="2B5E72FD"/>
    <w:rsid w:val="2B603075"/>
    <w:rsid w:val="2B7D59D5"/>
    <w:rsid w:val="2BE21CDC"/>
    <w:rsid w:val="2BE64088"/>
    <w:rsid w:val="2C0C0B07"/>
    <w:rsid w:val="2C2045B2"/>
    <w:rsid w:val="2C3D5164"/>
    <w:rsid w:val="2C646B95"/>
    <w:rsid w:val="2C8763E0"/>
    <w:rsid w:val="2C98683F"/>
    <w:rsid w:val="2C9B26A5"/>
    <w:rsid w:val="2CA23219"/>
    <w:rsid w:val="2CCD473A"/>
    <w:rsid w:val="2D016192"/>
    <w:rsid w:val="2D23435A"/>
    <w:rsid w:val="2D281971"/>
    <w:rsid w:val="2D391DD0"/>
    <w:rsid w:val="2D406CBA"/>
    <w:rsid w:val="2D727090"/>
    <w:rsid w:val="2D8D3ECA"/>
    <w:rsid w:val="2D9B2143"/>
    <w:rsid w:val="2DBD47AF"/>
    <w:rsid w:val="2E093550"/>
    <w:rsid w:val="2E21265C"/>
    <w:rsid w:val="2E310CF9"/>
    <w:rsid w:val="2E56075F"/>
    <w:rsid w:val="2E6E5AA9"/>
    <w:rsid w:val="2E8B49D1"/>
    <w:rsid w:val="2E9077CD"/>
    <w:rsid w:val="2EC42C7A"/>
    <w:rsid w:val="2EDF69A7"/>
    <w:rsid w:val="2F302D5E"/>
    <w:rsid w:val="2F4405B8"/>
    <w:rsid w:val="2F8A06C1"/>
    <w:rsid w:val="2F9652B7"/>
    <w:rsid w:val="2FA21EAE"/>
    <w:rsid w:val="2FCC0CD9"/>
    <w:rsid w:val="2FCF07C9"/>
    <w:rsid w:val="2FD162F0"/>
    <w:rsid w:val="2FF26266"/>
    <w:rsid w:val="30032221"/>
    <w:rsid w:val="30074C0D"/>
    <w:rsid w:val="30112B90"/>
    <w:rsid w:val="307B625B"/>
    <w:rsid w:val="30E402A4"/>
    <w:rsid w:val="30E81B43"/>
    <w:rsid w:val="31A0241D"/>
    <w:rsid w:val="31B00187"/>
    <w:rsid w:val="3220530C"/>
    <w:rsid w:val="32425283"/>
    <w:rsid w:val="32737B32"/>
    <w:rsid w:val="329A351B"/>
    <w:rsid w:val="32AB63F3"/>
    <w:rsid w:val="32B06690"/>
    <w:rsid w:val="32D63C1D"/>
    <w:rsid w:val="32E4458C"/>
    <w:rsid w:val="32FC164C"/>
    <w:rsid w:val="33095DA0"/>
    <w:rsid w:val="3317670F"/>
    <w:rsid w:val="33241371"/>
    <w:rsid w:val="33501C21"/>
    <w:rsid w:val="3364747B"/>
    <w:rsid w:val="336851BD"/>
    <w:rsid w:val="33780205"/>
    <w:rsid w:val="33884F17"/>
    <w:rsid w:val="33C00B55"/>
    <w:rsid w:val="346516FC"/>
    <w:rsid w:val="346A73BB"/>
    <w:rsid w:val="34733E19"/>
    <w:rsid w:val="3489363D"/>
    <w:rsid w:val="34B8182C"/>
    <w:rsid w:val="35011425"/>
    <w:rsid w:val="351A24E7"/>
    <w:rsid w:val="355F439E"/>
    <w:rsid w:val="357C0AAC"/>
    <w:rsid w:val="35935DF5"/>
    <w:rsid w:val="35B54174"/>
    <w:rsid w:val="35FE5964"/>
    <w:rsid w:val="368C11C2"/>
    <w:rsid w:val="369D6F2B"/>
    <w:rsid w:val="36AF6C5F"/>
    <w:rsid w:val="36B129D7"/>
    <w:rsid w:val="36B81FB7"/>
    <w:rsid w:val="36FA5B39"/>
    <w:rsid w:val="37661A13"/>
    <w:rsid w:val="37753A04"/>
    <w:rsid w:val="377F4883"/>
    <w:rsid w:val="379F6CD3"/>
    <w:rsid w:val="380B25BB"/>
    <w:rsid w:val="387737AC"/>
    <w:rsid w:val="388D2FD0"/>
    <w:rsid w:val="38C74734"/>
    <w:rsid w:val="38D86941"/>
    <w:rsid w:val="395F671A"/>
    <w:rsid w:val="396A50BF"/>
    <w:rsid w:val="396C52DB"/>
    <w:rsid w:val="39C40C73"/>
    <w:rsid w:val="39D709A6"/>
    <w:rsid w:val="39DC420F"/>
    <w:rsid w:val="39E10598"/>
    <w:rsid w:val="3A190FBF"/>
    <w:rsid w:val="3A24662C"/>
    <w:rsid w:val="3A43603C"/>
    <w:rsid w:val="3A59585F"/>
    <w:rsid w:val="3A6F6E31"/>
    <w:rsid w:val="3A720920"/>
    <w:rsid w:val="3A751F6D"/>
    <w:rsid w:val="3A8F302F"/>
    <w:rsid w:val="3A960861"/>
    <w:rsid w:val="3ADE5D64"/>
    <w:rsid w:val="3AE710BD"/>
    <w:rsid w:val="3B0532F1"/>
    <w:rsid w:val="3B903A49"/>
    <w:rsid w:val="3BA66882"/>
    <w:rsid w:val="3BB54D17"/>
    <w:rsid w:val="3BB70A8F"/>
    <w:rsid w:val="3BCB62E9"/>
    <w:rsid w:val="3BE15B0C"/>
    <w:rsid w:val="3BEC02C7"/>
    <w:rsid w:val="3C291261"/>
    <w:rsid w:val="3C7771A5"/>
    <w:rsid w:val="3C7A2904"/>
    <w:rsid w:val="3C8666B4"/>
    <w:rsid w:val="3CB66F99"/>
    <w:rsid w:val="3D170FAE"/>
    <w:rsid w:val="3D2E2FD3"/>
    <w:rsid w:val="3D361E88"/>
    <w:rsid w:val="3D7824A0"/>
    <w:rsid w:val="3D8449A1"/>
    <w:rsid w:val="3DA212CB"/>
    <w:rsid w:val="3DA54918"/>
    <w:rsid w:val="3DFD4754"/>
    <w:rsid w:val="3E157CEF"/>
    <w:rsid w:val="3E246184"/>
    <w:rsid w:val="3E45601B"/>
    <w:rsid w:val="3E491747"/>
    <w:rsid w:val="3E704F26"/>
    <w:rsid w:val="3E886713"/>
    <w:rsid w:val="3EB5502E"/>
    <w:rsid w:val="3EE55913"/>
    <w:rsid w:val="3EEB39D2"/>
    <w:rsid w:val="3F051B12"/>
    <w:rsid w:val="3F3E3276"/>
    <w:rsid w:val="3F4D34B9"/>
    <w:rsid w:val="3F5605BF"/>
    <w:rsid w:val="3F5900B0"/>
    <w:rsid w:val="3F7E3672"/>
    <w:rsid w:val="3F8F3AD1"/>
    <w:rsid w:val="3FA4132B"/>
    <w:rsid w:val="3FB928FC"/>
    <w:rsid w:val="3FCE45FA"/>
    <w:rsid w:val="400E2C48"/>
    <w:rsid w:val="40151C92"/>
    <w:rsid w:val="403D52DB"/>
    <w:rsid w:val="403F72A5"/>
    <w:rsid w:val="404C3770"/>
    <w:rsid w:val="406C796F"/>
    <w:rsid w:val="41083B3B"/>
    <w:rsid w:val="41171FD0"/>
    <w:rsid w:val="41197AF6"/>
    <w:rsid w:val="413B7A6D"/>
    <w:rsid w:val="413D4D28"/>
    <w:rsid w:val="415E19AD"/>
    <w:rsid w:val="41C932CA"/>
    <w:rsid w:val="41CC4B69"/>
    <w:rsid w:val="422E312E"/>
    <w:rsid w:val="42CF2B62"/>
    <w:rsid w:val="433B1FA6"/>
    <w:rsid w:val="43486471"/>
    <w:rsid w:val="43615785"/>
    <w:rsid w:val="44001569"/>
    <w:rsid w:val="44150A49"/>
    <w:rsid w:val="4427077C"/>
    <w:rsid w:val="447C21D5"/>
    <w:rsid w:val="448E4357"/>
    <w:rsid w:val="44AC2A30"/>
    <w:rsid w:val="44C22253"/>
    <w:rsid w:val="44C71617"/>
    <w:rsid w:val="44D73F50"/>
    <w:rsid w:val="44DC1567"/>
    <w:rsid w:val="44DE52DF"/>
    <w:rsid w:val="44E81CBA"/>
    <w:rsid w:val="44FF0DB1"/>
    <w:rsid w:val="452B429C"/>
    <w:rsid w:val="454A2974"/>
    <w:rsid w:val="456F5F37"/>
    <w:rsid w:val="458D0AB3"/>
    <w:rsid w:val="45965BB9"/>
    <w:rsid w:val="45A76CA5"/>
    <w:rsid w:val="45D3296A"/>
    <w:rsid w:val="46256F3D"/>
    <w:rsid w:val="46584C1D"/>
    <w:rsid w:val="469B0FAE"/>
    <w:rsid w:val="46A240EA"/>
    <w:rsid w:val="46AE2A8F"/>
    <w:rsid w:val="46ED7A5B"/>
    <w:rsid w:val="46FD1900"/>
    <w:rsid w:val="47095F17"/>
    <w:rsid w:val="471F573B"/>
    <w:rsid w:val="47451645"/>
    <w:rsid w:val="47A872C2"/>
    <w:rsid w:val="481D611E"/>
    <w:rsid w:val="485E2293"/>
    <w:rsid w:val="48733F90"/>
    <w:rsid w:val="48822425"/>
    <w:rsid w:val="48B00D40"/>
    <w:rsid w:val="48D579DC"/>
    <w:rsid w:val="48DF1625"/>
    <w:rsid w:val="490E3CB9"/>
    <w:rsid w:val="491D5CAA"/>
    <w:rsid w:val="49211C3E"/>
    <w:rsid w:val="49A14B2D"/>
    <w:rsid w:val="49C425C9"/>
    <w:rsid w:val="49CD5922"/>
    <w:rsid w:val="49E62540"/>
    <w:rsid w:val="49E8275C"/>
    <w:rsid w:val="4A0D3F70"/>
    <w:rsid w:val="4A3239D7"/>
    <w:rsid w:val="4A331C29"/>
    <w:rsid w:val="4A365275"/>
    <w:rsid w:val="4A513E5D"/>
    <w:rsid w:val="4A6C0C97"/>
    <w:rsid w:val="4A6F3CB5"/>
    <w:rsid w:val="4AEE3DA2"/>
    <w:rsid w:val="4B0E1D4E"/>
    <w:rsid w:val="4B11183E"/>
    <w:rsid w:val="4B6776B0"/>
    <w:rsid w:val="4B6D116B"/>
    <w:rsid w:val="4B6E6C91"/>
    <w:rsid w:val="4BA40904"/>
    <w:rsid w:val="4C0373D9"/>
    <w:rsid w:val="4C0A69B9"/>
    <w:rsid w:val="4C6F0F12"/>
    <w:rsid w:val="4CE4545C"/>
    <w:rsid w:val="4D0E652F"/>
    <w:rsid w:val="4D20220D"/>
    <w:rsid w:val="4D2C0BB1"/>
    <w:rsid w:val="4D372028"/>
    <w:rsid w:val="4D9D560B"/>
    <w:rsid w:val="4DB34E2F"/>
    <w:rsid w:val="4DF3347D"/>
    <w:rsid w:val="4DF96CE5"/>
    <w:rsid w:val="4E143B1F"/>
    <w:rsid w:val="4E281379"/>
    <w:rsid w:val="4E393586"/>
    <w:rsid w:val="4E3B72FE"/>
    <w:rsid w:val="4E6600F3"/>
    <w:rsid w:val="4EB40E5E"/>
    <w:rsid w:val="4EDB288F"/>
    <w:rsid w:val="4EE2777A"/>
    <w:rsid w:val="4EE80B08"/>
    <w:rsid w:val="4F005E52"/>
    <w:rsid w:val="4F0A15BF"/>
    <w:rsid w:val="4F701326"/>
    <w:rsid w:val="4F9667B6"/>
    <w:rsid w:val="4FBC621D"/>
    <w:rsid w:val="4FC11A85"/>
    <w:rsid w:val="4FD86DCF"/>
    <w:rsid w:val="500D0826"/>
    <w:rsid w:val="507C59AC"/>
    <w:rsid w:val="507D2964"/>
    <w:rsid w:val="50AF4CB1"/>
    <w:rsid w:val="511107EA"/>
    <w:rsid w:val="512F2A1E"/>
    <w:rsid w:val="512F6EC2"/>
    <w:rsid w:val="51316796"/>
    <w:rsid w:val="51764AF1"/>
    <w:rsid w:val="51BA2C30"/>
    <w:rsid w:val="526112FD"/>
    <w:rsid w:val="52636E23"/>
    <w:rsid w:val="526D7CA2"/>
    <w:rsid w:val="528F19C6"/>
    <w:rsid w:val="53407165"/>
    <w:rsid w:val="53874D93"/>
    <w:rsid w:val="53DA1367"/>
    <w:rsid w:val="53FD5056"/>
    <w:rsid w:val="54776BB6"/>
    <w:rsid w:val="547A0454"/>
    <w:rsid w:val="54B576DE"/>
    <w:rsid w:val="5523289A"/>
    <w:rsid w:val="5531145B"/>
    <w:rsid w:val="55346855"/>
    <w:rsid w:val="55384597"/>
    <w:rsid w:val="554F7B33"/>
    <w:rsid w:val="55564A1D"/>
    <w:rsid w:val="558E2409"/>
    <w:rsid w:val="55C0458D"/>
    <w:rsid w:val="55FA7A9F"/>
    <w:rsid w:val="56242D6E"/>
    <w:rsid w:val="56293EE0"/>
    <w:rsid w:val="564B654C"/>
    <w:rsid w:val="56717BA9"/>
    <w:rsid w:val="56BC4296"/>
    <w:rsid w:val="56BE0ACC"/>
    <w:rsid w:val="57381C10"/>
    <w:rsid w:val="57482A8C"/>
    <w:rsid w:val="575D6537"/>
    <w:rsid w:val="57CA16F3"/>
    <w:rsid w:val="58006EC2"/>
    <w:rsid w:val="581B4563"/>
    <w:rsid w:val="58443253"/>
    <w:rsid w:val="585A2A77"/>
    <w:rsid w:val="585A65D3"/>
    <w:rsid w:val="588D4BFA"/>
    <w:rsid w:val="58B303D9"/>
    <w:rsid w:val="58BC728D"/>
    <w:rsid w:val="58DD0FB2"/>
    <w:rsid w:val="59036C6A"/>
    <w:rsid w:val="592B425D"/>
    <w:rsid w:val="593432C8"/>
    <w:rsid w:val="59545718"/>
    <w:rsid w:val="59547EE1"/>
    <w:rsid w:val="595E20F3"/>
    <w:rsid w:val="59617E35"/>
    <w:rsid w:val="59EB482D"/>
    <w:rsid w:val="5A0802B0"/>
    <w:rsid w:val="5A0A61CB"/>
    <w:rsid w:val="5A292701"/>
    <w:rsid w:val="5A44753A"/>
    <w:rsid w:val="5A951B44"/>
    <w:rsid w:val="5A9B2ED2"/>
    <w:rsid w:val="5B1F58B2"/>
    <w:rsid w:val="5B2D6220"/>
    <w:rsid w:val="5B3A5B86"/>
    <w:rsid w:val="5B7618C6"/>
    <w:rsid w:val="5B9462A0"/>
    <w:rsid w:val="5BAA5AC3"/>
    <w:rsid w:val="5BD3501A"/>
    <w:rsid w:val="5C981DBF"/>
    <w:rsid w:val="5CC130C4"/>
    <w:rsid w:val="5D4B0BE0"/>
    <w:rsid w:val="5D573A29"/>
    <w:rsid w:val="5DAC2B03"/>
    <w:rsid w:val="5DE51034"/>
    <w:rsid w:val="5E082F75"/>
    <w:rsid w:val="5E1436C8"/>
    <w:rsid w:val="5E4044BD"/>
    <w:rsid w:val="5E6E102A"/>
    <w:rsid w:val="5E824AD5"/>
    <w:rsid w:val="5EA36559"/>
    <w:rsid w:val="5EAC1B52"/>
    <w:rsid w:val="5ECA1FD8"/>
    <w:rsid w:val="5F775CBC"/>
    <w:rsid w:val="5F7C7A26"/>
    <w:rsid w:val="5F830B05"/>
    <w:rsid w:val="5F8328B3"/>
    <w:rsid w:val="5F942055"/>
    <w:rsid w:val="5FAD4250"/>
    <w:rsid w:val="5FF27A39"/>
    <w:rsid w:val="6005776C"/>
    <w:rsid w:val="60487659"/>
    <w:rsid w:val="60536729"/>
    <w:rsid w:val="6065645C"/>
    <w:rsid w:val="606721D5"/>
    <w:rsid w:val="608C1C3B"/>
    <w:rsid w:val="60997EB4"/>
    <w:rsid w:val="60D86C2E"/>
    <w:rsid w:val="60F33A68"/>
    <w:rsid w:val="610C4B2A"/>
    <w:rsid w:val="612105D5"/>
    <w:rsid w:val="613320B7"/>
    <w:rsid w:val="61BA6334"/>
    <w:rsid w:val="61BF394A"/>
    <w:rsid w:val="61C64CD9"/>
    <w:rsid w:val="62031A89"/>
    <w:rsid w:val="621A5025"/>
    <w:rsid w:val="623061FF"/>
    <w:rsid w:val="626C3AD2"/>
    <w:rsid w:val="62784BD6"/>
    <w:rsid w:val="62BD432E"/>
    <w:rsid w:val="63035AB9"/>
    <w:rsid w:val="633914DA"/>
    <w:rsid w:val="63520F1A"/>
    <w:rsid w:val="63580BAD"/>
    <w:rsid w:val="63B05C41"/>
    <w:rsid w:val="63C27722"/>
    <w:rsid w:val="63F0428F"/>
    <w:rsid w:val="63F773CC"/>
    <w:rsid w:val="642301C1"/>
    <w:rsid w:val="64322AF9"/>
    <w:rsid w:val="643C6CB2"/>
    <w:rsid w:val="645C1924"/>
    <w:rsid w:val="648F2493"/>
    <w:rsid w:val="648F3AA8"/>
    <w:rsid w:val="64917820"/>
    <w:rsid w:val="64A55079"/>
    <w:rsid w:val="64B4350F"/>
    <w:rsid w:val="64C574CA"/>
    <w:rsid w:val="64D94D23"/>
    <w:rsid w:val="650A75D2"/>
    <w:rsid w:val="65271F32"/>
    <w:rsid w:val="6569254B"/>
    <w:rsid w:val="657809E0"/>
    <w:rsid w:val="658C7FE7"/>
    <w:rsid w:val="660E6C4E"/>
    <w:rsid w:val="661029C7"/>
    <w:rsid w:val="667C62AE"/>
    <w:rsid w:val="66CF4630"/>
    <w:rsid w:val="671D539B"/>
    <w:rsid w:val="674C5C80"/>
    <w:rsid w:val="679118E5"/>
    <w:rsid w:val="679715F1"/>
    <w:rsid w:val="679D472E"/>
    <w:rsid w:val="67D51E3E"/>
    <w:rsid w:val="67DF4D46"/>
    <w:rsid w:val="67E81E4D"/>
    <w:rsid w:val="681F5143"/>
    <w:rsid w:val="68A8338A"/>
    <w:rsid w:val="68F95994"/>
    <w:rsid w:val="69020CEC"/>
    <w:rsid w:val="691602F4"/>
    <w:rsid w:val="69164798"/>
    <w:rsid w:val="69BB0E9B"/>
    <w:rsid w:val="6A18009C"/>
    <w:rsid w:val="6A1D56B2"/>
    <w:rsid w:val="6A3B2011"/>
    <w:rsid w:val="6A576E16"/>
    <w:rsid w:val="6A8B38CC"/>
    <w:rsid w:val="6B1B6095"/>
    <w:rsid w:val="6B3158B9"/>
    <w:rsid w:val="6BAC4F3F"/>
    <w:rsid w:val="6BBA3B00"/>
    <w:rsid w:val="6BF1329A"/>
    <w:rsid w:val="6C2076DB"/>
    <w:rsid w:val="6C537AB1"/>
    <w:rsid w:val="6C563B87"/>
    <w:rsid w:val="6C5A499B"/>
    <w:rsid w:val="6C895281"/>
    <w:rsid w:val="6CCE0EE6"/>
    <w:rsid w:val="6D543AE1"/>
    <w:rsid w:val="6D7C6B93"/>
    <w:rsid w:val="6DA32372"/>
    <w:rsid w:val="6DB12CE1"/>
    <w:rsid w:val="6DF66946"/>
    <w:rsid w:val="6E1D2124"/>
    <w:rsid w:val="6EAB3BD4"/>
    <w:rsid w:val="6ECB392F"/>
    <w:rsid w:val="6ECC76A7"/>
    <w:rsid w:val="6ECD3B4B"/>
    <w:rsid w:val="6EEF89D6"/>
    <w:rsid w:val="6F082DD5"/>
    <w:rsid w:val="6F15104E"/>
    <w:rsid w:val="6F675D4D"/>
    <w:rsid w:val="6FA128E1"/>
    <w:rsid w:val="6FC767EC"/>
    <w:rsid w:val="6FF869A5"/>
    <w:rsid w:val="700C2451"/>
    <w:rsid w:val="70207CAA"/>
    <w:rsid w:val="706109EE"/>
    <w:rsid w:val="70651B61"/>
    <w:rsid w:val="70972B5A"/>
    <w:rsid w:val="70A46B2D"/>
    <w:rsid w:val="7141612A"/>
    <w:rsid w:val="71564889"/>
    <w:rsid w:val="71614A1E"/>
    <w:rsid w:val="719C5A56"/>
    <w:rsid w:val="71B50A2A"/>
    <w:rsid w:val="71B903B6"/>
    <w:rsid w:val="71D13952"/>
    <w:rsid w:val="71DD22F7"/>
    <w:rsid w:val="722C2936"/>
    <w:rsid w:val="7232489D"/>
    <w:rsid w:val="724265FE"/>
    <w:rsid w:val="724A3704"/>
    <w:rsid w:val="726F6CC7"/>
    <w:rsid w:val="72D74F98"/>
    <w:rsid w:val="72EC6569"/>
    <w:rsid w:val="72EE408F"/>
    <w:rsid w:val="72F01BB6"/>
    <w:rsid w:val="731060FC"/>
    <w:rsid w:val="73412411"/>
    <w:rsid w:val="73A11102"/>
    <w:rsid w:val="73B07597"/>
    <w:rsid w:val="73CF3EC1"/>
    <w:rsid w:val="73EF00BF"/>
    <w:rsid w:val="74281823"/>
    <w:rsid w:val="747D3207"/>
    <w:rsid w:val="74822CE1"/>
    <w:rsid w:val="74B60BDD"/>
    <w:rsid w:val="752913AF"/>
    <w:rsid w:val="75510906"/>
    <w:rsid w:val="7590142E"/>
    <w:rsid w:val="759E3B4B"/>
    <w:rsid w:val="75B275F6"/>
    <w:rsid w:val="75DE488F"/>
    <w:rsid w:val="75ED6880"/>
    <w:rsid w:val="76051E1C"/>
    <w:rsid w:val="764010A6"/>
    <w:rsid w:val="7641097A"/>
    <w:rsid w:val="76650B0D"/>
    <w:rsid w:val="768947FB"/>
    <w:rsid w:val="768C6099"/>
    <w:rsid w:val="76C75323"/>
    <w:rsid w:val="7711659E"/>
    <w:rsid w:val="771A36A5"/>
    <w:rsid w:val="771D4F43"/>
    <w:rsid w:val="771F2A69"/>
    <w:rsid w:val="774626EC"/>
    <w:rsid w:val="776F271E"/>
    <w:rsid w:val="77882D05"/>
    <w:rsid w:val="779FA2BD"/>
    <w:rsid w:val="78001FB4"/>
    <w:rsid w:val="782A3DBC"/>
    <w:rsid w:val="78A74B49"/>
    <w:rsid w:val="78C55892"/>
    <w:rsid w:val="78D87374"/>
    <w:rsid w:val="78DA69F4"/>
    <w:rsid w:val="78E73A5B"/>
    <w:rsid w:val="78F543CA"/>
    <w:rsid w:val="78F86140"/>
    <w:rsid w:val="792C76C0"/>
    <w:rsid w:val="793F3897"/>
    <w:rsid w:val="79570BE0"/>
    <w:rsid w:val="795B7FA5"/>
    <w:rsid w:val="796C5D0E"/>
    <w:rsid w:val="79863274"/>
    <w:rsid w:val="79943BD3"/>
    <w:rsid w:val="79960FDD"/>
    <w:rsid w:val="79ED50A1"/>
    <w:rsid w:val="79F91C98"/>
    <w:rsid w:val="7A0B5527"/>
    <w:rsid w:val="7A212F9C"/>
    <w:rsid w:val="7A6D1D3E"/>
    <w:rsid w:val="7AA1232B"/>
    <w:rsid w:val="7AA82D19"/>
    <w:rsid w:val="7AF97A75"/>
    <w:rsid w:val="7B09415C"/>
    <w:rsid w:val="7B2014A6"/>
    <w:rsid w:val="7B38234C"/>
    <w:rsid w:val="7B3D3E06"/>
    <w:rsid w:val="7B564EC8"/>
    <w:rsid w:val="7B694BFB"/>
    <w:rsid w:val="7BA934F5"/>
    <w:rsid w:val="7BB87930"/>
    <w:rsid w:val="7C04759C"/>
    <w:rsid w:val="7C156B31"/>
    <w:rsid w:val="7C2A4A0B"/>
    <w:rsid w:val="7C4411C4"/>
    <w:rsid w:val="7C507B69"/>
    <w:rsid w:val="7C7B27EB"/>
    <w:rsid w:val="7C9061B7"/>
    <w:rsid w:val="7CEF7382"/>
    <w:rsid w:val="7CFC55FB"/>
    <w:rsid w:val="7D11554A"/>
    <w:rsid w:val="7D32101D"/>
    <w:rsid w:val="7D423956"/>
    <w:rsid w:val="7D67C744"/>
    <w:rsid w:val="7DB67EA0"/>
    <w:rsid w:val="7DCC321F"/>
    <w:rsid w:val="7DF804B8"/>
    <w:rsid w:val="7DFA4230"/>
    <w:rsid w:val="7E2D63B4"/>
    <w:rsid w:val="7E8B30DA"/>
    <w:rsid w:val="7E8F2BCB"/>
    <w:rsid w:val="7E90249F"/>
    <w:rsid w:val="7EBE525E"/>
    <w:rsid w:val="7EC81C39"/>
    <w:rsid w:val="7F02653E"/>
    <w:rsid w:val="7F272E03"/>
    <w:rsid w:val="7F363046"/>
    <w:rsid w:val="7F645E05"/>
    <w:rsid w:val="7F806F63"/>
    <w:rsid w:val="D3D730F7"/>
    <w:rsid w:val="DF878D5D"/>
    <w:rsid w:val="E377F791"/>
    <w:rsid w:val="FC3E4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outlineLvl w:val="0"/>
    </w:pPr>
    <w:rPr>
      <w:rFonts w:eastAsia="黑体"/>
      <w:kern w:val="44"/>
    </w:rPr>
  </w:style>
  <w:style w:type="paragraph" w:styleId="4">
    <w:name w:val="heading 2"/>
    <w:basedOn w:val="1"/>
    <w:next w:val="1"/>
    <w:qFormat/>
    <w:uiPriority w:val="99"/>
    <w:pPr>
      <w:widowControl/>
      <w:spacing w:before="260" w:after="260"/>
      <w:jc w:val="center"/>
      <w:outlineLvl w:val="1"/>
    </w:pPr>
    <w:rPr>
      <w:rFonts w:eastAsia="楷体"/>
      <w:b/>
      <w:kern w:val="0"/>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Arial" w:hAnsi="Arial" w:cs="Arial"/>
      <w:b/>
      <w:bCs/>
      <w:sz w:val="32"/>
      <w:szCs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qFormat/>
    <w:uiPriority w:val="39"/>
    <w:pPr>
      <w:tabs>
        <w:tab w:val="right" w:leader="dot" w:pos="8296"/>
      </w:tabs>
      <w:ind w:firstLine="643"/>
    </w:pPr>
    <w:rPr>
      <w:rFonts w:ascii="黑体" w:hAnsi="黑体" w:eastAsia="黑体"/>
      <w:b/>
      <w:bCs/>
    </w:rPr>
  </w:style>
  <w:style w:type="paragraph" w:styleId="8">
    <w:name w:val="toc 2"/>
    <w:basedOn w:val="1"/>
    <w:next w:val="1"/>
    <w:qFormat/>
    <w:uiPriority w:val="39"/>
    <w:pPr>
      <w:ind w:left="420" w:leftChars="200"/>
    </w:pPr>
  </w:style>
  <w:style w:type="paragraph" w:styleId="9">
    <w:name w:val="Body Text First Indent 2"/>
    <w:basedOn w:val="1"/>
    <w:next w:val="1"/>
    <w:qFormat/>
    <w:uiPriority w:val="99"/>
    <w:pPr>
      <w:ind w:firstLine="880" w:firstLineChars="200"/>
    </w:pPr>
    <w:rPr>
      <w:rFonts w:eastAsia="仿宋_GB2312"/>
      <w:sz w:val="34"/>
    </w:rPr>
  </w:style>
  <w:style w:type="table" w:styleId="11">
    <w:name w:val="Table Grid"/>
    <w:qFormat/>
    <w:uiPriority w:val="0"/>
    <w:pPr>
      <w:widowControl w:val="0"/>
      <w:spacing w:after="160" w:line="278"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3">
    <w:name w:val="Strong"/>
    <w:basedOn w:val="12"/>
    <w:qFormat/>
    <w:uiPriority w:val="22"/>
    <w:rPr>
      <w:b/>
    </w:rPr>
  </w:style>
  <w:style w:type="paragraph" w:customStyle="1" w:styleId="14">
    <w:name w:val="样式 正文11 + 首行缩进:  2 字符"/>
    <w:basedOn w:val="1"/>
    <w:qFormat/>
    <w:uiPriority w:val="0"/>
    <w:pPr>
      <w:spacing w:line="500" w:lineRule="exact"/>
      <w:ind w:firstLine="560" w:firstLineChars="200"/>
    </w:pPr>
    <w:rPr>
      <w:rFonts w:ascii="宋体" w:hAnsi="宋体" w:cs="宋体"/>
      <w:color w:val="FF0000"/>
      <w:sz w:val="28"/>
      <w:szCs w:val="20"/>
    </w:rPr>
  </w:style>
  <w:style w:type="table" w:customStyle="1" w:styleId="15">
    <w:name w:val="网格型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92</Pages>
  <Words>35</Words>
  <Characters>38</Characters>
  <Lines>2557</Lines>
  <Paragraphs>2182</Paragraphs>
  <TotalTime>159</TotalTime>
  <ScaleCrop>false</ScaleCrop>
  <LinksUpToDate>false</LinksUpToDate>
  <CharactersWithSpaces>41</CharactersWithSpaces>
  <Application>WPS Office_12.1.0.26895_F1E327BC-269C-435d-A152-05C5408002CA</Application>
  <DocSecurity>1</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2025-12-31T22:05:00Z</dcterms:created>
  <dc:creator>Administrator</dc:creator>
  <cp:lastModifiedBy>祭酒</cp:lastModifiedBy>
  <cp:lastPrinted>2026-07-24T07:42:34Z</cp:lastPrinted>
  <dcterms:modified xsi:type="dcterms:W3CDTF">2026-07-24T07:45:15Z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B304A70395892DBDD2605869CA8A39CB_43</vt:lpwstr>
  </property>
  <property fmtid="{D5CDD505-2E9C-101B-9397-08002B2CF9AE}" pid="4" name="KSOTemplateDocerSaveRecord">
    <vt:lpwstr>eyJoZGlkIjoiYjQ1YTkyZjg0MGRjN2JhYjgzN2Y3Nzc1MDc1OGM2MjgiLCJ1c2VySWQiOiI0NzMwMTQzMjUifQ==</vt:lpwstr>
  </property>
</Properties>
</file>