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both"/>
        <w:rPr>
          <w:rFonts w:ascii="宋体" w:hAnsi="宋体" w:eastAsia="宋体" w:cs="宋体"/>
          <w:sz w:val="44"/>
          <w:szCs w:val="44"/>
        </w:rPr>
      </w:pPr>
    </w:p>
    <w:p>
      <w:pPr>
        <w:bidi w:val="0"/>
        <w:rPr>
          <w:rFonts w:asciiTheme="minorHAnsi" w:hAnsiTheme="minorHAnsi" w:eastAsiaTheme="minorEastAsia" w:cstheme="minorBidi"/>
          <w:kern w:val="2"/>
          <w:sz w:val="21"/>
          <w:szCs w:val="24"/>
          <w:lang w:val="en-US" w:eastAsia="zh-CN" w:bidi="ar-SA"/>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bidi w:val="0"/>
        <w:rPr>
          <w:lang w:val="en-US" w:eastAsia="zh-CN"/>
        </w:rPr>
      </w:pPr>
    </w:p>
    <w:p>
      <w:pPr>
        <w:tabs>
          <w:tab w:val="left" w:pos="1951"/>
        </w:tabs>
        <w:bidi w:val="0"/>
        <w:jc w:val="center"/>
        <w:rPr>
          <w:rFonts w:hint="default" w:eastAsiaTheme="minorEastAsia"/>
          <w:lang w:val="en-US" w:eastAsia="zh-CN"/>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r>
        <w:rPr>
          <w:rFonts w:hint="eastAsia" w:ascii="黑体" w:hAnsi="黑体" w:eastAsia="黑体" w:cs="黑体"/>
          <w:sz w:val="52"/>
          <w:szCs w:val="52"/>
          <w:lang w:val="en-US" w:eastAsia="zh-CN"/>
        </w:rPr>
        <w:t>2024年度永吉县政府决算公开</w:t>
      </w:r>
    </w:p>
    <w:p>
      <w:pPr>
        <w:pStyle w:val="2"/>
      </w:pPr>
    </w:p>
    <w:p>
      <w:pPr>
        <w:spacing w:line="600" w:lineRule="exact"/>
        <w:ind w:firstLine="883" w:firstLineChars="200"/>
        <w:jc w:val="center"/>
        <w:rPr>
          <w:rFonts w:ascii="宋体" w:hAnsi="宋体" w:eastAsia="宋体" w:cs="宋体"/>
          <w:b/>
          <w:bCs/>
          <w:sz w:val="44"/>
          <w:szCs w:val="44"/>
        </w:rPr>
      </w:pPr>
      <w:r>
        <w:rPr>
          <w:rFonts w:hint="eastAsia" w:ascii="宋体" w:hAnsi="宋体" w:eastAsia="宋体" w:cs="宋体"/>
          <w:b/>
          <w:bCs/>
          <w:sz w:val="44"/>
          <w:szCs w:val="44"/>
        </w:rPr>
        <w:t>编表说明</w:t>
      </w:r>
    </w:p>
    <w:p>
      <w:pPr>
        <w:spacing w:line="600" w:lineRule="exact"/>
        <w:ind w:firstLine="880" w:firstLineChars="200"/>
        <w:jc w:val="center"/>
        <w:rPr>
          <w:rFonts w:ascii="宋体" w:hAnsi="宋体" w:eastAsia="宋体" w:cs="宋体"/>
          <w:sz w:val="44"/>
          <w:szCs w:val="44"/>
        </w:rPr>
      </w:pPr>
    </w:p>
    <w:p>
      <w:pPr>
        <w:keepNext w:val="0"/>
        <w:keepLines w:val="0"/>
        <w:pageBreakBefore w:val="0"/>
        <w:widowControl/>
        <w:kinsoku/>
        <w:wordWrap/>
        <w:overflowPunct/>
        <w:topLinePunct w:val="0"/>
        <w:autoSpaceDE/>
        <w:autoSpaceDN/>
        <w:bidi w:val="0"/>
        <w:adjustRightInd w:val="0"/>
        <w:snapToGrid w:val="0"/>
        <w:spacing w:after="0" w:line="600" w:lineRule="exact"/>
        <w:ind w:firstLine="640" w:firstLineChars="200"/>
        <w:textAlignment w:val="auto"/>
        <w:rPr>
          <w:rFonts w:ascii="Times New Roman" w:hAnsi="Times New Roman" w:eastAsia="仿宋" w:cs="Times New Roman"/>
          <w:sz w:val="32"/>
          <w:szCs w:val="32"/>
        </w:rPr>
      </w:pPr>
      <w:r>
        <w:rPr>
          <w:rFonts w:hint="eastAsia" w:ascii="Times New Roman" w:hAnsi="Times New Roman" w:eastAsia="仿宋" w:cs="Times New Roman"/>
          <w:sz w:val="32"/>
          <w:szCs w:val="32"/>
        </w:rPr>
        <w:t>一、</w:t>
      </w:r>
      <w:r>
        <w:rPr>
          <w:rFonts w:ascii="Times New Roman" w:hAnsi="Times New Roman" w:eastAsia="仿宋" w:cs="Times New Roman"/>
          <w:sz w:val="32"/>
          <w:szCs w:val="32"/>
        </w:rPr>
        <w:t>根据《中华人民共和国预算法》规定，本草案的表格和说明按一般公共决算、政府性基金决算</w:t>
      </w:r>
      <w:r>
        <w:rPr>
          <w:rFonts w:hint="eastAsia" w:ascii="Times New Roman" w:hAnsi="Times New Roman" w:eastAsia="仿宋" w:cs="Times New Roman"/>
          <w:sz w:val="32"/>
          <w:szCs w:val="32"/>
        </w:rPr>
        <w:t>、国有资本经营</w:t>
      </w:r>
      <w:r>
        <w:rPr>
          <w:rFonts w:ascii="Times New Roman" w:hAnsi="Times New Roman" w:eastAsia="仿宋" w:cs="Times New Roman"/>
          <w:sz w:val="32"/>
          <w:szCs w:val="32"/>
        </w:rPr>
        <w:t>决算和社会保险基金决算等</w:t>
      </w:r>
      <w:r>
        <w:rPr>
          <w:rFonts w:hint="eastAsia" w:ascii="Times New Roman" w:hAnsi="Times New Roman" w:eastAsia="仿宋" w:cs="Times New Roman"/>
          <w:sz w:val="32"/>
          <w:szCs w:val="32"/>
        </w:rPr>
        <w:t>四</w:t>
      </w:r>
      <w:r>
        <w:rPr>
          <w:rFonts w:ascii="Times New Roman" w:hAnsi="Times New Roman" w:eastAsia="仿宋" w:cs="Times New Roman"/>
          <w:sz w:val="32"/>
          <w:szCs w:val="32"/>
        </w:rPr>
        <w:t>部分列示，因永吉县无国有资本经营预算，本次公开列示国有资本经营决算</w:t>
      </w:r>
      <w:r>
        <w:rPr>
          <w:rFonts w:hint="eastAsia" w:ascii="Times New Roman" w:hAnsi="Times New Roman" w:eastAsia="仿宋" w:cs="Times New Roman"/>
          <w:sz w:val="32"/>
          <w:szCs w:val="32"/>
        </w:rPr>
        <w:t>空表</w:t>
      </w:r>
      <w:r>
        <w:rPr>
          <w:rFonts w:ascii="Times New Roman" w:hAnsi="Times New Roman" w:eastAsia="仿宋" w:cs="Times New Roman"/>
          <w:sz w:val="32"/>
          <w:szCs w:val="32"/>
        </w:rPr>
        <w:t>。</w:t>
      </w:r>
    </w:p>
    <w:p>
      <w:pPr>
        <w:keepNext w:val="0"/>
        <w:keepLines w:val="0"/>
        <w:pageBreakBefore w:val="0"/>
        <w:widowControl/>
        <w:tabs>
          <w:tab w:val="left" w:pos="679"/>
        </w:tabs>
        <w:kinsoku/>
        <w:wordWrap/>
        <w:overflowPunct/>
        <w:topLinePunct w:val="0"/>
        <w:autoSpaceDE/>
        <w:autoSpaceDN/>
        <w:bidi w:val="0"/>
        <w:adjustRightInd w:val="0"/>
        <w:snapToGrid w:val="0"/>
        <w:spacing w:after="0" w:line="600" w:lineRule="exact"/>
        <w:jc w:val="left"/>
        <w:textAlignment w:val="auto"/>
        <w:rPr>
          <w:rFonts w:hint="eastAsia" w:ascii="Times New Roman" w:hAnsi="Times New Roman" w:eastAsia="仿宋" w:cs="Times New Roman"/>
          <w:color w:val="auto"/>
          <w:sz w:val="32"/>
          <w:szCs w:val="32"/>
        </w:rPr>
      </w:pPr>
      <w:r>
        <w:rPr>
          <w:rFonts w:hint="eastAsia" w:ascii="Times New Roman" w:hAnsi="Times New Roman" w:eastAsia="仿宋" w:cs="Times New Roman"/>
          <w:color w:val="auto"/>
          <w:sz w:val="32"/>
          <w:szCs w:val="32"/>
        </w:rPr>
        <w:tab/>
      </w:r>
      <w:r>
        <w:rPr>
          <w:rFonts w:hint="eastAsia" w:ascii="Times New Roman" w:hAnsi="Times New Roman" w:eastAsia="仿宋" w:cs="Times New Roman"/>
          <w:color w:val="auto"/>
          <w:sz w:val="32"/>
          <w:szCs w:val="32"/>
        </w:rPr>
        <w:t>二、</w:t>
      </w:r>
      <w:r>
        <w:rPr>
          <w:rFonts w:hint="eastAsia" w:ascii="Times New Roman" w:hAnsi="Times New Roman" w:eastAsia="仿宋" w:cs="Times New Roman"/>
          <w:color w:val="auto"/>
          <w:sz w:val="32"/>
          <w:szCs w:val="32"/>
          <w:lang w:val="en-US" w:eastAsia="zh-CN"/>
        </w:rPr>
        <w:t>2024</w:t>
      </w:r>
      <w:r>
        <w:rPr>
          <w:rFonts w:hint="eastAsia" w:ascii="Times New Roman" w:hAnsi="Times New Roman" w:eastAsia="仿宋" w:cs="Times New Roman"/>
          <w:color w:val="auto"/>
          <w:sz w:val="32"/>
          <w:szCs w:val="32"/>
        </w:rPr>
        <w:t>年永吉县一般公共预算收入完成表中税收收入增减幅度按自然增长数据比较填列。</w:t>
      </w:r>
    </w:p>
    <w:p>
      <w:pPr>
        <w:pStyle w:val="2"/>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center"/>
        <w:rPr>
          <w:rFonts w:ascii="Times New Roman" w:hAnsi="Times New Roman" w:eastAsia="仿宋" w:cs="Times New Roman"/>
          <w:sz w:val="32"/>
          <w:szCs w:val="32"/>
        </w:rPr>
      </w:pPr>
    </w:p>
    <w:p>
      <w:pPr>
        <w:spacing w:line="600" w:lineRule="exact"/>
        <w:jc w:val="both"/>
        <w:rPr>
          <w:rFonts w:ascii="Times New Roman" w:hAnsi="Times New Roman" w:eastAsia="仿宋" w:cs="Times New Roman"/>
          <w:sz w:val="32"/>
          <w:szCs w:val="32"/>
        </w:rPr>
      </w:pPr>
    </w:p>
    <w:p>
      <w:pPr>
        <w:spacing w:line="600" w:lineRule="exact"/>
        <w:jc w:val="both"/>
        <w:rPr>
          <w:rFonts w:ascii="Times New Roman" w:hAnsi="Times New Roman" w:eastAsia="仿宋" w:cs="Times New Roman"/>
          <w:b/>
          <w:bCs/>
          <w:sz w:val="44"/>
          <w:szCs w:val="44"/>
        </w:rPr>
      </w:pPr>
      <w:bookmarkStart w:id="0" w:name="_Toc12727"/>
    </w:p>
    <w:bookmarkEnd w:id="0"/>
    <w:p>
      <w:pPr>
        <w:spacing w:line="600" w:lineRule="exact"/>
        <w:ind w:firstLine="883" w:firstLineChars="200"/>
        <w:jc w:val="center"/>
        <w:rPr>
          <w:rFonts w:ascii="宋体" w:hAnsi="宋体" w:eastAsia="宋体" w:cs="宋体"/>
          <w:b/>
          <w:bCs/>
          <w:sz w:val="44"/>
          <w:szCs w:val="44"/>
        </w:rPr>
      </w:pPr>
      <w:r>
        <w:rPr>
          <w:rFonts w:ascii="Times New Roman" w:hAnsi="Times New Roman" w:eastAsia="仿宋" w:cs="Times New Roman"/>
          <w:b/>
          <w:bCs/>
          <w:sz w:val="44"/>
          <w:szCs w:val="44"/>
        </w:rPr>
        <w:t>目</w:t>
      </w:r>
      <w:r>
        <w:rPr>
          <w:rFonts w:hint="eastAsia" w:ascii="Times New Roman" w:hAnsi="Times New Roman" w:eastAsia="仿宋" w:cs="Times New Roman"/>
          <w:b/>
          <w:bCs/>
          <w:sz w:val="44"/>
          <w:szCs w:val="44"/>
        </w:rPr>
        <w:t xml:space="preserve">    </w:t>
      </w:r>
      <w:r>
        <w:rPr>
          <w:rFonts w:ascii="Times New Roman" w:hAnsi="Times New Roman" w:eastAsia="仿宋" w:cs="Times New Roman"/>
          <w:b/>
          <w:bCs/>
          <w:sz w:val="44"/>
          <w:szCs w:val="44"/>
        </w:rPr>
        <w:t>录</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专有名词释义</w:t>
      </w:r>
      <w:r>
        <w:rPr>
          <w:b/>
          <w:bCs/>
          <w:color w:val="auto"/>
          <w:sz w:val="28"/>
          <w:szCs w:val="28"/>
        </w:rPr>
        <w:tab/>
      </w:r>
      <w:bookmarkStart w:id="1" w:name="_Toc17444"/>
      <w:bookmarkStart w:id="2" w:name="_Toc9183"/>
      <w:r>
        <w:rPr>
          <w:rFonts w:hint="eastAsia"/>
          <w:b/>
          <w:bCs/>
          <w:color w:val="auto"/>
          <w:sz w:val="28"/>
          <w:szCs w:val="28"/>
          <w:lang w:val="en-US" w:eastAsia="zh-CN"/>
        </w:rPr>
        <w:t>5</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hint="eastAsia" w:ascii="Times New Roman" w:hAnsi="Times New Roman" w:eastAsia="仿宋" w:cs="Times New Roman"/>
          <w:color w:val="auto"/>
          <w:sz w:val="32"/>
          <w:szCs w:val="32"/>
        </w:rPr>
        <w:t>一、</w:t>
      </w:r>
      <w:r>
        <w:rPr>
          <w:rFonts w:hint="eastAsia" w:eastAsia="仿宋" w:cs="Times New Roman"/>
          <w:color w:val="auto"/>
          <w:sz w:val="32"/>
          <w:szCs w:val="32"/>
          <w:lang w:val="en-US" w:eastAsia="zh-CN"/>
        </w:rPr>
        <w:t>2024</w:t>
      </w:r>
      <w:r>
        <w:rPr>
          <w:rFonts w:hint="eastAsia" w:ascii="Times New Roman" w:hAnsi="Times New Roman" w:eastAsia="仿宋" w:cs="Times New Roman"/>
          <w:color w:val="auto"/>
          <w:sz w:val="32"/>
          <w:szCs w:val="32"/>
        </w:rPr>
        <w:t>年永吉县</w:t>
      </w:r>
      <w:r>
        <w:rPr>
          <w:rFonts w:ascii="Times New Roman" w:hAnsi="Times New Roman" w:eastAsia="仿宋" w:cs="Times New Roman"/>
          <w:color w:val="auto"/>
          <w:sz w:val="32"/>
          <w:szCs w:val="32"/>
        </w:rPr>
        <w:t>一般公共</w:t>
      </w:r>
      <w:r>
        <w:rPr>
          <w:rFonts w:hint="eastAsia" w:ascii="Times New Roman" w:hAnsi="Times New Roman" w:eastAsia="仿宋" w:cs="Times New Roman"/>
          <w:color w:val="auto"/>
          <w:sz w:val="32"/>
          <w:szCs w:val="32"/>
        </w:rPr>
        <w:t>预算收支情况</w:t>
      </w:r>
      <w:bookmarkEnd w:id="1"/>
      <w:bookmarkEnd w:id="2"/>
      <w:bookmarkStart w:id="3" w:name="_Toc7134"/>
      <w:r>
        <w:rPr>
          <w:b/>
          <w:bCs/>
          <w:color w:val="auto"/>
          <w:sz w:val="28"/>
          <w:szCs w:val="28"/>
        </w:rPr>
        <w:tab/>
      </w:r>
      <w:bookmarkStart w:id="4" w:name="_Toc29511"/>
      <w:r>
        <w:rPr>
          <w:rFonts w:hint="eastAsia"/>
          <w:b/>
          <w:bCs/>
          <w:color w:val="auto"/>
          <w:sz w:val="28"/>
          <w:szCs w:val="28"/>
          <w:lang w:val="en-US" w:eastAsia="zh-CN"/>
        </w:rPr>
        <w:t>9</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（一）</w:t>
      </w:r>
      <w:r>
        <w:rPr>
          <w:rFonts w:hint="eastAsia" w:eastAsia="仿宋" w:cs="Times New Roman"/>
          <w:color w:val="auto"/>
          <w:sz w:val="32"/>
          <w:szCs w:val="32"/>
          <w:lang w:val="en-US" w:eastAsia="zh-CN"/>
        </w:rPr>
        <w:t>2024</w:t>
      </w:r>
      <w:r>
        <w:rPr>
          <w:rFonts w:ascii="Times New Roman" w:hAnsi="Times New Roman" w:eastAsia="仿宋" w:cs="Times New Roman"/>
          <w:color w:val="auto"/>
          <w:sz w:val="32"/>
          <w:szCs w:val="32"/>
        </w:rPr>
        <w:t>年永吉县一般公共预算财政收支平衡表</w:t>
      </w:r>
      <w:bookmarkEnd w:id="3"/>
      <w:bookmarkEnd w:id="4"/>
      <w:bookmarkStart w:id="5" w:name="_Toc13884"/>
      <w:bookmarkStart w:id="6" w:name="_Toc3176"/>
      <w:r>
        <w:rPr>
          <w:b/>
          <w:bCs/>
          <w:color w:val="auto"/>
          <w:sz w:val="28"/>
          <w:szCs w:val="28"/>
        </w:rPr>
        <w:tab/>
      </w:r>
      <w:r>
        <w:rPr>
          <w:rFonts w:hint="eastAsia"/>
          <w:b/>
          <w:bCs/>
          <w:color w:val="auto"/>
          <w:sz w:val="28"/>
          <w:szCs w:val="28"/>
          <w:lang w:val="en-US" w:eastAsia="zh-CN"/>
        </w:rPr>
        <w:t>10</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（二）</w:t>
      </w:r>
      <w:r>
        <w:rPr>
          <w:rFonts w:hint="eastAsia" w:eastAsia="仿宋" w:cs="Times New Roman"/>
          <w:color w:val="auto"/>
          <w:sz w:val="32"/>
          <w:szCs w:val="32"/>
          <w:lang w:val="en-US" w:eastAsia="zh-CN"/>
        </w:rPr>
        <w:t>2024</w:t>
      </w:r>
      <w:r>
        <w:rPr>
          <w:rFonts w:ascii="Times New Roman" w:hAnsi="Times New Roman" w:eastAsia="仿宋" w:cs="Times New Roman"/>
          <w:color w:val="auto"/>
          <w:sz w:val="32"/>
          <w:szCs w:val="32"/>
        </w:rPr>
        <w:t>年永吉县一般公共预算收入完成表</w:t>
      </w:r>
      <w:bookmarkEnd w:id="5"/>
      <w:bookmarkEnd w:id="6"/>
      <w:r>
        <w:rPr>
          <w:b/>
          <w:bCs/>
          <w:color w:val="auto"/>
          <w:sz w:val="28"/>
          <w:szCs w:val="28"/>
        </w:rPr>
        <w:tab/>
      </w:r>
      <w:r>
        <w:rPr>
          <w:rFonts w:hint="eastAsia"/>
          <w:b/>
          <w:bCs/>
          <w:color w:val="auto"/>
          <w:sz w:val="28"/>
          <w:szCs w:val="28"/>
          <w:lang w:val="en-US" w:eastAsia="zh-CN"/>
        </w:rPr>
        <w:t>1</w:t>
      </w:r>
      <w:bookmarkStart w:id="7" w:name="_Toc9714"/>
      <w:bookmarkStart w:id="8" w:name="_Toc16919"/>
      <w:r>
        <w:rPr>
          <w:rFonts w:hint="eastAsia"/>
          <w:b/>
          <w:bCs/>
          <w:color w:val="auto"/>
          <w:sz w:val="28"/>
          <w:szCs w:val="28"/>
          <w:lang w:val="en-US" w:eastAsia="zh-CN"/>
        </w:rPr>
        <w:t>2</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（三）</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年永吉县一般公共预算支出完成表</w:t>
      </w:r>
      <w:bookmarkEnd w:id="7"/>
      <w:bookmarkEnd w:id="8"/>
      <w:r>
        <w:rPr>
          <w:b/>
          <w:bCs/>
          <w:color w:val="auto"/>
          <w:sz w:val="28"/>
          <w:szCs w:val="28"/>
        </w:rPr>
        <w:tab/>
      </w:r>
      <w:bookmarkStart w:id="9" w:name="_Toc5137"/>
      <w:bookmarkStart w:id="10" w:name="_Toc28676"/>
      <w:r>
        <w:rPr>
          <w:rFonts w:hint="eastAsia"/>
          <w:b/>
          <w:bCs/>
          <w:color w:val="auto"/>
          <w:sz w:val="28"/>
          <w:szCs w:val="28"/>
          <w:lang w:val="en-US" w:eastAsia="zh-CN"/>
        </w:rPr>
        <w:t>15</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hint="eastAsia" w:ascii="Times New Roman" w:hAnsi="Times New Roman" w:eastAsia="仿宋" w:cs="Times New Roman"/>
          <w:color w:val="auto"/>
          <w:sz w:val="32"/>
          <w:szCs w:val="32"/>
        </w:rPr>
        <w:t>（四）</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年永吉县本级一般公共预算支出完成表</w:t>
      </w:r>
      <w:bookmarkEnd w:id="9"/>
      <w:bookmarkEnd w:id="10"/>
      <w:r>
        <w:rPr>
          <w:b/>
          <w:bCs/>
          <w:color w:val="auto"/>
          <w:sz w:val="28"/>
          <w:szCs w:val="28"/>
        </w:rPr>
        <w:tab/>
      </w:r>
      <w:bookmarkStart w:id="11" w:name="_Toc27196"/>
      <w:bookmarkStart w:id="12" w:name="_Toc15712"/>
      <w:r>
        <w:rPr>
          <w:rFonts w:hint="eastAsia"/>
          <w:b/>
          <w:bCs/>
          <w:color w:val="auto"/>
          <w:sz w:val="28"/>
          <w:szCs w:val="28"/>
          <w:lang w:val="en-US" w:eastAsia="zh-CN"/>
        </w:rPr>
        <w:t>19</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rPr>
        <w:t>（五）</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年永吉县本级一般公共预算基本支出完成表</w:t>
      </w:r>
      <w:bookmarkEnd w:id="11"/>
      <w:bookmarkEnd w:id="12"/>
      <w:r>
        <w:rPr>
          <w:b/>
          <w:bCs/>
          <w:color w:val="auto"/>
          <w:sz w:val="28"/>
          <w:szCs w:val="28"/>
        </w:rPr>
        <w:tab/>
      </w:r>
      <w:bookmarkStart w:id="13" w:name="_Toc11521"/>
      <w:bookmarkStart w:id="14" w:name="_Toc21471"/>
      <w:r>
        <w:rPr>
          <w:rFonts w:hint="eastAsia"/>
          <w:b/>
          <w:bCs/>
          <w:color w:val="auto"/>
          <w:sz w:val="28"/>
          <w:szCs w:val="28"/>
          <w:lang w:val="en-US" w:eastAsia="zh-CN"/>
        </w:rPr>
        <w:t>34</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hint="eastAsia" w:ascii="Times New Roman" w:hAnsi="Times New Roman" w:eastAsia="仿宋" w:cs="Times New Roman"/>
          <w:color w:val="auto"/>
          <w:sz w:val="32"/>
          <w:szCs w:val="32"/>
        </w:rPr>
        <w:t>（六）</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年永吉县“三公经费”支出情况表及说明</w:t>
      </w:r>
      <w:bookmarkEnd w:id="13"/>
      <w:bookmarkEnd w:id="14"/>
      <w:r>
        <w:rPr>
          <w:b/>
          <w:bCs/>
          <w:color w:val="auto"/>
          <w:sz w:val="28"/>
          <w:szCs w:val="28"/>
        </w:rPr>
        <w:tab/>
      </w:r>
      <w:bookmarkStart w:id="15" w:name="_Toc1968"/>
      <w:bookmarkStart w:id="16" w:name="_Toc8507"/>
      <w:r>
        <w:rPr>
          <w:rFonts w:hint="eastAsia"/>
          <w:b/>
          <w:bCs/>
          <w:color w:val="auto"/>
          <w:sz w:val="28"/>
          <w:szCs w:val="28"/>
          <w:lang w:val="en-US" w:eastAsia="zh-CN"/>
        </w:rPr>
        <w:t>37</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w:t>
      </w:r>
      <w:r>
        <w:rPr>
          <w:rFonts w:hint="eastAsia" w:ascii="Times New Roman" w:hAnsi="Times New Roman" w:eastAsia="仿宋" w:cs="Times New Roman"/>
          <w:color w:val="auto"/>
          <w:sz w:val="32"/>
          <w:szCs w:val="32"/>
        </w:rPr>
        <w:t>七</w:t>
      </w:r>
      <w:r>
        <w:rPr>
          <w:rFonts w:ascii="Times New Roman" w:hAnsi="Times New Roman" w:eastAsia="仿宋" w:cs="Times New Roman"/>
          <w:color w:val="auto"/>
          <w:sz w:val="32"/>
          <w:szCs w:val="32"/>
        </w:rPr>
        <w:t>）</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年永吉县一般公共预算税收返还和转移支付表</w:t>
      </w:r>
      <w:r>
        <w:rPr>
          <w:rFonts w:hint="eastAsia" w:ascii="Times New Roman" w:hAnsi="Times New Roman" w:eastAsia="仿宋" w:cs="Times New Roman"/>
          <w:color w:val="auto"/>
          <w:sz w:val="32"/>
          <w:szCs w:val="32"/>
        </w:rPr>
        <w:t>及说明</w:t>
      </w:r>
      <w:bookmarkEnd w:id="15"/>
      <w:bookmarkEnd w:id="16"/>
      <w:r>
        <w:rPr>
          <w:b/>
          <w:bCs/>
          <w:color w:val="auto"/>
          <w:sz w:val="28"/>
          <w:szCs w:val="28"/>
        </w:rPr>
        <w:tab/>
      </w:r>
      <w:bookmarkStart w:id="17" w:name="_Toc10460"/>
      <w:bookmarkStart w:id="18" w:name="_Toc28236"/>
      <w:r>
        <w:rPr>
          <w:rFonts w:hint="eastAsia"/>
          <w:b/>
          <w:bCs/>
          <w:color w:val="auto"/>
          <w:sz w:val="28"/>
          <w:szCs w:val="28"/>
          <w:lang w:val="en-US" w:eastAsia="zh-CN"/>
        </w:rPr>
        <w:t>39</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rPr>
        <w:t>二、</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w:t>
      </w:r>
      <w:r>
        <w:rPr>
          <w:rFonts w:ascii="Times New Roman" w:hAnsi="Times New Roman" w:eastAsia="仿宋" w:cs="Times New Roman"/>
          <w:color w:val="auto"/>
          <w:sz w:val="32"/>
          <w:szCs w:val="32"/>
        </w:rPr>
        <w:t>政府性基金</w:t>
      </w:r>
      <w:r>
        <w:rPr>
          <w:rFonts w:hint="eastAsia" w:ascii="Times New Roman" w:hAnsi="Times New Roman" w:eastAsia="仿宋" w:cs="Times New Roman"/>
          <w:color w:val="auto"/>
          <w:sz w:val="32"/>
          <w:szCs w:val="32"/>
        </w:rPr>
        <w:t>收支情况</w:t>
      </w:r>
      <w:bookmarkEnd w:id="17"/>
      <w:bookmarkEnd w:id="18"/>
      <w:r>
        <w:rPr>
          <w:b/>
          <w:bCs/>
          <w:color w:val="auto"/>
          <w:sz w:val="28"/>
          <w:szCs w:val="28"/>
        </w:rPr>
        <w:tab/>
      </w:r>
      <w:bookmarkStart w:id="19" w:name="_Toc26592"/>
      <w:bookmarkStart w:id="20" w:name="_Toc11231"/>
      <w:r>
        <w:rPr>
          <w:rFonts w:hint="eastAsia"/>
          <w:b/>
          <w:bCs/>
          <w:color w:val="auto"/>
          <w:sz w:val="28"/>
          <w:szCs w:val="28"/>
          <w:lang w:val="en-US" w:eastAsia="zh-CN"/>
        </w:rPr>
        <w:t>47</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ascii="Times New Roman" w:hAnsi="Times New Roman" w:eastAsia="仿宋" w:cs="Times New Roman"/>
          <w:color w:val="auto"/>
          <w:sz w:val="32"/>
          <w:szCs w:val="32"/>
        </w:rPr>
        <w:t>（一）</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年永吉县政府性基金收入完成表</w:t>
      </w:r>
      <w:bookmarkEnd w:id="19"/>
      <w:bookmarkEnd w:id="20"/>
      <w:r>
        <w:rPr>
          <w:b/>
          <w:bCs/>
          <w:color w:val="auto"/>
          <w:sz w:val="28"/>
          <w:szCs w:val="28"/>
        </w:rPr>
        <w:tab/>
      </w:r>
      <w:bookmarkStart w:id="21" w:name="_Toc24748"/>
      <w:bookmarkStart w:id="22" w:name="_Toc30787"/>
      <w:r>
        <w:rPr>
          <w:rFonts w:hint="eastAsia"/>
          <w:b/>
          <w:bCs/>
          <w:color w:val="auto"/>
          <w:sz w:val="28"/>
          <w:szCs w:val="28"/>
          <w:lang w:val="en-US" w:eastAsia="zh-CN"/>
        </w:rPr>
        <w:t>48</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ascii="Times New Roman" w:hAnsi="Times New Roman" w:eastAsia="仿宋" w:cs="Times New Roman"/>
          <w:color w:val="auto"/>
          <w:sz w:val="32"/>
          <w:szCs w:val="32"/>
        </w:rPr>
        <w:t>（</w:t>
      </w:r>
      <w:r>
        <w:rPr>
          <w:rFonts w:hint="eastAsia" w:eastAsia="仿宋" w:cs="Times New Roman"/>
          <w:color w:val="auto"/>
          <w:sz w:val="32"/>
          <w:szCs w:val="32"/>
          <w:lang w:eastAsia="zh-CN"/>
        </w:rPr>
        <w:t>二</w:t>
      </w:r>
      <w:r>
        <w:rPr>
          <w:rFonts w:ascii="Times New Roman" w:hAnsi="Times New Roman" w:eastAsia="仿宋" w:cs="Times New Roman"/>
          <w:color w:val="auto"/>
          <w:sz w:val="32"/>
          <w:szCs w:val="32"/>
        </w:rPr>
        <w:t>）</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年永吉县政府性基金转移支付表</w:t>
      </w:r>
      <w:r>
        <w:rPr>
          <w:b/>
          <w:bCs/>
          <w:color w:val="auto"/>
          <w:sz w:val="28"/>
          <w:szCs w:val="28"/>
        </w:rPr>
        <w:tab/>
      </w:r>
      <w:bookmarkEnd w:id="21"/>
      <w:bookmarkEnd w:id="22"/>
      <w:bookmarkStart w:id="23" w:name="_Toc15476"/>
      <w:bookmarkStart w:id="24" w:name="_Toc26992"/>
      <w:r>
        <w:rPr>
          <w:rFonts w:hint="eastAsia"/>
          <w:b/>
          <w:bCs/>
          <w:color w:val="auto"/>
          <w:sz w:val="28"/>
          <w:szCs w:val="28"/>
          <w:lang w:val="en-US" w:eastAsia="zh-CN"/>
        </w:rPr>
        <w:t>51</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ascii="Times New Roman" w:hAnsi="Times New Roman" w:eastAsia="仿宋" w:cs="Times New Roman"/>
          <w:color w:val="auto"/>
          <w:sz w:val="32"/>
          <w:szCs w:val="32"/>
        </w:rPr>
        <w:t>（三）</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年永吉县政府性基金支</w:t>
      </w:r>
      <w:r>
        <w:rPr>
          <w:rFonts w:hint="eastAsia" w:eastAsia="仿宋" w:cs="Times New Roman"/>
          <w:color w:val="auto"/>
          <w:sz w:val="32"/>
          <w:szCs w:val="32"/>
          <w:lang w:eastAsia="zh-CN"/>
        </w:rPr>
        <w:t>出完成</w:t>
      </w:r>
      <w:r>
        <w:rPr>
          <w:rFonts w:ascii="Times New Roman" w:hAnsi="Times New Roman" w:eastAsia="仿宋" w:cs="Times New Roman"/>
          <w:color w:val="auto"/>
          <w:sz w:val="32"/>
          <w:szCs w:val="32"/>
        </w:rPr>
        <w:t>表</w:t>
      </w:r>
      <w:bookmarkEnd w:id="23"/>
      <w:bookmarkEnd w:id="24"/>
      <w:r>
        <w:rPr>
          <w:b/>
          <w:bCs/>
          <w:color w:val="auto"/>
          <w:sz w:val="28"/>
          <w:szCs w:val="28"/>
        </w:rPr>
        <w:tab/>
      </w:r>
      <w:bookmarkStart w:id="25" w:name="_Toc8659"/>
      <w:bookmarkStart w:id="26" w:name="_Toc24450"/>
      <w:r>
        <w:rPr>
          <w:rFonts w:hint="eastAsia"/>
          <w:b/>
          <w:bCs/>
          <w:color w:val="auto"/>
          <w:sz w:val="28"/>
          <w:szCs w:val="28"/>
          <w:lang w:val="en-US" w:eastAsia="zh-CN"/>
        </w:rPr>
        <w:t>55</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rPr>
        <w:t>三、</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年永吉县国有资本经营收支情况</w:t>
      </w:r>
      <w:bookmarkEnd w:id="25"/>
      <w:bookmarkEnd w:id="26"/>
      <w:r>
        <w:rPr>
          <w:b/>
          <w:bCs/>
          <w:color w:val="auto"/>
          <w:sz w:val="28"/>
          <w:szCs w:val="28"/>
        </w:rPr>
        <w:tab/>
      </w:r>
      <w:bookmarkStart w:id="27" w:name="_Toc30802"/>
      <w:bookmarkStart w:id="28" w:name="_Toc26646"/>
      <w:r>
        <w:rPr>
          <w:rFonts w:hint="eastAsia"/>
          <w:b/>
          <w:bCs/>
          <w:color w:val="auto"/>
          <w:sz w:val="28"/>
          <w:szCs w:val="28"/>
          <w:lang w:val="en-US" w:eastAsia="zh-CN"/>
        </w:rPr>
        <w:t>60</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rPr>
        <w:t>四、</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w:t>
      </w:r>
      <w:r>
        <w:rPr>
          <w:rFonts w:ascii="Times New Roman" w:hAnsi="Times New Roman" w:eastAsia="仿宋" w:cs="Times New Roman"/>
          <w:color w:val="auto"/>
          <w:sz w:val="32"/>
          <w:szCs w:val="32"/>
        </w:rPr>
        <w:t>社会保险基金</w:t>
      </w:r>
      <w:r>
        <w:rPr>
          <w:rFonts w:hint="eastAsia" w:ascii="Times New Roman" w:hAnsi="Times New Roman" w:eastAsia="仿宋" w:cs="Times New Roman"/>
          <w:color w:val="auto"/>
          <w:sz w:val="32"/>
          <w:szCs w:val="32"/>
        </w:rPr>
        <w:t>收支情况</w:t>
      </w:r>
      <w:bookmarkEnd w:id="27"/>
      <w:bookmarkEnd w:id="28"/>
      <w:r>
        <w:rPr>
          <w:b/>
          <w:bCs/>
          <w:color w:val="auto"/>
          <w:sz w:val="28"/>
          <w:szCs w:val="28"/>
        </w:rPr>
        <w:tab/>
      </w:r>
      <w:r>
        <w:rPr>
          <w:rFonts w:hint="eastAsia"/>
          <w:b/>
          <w:bCs/>
          <w:color w:val="auto"/>
          <w:sz w:val="28"/>
          <w:szCs w:val="28"/>
          <w:lang w:val="en-US" w:eastAsia="zh-CN"/>
        </w:rPr>
        <w:t>63</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lang w:val="en-US" w:eastAsia="zh-CN"/>
        </w:rPr>
        <w:t>（一）</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ascii="Times New Roman" w:hAnsi="Times New Roman" w:eastAsia="仿宋" w:cs="Times New Roman"/>
          <w:color w:val="auto"/>
          <w:sz w:val="32"/>
          <w:szCs w:val="32"/>
        </w:rPr>
        <w:t>年永吉县社会保险基金收</w:t>
      </w:r>
      <w:r>
        <w:rPr>
          <w:rFonts w:hint="eastAsia" w:ascii="Times New Roman" w:hAnsi="Times New Roman" w:eastAsia="仿宋" w:cs="Times New Roman"/>
          <w:color w:val="auto"/>
          <w:sz w:val="32"/>
          <w:szCs w:val="32"/>
        </w:rPr>
        <w:t>支情况</w:t>
      </w:r>
      <w:r>
        <w:rPr>
          <w:rFonts w:ascii="Times New Roman" w:hAnsi="Times New Roman" w:eastAsia="仿宋" w:cs="Times New Roman"/>
          <w:color w:val="auto"/>
          <w:sz w:val="32"/>
          <w:szCs w:val="32"/>
        </w:rPr>
        <w:t>表</w:t>
      </w:r>
      <w:r>
        <w:rPr>
          <w:b/>
          <w:bCs/>
          <w:color w:val="auto"/>
          <w:sz w:val="28"/>
          <w:szCs w:val="28"/>
        </w:rPr>
        <w:tab/>
      </w:r>
      <w:r>
        <w:rPr>
          <w:rFonts w:hint="eastAsia"/>
          <w:b/>
          <w:bCs/>
          <w:color w:val="auto"/>
          <w:sz w:val="28"/>
          <w:szCs w:val="28"/>
          <w:lang w:val="en-US" w:eastAsia="zh-CN"/>
        </w:rPr>
        <w:t>64</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hint="eastAsia" w:ascii="Times New Roman" w:hAnsi="Times New Roman" w:eastAsia="仿宋" w:cs="Times New Roman"/>
          <w:color w:val="auto"/>
          <w:sz w:val="32"/>
          <w:szCs w:val="32"/>
          <w:lang w:val="en-US" w:eastAsia="zh-CN"/>
        </w:rPr>
        <w:t>（二）</w:t>
      </w:r>
      <w:r>
        <w:rPr>
          <w:rFonts w:hint="eastAsia" w:eastAsia="仿宋" w:cs="Times New Roman"/>
          <w:b w:val="0"/>
          <w:i w:val="0"/>
          <w:color w:val="auto"/>
          <w:sz w:val="32"/>
          <w:szCs w:val="32"/>
          <w:lang w:val="en-US" w:eastAsia="zh-CN"/>
        </w:rPr>
        <w:t>2024</w:t>
      </w:r>
      <w:r>
        <w:rPr>
          <w:rFonts w:hint="eastAsia" w:ascii="Times New Roman" w:hAnsi="Times New Roman" w:eastAsia="仿宋" w:cs="Times New Roman"/>
          <w:color w:val="auto"/>
          <w:sz w:val="32"/>
          <w:szCs w:val="32"/>
          <w:lang w:val="en-US" w:eastAsia="zh-CN"/>
        </w:rPr>
        <w:t>年永吉县社会保险基金收入完成表</w:t>
      </w:r>
      <w:r>
        <w:rPr>
          <w:b/>
          <w:bCs/>
          <w:color w:val="auto"/>
          <w:sz w:val="28"/>
          <w:szCs w:val="28"/>
        </w:rPr>
        <w:tab/>
      </w:r>
      <w:r>
        <w:rPr>
          <w:rFonts w:hint="eastAsia"/>
          <w:b/>
          <w:bCs/>
          <w:color w:val="auto"/>
          <w:sz w:val="28"/>
          <w:szCs w:val="28"/>
          <w:lang w:val="en-US" w:eastAsia="zh-CN"/>
        </w:rPr>
        <w:t>66</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eastAsia"/>
          <w:b/>
          <w:bCs/>
          <w:color w:val="auto"/>
          <w:sz w:val="28"/>
          <w:szCs w:val="28"/>
          <w:lang w:val="en-US" w:eastAsia="zh-CN"/>
        </w:rPr>
      </w:pPr>
      <w:r>
        <w:rPr>
          <w:rFonts w:hint="eastAsia" w:ascii="Times New Roman" w:hAnsi="Times New Roman" w:eastAsia="仿宋" w:cs="Times New Roman"/>
          <w:color w:val="auto"/>
          <w:sz w:val="32"/>
          <w:szCs w:val="32"/>
          <w:lang w:eastAsia="zh-CN"/>
        </w:rPr>
        <w:t>（三）</w:t>
      </w:r>
      <w:r>
        <w:rPr>
          <w:rFonts w:hint="eastAsia" w:eastAsia="仿宋" w:cs="Times New Roman"/>
          <w:b w:val="0"/>
          <w:i w:val="0"/>
          <w:color w:val="auto"/>
          <w:sz w:val="32"/>
          <w:szCs w:val="32"/>
          <w:lang w:eastAsia="zh-CN"/>
        </w:rPr>
        <w:t>20</w:t>
      </w:r>
      <w:r>
        <w:rPr>
          <w:rFonts w:hint="eastAsia" w:eastAsia="仿宋" w:cs="Times New Roman"/>
          <w:b w:val="0"/>
          <w:i w:val="0"/>
          <w:color w:val="auto"/>
          <w:sz w:val="32"/>
          <w:szCs w:val="32"/>
          <w:lang w:val="en-US" w:eastAsia="zh-CN"/>
        </w:rPr>
        <w:t>24</w:t>
      </w:r>
      <w:r>
        <w:rPr>
          <w:rFonts w:hint="eastAsia" w:ascii="Times New Roman" w:hAnsi="Times New Roman" w:eastAsia="仿宋" w:cs="Times New Roman"/>
          <w:color w:val="auto"/>
          <w:sz w:val="32"/>
          <w:szCs w:val="32"/>
        </w:rPr>
        <w:t>年永吉县社会保险基金支出完成表</w:t>
      </w:r>
      <w:r>
        <w:rPr>
          <w:b/>
          <w:bCs/>
          <w:color w:val="auto"/>
          <w:sz w:val="28"/>
          <w:szCs w:val="28"/>
        </w:rPr>
        <w:tab/>
      </w:r>
      <w:r>
        <w:rPr>
          <w:rFonts w:hint="eastAsia"/>
          <w:b/>
          <w:bCs/>
          <w:color w:val="auto"/>
          <w:sz w:val="28"/>
          <w:szCs w:val="28"/>
          <w:lang w:val="en-US" w:eastAsia="zh-CN"/>
        </w:rPr>
        <w:t>67</w:t>
      </w:r>
    </w:p>
    <w:p>
      <w:pPr>
        <w:pStyle w:val="12"/>
        <w:keepNext w:val="0"/>
        <w:keepLines w:val="0"/>
        <w:pageBreakBefore w:val="0"/>
        <w:widowControl/>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ascii="Times New Roman" w:hAnsi="Times New Roman" w:eastAsia="仿宋" w:cs="Times New Roman"/>
          <w:color w:val="auto"/>
          <w:sz w:val="32"/>
          <w:szCs w:val="32"/>
        </w:rPr>
        <w:t>重要事项解释说明</w:t>
      </w:r>
      <w:r>
        <w:rPr>
          <w:b/>
          <w:bCs/>
          <w:color w:val="auto"/>
          <w:sz w:val="28"/>
          <w:szCs w:val="28"/>
        </w:rPr>
        <w:tab/>
      </w:r>
      <w:bookmarkStart w:id="29" w:name="_Toc19825"/>
      <w:bookmarkStart w:id="30" w:name="_Toc30824"/>
      <w:r>
        <w:rPr>
          <w:rFonts w:hint="eastAsia"/>
          <w:b/>
          <w:bCs/>
          <w:color w:val="auto"/>
          <w:sz w:val="28"/>
          <w:szCs w:val="28"/>
          <w:lang w:val="en-US" w:eastAsia="zh-CN"/>
        </w:rPr>
        <w:t>70</w:t>
      </w:r>
    </w:p>
    <w:p>
      <w:pPr>
        <w:pStyle w:val="12"/>
        <w:keepNext w:val="0"/>
        <w:keepLines w:val="0"/>
        <w:pageBreakBefore w:val="0"/>
        <w:widowControl/>
        <w:numPr>
          <w:ilvl w:val="0"/>
          <w:numId w:val="1"/>
        </w:numPr>
        <w:tabs>
          <w:tab w:val="right" w:leader="dot" w:pos="8306"/>
        </w:tabs>
        <w:kinsoku/>
        <w:wordWrap/>
        <w:overflowPunct/>
        <w:topLinePunct w:val="0"/>
        <w:autoSpaceDE/>
        <w:autoSpaceDN/>
        <w:bidi w:val="0"/>
        <w:adjustRightInd/>
        <w:snapToGrid/>
        <w:spacing w:line="240" w:lineRule="atLeast"/>
        <w:ind w:left="0" w:leftChars="0" w:right="0" w:rightChars="0" w:firstLine="0" w:firstLineChars="0"/>
        <w:jc w:val="left"/>
        <w:textAlignment w:val="auto"/>
        <w:outlineLvl w:val="9"/>
        <w:rPr>
          <w:rFonts w:hint="default"/>
          <w:b/>
          <w:bCs/>
          <w:color w:val="auto"/>
          <w:sz w:val="28"/>
          <w:szCs w:val="28"/>
          <w:lang w:val="en-US" w:eastAsia="zh-CN"/>
        </w:rPr>
      </w:pPr>
      <w:r>
        <w:rPr>
          <w:rFonts w:ascii="Times New Roman" w:hAnsi="Times New Roman" w:eastAsia="仿宋" w:cs="Times New Roman"/>
          <w:color w:val="auto"/>
          <w:sz w:val="32"/>
          <w:szCs w:val="32"/>
        </w:rPr>
        <w:t>举借</w:t>
      </w:r>
      <w:r>
        <w:rPr>
          <w:rFonts w:hint="eastAsia" w:eastAsia="仿宋" w:cs="Times New Roman"/>
          <w:color w:val="auto"/>
          <w:sz w:val="32"/>
          <w:szCs w:val="32"/>
          <w:lang w:eastAsia="zh-CN"/>
        </w:rPr>
        <w:t>政府</w:t>
      </w:r>
      <w:r>
        <w:rPr>
          <w:rFonts w:ascii="Times New Roman" w:hAnsi="Times New Roman" w:eastAsia="仿宋" w:cs="Times New Roman"/>
          <w:color w:val="auto"/>
          <w:sz w:val="32"/>
          <w:szCs w:val="32"/>
        </w:rPr>
        <w:t>债务</w:t>
      </w:r>
      <w:r>
        <w:rPr>
          <w:rFonts w:hint="eastAsia" w:ascii="Times New Roman" w:hAnsi="Times New Roman" w:eastAsia="仿宋" w:cs="Times New Roman"/>
          <w:color w:val="auto"/>
          <w:sz w:val="32"/>
          <w:szCs w:val="32"/>
        </w:rPr>
        <w:t>情况</w:t>
      </w:r>
      <w:r>
        <w:rPr>
          <w:rFonts w:ascii="Times New Roman" w:hAnsi="Times New Roman" w:eastAsia="仿宋" w:cs="Times New Roman"/>
          <w:color w:val="auto"/>
          <w:sz w:val="32"/>
          <w:szCs w:val="32"/>
        </w:rPr>
        <w:t>说明</w:t>
      </w:r>
      <w:bookmarkEnd w:id="29"/>
      <w:bookmarkEnd w:id="30"/>
      <w:r>
        <w:rPr>
          <w:b/>
          <w:bCs/>
          <w:color w:val="auto"/>
          <w:sz w:val="28"/>
          <w:szCs w:val="28"/>
        </w:rPr>
        <w:tab/>
      </w:r>
      <w:r>
        <w:rPr>
          <w:rFonts w:hint="eastAsia"/>
          <w:b/>
          <w:bCs/>
          <w:color w:val="auto"/>
          <w:sz w:val="28"/>
          <w:szCs w:val="28"/>
          <w:lang w:val="en-US" w:eastAsia="zh-CN"/>
        </w:rPr>
        <w:t>71</w:t>
      </w:r>
    </w:p>
    <w:p>
      <w:pPr>
        <w:pStyle w:val="12"/>
        <w:tabs>
          <w:tab w:val="right" w:leader="dot" w:pos="8306"/>
        </w:tabs>
        <w:rPr>
          <w:rFonts w:hint="default" w:ascii="Times New Roman" w:hAnsi="Times New Roman" w:eastAsia="仿宋" w:cs="Times New Roman"/>
          <w:color w:val="auto"/>
          <w:sz w:val="32"/>
          <w:szCs w:val="32"/>
          <w:lang w:val="en-US"/>
        </w:rPr>
      </w:pPr>
      <w:bookmarkStart w:id="31" w:name="_Toc8615"/>
      <w:bookmarkStart w:id="32" w:name="_Toc26440"/>
      <w:r>
        <w:rPr>
          <w:rFonts w:hint="eastAsia" w:ascii="Times New Roman" w:hAnsi="Times New Roman" w:eastAsia="仿宋" w:cs="Times New Roman"/>
          <w:color w:val="auto"/>
          <w:sz w:val="32"/>
          <w:szCs w:val="32"/>
        </w:rPr>
        <w:t>（二）</w:t>
      </w:r>
      <w:r>
        <w:rPr>
          <w:rFonts w:ascii="Times New Roman" w:hAnsi="Times New Roman" w:eastAsia="仿宋" w:cs="Times New Roman"/>
          <w:color w:val="auto"/>
          <w:sz w:val="32"/>
          <w:szCs w:val="32"/>
        </w:rPr>
        <w:t>预算绩效工作开展情况说明</w:t>
      </w:r>
      <w:bookmarkEnd w:id="31"/>
      <w:bookmarkEnd w:id="32"/>
      <w:r>
        <w:rPr>
          <w:b/>
          <w:bCs/>
          <w:color w:val="auto"/>
          <w:sz w:val="28"/>
          <w:szCs w:val="28"/>
        </w:rPr>
        <w:tab/>
      </w:r>
      <w:bookmarkStart w:id="97" w:name="_GoBack"/>
      <w:r>
        <w:rPr>
          <w:rFonts w:hint="eastAsia"/>
          <w:b/>
          <w:bCs/>
          <w:color w:val="auto"/>
          <w:sz w:val="28"/>
          <w:szCs w:val="28"/>
          <w:lang w:val="en-US" w:eastAsia="zh-CN"/>
        </w:rPr>
        <w:t>75</w:t>
      </w:r>
    </w:p>
    <w:bookmarkEnd w:id="97"/>
    <w:p>
      <w:pPr>
        <w:spacing w:line="600" w:lineRule="exact"/>
        <w:rPr>
          <w:rFonts w:ascii="Times New Roman" w:hAnsi="Times New Roman" w:eastAsia="仿宋" w:cs="Times New Roman"/>
          <w:b/>
          <w:bCs/>
          <w:color w:val="00B0F0"/>
          <w:sz w:val="44"/>
          <w:szCs w:val="44"/>
        </w:rPr>
      </w:pPr>
    </w:p>
    <w:p>
      <w:pPr>
        <w:spacing w:line="600" w:lineRule="exact"/>
        <w:ind w:firstLine="883" w:firstLineChars="200"/>
        <w:jc w:val="center"/>
        <w:rPr>
          <w:rFonts w:hint="eastAsia" w:ascii="宋体" w:hAnsi="宋体" w:eastAsia="宋体" w:cs="宋体"/>
          <w:b/>
          <w:bCs/>
          <w:sz w:val="44"/>
          <w:szCs w:val="44"/>
        </w:rPr>
      </w:pPr>
      <w:bookmarkStart w:id="33" w:name="_Toc8491"/>
      <w:bookmarkStart w:id="34" w:name="_Toc21027"/>
      <w:bookmarkStart w:id="35" w:name="_Toc25783"/>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p>
    <w:p>
      <w:pPr>
        <w:spacing w:line="600" w:lineRule="exact"/>
        <w:jc w:val="both"/>
        <w:rPr>
          <w:rFonts w:hint="eastAsia" w:ascii="宋体" w:hAnsi="宋体" w:eastAsia="宋体" w:cs="宋体"/>
          <w:b/>
          <w:bCs/>
          <w:sz w:val="44"/>
          <w:szCs w:val="44"/>
        </w:rPr>
      </w:pPr>
    </w:p>
    <w:p>
      <w:pPr>
        <w:spacing w:line="600" w:lineRule="exact"/>
        <w:ind w:firstLine="883" w:firstLineChars="200"/>
        <w:jc w:val="center"/>
        <w:rPr>
          <w:rFonts w:hint="eastAsia" w:ascii="宋体" w:hAnsi="宋体" w:eastAsia="宋体" w:cs="宋体"/>
          <w:b/>
          <w:bCs/>
          <w:sz w:val="44"/>
          <w:szCs w:val="44"/>
        </w:rPr>
      </w:pPr>
      <w:r>
        <w:rPr>
          <w:rFonts w:hint="eastAsia" w:ascii="宋体" w:hAnsi="宋体" w:eastAsia="宋体" w:cs="宋体"/>
          <w:b/>
          <w:bCs/>
          <w:sz w:val="44"/>
          <w:szCs w:val="44"/>
        </w:rPr>
        <w:t>专有名词释义</w:t>
      </w:r>
      <w:bookmarkEnd w:id="33"/>
      <w:bookmarkEnd w:id="34"/>
      <w:bookmarkEnd w:id="35"/>
    </w:p>
    <w:p>
      <w:pPr>
        <w:spacing w:line="600" w:lineRule="exact"/>
        <w:ind w:firstLine="883" w:firstLineChars="200"/>
        <w:jc w:val="center"/>
        <w:rPr>
          <w:rFonts w:ascii="Times New Roman" w:hAnsi="Times New Roman" w:eastAsia="仿宋" w:cs="Times New Roman"/>
          <w:b/>
          <w:bCs/>
          <w:sz w:val="44"/>
          <w:szCs w:val="44"/>
        </w:rPr>
      </w:pP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一般公共预算</w:t>
      </w:r>
      <w:r>
        <w:rPr>
          <w:rFonts w:ascii="Times New Roman" w:hAnsi="Times New Roman" w:eastAsia="仿宋" w:cs="Times New Roman"/>
          <w:sz w:val="32"/>
          <w:szCs w:val="32"/>
          <w:lang w:eastAsia="en-US"/>
        </w:rPr>
        <w:t>：一般公共预算突出一般性，收入包括税收收入和纳入公共预算管理的非税收入；支出主要用于保障和改善民生、推动经济社会发展、维持机构正常运转等，在用途上与收入来源没有对应关系。</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政府性基金预算</w:t>
      </w:r>
      <w:r>
        <w:rPr>
          <w:rFonts w:ascii="Times New Roman" w:hAnsi="Times New Roman" w:eastAsia="仿宋" w:cs="Times New Roman"/>
          <w:sz w:val="32"/>
          <w:szCs w:val="32"/>
          <w:lang w:eastAsia="en-US"/>
        </w:rPr>
        <w:t>：政府性基金预算是对依照法律、行政法规的规定在一定期限内向特定对象征收、收取或者以其他方式筹集的资金，专项用于特定公共事业发展的收支预算。政府性基金预算的“特定性、专用性”与一般公共预算的“一般性”形成明显区别。</w:t>
      </w:r>
    </w:p>
    <w:p>
      <w:pPr>
        <w:spacing w:line="600" w:lineRule="exact"/>
        <w:ind w:firstLine="640" w:firstLineChars="200"/>
        <w:rPr>
          <w:rFonts w:ascii="Times New Roman" w:hAnsi="Times New Roman" w:eastAsia="仿宋" w:cs="Times New Roman"/>
          <w:color w:val="0000FF"/>
          <w:sz w:val="32"/>
          <w:szCs w:val="32"/>
          <w:lang w:eastAsia="en-US"/>
        </w:rPr>
      </w:pPr>
      <w:r>
        <w:rPr>
          <w:rFonts w:hint="eastAsia" w:ascii="Times New Roman" w:hAnsi="Times New Roman" w:eastAsia="仿宋" w:cs="Times New Roman"/>
          <w:color w:val="auto"/>
          <w:sz w:val="32"/>
          <w:szCs w:val="32"/>
        </w:rPr>
        <w:t>永吉县</w:t>
      </w:r>
      <w:r>
        <w:rPr>
          <w:rFonts w:ascii="Times New Roman" w:hAnsi="Times New Roman" w:eastAsia="仿宋" w:cs="Times New Roman"/>
          <w:color w:val="auto"/>
          <w:sz w:val="32"/>
          <w:szCs w:val="32"/>
          <w:lang w:eastAsia="en-US"/>
        </w:rPr>
        <w:t>政府性基金包括国家电影事业发展专项</w:t>
      </w:r>
      <w:r>
        <w:rPr>
          <w:rFonts w:hint="eastAsia" w:ascii="Times New Roman" w:hAnsi="Times New Roman" w:eastAsia="仿宋" w:cs="Times New Roman"/>
          <w:color w:val="auto"/>
          <w:sz w:val="32"/>
          <w:szCs w:val="32"/>
        </w:rPr>
        <w:t>资</w:t>
      </w:r>
      <w:r>
        <w:rPr>
          <w:rFonts w:ascii="Times New Roman" w:hAnsi="Times New Roman" w:eastAsia="仿宋" w:cs="Times New Roman"/>
          <w:color w:val="auto"/>
          <w:sz w:val="32"/>
          <w:szCs w:val="32"/>
          <w:lang w:eastAsia="en-US"/>
        </w:rPr>
        <w:t>金</w:t>
      </w:r>
      <w:r>
        <w:rPr>
          <w:rFonts w:hint="eastAsia" w:ascii="Times New Roman" w:hAnsi="Times New Roman" w:eastAsia="仿宋" w:cs="Times New Roman"/>
          <w:color w:val="auto"/>
          <w:sz w:val="32"/>
          <w:szCs w:val="32"/>
        </w:rPr>
        <w:t>、大中型水库移民后期扶持基金、</w:t>
      </w:r>
      <w:r>
        <w:rPr>
          <w:rFonts w:ascii="Times New Roman" w:hAnsi="Times New Roman" w:eastAsia="仿宋" w:cs="Times New Roman"/>
          <w:color w:val="auto"/>
          <w:sz w:val="32"/>
          <w:szCs w:val="32"/>
          <w:lang w:eastAsia="en-US"/>
        </w:rPr>
        <w:t>国有土地使用权出让收入、国有土地收益基金、农业土地开发资金、城市基础设施配套费、污水处理费</w:t>
      </w:r>
      <w:r>
        <w:rPr>
          <w:rFonts w:hint="eastAsia" w:ascii="Times New Roman" w:hAnsi="Times New Roman" w:eastAsia="仿宋" w:cs="Times New Roman"/>
          <w:color w:val="auto"/>
          <w:sz w:val="32"/>
          <w:szCs w:val="32"/>
        </w:rPr>
        <w:t>、大中型水库库区基金、</w:t>
      </w:r>
      <w:r>
        <w:rPr>
          <w:rFonts w:ascii="Times New Roman" w:hAnsi="Times New Roman" w:eastAsia="仿宋" w:cs="Times New Roman"/>
          <w:color w:val="auto"/>
          <w:sz w:val="32"/>
          <w:szCs w:val="32"/>
          <w:lang w:eastAsia="en-US"/>
        </w:rPr>
        <w:t>彩票发行机构和销售机构业务费</w:t>
      </w:r>
      <w:r>
        <w:rPr>
          <w:rFonts w:hint="eastAsia" w:ascii="Times New Roman" w:hAnsi="Times New Roman" w:eastAsia="仿宋" w:cs="Times New Roman"/>
          <w:color w:val="auto"/>
          <w:sz w:val="32"/>
          <w:szCs w:val="32"/>
        </w:rPr>
        <w:t>、</w:t>
      </w:r>
      <w:r>
        <w:rPr>
          <w:rFonts w:ascii="Times New Roman" w:hAnsi="Times New Roman" w:eastAsia="仿宋" w:cs="Times New Roman"/>
          <w:color w:val="auto"/>
          <w:sz w:val="32"/>
          <w:szCs w:val="32"/>
          <w:lang w:eastAsia="en-US"/>
        </w:rPr>
        <w:t>彩票公益</w:t>
      </w:r>
      <w:r>
        <w:rPr>
          <w:rFonts w:hint="eastAsia" w:ascii="Times New Roman" w:hAnsi="Times New Roman" w:eastAsia="仿宋" w:cs="Times New Roman"/>
          <w:color w:val="auto"/>
          <w:sz w:val="32"/>
          <w:szCs w:val="32"/>
          <w:lang w:eastAsia="zh-CN"/>
        </w:rPr>
        <w:t>金等</w:t>
      </w:r>
      <w:r>
        <w:rPr>
          <w:rFonts w:ascii="Times New Roman" w:hAnsi="Times New Roman" w:eastAsia="仿宋" w:cs="Times New Roman"/>
          <w:color w:val="auto"/>
          <w:sz w:val="32"/>
          <w:szCs w:val="32"/>
          <w:lang w:eastAsia="en-US"/>
        </w:rPr>
        <w:t>共</w:t>
      </w:r>
      <w:r>
        <w:rPr>
          <w:rFonts w:hint="eastAsia" w:ascii="Times New Roman" w:hAnsi="Times New Roman" w:eastAsia="仿宋" w:cs="Times New Roman"/>
          <w:color w:val="auto"/>
          <w:sz w:val="32"/>
          <w:szCs w:val="32"/>
        </w:rPr>
        <w:t>10</w:t>
      </w:r>
      <w:r>
        <w:rPr>
          <w:rFonts w:ascii="Times New Roman" w:hAnsi="Times New Roman" w:eastAsia="仿宋" w:cs="Times New Roman"/>
          <w:color w:val="auto"/>
          <w:sz w:val="32"/>
          <w:szCs w:val="32"/>
          <w:lang w:eastAsia="en-US"/>
        </w:rPr>
        <w:t>项</w:t>
      </w:r>
      <w:r>
        <w:rPr>
          <w:rFonts w:hint="eastAsia" w:ascii="Times New Roman" w:hAnsi="Times New Roman" w:eastAsia="仿宋" w:cs="Times New Roman"/>
          <w:color w:val="auto"/>
          <w:sz w:val="32"/>
          <w:szCs w:val="32"/>
        </w:rPr>
        <w:t>。</w:t>
      </w:r>
    </w:p>
    <w:p>
      <w:pPr>
        <w:spacing w:line="600" w:lineRule="exact"/>
        <w:ind w:firstLine="643" w:firstLineChars="200"/>
        <w:rPr>
          <w:rFonts w:ascii="Times New Roman" w:hAnsi="Times New Roman" w:eastAsia="仿宋" w:cs="Times New Roman"/>
          <w:color w:val="auto"/>
          <w:sz w:val="32"/>
          <w:szCs w:val="32"/>
          <w:lang w:eastAsia="en-US"/>
        </w:rPr>
      </w:pPr>
      <w:r>
        <w:rPr>
          <w:rFonts w:ascii="Times New Roman" w:hAnsi="Times New Roman" w:eastAsia="仿宋" w:cs="Times New Roman"/>
          <w:b/>
          <w:bCs/>
          <w:sz w:val="32"/>
          <w:szCs w:val="32"/>
          <w:lang w:eastAsia="en-US"/>
        </w:rPr>
        <w:t>社会保险基金预算</w:t>
      </w:r>
      <w:r>
        <w:rPr>
          <w:rFonts w:ascii="Times New Roman" w:hAnsi="Times New Roman" w:eastAsia="仿宋" w:cs="Times New Roman"/>
          <w:sz w:val="32"/>
          <w:szCs w:val="32"/>
          <w:lang w:eastAsia="en-US"/>
        </w:rPr>
        <w:t>：</w:t>
      </w:r>
      <w:r>
        <w:rPr>
          <w:rFonts w:hint="eastAsia" w:ascii="Times New Roman" w:hAnsi="Times New Roman" w:eastAsia="仿宋" w:cs="Times New Roman"/>
          <w:color w:val="auto"/>
          <w:sz w:val="32"/>
          <w:szCs w:val="32"/>
        </w:rPr>
        <w:t>社会保险基金</w:t>
      </w:r>
      <w:r>
        <w:rPr>
          <w:rFonts w:ascii="Times New Roman" w:hAnsi="Times New Roman" w:eastAsia="仿宋" w:cs="Times New Roman"/>
          <w:color w:val="auto"/>
          <w:sz w:val="32"/>
          <w:szCs w:val="32"/>
          <w:lang w:eastAsia="en-US"/>
        </w:rPr>
        <w:t>是根据国家社会保险和预算管理法律法规建立、反映各项社会保险基金收支的年度计划。社会保险基金预算按照统筹级次和社会保险项目，自下而上分别编制，做到收支平衡。社会保险基金预算包括八项险种：企业职工基本养老保险、城镇职工基本医疗保险、工伤保险、失业保险、生育保险、城乡居民基本养老保险、城乡居民基本医疗保险和机关事业单位基本养老保险</w:t>
      </w:r>
      <w:r>
        <w:rPr>
          <w:rFonts w:hint="eastAsia" w:ascii="Times New Roman" w:hAnsi="Times New Roman" w:eastAsia="仿宋" w:cs="Times New Roman"/>
          <w:color w:val="auto"/>
          <w:sz w:val="32"/>
          <w:szCs w:val="32"/>
          <w:lang w:eastAsia="zh-CN"/>
        </w:rPr>
        <w:t>，我县仅编报城乡居民基本养老保险和机关事业单位基本养老保险两类基金决算</w:t>
      </w:r>
      <w:r>
        <w:rPr>
          <w:rFonts w:ascii="Times New Roman" w:hAnsi="Times New Roman" w:eastAsia="仿宋" w:cs="Times New Roman"/>
          <w:color w:val="auto"/>
          <w:sz w:val="32"/>
          <w:szCs w:val="32"/>
          <w:lang w:eastAsia="en-US"/>
        </w:rPr>
        <w:t>。</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税收收入</w:t>
      </w:r>
      <w:r>
        <w:rPr>
          <w:rFonts w:ascii="Times New Roman" w:hAnsi="Times New Roman" w:eastAsia="仿宋" w:cs="Times New Roman"/>
          <w:sz w:val="32"/>
          <w:szCs w:val="32"/>
          <w:lang w:eastAsia="en-US"/>
        </w:rPr>
        <w:t>：是国家按预定标准，向经济组织和居民征收取得的收入。地方区域内取得的税收收入按照财政体制上划中央和省后形成地方级税收收入，各地相应制定本地财政体制，继续划分为市级、县区级收入。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非税收入</w:t>
      </w:r>
      <w:r>
        <w:rPr>
          <w:rFonts w:ascii="Times New Roman" w:hAnsi="Times New Roman" w:eastAsia="仿宋" w:cs="Times New Roman"/>
          <w:sz w:val="32"/>
          <w:szCs w:val="32"/>
          <w:lang w:eastAsia="en-US"/>
        </w:rPr>
        <w:t>：是指除税收收入以外，由各级政府、国家机关、事业单位、代行政府职能的社会团体和其他组织依法利用政府权力、政府信誉、国家资源、国有资产或提供特定公共服务、准公共服务取得的财政性资金。主要包括行政事业性收费、罚没收入、国有资源（资产）有偿使用收入及专项收入等。</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转移性收入</w:t>
      </w:r>
      <w:r>
        <w:rPr>
          <w:rFonts w:ascii="Times New Roman" w:hAnsi="Times New Roman" w:eastAsia="仿宋" w:cs="Times New Roman"/>
          <w:sz w:val="32"/>
          <w:szCs w:val="32"/>
          <w:lang w:eastAsia="en-US"/>
        </w:rPr>
        <w:t>：是指上级财政拨付下级财政的转移支付性质的收入。含一般性转移支付收入、返还性收入和专项转移支付收入。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一般性转移支付</w:t>
      </w:r>
      <w:r>
        <w:rPr>
          <w:rFonts w:ascii="Times New Roman" w:hAnsi="Times New Roman" w:eastAsia="仿宋" w:cs="Times New Roman"/>
          <w:sz w:val="32"/>
          <w:szCs w:val="32"/>
          <w:lang w:eastAsia="en-US"/>
        </w:rPr>
        <w:t>：是指上级政府对下级政府，按照规范的办法给予的补助，即上级根据各地财力情况给予的财力补助。不指定特定用途，下级政府可按需要自主安排支出。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返还性收入</w:t>
      </w:r>
      <w:r>
        <w:rPr>
          <w:rFonts w:ascii="Times New Roman" w:hAnsi="Times New Roman" w:eastAsia="仿宋" w:cs="Times New Roman"/>
          <w:sz w:val="32"/>
          <w:szCs w:val="32"/>
          <w:lang w:eastAsia="en-US"/>
        </w:rPr>
        <w:t>：是指下级政府收到的上级政府税收返还收入，即上级政府因体制政策调整减少了地方收入，为保证地方既得财力相应给予的补助。下级政府可按需要自主安排支出。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专项转移支付</w:t>
      </w:r>
      <w:r>
        <w:rPr>
          <w:rFonts w:ascii="Times New Roman" w:hAnsi="Times New Roman" w:eastAsia="仿宋" w:cs="Times New Roman"/>
          <w:sz w:val="32"/>
          <w:szCs w:val="32"/>
          <w:lang w:eastAsia="en-US"/>
        </w:rPr>
        <w:t>：是指上级政府（一般指中央、省、市级政府）为实现特定的宏观政策目标，以及对委托下级政府代理的一些事务进行补偿而设立的专项补助资金，需按规定用途使用。</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调入资金</w:t>
      </w:r>
      <w:r>
        <w:rPr>
          <w:rFonts w:ascii="Times New Roman" w:hAnsi="Times New Roman" w:eastAsia="仿宋" w:cs="Times New Roman"/>
          <w:sz w:val="32"/>
          <w:szCs w:val="32"/>
          <w:lang w:eastAsia="en-US"/>
        </w:rPr>
        <w:t>：是指按规定从政府性基金等其他渠道调入一般公共预算的资金。</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上解支出</w:t>
      </w:r>
      <w:r>
        <w:rPr>
          <w:rFonts w:ascii="Times New Roman" w:hAnsi="Times New Roman" w:eastAsia="仿宋" w:cs="Times New Roman"/>
          <w:sz w:val="32"/>
          <w:szCs w:val="32"/>
          <w:lang w:eastAsia="en-US"/>
        </w:rPr>
        <w:t>：因体制变化需下级政府财力上缴至上级政府的支出。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预算稳定调节基金</w:t>
      </w:r>
      <w:r>
        <w:rPr>
          <w:rFonts w:ascii="Times New Roman" w:hAnsi="Times New Roman" w:eastAsia="仿宋" w:cs="Times New Roman"/>
          <w:sz w:val="32"/>
          <w:szCs w:val="32"/>
          <w:lang w:eastAsia="en-US"/>
        </w:rPr>
        <w:t>：是指各级财政为保证预算的稳定性，通过超收安排，用于弥补短收年份收支缺口，及视预算平衡情况，在安排年初预算时调入并安排使用的专用基金。</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转移性支出</w:t>
      </w:r>
      <w:r>
        <w:rPr>
          <w:rFonts w:ascii="Times New Roman" w:hAnsi="Times New Roman" w:eastAsia="仿宋" w:cs="Times New Roman"/>
          <w:sz w:val="32"/>
          <w:szCs w:val="32"/>
          <w:lang w:eastAsia="en-US"/>
        </w:rPr>
        <w:t>：对应转移性收入，是指按照规定向下级财政拨付的转移支出性质的资金，包括返还性支出、一般性转移支付支出和专项转移支付支出。</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地方政府债券转贷收入</w:t>
      </w:r>
      <w:r>
        <w:rPr>
          <w:rFonts w:ascii="Times New Roman" w:hAnsi="Times New Roman" w:eastAsia="仿宋" w:cs="Times New Roman"/>
          <w:sz w:val="32"/>
          <w:szCs w:val="32"/>
          <w:lang w:eastAsia="en-US"/>
        </w:rPr>
        <w:t>：是指省政府转贷给</w:t>
      </w:r>
      <w:r>
        <w:rPr>
          <w:rFonts w:hint="eastAsia" w:ascii="Times New Roman" w:hAnsi="Times New Roman" w:eastAsia="仿宋" w:cs="Times New Roman"/>
          <w:sz w:val="32"/>
          <w:szCs w:val="32"/>
          <w:lang w:eastAsia="zh-CN"/>
        </w:rPr>
        <w:t>永吉县</w:t>
      </w:r>
      <w:r>
        <w:rPr>
          <w:rFonts w:ascii="Times New Roman" w:hAnsi="Times New Roman" w:eastAsia="仿宋" w:cs="Times New Roman"/>
          <w:sz w:val="32"/>
          <w:szCs w:val="32"/>
          <w:lang w:eastAsia="en-US"/>
        </w:rPr>
        <w:t>政府的债券收入。</w:t>
      </w:r>
    </w:p>
    <w:p>
      <w:pPr>
        <w:spacing w:line="600" w:lineRule="exact"/>
        <w:ind w:firstLine="643" w:firstLineChars="200"/>
        <w:rPr>
          <w:rFonts w:ascii="Times New Roman" w:hAnsi="Times New Roman" w:eastAsia="仿宋" w:cs="Times New Roman"/>
          <w:sz w:val="32"/>
          <w:szCs w:val="32"/>
          <w:lang w:eastAsia="en-US"/>
        </w:rPr>
      </w:pPr>
      <w:r>
        <w:rPr>
          <w:rFonts w:ascii="Times New Roman" w:hAnsi="Times New Roman" w:eastAsia="仿宋" w:cs="Times New Roman"/>
          <w:b/>
          <w:bCs/>
          <w:sz w:val="32"/>
          <w:szCs w:val="32"/>
          <w:lang w:eastAsia="en-US"/>
        </w:rPr>
        <w:t>债务还本支出</w:t>
      </w:r>
      <w:r>
        <w:rPr>
          <w:rFonts w:ascii="Times New Roman" w:hAnsi="Times New Roman" w:eastAsia="仿宋" w:cs="Times New Roman"/>
          <w:sz w:val="32"/>
          <w:szCs w:val="32"/>
          <w:lang w:eastAsia="en-US"/>
        </w:rPr>
        <w:t>：是指用于归还债务本金所发生的支出。</w:t>
      </w: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lang w:eastAsia="en-US"/>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spacing w:line="600" w:lineRule="exact"/>
        <w:ind w:firstLine="640" w:firstLineChars="200"/>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pPr>
    </w:p>
    <w:p>
      <w:pPr>
        <w:rPr>
          <w:rFonts w:ascii="Times New Roman" w:hAnsi="Times New Roman" w:eastAsia="仿宋" w:cs="Times New Roman"/>
          <w:sz w:val="32"/>
          <w:szCs w:val="32"/>
        </w:rPr>
      </w:pPr>
    </w:p>
    <w:p>
      <w:pPr>
        <w:pStyle w:val="2"/>
      </w:pPr>
    </w:p>
    <w:p>
      <w:pPr>
        <w:spacing w:line="600" w:lineRule="exact"/>
        <w:jc w:val="center"/>
        <w:rPr>
          <w:rFonts w:hint="eastAsia" w:ascii="宋体" w:hAnsi="宋体" w:eastAsia="宋体" w:cs="宋体"/>
          <w:b/>
          <w:bCs/>
          <w:sz w:val="44"/>
          <w:szCs w:val="44"/>
        </w:rPr>
      </w:pPr>
      <w:bookmarkStart w:id="36" w:name="_Toc2973"/>
      <w:bookmarkStart w:id="37" w:name="_Toc19331"/>
      <w:bookmarkStart w:id="38" w:name="_Toc9258"/>
      <w:r>
        <w:rPr>
          <w:rFonts w:hint="eastAsia" w:ascii="宋体" w:hAnsi="宋体" w:eastAsia="宋体" w:cs="宋体"/>
          <w:b/>
          <w:bCs/>
          <w:sz w:val="44"/>
          <w:szCs w:val="44"/>
          <w:lang w:val="en-US" w:eastAsia="zh-CN"/>
        </w:rPr>
        <w:t>2024</w:t>
      </w:r>
      <w:r>
        <w:rPr>
          <w:rFonts w:hint="eastAsia" w:ascii="宋体" w:hAnsi="宋体" w:eastAsia="宋体" w:cs="宋体"/>
          <w:b/>
          <w:bCs/>
          <w:sz w:val="44"/>
          <w:szCs w:val="44"/>
        </w:rPr>
        <w:t>年永吉县一般公共预算收支情况</w:t>
      </w:r>
      <w:bookmarkEnd w:id="36"/>
      <w:bookmarkEnd w:id="37"/>
      <w:bookmarkEnd w:id="38"/>
    </w:p>
    <w:p>
      <w:pPr>
        <w:spacing w:line="600" w:lineRule="exact"/>
        <w:ind w:firstLine="883" w:firstLineChars="200"/>
        <w:jc w:val="center"/>
        <w:rPr>
          <w:rFonts w:hint="eastAsia" w:ascii="宋体" w:hAnsi="宋体" w:eastAsia="宋体" w:cs="宋体"/>
          <w:b/>
          <w:bCs/>
          <w:sz w:val="44"/>
          <w:szCs w:val="44"/>
        </w:rPr>
        <w:sectPr>
          <w:pgSz w:w="11906" w:h="16838"/>
          <w:pgMar w:top="1440" w:right="1800" w:bottom="1440" w:left="1800" w:header="851" w:footer="992" w:gutter="0"/>
          <w:pgBorders>
            <w:top w:val="none" w:sz="0" w:space="0"/>
            <w:left w:val="none" w:sz="0" w:space="0"/>
            <w:bottom w:val="none" w:sz="0" w:space="0"/>
            <w:right w:val="none" w:sz="0" w:space="0"/>
          </w:pgBorders>
          <w:pgNumType w:fmt="numberInDash"/>
          <w:cols w:space="425" w:num="1"/>
          <w:docGrid w:type="lines" w:linePitch="312"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4002"/>
        <w:gridCol w:w="2887"/>
        <w:gridCol w:w="5007"/>
        <w:gridCol w:w="227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2024年度永吉县一般公共预算收支平衡表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项目</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决 算 数</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pPr>
            <w:r>
              <w:rPr>
                <w:rFonts w:hint="eastAsia" w:ascii="宋体" w:hAnsi="宋体" w:eastAsia="宋体" w:cs="宋体"/>
                <w:b/>
                <w:bCs/>
                <w:i w:val="0"/>
                <w:iCs w:val="0"/>
                <w:color w:val="000000"/>
                <w:kern w:val="0"/>
                <w:sz w:val="20"/>
                <w:szCs w:val="20"/>
                <w:u w:val="none"/>
                <w:lang w:val="en-US" w:eastAsia="zh-CN" w:bidi="ar"/>
              </w:rPr>
              <w:t>项目</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 算 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50,612</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一般公共预算支出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337,307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上级补助收入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248,924</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补助下级支出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返还性收入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5,532</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上解上级支出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一般性转移支付收入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225,779</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调出资金</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专项转移支付收入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17,613</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债务还本支出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下级上解收入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债务转贷支出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待偿债再融资一般债券上年结余</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补充预算周转金</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上年结余收入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127,904</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拨付国债转贷资金数</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调入资金   </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5,898</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国债转贷资金结余</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安排预算稳定调节基金</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债务转贷收入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33,986</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区域间转移性支出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动用预算稳定调节基金</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66,481</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待偿债再融资一般债券结余</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区域间转移性收入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pPr>
            <w:r>
              <w:rPr>
                <w:rFonts w:hint="eastAsia" w:ascii="宋体" w:hAnsi="宋体" w:eastAsia="宋体" w:cs="宋体"/>
                <w:i w:val="0"/>
                <w:iCs w:val="0"/>
                <w:color w:val="000000"/>
                <w:kern w:val="0"/>
                <w:sz w:val="20"/>
                <w:szCs w:val="20"/>
                <w:u w:val="none"/>
                <w:lang w:val="en-US" w:eastAsia="zh-CN" w:bidi="ar"/>
              </w:rPr>
              <w:t>0</w:t>
            </w: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年终结余</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156,946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5" w:hRule="atLeast"/>
        </w:trPr>
        <w:tc>
          <w:tcPr>
            <w:tcW w:w="14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省补助计划单列市收入</w:t>
            </w:r>
          </w:p>
        </w:tc>
        <w:tc>
          <w:tcPr>
            <w:tcW w:w="10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pPr>
          </w:p>
        </w:tc>
        <w:tc>
          <w:tcPr>
            <w:tcW w:w="17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pPr>
            <w:r>
              <w:rPr>
                <w:rFonts w:hint="eastAsia" w:ascii="宋体" w:hAnsi="宋体" w:eastAsia="宋体" w:cs="宋体"/>
                <w:b/>
                <w:bCs/>
                <w:i w:val="0"/>
                <w:iCs w:val="0"/>
                <w:color w:val="000000"/>
                <w:kern w:val="0"/>
                <w:sz w:val="20"/>
                <w:szCs w:val="20"/>
                <w:u w:val="none"/>
                <w:lang w:val="en-US" w:eastAsia="zh-CN" w:bidi="ar"/>
              </w:rPr>
              <w:t>减:结转下年的支出</w:t>
            </w:r>
          </w:p>
        </w:tc>
        <w:tc>
          <w:tcPr>
            <w:tcW w:w="8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156,946</w:t>
            </w:r>
          </w:p>
        </w:tc>
      </w:tr>
    </w:tbl>
    <w:p>
      <w:pPr>
        <w:spacing w:line="600" w:lineRule="exact"/>
        <w:rPr>
          <w:rFonts w:ascii="Times New Roman" w:hAnsi="Times New Roman" w:eastAsia="仿宋" w:cs="Times New Roman"/>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both"/>
        <w:rPr>
          <w:rFonts w:hint="eastAsia" w:ascii="宋体" w:hAnsi="宋体" w:eastAsia="宋体" w:cs="宋体"/>
          <w:b/>
          <w:bCs/>
          <w:sz w:val="44"/>
          <w:szCs w:val="44"/>
          <w:lang w:val="en-US" w:eastAsia="zh-CN"/>
        </w:rPr>
      </w:pPr>
      <w:bookmarkStart w:id="39" w:name="_Toc31914"/>
      <w:bookmarkStart w:id="40" w:name="_Toc18521"/>
      <w:bookmarkStart w:id="41" w:name="_Toc1042"/>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w:t>
      </w:r>
      <w:r>
        <w:rPr>
          <w:rFonts w:hint="eastAsia" w:ascii="宋体" w:hAnsi="宋体" w:eastAsia="宋体" w:cs="宋体"/>
          <w:b/>
          <w:bCs/>
          <w:sz w:val="44"/>
          <w:szCs w:val="44"/>
        </w:rPr>
        <w:t>永吉县</w:t>
      </w:r>
      <w:r>
        <w:rPr>
          <w:rFonts w:hint="eastAsia" w:ascii="宋体" w:hAnsi="宋体" w:eastAsia="宋体" w:cs="宋体"/>
          <w:b/>
          <w:bCs/>
          <w:sz w:val="44"/>
          <w:szCs w:val="44"/>
          <w:lang w:eastAsia="en-US"/>
        </w:rPr>
        <w:t>一般公共预算</w:t>
      </w:r>
      <w:bookmarkEnd w:id="39"/>
      <w:bookmarkEnd w:id="40"/>
      <w:bookmarkEnd w:id="41"/>
    </w:p>
    <w:p>
      <w:pPr>
        <w:spacing w:line="600" w:lineRule="exact"/>
        <w:ind w:firstLine="883" w:firstLineChars="200"/>
        <w:jc w:val="center"/>
        <w:rPr>
          <w:rFonts w:hint="eastAsia" w:ascii="宋体" w:hAnsi="宋体" w:eastAsia="宋体" w:cs="宋体"/>
          <w:b/>
          <w:bCs/>
          <w:sz w:val="44"/>
          <w:szCs w:val="44"/>
          <w:lang w:eastAsia="en-US"/>
        </w:rPr>
      </w:pPr>
      <w:bookmarkStart w:id="42" w:name="_Toc10483"/>
      <w:bookmarkStart w:id="43" w:name="_Toc13408"/>
      <w:bookmarkStart w:id="44" w:name="_Toc15014"/>
      <w:r>
        <w:rPr>
          <w:rFonts w:hint="eastAsia" w:ascii="宋体" w:hAnsi="宋体" w:eastAsia="宋体" w:cs="宋体"/>
          <w:b/>
          <w:bCs/>
          <w:sz w:val="44"/>
          <w:szCs w:val="44"/>
          <w:lang w:eastAsia="en-US"/>
        </w:rPr>
        <w:t>财政收支平衡表的说明</w:t>
      </w:r>
      <w:bookmarkEnd w:id="42"/>
      <w:bookmarkEnd w:id="43"/>
      <w:bookmarkEnd w:id="44"/>
    </w:p>
    <w:p>
      <w:pPr>
        <w:spacing w:line="600" w:lineRule="exact"/>
        <w:ind w:firstLine="883" w:firstLineChars="200"/>
        <w:jc w:val="center"/>
        <w:rPr>
          <w:rFonts w:ascii="Times New Roman" w:hAnsi="Times New Roman" w:eastAsia="仿宋" w:cs="Times New Roman"/>
          <w:b/>
          <w:bCs/>
          <w:sz w:val="44"/>
          <w:szCs w:val="44"/>
          <w:lang w:eastAsia="en-US"/>
        </w:rPr>
      </w:pPr>
    </w:p>
    <w:p>
      <w:pPr>
        <w:spacing w:line="600" w:lineRule="exact"/>
        <w:ind w:firstLine="640" w:firstLineChars="200"/>
        <w:rPr>
          <w:rFonts w:ascii="Times New Roman" w:hAnsi="Times New Roman" w:eastAsia="仿宋" w:cs="Times New Roman"/>
          <w:b w:val="0"/>
          <w:bCs w:val="0"/>
          <w:color w:val="auto"/>
          <w:sz w:val="32"/>
          <w:szCs w:val="32"/>
          <w:lang w:eastAsia="en-US"/>
        </w:rPr>
      </w:pPr>
      <w:r>
        <w:rPr>
          <w:rFonts w:ascii="Times New Roman" w:hAnsi="Times New Roman" w:eastAsia="仿宋" w:cs="Times New Roman"/>
          <w:b w:val="0"/>
          <w:bCs w:val="0"/>
          <w:color w:val="auto"/>
          <w:sz w:val="32"/>
          <w:szCs w:val="32"/>
          <w:lang w:eastAsia="en-US"/>
        </w:rPr>
        <w:t>本表反映</w:t>
      </w:r>
      <w:r>
        <w:rPr>
          <w:rFonts w:hint="eastAsia" w:ascii="Times New Roman" w:hAnsi="Times New Roman" w:eastAsia="仿宋" w:cs="Times New Roman"/>
          <w:b w:val="0"/>
          <w:bCs w:val="0"/>
          <w:color w:val="auto"/>
          <w:sz w:val="32"/>
          <w:szCs w:val="32"/>
          <w:lang w:val="en-US" w:eastAsia="zh-CN"/>
        </w:rPr>
        <w:t>2024</w:t>
      </w:r>
      <w:r>
        <w:rPr>
          <w:rFonts w:ascii="Times New Roman" w:hAnsi="Times New Roman" w:eastAsia="仿宋" w:cs="Times New Roman"/>
          <w:b w:val="0"/>
          <w:bCs w:val="0"/>
          <w:color w:val="auto"/>
          <w:sz w:val="32"/>
          <w:szCs w:val="32"/>
          <w:lang w:eastAsia="en-US"/>
        </w:rPr>
        <w:t>年度</w:t>
      </w:r>
      <w:r>
        <w:rPr>
          <w:rFonts w:hint="eastAsia" w:ascii="Times New Roman" w:hAnsi="Times New Roman" w:eastAsia="仿宋" w:cs="Times New Roman"/>
          <w:b w:val="0"/>
          <w:bCs w:val="0"/>
          <w:color w:val="auto"/>
          <w:sz w:val="32"/>
          <w:szCs w:val="32"/>
          <w:lang w:eastAsia="en-US"/>
        </w:rPr>
        <w:t>永吉县</w:t>
      </w:r>
      <w:r>
        <w:rPr>
          <w:rFonts w:ascii="Times New Roman" w:hAnsi="Times New Roman" w:eastAsia="仿宋" w:cs="Times New Roman"/>
          <w:b w:val="0"/>
          <w:bCs w:val="0"/>
          <w:color w:val="auto"/>
          <w:sz w:val="32"/>
          <w:szCs w:val="32"/>
          <w:lang w:eastAsia="en-US"/>
        </w:rPr>
        <w:t>一般公共预算各项收入和各项支出的平衡关系。</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仿宋_GB2312" w:cs="Times New Roman"/>
          <w:sz w:val="32"/>
          <w:highlight w:val="none"/>
        </w:rPr>
      </w:pPr>
      <w:r>
        <w:rPr>
          <w:rFonts w:hint="default" w:ascii="Times New Roman" w:hAnsi="Times New Roman" w:eastAsia="仿宋_GB2312" w:cs="Times New Roman"/>
          <w:sz w:val="32"/>
          <w:szCs w:val="32"/>
          <w:highlight w:val="none"/>
        </w:rPr>
        <w:t>一般公共预算收入50,612万元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加上上级补助收入248,924万元、转贷地方政府债券收入33,986万元、动用预算稳定调节基金66,481万元、调入资金5,898万元和上年结转收入127,904万元，财政收入总计533,805万元。一般公共预算支出337,307万元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加上上解上级支出5,383万元、债务还本和转贷支出10,065万元、安排预算稳定调节基金24,104万元，年终结余156,946万元，支出总</w:t>
      </w:r>
      <w:r>
        <w:rPr>
          <w:rFonts w:hint="default" w:ascii="Times New Roman" w:hAnsi="Times New Roman" w:eastAsia="仿宋_GB2312" w:cs="Times New Roman"/>
          <w:sz w:val="32"/>
          <w:szCs w:val="32"/>
          <w:highlight w:val="none"/>
          <w:lang w:val="en-US" w:eastAsia="zh-CN"/>
        </w:rPr>
        <w:t>计</w:t>
      </w:r>
      <w:r>
        <w:rPr>
          <w:rFonts w:hint="default" w:ascii="Times New Roman" w:hAnsi="Times New Roman" w:eastAsia="仿宋_GB2312" w:cs="Times New Roman"/>
          <w:sz w:val="32"/>
          <w:szCs w:val="32"/>
          <w:highlight w:val="none"/>
        </w:rPr>
        <w:t>为533,805万元。收支</w:t>
      </w:r>
      <w:r>
        <w:rPr>
          <w:rFonts w:hint="default" w:ascii="Times New Roman" w:hAnsi="Times New Roman" w:eastAsia="仿宋_GB2312" w:cs="Times New Roman"/>
          <w:sz w:val="32"/>
          <w:szCs w:val="32"/>
          <w:highlight w:val="none"/>
          <w:lang w:val="en-US" w:eastAsia="zh-CN"/>
        </w:rPr>
        <w:t>总量</w:t>
      </w:r>
      <w:r>
        <w:rPr>
          <w:rFonts w:hint="default" w:ascii="Times New Roman" w:hAnsi="Times New Roman" w:eastAsia="仿宋_GB2312" w:cs="Times New Roman"/>
          <w:sz w:val="32"/>
          <w:szCs w:val="32"/>
          <w:highlight w:val="none"/>
        </w:rPr>
        <w:t>相抵，实现收支平衡。</w:t>
      </w:r>
    </w:p>
    <w:p>
      <w:pPr>
        <w:keepNext w:val="0"/>
        <w:keepLines w:val="0"/>
        <w:pageBreakBefore w:val="0"/>
        <w:widowControl w:val="0"/>
        <w:kinsoku/>
        <w:wordWrap/>
        <w:overflowPunct/>
        <w:topLinePunct w:val="0"/>
        <w:autoSpaceDE/>
        <w:autoSpaceDN/>
        <w:bidi w:val="0"/>
        <w:adjustRightInd/>
        <w:snapToGrid/>
        <w:spacing w:line="576" w:lineRule="exact"/>
        <w:ind w:firstLine="440" w:firstLineChars="200"/>
        <w:textAlignment w:val="auto"/>
        <w:rPr>
          <w:rFonts w:hint="eastAsia"/>
          <w:lang w:val="en-US" w:eastAsia="zh-CN"/>
        </w:rPr>
      </w:pPr>
    </w:p>
    <w:p>
      <w:pPr>
        <w:pStyle w:val="6"/>
        <w:rPr>
          <w:rFonts w:hint="eastAsia"/>
          <w:lang w:val="en-US" w:eastAsia="zh-CN"/>
        </w:rPr>
      </w:pPr>
    </w:p>
    <w:p>
      <w:pPr>
        <w:rPr>
          <w:rFonts w:hint="eastAsia"/>
          <w:lang w:val="en-US" w:eastAsia="zh-CN"/>
        </w:rPr>
      </w:pPr>
    </w:p>
    <w:p>
      <w:pPr>
        <w:pStyle w:val="2"/>
        <w:rPr>
          <w:rFonts w:hint="eastAsia"/>
          <w:lang w:val="en-US" w:eastAsia="zh-CN"/>
        </w:rPr>
      </w:pPr>
    </w:p>
    <w:p>
      <w:pPr>
        <w:pStyle w:val="6"/>
        <w:rPr>
          <w:rFonts w:hint="eastAsia"/>
          <w:lang w:val="en-US" w:eastAsia="zh-CN"/>
        </w:rPr>
      </w:pPr>
    </w:p>
    <w:p>
      <w:pPr>
        <w:rPr>
          <w:rFonts w:hint="eastAsia"/>
          <w:lang w:val="en-US" w:eastAsia="zh-CN"/>
        </w:rPr>
      </w:pPr>
    </w:p>
    <w:p>
      <w:pPr>
        <w:pStyle w:val="6"/>
        <w:rPr>
          <w:rFonts w:hint="eastAsia"/>
          <w:lang w:val="en-US" w:eastAsia="zh-CN"/>
        </w:rPr>
      </w:pPr>
    </w:p>
    <w:p>
      <w:pPr>
        <w:pStyle w:val="2"/>
        <w:rPr>
          <w:rFonts w:hint="eastAsia"/>
          <w:lang w:val="en-US"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529"/>
        <w:gridCol w:w="1489"/>
        <w:gridCol w:w="1562"/>
        <w:gridCol w:w="1553"/>
        <w:gridCol w:w="138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bookmarkStart w:id="45" w:name="_Toc20032"/>
            <w:bookmarkStart w:id="46" w:name="_Toc32319"/>
            <w:bookmarkStart w:id="47" w:name="_Toc22667"/>
            <w:r>
              <w:rPr>
                <w:rFonts w:hint="eastAsia" w:ascii="宋体" w:hAnsi="宋体" w:eastAsia="宋体" w:cs="宋体"/>
                <w:b/>
                <w:bCs/>
                <w:i w:val="0"/>
                <w:iCs w:val="0"/>
                <w:color w:val="000000"/>
                <w:kern w:val="0"/>
                <w:sz w:val="36"/>
                <w:szCs w:val="36"/>
                <w:u w:val="none"/>
                <w:lang w:val="en-US" w:eastAsia="zh-CN" w:bidi="ar"/>
              </w:rPr>
              <w:t>2024年度永吉县一般公共预算收入完成表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74"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17"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91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10"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预算科目</w:t>
            </w:r>
          </w:p>
        </w:tc>
        <w:tc>
          <w:tcPr>
            <w:tcW w:w="874"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2023年完成数</w:t>
            </w:r>
          </w:p>
        </w:tc>
        <w:tc>
          <w:tcPr>
            <w:tcW w:w="91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2024年完成数</w:t>
            </w:r>
          </w:p>
        </w:tc>
        <w:tc>
          <w:tcPr>
            <w:tcW w:w="9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比上年增减</w:t>
            </w:r>
          </w:p>
        </w:tc>
        <w:tc>
          <w:tcPr>
            <w:tcW w:w="8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比上年增减变动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一、税收收入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39,585.00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35,515.00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-4,070.00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11,580.00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11,057.00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-523.00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企业所得税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4,365.00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7,782.00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3,417.00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个人所得税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673.00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591.00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-82.00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13,353.00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6,601.00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-6,752.00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城市维护建设税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2,246.00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2,012.00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-234.00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房产税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1,568.00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1,855.00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287.00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印花税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436.00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552.00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116.00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城镇土地使用税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786.00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1,814.00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1,028.00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130.8%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土地增值税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632.00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573.00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-59.00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车船税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1,810.00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941.00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-869.00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耕地占用税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435.00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348.00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-87.00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契税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1,488.00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1,226.00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-262.00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烟叶税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环境保护税</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207.00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151.00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-56.00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其他税收收入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12.00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二、非税收入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14,051.00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15,097.00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1,046.00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5,312.00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7,048.00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1,736.00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行政事业性收费收入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1,821.00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1,039.00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-782.00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罚没收入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3,707.00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5,350.00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1,643.00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44.3%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国有资本经营收入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国有资源(资产)有偿使用收入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3,204.00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1,550.00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-1,654.00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87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7.00 </w:t>
            </w:r>
          </w:p>
        </w:tc>
        <w:tc>
          <w:tcPr>
            <w:tcW w:w="9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110.00 </w:t>
            </w:r>
          </w:p>
        </w:tc>
        <w:tc>
          <w:tcPr>
            <w:tcW w:w="91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103.00 </w:t>
            </w:r>
          </w:p>
        </w:tc>
        <w:tc>
          <w:tcPr>
            <w:tcW w:w="8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48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本 年 收 入 合 计</w:t>
            </w:r>
          </w:p>
        </w:tc>
        <w:tc>
          <w:tcPr>
            <w:tcW w:w="874"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53,636.00 </w:t>
            </w:r>
          </w:p>
        </w:tc>
        <w:tc>
          <w:tcPr>
            <w:tcW w:w="91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50,612.00 </w:t>
            </w:r>
          </w:p>
        </w:tc>
        <w:tc>
          <w:tcPr>
            <w:tcW w:w="91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-3,024.00 </w:t>
            </w:r>
          </w:p>
        </w:tc>
        <w:tc>
          <w:tcPr>
            <w:tcW w:w="81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5000" w:type="pct"/>
            <w:gridSpan w:val="5"/>
            <w:tcBorders>
              <w:top w:val="nil"/>
              <w:left w:val="nil"/>
              <w:bottom w:val="nil"/>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注：2023年资源税基数由13,353万元调整至6,677万元；车船税基数由1,810万元调整至905万元。2023年收入基数调整为46055万元。</w:t>
            </w:r>
          </w:p>
        </w:tc>
      </w:tr>
    </w:tbl>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val="en-US" w:eastAsia="zh-CN"/>
        </w:rPr>
      </w:pPr>
    </w:p>
    <w:p>
      <w:pPr>
        <w:spacing w:line="600" w:lineRule="exact"/>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年永吉县一般公共预算</w:t>
      </w:r>
      <w:bookmarkEnd w:id="45"/>
      <w:bookmarkEnd w:id="46"/>
      <w:bookmarkEnd w:id="47"/>
    </w:p>
    <w:p>
      <w:pPr>
        <w:spacing w:line="600" w:lineRule="exact"/>
        <w:ind w:firstLine="2650" w:firstLineChars="600"/>
        <w:jc w:val="both"/>
        <w:rPr>
          <w:rFonts w:hint="eastAsia" w:ascii="Times New Roman" w:hAnsi="Times New Roman" w:eastAsia="仿宋" w:cs="Times New Roman"/>
          <w:sz w:val="32"/>
          <w:szCs w:val="32"/>
          <w:lang w:eastAsia="en-US"/>
        </w:rPr>
      </w:pPr>
      <w:bookmarkStart w:id="48" w:name="_Toc9513"/>
      <w:bookmarkStart w:id="49" w:name="_Toc9851"/>
      <w:bookmarkStart w:id="50" w:name="_Toc7513"/>
      <w:r>
        <w:rPr>
          <w:rFonts w:hint="eastAsia" w:ascii="宋体" w:hAnsi="宋体" w:eastAsia="宋体" w:cs="宋体"/>
          <w:b/>
          <w:bCs/>
          <w:sz w:val="44"/>
          <w:szCs w:val="44"/>
          <w:lang w:eastAsia="en-US"/>
        </w:rPr>
        <w:t>收入完成情况</w:t>
      </w:r>
      <w:bookmarkEnd w:id="48"/>
      <w:bookmarkEnd w:id="49"/>
      <w:bookmarkEnd w:id="50"/>
    </w:p>
    <w:p>
      <w:pPr>
        <w:spacing w:line="600" w:lineRule="exact"/>
        <w:ind w:firstLine="640" w:firstLineChars="200"/>
        <w:rPr>
          <w:rFonts w:ascii="Times New Roman" w:hAnsi="Times New Roman" w:eastAsia="仿宋" w:cs="Times New Roman"/>
          <w:color w:val="auto"/>
          <w:sz w:val="32"/>
          <w:szCs w:val="32"/>
          <w:lang w:eastAsia="en-US"/>
        </w:rPr>
      </w:pPr>
      <w:r>
        <w:rPr>
          <w:rFonts w:hint="eastAsia" w:ascii="Times New Roman" w:hAnsi="Times New Roman" w:eastAsia="仿宋" w:cs="Times New Roman"/>
          <w:color w:val="auto"/>
          <w:sz w:val="32"/>
          <w:szCs w:val="32"/>
          <w:lang w:eastAsia="en-US"/>
        </w:rPr>
        <w:t>一般公共预算是对以税收为主体的财政收入，安排用于保障和改善民生、推动经济社会发展、维护国家安全、维持国家机构正常运转等方面的收支预算。一般公共预算收入包括各项税收收入、行政事业性收费收入、国有资源（资产）有偿使用收入和其他收入等。</w:t>
      </w:r>
    </w:p>
    <w:p>
      <w:pPr>
        <w:spacing w:line="600" w:lineRule="exact"/>
        <w:ind w:firstLine="640" w:firstLineChars="200"/>
        <w:rPr>
          <w:rFonts w:hint="eastAsia" w:ascii="Times New Roman" w:hAnsi="Times New Roman" w:eastAsia="仿宋" w:cs="Times New Roman"/>
          <w:color w:val="auto"/>
          <w:sz w:val="32"/>
          <w:szCs w:val="32"/>
          <w:lang w:eastAsia="en-US"/>
        </w:rPr>
      </w:pPr>
      <w:r>
        <w:rPr>
          <w:rFonts w:hint="eastAsia" w:ascii="Times New Roman" w:hAnsi="Times New Roman" w:eastAsia="仿宋" w:cs="Times New Roman"/>
          <w:color w:val="auto"/>
          <w:sz w:val="32"/>
          <w:szCs w:val="32"/>
        </w:rPr>
        <w:t>永吉县</w:t>
      </w:r>
      <w:r>
        <w:rPr>
          <w:rFonts w:hint="eastAsia" w:ascii="Times New Roman" w:hAnsi="Times New Roman" w:eastAsia="仿宋" w:cs="Times New Roman"/>
          <w:color w:val="auto"/>
          <w:sz w:val="32"/>
          <w:szCs w:val="32"/>
          <w:lang w:eastAsia="en-US"/>
        </w:rPr>
        <w:t>地方级财政收入由</w:t>
      </w:r>
      <w:r>
        <w:rPr>
          <w:rFonts w:hint="eastAsia" w:ascii="Times New Roman" w:hAnsi="Times New Roman" w:eastAsia="仿宋" w:cs="Times New Roman"/>
          <w:color w:val="auto"/>
          <w:sz w:val="32"/>
          <w:szCs w:val="32"/>
        </w:rPr>
        <w:t>永吉县</w:t>
      </w:r>
      <w:r>
        <w:rPr>
          <w:rFonts w:hint="eastAsia" w:ascii="Times New Roman" w:hAnsi="Times New Roman" w:eastAsia="仿宋" w:cs="Times New Roman"/>
          <w:color w:val="auto"/>
          <w:sz w:val="32"/>
          <w:szCs w:val="32"/>
          <w:lang w:eastAsia="en-US"/>
        </w:rPr>
        <w:t>按分税制收入划分比例分享的增值税、企业所得税、个人所得税、房产税、契税</w:t>
      </w:r>
      <w:r>
        <w:rPr>
          <w:rFonts w:hint="eastAsia" w:ascii="Times New Roman" w:hAnsi="Times New Roman" w:eastAsia="仿宋" w:cs="Times New Roman"/>
          <w:color w:val="auto"/>
          <w:sz w:val="32"/>
          <w:szCs w:val="32"/>
        </w:rPr>
        <w:t>、</w:t>
      </w:r>
      <w:r>
        <w:rPr>
          <w:rFonts w:hint="eastAsia" w:ascii="Times New Roman" w:hAnsi="Times New Roman" w:eastAsia="仿宋" w:cs="Times New Roman"/>
          <w:color w:val="auto"/>
          <w:sz w:val="32"/>
          <w:szCs w:val="32"/>
          <w:lang w:eastAsia="en-US"/>
        </w:rPr>
        <w:t>城市维护建设税、印花税、城镇土地使用税、土地增值税等</w:t>
      </w:r>
      <w:r>
        <w:rPr>
          <w:rFonts w:hint="eastAsia" w:ascii="Times New Roman" w:hAnsi="Times New Roman" w:eastAsia="仿宋" w:cs="Times New Roman"/>
          <w:color w:val="auto"/>
          <w:sz w:val="32"/>
          <w:szCs w:val="32"/>
        </w:rPr>
        <w:t>收入</w:t>
      </w:r>
      <w:r>
        <w:rPr>
          <w:rFonts w:hint="eastAsia" w:ascii="Times New Roman" w:hAnsi="Times New Roman" w:eastAsia="仿宋" w:cs="Times New Roman"/>
          <w:color w:val="auto"/>
          <w:sz w:val="32"/>
          <w:szCs w:val="32"/>
          <w:lang w:eastAsia="en-US"/>
        </w:rPr>
        <w:t>，加上</w:t>
      </w:r>
      <w:r>
        <w:rPr>
          <w:rFonts w:hint="eastAsia" w:ascii="Times New Roman" w:hAnsi="Times New Roman" w:eastAsia="仿宋" w:cs="Times New Roman"/>
          <w:color w:val="auto"/>
          <w:sz w:val="32"/>
          <w:szCs w:val="32"/>
        </w:rPr>
        <w:t>预算</w:t>
      </w:r>
      <w:r>
        <w:rPr>
          <w:rFonts w:hint="eastAsia" w:ascii="Times New Roman" w:hAnsi="Times New Roman" w:eastAsia="仿宋" w:cs="Times New Roman"/>
          <w:color w:val="auto"/>
          <w:sz w:val="32"/>
          <w:szCs w:val="32"/>
          <w:lang w:eastAsia="en-US"/>
        </w:rPr>
        <w:t>单位收缴的行政事业性收费和国有资源（资产）有偿使用收入等非税收入构成。</w:t>
      </w:r>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Times New Roman" w:hAnsi="Times New Roman" w:eastAsia="仿宋_GB2312" w:cs="Times New Roman"/>
          <w:color w:val="auto"/>
          <w:sz w:val="32"/>
          <w:szCs w:val="32"/>
          <w:lang w:eastAsia="en-US"/>
        </w:rPr>
      </w:pPr>
      <w:r>
        <w:rPr>
          <w:rFonts w:hint="eastAsia" w:ascii="Times New Roman" w:hAnsi="Times New Roman" w:eastAsia="仿宋_GB2312" w:cs="Times New Roman"/>
          <w:color w:val="auto"/>
          <w:sz w:val="32"/>
          <w:szCs w:val="32"/>
          <w:lang w:val="en-US" w:eastAsia="zh-CN"/>
        </w:rPr>
        <w:t xml:space="preserve">  </w:t>
      </w:r>
      <w:r>
        <w:rPr>
          <w:rFonts w:hint="default" w:ascii="Times New Roman" w:hAnsi="Times New Roman" w:eastAsia="仿宋_GB2312" w:cs="Times New Roman"/>
          <w:color w:val="auto"/>
          <w:sz w:val="32"/>
          <w:szCs w:val="32"/>
        </w:rPr>
        <w:t>一般公共预算地方级收入</w:t>
      </w:r>
      <w:r>
        <w:rPr>
          <w:rFonts w:hint="default" w:ascii="Times New Roman" w:hAnsi="Times New Roman" w:eastAsia="仿宋_GB2312" w:cs="Times New Roman"/>
          <w:color w:val="auto"/>
          <w:sz w:val="32"/>
          <w:szCs w:val="32"/>
          <w:lang w:val="en-US" w:eastAsia="zh-CN"/>
        </w:rPr>
        <w:t>完成</w:t>
      </w:r>
      <w:r>
        <w:rPr>
          <w:rFonts w:hint="default" w:ascii="Times New Roman" w:hAnsi="Times New Roman" w:eastAsia="仿宋_GB2312" w:cs="Times New Roman"/>
          <w:color w:val="auto"/>
          <w:sz w:val="32"/>
          <w:szCs w:val="32"/>
        </w:rPr>
        <w:t>50,612万元，为预算的99.8%，</w:t>
      </w:r>
      <w:r>
        <w:rPr>
          <w:rFonts w:hint="eastAsia" w:ascii="Times New Roman" w:hAnsi="Times New Roman" w:eastAsia="仿宋_GB2312" w:cs="Times New Roman"/>
          <w:color w:val="auto"/>
          <w:sz w:val="32"/>
          <w:szCs w:val="32"/>
          <w:lang w:eastAsia="zh-CN"/>
        </w:rPr>
        <w:t>扣除资源税、车船税同期基数受省与市县收入划分政策调整</w:t>
      </w:r>
      <w:r>
        <w:rPr>
          <w:rFonts w:hint="eastAsia" w:ascii="Times New Roman" w:hAnsi="Times New Roman" w:eastAsia="仿宋_GB2312" w:cs="Times New Roman"/>
          <w:color w:val="auto"/>
          <w:sz w:val="32"/>
          <w:szCs w:val="32"/>
          <w:lang w:val="en-US" w:eastAsia="zh-CN"/>
        </w:rPr>
        <w:t>因素影响，</w:t>
      </w:r>
      <w:r>
        <w:rPr>
          <w:rFonts w:hint="default" w:ascii="Times New Roman" w:hAnsi="Times New Roman" w:eastAsia="仿宋_GB2312" w:cs="Times New Roman"/>
          <w:color w:val="auto"/>
          <w:sz w:val="32"/>
          <w:szCs w:val="32"/>
        </w:rPr>
        <w:t>同比增加4,557万元，增长9.9%。其中，税收收入完成35,515万元，同比增加3,511万元，增长11%，主要</w:t>
      </w:r>
      <w:r>
        <w:rPr>
          <w:rFonts w:hint="default" w:ascii="Times New Roman" w:hAnsi="Times New Roman" w:eastAsia="仿宋_GB2312" w:cs="Times New Roman"/>
          <w:color w:val="auto"/>
          <w:sz w:val="32"/>
          <w:szCs w:val="32"/>
          <w:lang w:val="en-US" w:eastAsia="zh-CN"/>
        </w:rPr>
        <w:t>原因包括</w:t>
      </w:r>
      <w:r>
        <w:rPr>
          <w:rFonts w:hint="default" w:ascii="Times New Roman" w:hAnsi="Times New Roman" w:eastAsia="仿宋_GB2312" w:cs="Times New Roman"/>
          <w:color w:val="auto"/>
          <w:sz w:val="32"/>
          <w:szCs w:val="32"/>
        </w:rPr>
        <w:t>：一是吉林大黑山钼业有限公司钼产品价格提高且销售额增长税收收入增加；二是吉林瑞尔康光学科技有限公司销售额增长税收收入增加。非税收入完成15,097万元，同比增加1,046万元，增长7.4%，主要是</w:t>
      </w:r>
      <w:r>
        <w:rPr>
          <w:rFonts w:hint="eastAsia" w:ascii="Times New Roman" w:hAnsi="Times New Roman" w:eastAsia="仿宋_GB2312" w:cs="Times New Roman"/>
          <w:color w:val="auto"/>
          <w:sz w:val="32"/>
          <w:szCs w:val="32"/>
          <w:lang w:eastAsia="zh-CN"/>
        </w:rPr>
        <w:t>本</w:t>
      </w:r>
      <w:r>
        <w:rPr>
          <w:rFonts w:hint="default" w:ascii="Times New Roman" w:hAnsi="Times New Roman" w:eastAsia="仿宋_GB2312" w:cs="Times New Roman"/>
          <w:color w:val="auto"/>
          <w:sz w:val="32"/>
          <w:szCs w:val="32"/>
        </w:rPr>
        <w:t>期一次性非税收入金额较大。</w:t>
      </w:r>
    </w:p>
    <w:p>
      <w:pPr>
        <w:pStyle w:val="6"/>
        <w:rPr>
          <w:rFonts w:hint="eastAsia"/>
          <w:lang w:eastAsia="en-US"/>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152"/>
        <w:gridCol w:w="1456"/>
        <w:gridCol w:w="1456"/>
        <w:gridCol w:w="1159"/>
        <w:gridCol w:w="12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5"/>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2024年度永吉县一般公共预算支出完成表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1852"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853"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679"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759"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2023完成数</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2024完成数</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同比增加</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同比增长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一、一般公共服务支出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26,507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26,148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-359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二、外交支出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三、国防支出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191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-39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四、公共安全支出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9,759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8,937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-822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五、教育支出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39,922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42,907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2,985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六、科学技术支出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518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91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-427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七、文化旅游体育与传媒支出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2,874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2,078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-796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八、社会保障和就业支出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75,287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73,508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-1,779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九、卫生健康支出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23,782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20,505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-3,277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十、节能环保支出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6,700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6,649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-51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十一、城乡社区支出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24,533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17,477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-7,056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十二、农林水支出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82,634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94,202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11,568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十三、交通运输支出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4,941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7,652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2,711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十四、资源勘探工业信息等支出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4,632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4,376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-256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十五、商业服务业等支出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525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375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十六、金融支出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15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十七、援助其他地区支出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i w:val="0"/>
                <w:iCs w:val="0"/>
                <w:color w:val="000000"/>
                <w:sz w:val="22"/>
                <w:szCs w:val="22"/>
                <w:u w:val="none"/>
              </w:rPr>
            </w:pP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十八、自然资源海洋气象等支出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802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963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161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十九、住房保障支出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10,645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8,871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-1,774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二十、粮油物资储备支出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2,364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366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-1,998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二十一、灾害防治及应急管理支出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1,248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3,968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2,720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二十二、预备费</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二十三、其他支出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0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0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二十四、债务付息支出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15,615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17,997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2,382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二十五、债务发行费用支出</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77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30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-47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85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 年 支 出 合 计</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333,596 </w:t>
            </w:r>
          </w:p>
        </w:tc>
        <w:tc>
          <w:tcPr>
            <w:tcW w:w="85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xml:space="preserve">337,307 </w:t>
            </w:r>
          </w:p>
        </w:tc>
        <w:tc>
          <w:tcPr>
            <w:tcW w:w="6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 xml:space="preserve">3,711 </w:t>
            </w:r>
          </w:p>
        </w:tc>
        <w:tc>
          <w:tcPr>
            <w:tcW w:w="75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1.1%</w:t>
            </w:r>
          </w:p>
        </w:tc>
      </w:tr>
    </w:tbl>
    <w:p>
      <w:pPr>
        <w:rPr>
          <w:rFonts w:hint="eastAsia"/>
          <w:lang w:eastAsia="en-US"/>
        </w:rPr>
      </w:pPr>
    </w:p>
    <w:p>
      <w:pPr>
        <w:spacing w:line="600" w:lineRule="exact"/>
        <w:ind w:firstLine="883" w:firstLineChars="200"/>
        <w:jc w:val="center"/>
        <w:rPr>
          <w:rFonts w:hint="eastAsia" w:ascii="宋体" w:hAnsi="宋体" w:eastAsia="宋体" w:cs="宋体"/>
          <w:b/>
          <w:bCs/>
          <w:sz w:val="44"/>
          <w:szCs w:val="44"/>
          <w:lang w:val="en-US" w:eastAsia="zh-CN"/>
        </w:rPr>
      </w:pPr>
      <w:bookmarkStart w:id="51" w:name="_Toc22462"/>
      <w:bookmarkStart w:id="52" w:name="_Toc31131"/>
      <w:bookmarkStart w:id="53" w:name="_Toc16754"/>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val="en-US" w:eastAsia="zh-CN"/>
        </w:rPr>
      </w:pPr>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年永吉县一般公共预算</w:t>
      </w:r>
      <w:bookmarkEnd w:id="51"/>
      <w:bookmarkEnd w:id="52"/>
      <w:bookmarkEnd w:id="53"/>
      <w:bookmarkStart w:id="54" w:name="_Toc4147"/>
    </w:p>
    <w:p>
      <w:pPr>
        <w:spacing w:line="600" w:lineRule="exact"/>
        <w:ind w:firstLine="883" w:firstLineChars="200"/>
        <w:jc w:val="center"/>
        <w:rPr>
          <w:rFonts w:ascii="仿宋_GB2312" w:eastAsia="仿宋_GB2312"/>
          <w:sz w:val="32"/>
          <w:szCs w:val="32"/>
        </w:rPr>
      </w:pPr>
      <w:bookmarkStart w:id="55" w:name="_Toc10828"/>
      <w:bookmarkStart w:id="56" w:name="_Toc5302"/>
      <w:r>
        <w:rPr>
          <w:rFonts w:hint="eastAsia" w:ascii="宋体" w:hAnsi="宋体" w:eastAsia="宋体" w:cs="宋体"/>
          <w:b/>
          <w:bCs/>
          <w:sz w:val="44"/>
          <w:szCs w:val="44"/>
          <w:lang w:eastAsia="en-US"/>
        </w:rPr>
        <w:t>支出完成情况</w:t>
      </w:r>
      <w:bookmarkEnd w:id="54"/>
      <w:bookmarkEnd w:id="55"/>
      <w:bookmarkEnd w:id="56"/>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仿宋_GB2312" w:cs="Times New Roman"/>
          <w:sz w:val="32"/>
          <w:szCs w:val="32"/>
          <w:highlight w:val="none"/>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一般公共预算支出完成337,307万元，增加3,711万元，增长1.1%。</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highlight w:val="none"/>
        </w:rPr>
        <w:t>主要支出项目执行情况：</w:t>
      </w:r>
      <w:r>
        <w:rPr>
          <w:rFonts w:hint="default" w:ascii="Times New Roman" w:hAnsi="Times New Roman" w:eastAsia="仿宋_GB2312" w:cs="Times New Roman"/>
          <w:b/>
          <w:bCs/>
          <w:sz w:val="32"/>
          <w:szCs w:val="32"/>
          <w:highlight w:val="none"/>
        </w:rPr>
        <w:t>一般公共服务支出</w:t>
      </w:r>
      <w:r>
        <w:rPr>
          <w:rFonts w:hint="default" w:ascii="Times New Roman" w:hAnsi="Times New Roman" w:eastAsia="仿宋_GB2312" w:cs="Times New Roman"/>
          <w:sz w:val="32"/>
          <w:szCs w:val="32"/>
          <w:highlight w:val="none"/>
        </w:rPr>
        <w:t>26,148万元，同比减少359万元，下降1.4%，主要是严格落实过紧日子思想，支出相应减少；</w:t>
      </w:r>
      <w:r>
        <w:rPr>
          <w:rFonts w:hint="default" w:ascii="Times New Roman" w:hAnsi="Times New Roman" w:eastAsia="仿宋_GB2312" w:cs="Times New Roman"/>
          <w:b/>
          <w:bCs/>
          <w:sz w:val="32"/>
          <w:szCs w:val="32"/>
          <w:highlight w:val="none"/>
        </w:rPr>
        <w:t>公共安全支出</w:t>
      </w:r>
      <w:r>
        <w:rPr>
          <w:rFonts w:hint="default" w:ascii="Times New Roman" w:hAnsi="Times New Roman" w:eastAsia="仿宋_GB2312" w:cs="Times New Roman"/>
          <w:sz w:val="32"/>
          <w:szCs w:val="32"/>
          <w:highlight w:val="none"/>
        </w:rPr>
        <w:t>8,937万元，同比减少822万元，下降8.4%，主要是公安一般行政管理事务支出减少；</w:t>
      </w:r>
      <w:r>
        <w:rPr>
          <w:rFonts w:hint="default" w:ascii="Times New Roman" w:hAnsi="Times New Roman" w:eastAsia="仿宋_GB2312" w:cs="Times New Roman"/>
          <w:b/>
          <w:bCs/>
          <w:sz w:val="32"/>
          <w:szCs w:val="32"/>
          <w:highlight w:val="none"/>
        </w:rPr>
        <w:t>教育支出</w:t>
      </w:r>
      <w:r>
        <w:rPr>
          <w:rFonts w:hint="default" w:ascii="Times New Roman" w:hAnsi="Times New Roman" w:eastAsia="仿宋_GB2312" w:cs="Times New Roman"/>
          <w:sz w:val="32"/>
          <w:szCs w:val="32"/>
          <w:highlight w:val="none"/>
        </w:rPr>
        <w:t>42,907万元，同比增加2,985万元，增长7.5%，主要是永吉实验职业高中建设项目支出5,200万元；</w:t>
      </w:r>
      <w:r>
        <w:rPr>
          <w:rFonts w:hint="default" w:ascii="Times New Roman" w:hAnsi="Times New Roman" w:eastAsia="仿宋_GB2312" w:cs="Times New Roman"/>
          <w:b/>
          <w:bCs/>
          <w:sz w:val="32"/>
          <w:szCs w:val="32"/>
          <w:highlight w:val="none"/>
        </w:rPr>
        <w:t>科学技术支出</w:t>
      </w:r>
      <w:r>
        <w:rPr>
          <w:rFonts w:hint="default" w:ascii="Times New Roman" w:hAnsi="Times New Roman" w:eastAsia="仿宋_GB2312" w:cs="Times New Roman"/>
          <w:sz w:val="32"/>
          <w:szCs w:val="32"/>
          <w:highlight w:val="none"/>
        </w:rPr>
        <w:t>91万元，同比减少427万元，下降82.4%，主要是科技专项由省科技厅直接下达，县级支出相应减少；</w:t>
      </w:r>
      <w:r>
        <w:rPr>
          <w:rFonts w:hint="default" w:ascii="Times New Roman" w:hAnsi="Times New Roman" w:eastAsia="仿宋_GB2312" w:cs="Times New Roman"/>
          <w:b/>
          <w:bCs/>
          <w:sz w:val="32"/>
          <w:szCs w:val="32"/>
          <w:highlight w:val="none"/>
        </w:rPr>
        <w:t>文化旅游体育与传媒支出</w:t>
      </w:r>
      <w:r>
        <w:rPr>
          <w:rFonts w:hint="default" w:ascii="Times New Roman" w:hAnsi="Times New Roman" w:eastAsia="仿宋_GB2312" w:cs="Times New Roman"/>
          <w:sz w:val="32"/>
          <w:szCs w:val="32"/>
          <w:highlight w:val="none"/>
        </w:rPr>
        <w:t>2,078万元，同比减少796万元，下降27.7%，主要是同期有城市文化广场项目支出；</w:t>
      </w:r>
      <w:r>
        <w:rPr>
          <w:rFonts w:hint="default" w:ascii="Times New Roman" w:hAnsi="Times New Roman" w:eastAsia="仿宋_GB2312" w:cs="Times New Roman"/>
          <w:b/>
          <w:bCs/>
          <w:sz w:val="32"/>
          <w:szCs w:val="32"/>
          <w:highlight w:val="none"/>
        </w:rPr>
        <w:t>社会保障和就业支出</w:t>
      </w:r>
      <w:r>
        <w:rPr>
          <w:rFonts w:hint="default" w:ascii="Times New Roman" w:hAnsi="Times New Roman" w:eastAsia="仿宋_GB2312" w:cs="Times New Roman"/>
          <w:sz w:val="32"/>
          <w:szCs w:val="32"/>
          <w:highlight w:val="none"/>
        </w:rPr>
        <w:t>73,508万元，同比减少1,779万元，下降2.4%，主要是同期有特岗教师补缴机关养老保险支出；</w:t>
      </w:r>
      <w:r>
        <w:rPr>
          <w:rFonts w:hint="default" w:ascii="Times New Roman" w:hAnsi="Times New Roman" w:eastAsia="仿宋_GB2312" w:cs="Times New Roman"/>
          <w:b/>
          <w:bCs/>
          <w:sz w:val="32"/>
          <w:szCs w:val="32"/>
          <w:highlight w:val="none"/>
        </w:rPr>
        <w:t>卫生健康支出</w:t>
      </w:r>
      <w:r>
        <w:rPr>
          <w:rFonts w:hint="default" w:ascii="Times New Roman" w:hAnsi="Times New Roman" w:eastAsia="仿宋_GB2312" w:cs="Times New Roman"/>
          <w:sz w:val="32"/>
          <w:szCs w:val="32"/>
          <w:highlight w:val="none"/>
        </w:rPr>
        <w:t>20,505万元，同比减少3,277万元，下降13.8%，主要是同期有疫情期间相关经费结算支出；</w:t>
      </w:r>
      <w:r>
        <w:rPr>
          <w:rFonts w:hint="default" w:ascii="Times New Roman" w:hAnsi="Times New Roman" w:eastAsia="仿宋_GB2312" w:cs="Times New Roman"/>
          <w:b/>
          <w:bCs/>
          <w:sz w:val="32"/>
          <w:szCs w:val="32"/>
          <w:highlight w:val="none"/>
        </w:rPr>
        <w:t>节能环保支出</w:t>
      </w:r>
      <w:r>
        <w:rPr>
          <w:rFonts w:hint="default" w:ascii="Times New Roman" w:hAnsi="Times New Roman" w:eastAsia="仿宋_GB2312" w:cs="Times New Roman"/>
          <w:sz w:val="32"/>
          <w:szCs w:val="32"/>
          <w:highlight w:val="none"/>
        </w:rPr>
        <w:t>6,649万元，同比减少51万元，下降0.8%；</w:t>
      </w:r>
      <w:r>
        <w:rPr>
          <w:rFonts w:hint="default" w:ascii="Times New Roman" w:hAnsi="Times New Roman" w:eastAsia="仿宋_GB2312" w:cs="Times New Roman"/>
          <w:b/>
          <w:bCs/>
          <w:sz w:val="32"/>
          <w:szCs w:val="32"/>
          <w:highlight w:val="none"/>
        </w:rPr>
        <w:t>城乡社区支出</w:t>
      </w:r>
      <w:r>
        <w:rPr>
          <w:rFonts w:hint="default" w:ascii="Times New Roman" w:hAnsi="Times New Roman" w:eastAsia="仿宋_GB2312" w:cs="Times New Roman"/>
          <w:sz w:val="32"/>
          <w:szCs w:val="32"/>
          <w:highlight w:val="none"/>
        </w:rPr>
        <w:t>17,477万元，同比减少7,056万元，下降28.8%，主要是同期拨付朝一中隔离点及永吉大桥项目工程款；</w:t>
      </w:r>
      <w:r>
        <w:rPr>
          <w:rFonts w:hint="default" w:ascii="Times New Roman" w:hAnsi="Times New Roman" w:eastAsia="仿宋_GB2312" w:cs="Times New Roman"/>
          <w:b/>
          <w:bCs/>
          <w:sz w:val="32"/>
          <w:szCs w:val="32"/>
          <w:highlight w:val="none"/>
        </w:rPr>
        <w:t>农林水支出</w:t>
      </w:r>
      <w:r>
        <w:rPr>
          <w:rFonts w:hint="default" w:ascii="Times New Roman" w:hAnsi="Times New Roman" w:eastAsia="仿宋_GB2312" w:cs="Times New Roman"/>
          <w:sz w:val="32"/>
          <w:szCs w:val="32"/>
          <w:highlight w:val="none"/>
        </w:rPr>
        <w:t>94,202万元，同比增加11,568万元，增长14%，主要是高标准农田建设支出；</w:t>
      </w:r>
      <w:r>
        <w:rPr>
          <w:rFonts w:hint="default" w:ascii="Times New Roman" w:hAnsi="Times New Roman" w:eastAsia="仿宋_GB2312" w:cs="Times New Roman"/>
          <w:b/>
          <w:bCs/>
          <w:sz w:val="32"/>
          <w:szCs w:val="32"/>
          <w:highlight w:val="none"/>
        </w:rPr>
        <w:t>交通运输支出</w:t>
      </w:r>
      <w:r>
        <w:rPr>
          <w:rFonts w:hint="default" w:ascii="Times New Roman" w:hAnsi="Times New Roman" w:eastAsia="仿宋_GB2312" w:cs="Times New Roman"/>
          <w:sz w:val="32"/>
          <w:szCs w:val="32"/>
          <w:highlight w:val="none"/>
        </w:rPr>
        <w:t>7,652万元，同比增加2,711万元，增长54.9%，主要是口前镇口前至红峰（四间水库段）农村公路改造支出；</w:t>
      </w:r>
      <w:r>
        <w:rPr>
          <w:rFonts w:hint="default" w:ascii="Times New Roman" w:hAnsi="Times New Roman" w:eastAsia="仿宋_GB2312" w:cs="Times New Roman"/>
          <w:b/>
          <w:bCs/>
          <w:sz w:val="32"/>
          <w:szCs w:val="32"/>
          <w:highlight w:val="none"/>
        </w:rPr>
        <w:t>资源勘探信息等支出</w:t>
      </w:r>
      <w:r>
        <w:rPr>
          <w:rFonts w:hint="default" w:ascii="Times New Roman" w:hAnsi="Times New Roman" w:eastAsia="仿宋_GB2312" w:cs="Times New Roman"/>
          <w:sz w:val="32"/>
          <w:szCs w:val="32"/>
          <w:highlight w:val="none"/>
        </w:rPr>
        <w:t>4,376万元，同比减少256万元，下降5.5%，主要是同期有中小企业发展专项支出；</w:t>
      </w:r>
      <w:r>
        <w:rPr>
          <w:rFonts w:hint="default" w:ascii="Times New Roman" w:hAnsi="Times New Roman" w:eastAsia="仿宋_GB2312" w:cs="Times New Roman"/>
          <w:b/>
          <w:bCs/>
          <w:sz w:val="32"/>
          <w:szCs w:val="32"/>
          <w:highlight w:val="none"/>
        </w:rPr>
        <w:t>商业服务业等支出</w:t>
      </w:r>
      <w:r>
        <w:rPr>
          <w:rFonts w:hint="default" w:ascii="Times New Roman" w:hAnsi="Times New Roman" w:eastAsia="仿宋_GB2312" w:cs="Times New Roman"/>
          <w:sz w:val="32"/>
          <w:szCs w:val="32"/>
          <w:highlight w:val="none"/>
        </w:rPr>
        <w:t>375万元，同比减少150万元，下降28.6%，主要是同期有其他商业流通事务支出；</w:t>
      </w:r>
      <w:r>
        <w:rPr>
          <w:rFonts w:hint="default" w:ascii="Times New Roman" w:hAnsi="Times New Roman" w:eastAsia="仿宋_GB2312" w:cs="Times New Roman"/>
          <w:b/>
          <w:bCs/>
          <w:sz w:val="32"/>
          <w:szCs w:val="32"/>
          <w:highlight w:val="none"/>
        </w:rPr>
        <w:t>自然资源海洋气象等支出</w:t>
      </w:r>
      <w:r>
        <w:rPr>
          <w:rFonts w:hint="default" w:ascii="Times New Roman" w:hAnsi="Times New Roman" w:eastAsia="仿宋_GB2312" w:cs="Times New Roman"/>
          <w:sz w:val="32"/>
          <w:szCs w:val="32"/>
          <w:highlight w:val="none"/>
        </w:rPr>
        <w:t>963万元，同比增加161万元，增长20.1%；</w:t>
      </w:r>
      <w:r>
        <w:rPr>
          <w:rFonts w:hint="default" w:ascii="Times New Roman" w:hAnsi="Times New Roman" w:eastAsia="仿宋_GB2312" w:cs="Times New Roman"/>
          <w:b/>
          <w:bCs/>
          <w:sz w:val="32"/>
          <w:szCs w:val="32"/>
          <w:highlight w:val="none"/>
        </w:rPr>
        <w:t>住房保障支出</w:t>
      </w:r>
      <w:r>
        <w:rPr>
          <w:rFonts w:hint="default" w:ascii="Times New Roman" w:hAnsi="Times New Roman" w:eastAsia="仿宋_GB2312" w:cs="Times New Roman"/>
          <w:sz w:val="32"/>
          <w:szCs w:val="32"/>
          <w:highlight w:val="none"/>
        </w:rPr>
        <w:t>8,871万元，同比减少1,774万元，下降16.7%，主要是同期有保障性租赁住房及其他保障性安居工程支出；</w:t>
      </w:r>
      <w:r>
        <w:rPr>
          <w:rFonts w:hint="default" w:ascii="Times New Roman" w:hAnsi="Times New Roman" w:eastAsia="仿宋_GB2312" w:cs="Times New Roman"/>
          <w:b/>
          <w:bCs/>
          <w:sz w:val="32"/>
          <w:szCs w:val="32"/>
          <w:highlight w:val="none"/>
        </w:rPr>
        <w:t>粮油物资储备支出</w:t>
      </w:r>
      <w:r>
        <w:rPr>
          <w:rFonts w:hint="default" w:ascii="Times New Roman" w:hAnsi="Times New Roman" w:eastAsia="仿宋_GB2312" w:cs="Times New Roman"/>
          <w:sz w:val="32"/>
          <w:szCs w:val="32"/>
          <w:highlight w:val="none"/>
        </w:rPr>
        <w:t>366万元，同比减少1,998万元，下降84.5%，主要是同期粮油产业发展专项支出较大；</w:t>
      </w:r>
      <w:r>
        <w:rPr>
          <w:rFonts w:hint="default" w:ascii="Times New Roman" w:hAnsi="Times New Roman" w:eastAsia="仿宋_GB2312" w:cs="Times New Roman"/>
          <w:b/>
          <w:bCs/>
          <w:sz w:val="32"/>
          <w:szCs w:val="32"/>
          <w:highlight w:val="none"/>
        </w:rPr>
        <w:t>灾害防治及应急管理支出</w:t>
      </w:r>
      <w:r>
        <w:rPr>
          <w:rFonts w:hint="default" w:ascii="Times New Roman" w:hAnsi="Times New Roman" w:eastAsia="仿宋_GB2312" w:cs="Times New Roman"/>
          <w:sz w:val="32"/>
          <w:szCs w:val="32"/>
          <w:highlight w:val="none"/>
        </w:rPr>
        <w:t>3,968万元，同比增加2,720万元，增长217.9%，主要是地质灾害综合治理工程项目支出；</w:t>
      </w:r>
      <w:r>
        <w:rPr>
          <w:rFonts w:hint="default" w:ascii="Times New Roman" w:hAnsi="Times New Roman" w:eastAsia="仿宋_GB2312" w:cs="Times New Roman"/>
          <w:b/>
          <w:bCs/>
          <w:sz w:val="32"/>
          <w:szCs w:val="32"/>
          <w:highlight w:val="none"/>
        </w:rPr>
        <w:t>债务付息</w:t>
      </w:r>
      <w:r>
        <w:rPr>
          <w:rFonts w:hint="eastAsia" w:ascii="Times New Roman" w:hAnsi="Times New Roman" w:eastAsia="仿宋_GB2312" w:cs="Times New Roman"/>
          <w:b/>
          <w:bCs/>
          <w:sz w:val="32"/>
          <w:szCs w:val="32"/>
          <w:highlight w:val="none"/>
          <w:lang w:eastAsia="zh-CN"/>
        </w:rPr>
        <w:t>及发行费</w:t>
      </w:r>
      <w:r>
        <w:rPr>
          <w:rFonts w:hint="default" w:ascii="Times New Roman" w:hAnsi="Times New Roman" w:eastAsia="仿宋_GB2312" w:cs="Times New Roman"/>
          <w:b/>
          <w:bCs/>
          <w:sz w:val="32"/>
          <w:szCs w:val="32"/>
          <w:highlight w:val="none"/>
        </w:rPr>
        <w:t>支出</w:t>
      </w:r>
      <w:r>
        <w:rPr>
          <w:rFonts w:hint="default" w:ascii="Times New Roman" w:hAnsi="Times New Roman" w:eastAsia="仿宋_GB2312" w:cs="Times New Roman"/>
          <w:sz w:val="32"/>
          <w:szCs w:val="32"/>
          <w:highlight w:val="none"/>
        </w:rPr>
        <w:t>18,027万元，同比增加2,335万元，增长14.9%，主要是债务余额增多，债务付息支出相应增长。</w:t>
      </w:r>
    </w:p>
    <w:p>
      <w:pPr>
        <w:widowControl w:val="0"/>
        <w:spacing w:line="560" w:lineRule="exact"/>
        <w:ind w:firstLine="640" w:firstLineChars="200"/>
        <w:rPr>
          <w:rFonts w:hint="default" w:eastAsia="仿宋_GB2312"/>
          <w:color w:val="auto"/>
          <w:sz w:val="32"/>
          <w:szCs w:val="32"/>
          <w:lang w:val="en-US" w:eastAsia="zh-CN"/>
        </w:rPr>
      </w:pPr>
    </w:p>
    <w:p>
      <w:pPr>
        <w:pStyle w:val="2"/>
        <w:rPr>
          <w:rFonts w:hint="default" w:eastAsia="仿宋_GB2312"/>
          <w:color w:val="auto"/>
          <w:sz w:val="32"/>
          <w:szCs w:val="32"/>
          <w:lang w:val="en-US" w:eastAsia="zh-CN"/>
        </w:rPr>
      </w:pPr>
    </w:p>
    <w:p>
      <w:pPr>
        <w:rPr>
          <w:rFonts w:hint="default" w:eastAsia="仿宋_GB2312"/>
          <w:color w:val="auto"/>
          <w:sz w:val="32"/>
          <w:szCs w:val="32"/>
          <w:lang w:val="en-US" w:eastAsia="zh-CN"/>
        </w:rPr>
      </w:pPr>
    </w:p>
    <w:p>
      <w:pPr>
        <w:pStyle w:val="2"/>
        <w:rPr>
          <w:rFonts w:hint="default" w:eastAsia="仿宋_GB2312"/>
          <w:color w:val="auto"/>
          <w:sz w:val="32"/>
          <w:szCs w:val="32"/>
          <w:lang w:val="en-US" w:eastAsia="zh-CN"/>
        </w:rPr>
      </w:pPr>
    </w:p>
    <w:p>
      <w:pPr>
        <w:rPr>
          <w:rFonts w:hint="default"/>
          <w:lang w:val="en-US"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95"/>
        <w:gridCol w:w="152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2024年永吉县本级一般公共预算支出完成表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337,307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一般公共服务支出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人大事务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人大会议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代表工作</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政协事务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政协会议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委员视察</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政府办公厅(室)及相关机构事务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专项业务及机关事务管理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其他政府办公厅(室)及相关机构事务支出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发展与改革事务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其他发展与改革事务支出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统计信息事务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财政事务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财政国库业务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其他财政事务支出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税收事务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审计事务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其他审计事务支出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纪检监察事务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商贸事务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招商引资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其他商贸事务支出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民族事务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其他民族事务支出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档案事务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其他档案事务支出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民主党派及工商联事务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群众团体事务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其他群众团体事务支出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党委办公厅(室)及相关机构事务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组织事务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其他组织事务支出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宣传事务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其他宣传事务支出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统战事务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宗教事务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华侨事务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其他共产党事务支出(款)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市场监督管理事务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市场主体管理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市场秩序执法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其他市场监督管理事务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社会工作事务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信访事务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信访业务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其他信访事务支出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其他一般公共服务支出(款)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其他一般公共服务支出(项)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国防支出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国防动员</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民兵</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公共安全支出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公安</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执法办案</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其他公安支出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司法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公共法律服务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其他司法支出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其他公共安全支出(款)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国家司法救助支出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其他公共安全支出(项)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教育支出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42,907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教育管理事务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其他教育管理事务支出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普通教育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学前教育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小学教育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初中教育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高中教育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其他普通教育支出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职业教育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中等职业教育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特殊教育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特殊学校教育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进修及培训</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教师进修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干部教育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教育费附加安排的支出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其他教育费附加安排的支出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其他教育支出(款)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其他教育支出(项)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科学技术支出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科学技术管理事务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社会科学</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社会科学研究</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科学技术普及</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科普活动</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文化旅游体育与传媒支出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文化和旅游</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图书馆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群众文化</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文化和旅游市场管理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文化和旅游管理事务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其他文化和旅游支出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文物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文物保护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博物馆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体育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体育场馆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群众体育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新闻出版电影</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电影</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广播电视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广播电视事务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其他广播电视支出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社会保障和就业支出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73,508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人力资源和社会保障管理事务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综合业务管理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社会保险经办机构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公共就业服务和职业技能鉴定机构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其他人力资源和社会保障管理事务支出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民政管理事务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基层政权建设和社区治理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其他民政管理事务支出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行政事业单位养老支出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行政单位离退休</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事业单位离退休</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机关事业单位基本养老保险缴费支出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机关事业单位职业年金缴费支出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对机关事业单位基本养老保险基金的补助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企业改革补助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其他企业改革发展补助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就业补助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就业创业服务补贴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社会保险补贴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公益性岗位补贴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就业见习补贴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其他就业补助支出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抚恤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死亡抚恤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伤残抚恤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在乡复员、退伍军人生活补助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义务兵优待</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农村籍退役士兵老年生活补助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褒扬纪念</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其他优抚支出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退役安置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退役士兵安置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军队移交政府的离退休人员安置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退役士兵管理教育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军队转业干部安置</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其他退役安置支出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社会福利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儿童福利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老年福利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养老服务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残疾人事业</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残疾人康复</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残疾人就业</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残疾人生活和护理补贴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其他残疾人事业支出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红十字事业</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最低生活保障</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城市最低生活保障金支出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农村最低生活保障金支出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临时救助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临时救助支出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流浪乞讨人员救助支出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特困人员救助供养</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城市特困人员救助供养支出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农村特困人员救助供养支出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其他生活救助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其他城市生活救助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其他农村生活救助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财政对基本养老保险基金的补助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13,599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财政对企业职工基本养老保险基金的补助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财政对城乡居民基本养老保险基金的补助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财政对其他基本养老保险基金的补助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退役军人管理事务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拥军优属</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其他退役军人事务管理支出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其他社会保障和就业支出(款)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其他社会保障和就业支出(项)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卫生健康支出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20,505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卫生健康管理事务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公立医院</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综合医院</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中医(民族)医院</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其他公立医院支出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基层医疗卫生机构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乡镇卫生院</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其他基层医疗卫生机构支出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公共卫生</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3,464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疾病预防控制机构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妇幼保健机构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基本公共卫生服务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重大公共卫生服务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其他公共卫生支出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计划生育事务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计划生育服务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其他计划生育事务支出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行政事业单位医疗</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事业单位医疗</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财政对基本医疗保险基金的补助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财政对城乡居民基本医疗保险基金的补助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财政对其他基本医疗保险基金的补助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医疗救助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城乡医疗救助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优抚对象医疗</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优抚对象医疗补助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医疗保障管理事务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其他医疗保障管理事务支出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中医药事务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中医(民族医)药专项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其他卫生健康支出(款)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其他卫生健康支出(项)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节能环保支出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污染防治</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大气</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水体</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其他污染防治支出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自然生态保护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农村环境保护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自然保护地</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森林保护修复</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停伐补助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能源节约利用(款)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能源节约利用(项)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循环经济(款)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循环经济(项)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城乡社区支出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城乡社区管理事务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城管执法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其他城乡社区管理事务支出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城乡社区公共设施</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小城镇基础设施建设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其他城乡社区公共设施支出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城乡社区环境卫生(款)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城乡社区环境卫生(项)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其他城乡社区支出(款)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其他城乡社区支出(项)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94,202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农业农村</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39,850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病虫害控制</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防灾救灾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农业生产发展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12,431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农村社会事业</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农业生态资源保护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渔业发展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耕地建设与利用</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13,723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其他农业农村支出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林业和草原</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事业机构</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森林资源培育</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森林资源管理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林业草原防灾减灾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其他林业和草原支出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水利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37,420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水利行业业务管理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水利工程建设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31,018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水利工程运行与维护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水资源节约管理与保护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防汛</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其他水利支出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巩固脱贫攻坚成果衔接乡村振兴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农村基础设施建设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生产发展</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贷款奖补和贴息</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其他巩固脱贫攻坚成果衔接乡村振兴支出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农村综合改革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对村级公益事业建设的补助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对村民委员会和村党支部的补助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普惠金融发展支出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农业保险保费补贴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创业担保贷款贴息及奖补</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目标价格补贴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其他目标价格补贴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7,794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其他农林水支出(款)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其他农林水支出(项)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交通运输支出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公路水路运输</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6,098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公路建设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公路养护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公路运输管理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铁路运输</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其他铁路运输支出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其他交通运输支出(款)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公共交通运营补助</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其他交通运输支出(项)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资源勘探工业信息等支出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4,376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工业和信息产业监管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其他工业和信息产业监管支出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支持中小企业发展和管理支出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其他支持中小企业发展和管理支出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其他资源勘探工业信息等支出(款)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其他资源勘探工业信息等支出(项)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商业服务业等支出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商业流通事务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其他商业流通事务支出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涉外发展服务支出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其他涉外发展服务支出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金融支出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金融发展支出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其他金融发展支出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自然资源海洋气象等支出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自然资源事务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自然资源利用与保护</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自然资源调查与确权登记</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地质勘查与矿产资源管理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事业运行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其他自然资源事务支出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气象事务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气象服务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其他气象事务支出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住房保障支出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8,871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保障性安居工程支出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农村危房改造</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公共租赁住房</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保障性住房租金补贴</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老旧小区改造</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住房改革支出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6,229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粮油物资储备支出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粮油物资事务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其他粮油物资事务支出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灾害防治及应急管理支出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应急管理事务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灾害风险防治</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安全监管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应急管理</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其他应急管理支出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消防救援事务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行政运行</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一般行政管理事务</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其他消防救援事务支出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自然灾害防治</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地质灾害防治</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其他自然灾害防治支出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自然灾害救灾及恢复重建支出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其他自然灾害救灾及恢复重建支出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其他灾害防治及应急管理支出(款)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其他灾害防治及应急管理支出(项)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地方政府一般债务付息支出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17,997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10,303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地方政府其他一般债务付息支出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7,685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债务发行费用支出</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地方政府一般债务发行费用支出(款)</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1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地方政府一般债务发行费用支出(项)</w:t>
            </w:r>
          </w:p>
        </w:tc>
        <w:tc>
          <w:tcPr>
            <w:tcW w:w="8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w:t>
            </w:r>
          </w:p>
        </w:tc>
      </w:tr>
    </w:tbl>
    <w:p>
      <w:pPr>
        <w:spacing w:line="600" w:lineRule="exact"/>
        <w:ind w:firstLine="640" w:firstLineChars="200"/>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pPr>
    </w:p>
    <w:p>
      <w:pPr>
        <w:pStyle w:val="2"/>
        <w:rPr>
          <w:rFonts w:ascii="Times New Roman" w:hAnsi="Times New Roman" w:eastAsia="仿宋" w:cs="Times New Roman"/>
          <w:sz w:val="32"/>
          <w:szCs w:val="32"/>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18"/>
        <w:gridCol w:w="4609"/>
        <w:gridCol w:w="198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3"/>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2024年永吉县本级一般公共预算基本支出完成表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270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0"/>
                <w:szCs w:val="20"/>
                <w:u w:val="none"/>
              </w:rPr>
            </w:pPr>
          </w:p>
        </w:tc>
        <w:tc>
          <w:tcPr>
            <w:tcW w:w="1166"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科目编码</w:t>
            </w:r>
          </w:p>
        </w:tc>
        <w:tc>
          <w:tcPr>
            <w:tcW w:w="2706" w:type="pct"/>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科目名称</w:t>
            </w:r>
          </w:p>
        </w:tc>
        <w:tc>
          <w:tcPr>
            <w:tcW w:w="1166" w:type="pct"/>
            <w:vMerge w:val="restart"/>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一般公共预算基本支出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2706" w:type="pct"/>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c>
          <w:tcPr>
            <w:tcW w:w="1166" w:type="pct"/>
            <w:vMerge w:val="continue"/>
            <w:tcBorders>
              <w:top w:val="single" w:color="000000" w:sz="4" w:space="0"/>
              <w:left w:val="single" w:color="000000" w:sz="4" w:space="0"/>
              <w:bottom w:val="single" w:color="000000" w:sz="4" w:space="0"/>
              <w:right w:val="nil"/>
            </w:tcBorders>
            <w:shd w:val="clear" w:color="auto" w:fill="auto"/>
            <w:vAlign w:val="center"/>
          </w:tcPr>
          <w:p>
            <w:pPr>
              <w:jc w:val="center"/>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一般公共预算支出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107,165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机关工资福利支出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27,372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工资奖金津补贴</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15,353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社会保障缴费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4,560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住房公积金</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50199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其他工资福利支出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5,728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机关商品和服务支出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3,847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办公经费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会议费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培训费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专用材料购置费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委托业务费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50206</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公务接待费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50207</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因公出国(境)费用</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50208</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公务用车运行维护费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50209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维修(护)费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50299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其他商品和服务支出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土地征迁补偿和安置支出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50306</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设备购置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50307</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50399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机关资本性支出(基本建设)</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房屋建筑物购建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基础设施建设</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公务用车购置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设备购置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大型修缮</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对事业单位经常性补助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68,731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工资福利支出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65,093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商品和服务支出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50599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其他对事业单位补助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对事业单位资本性补助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资本性支出(基本建设)</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费用补贴</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利息补贴</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其他对企业补助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对企业资本性支出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资本金注入</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资本金注入(基本建设)</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政府投资基金股权投资</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50899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其他对企业资本性支出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对个人和家庭的补助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7,215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社会福利和救助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助学金</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个人农业生产补贴</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50905</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离退休费</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50999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其他对个人和家庭的补助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对社会保障基金补助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对社会保险基金补助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补充全国社会保障基金</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对机关事业单位职业年金的补助</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债务利息及费用支出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51101</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国内债务付息</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51102</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国外债务付息</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51103</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国内债务发行费用</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51104</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国外债务发行费用</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59907</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国家赔偿费用支出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59908</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对民间非营利组织和群众性自治组织补贴</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59909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经常性赠与</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59910</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资本性赠与</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12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59999</w:t>
            </w:r>
          </w:p>
        </w:tc>
        <w:tc>
          <w:tcPr>
            <w:tcW w:w="27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11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
      <w:pPr>
        <w:pStyle w:val="2"/>
      </w:pPr>
    </w:p>
    <w:p>
      <w:pPr>
        <w:pStyle w:val="6"/>
      </w:pPr>
    </w:p>
    <w:p/>
    <w:p>
      <w:pPr>
        <w:pStyle w:val="2"/>
        <w:rPr>
          <w:rFonts w:ascii="Times New Roman" w:hAnsi="Times New Roman" w:eastAsia="仿宋" w:cs="Times New Roman"/>
          <w:sz w:val="32"/>
          <w:szCs w:val="32"/>
        </w:rPr>
      </w:pPr>
    </w:p>
    <w:p>
      <w:pPr>
        <w:rPr>
          <w:rFonts w:ascii="Times New Roman" w:hAnsi="Times New Roman" w:eastAsia="仿宋" w:cs="Times New Roman"/>
          <w:sz w:val="32"/>
          <w:szCs w:val="32"/>
        </w:rPr>
      </w:pPr>
    </w:p>
    <w:p>
      <w:pPr>
        <w:pStyle w:val="2"/>
        <w:rPr>
          <w:rFonts w:ascii="Times New Roman" w:hAnsi="Times New Roman" w:eastAsia="仿宋" w:cs="Times New Roman"/>
          <w:sz w:val="32"/>
          <w:szCs w:val="32"/>
        </w:rPr>
      </w:pPr>
    </w:p>
    <w:p/>
    <w:p>
      <w:pPr>
        <w:pStyle w:val="2"/>
      </w:pPr>
    </w:p>
    <w:p/>
    <w:p>
      <w:pPr>
        <w:pStyle w:val="2"/>
      </w:pPr>
    </w:p>
    <w:p/>
    <w:p>
      <w:pPr>
        <w:pStyle w:val="2"/>
      </w:pPr>
    </w:p>
    <w:p>
      <w:pPr>
        <w:pStyle w:val="2"/>
        <w:jc w:val="both"/>
        <w:rPr>
          <w:rFonts w:ascii="Times New Roman" w:hAnsi="Times New Roman" w:eastAsia="仿宋" w:cs="Times New Roman"/>
          <w:sz w:val="32"/>
          <w:szCs w:val="32"/>
        </w:rPr>
      </w:pPr>
    </w:p>
    <w:p>
      <w:pPr>
        <w:spacing w:line="600" w:lineRule="exact"/>
        <w:rPr>
          <w:rFonts w:ascii="Times New Roman" w:hAnsi="Times New Roman" w:eastAsia="仿宋" w:cs="Times New Roman"/>
          <w:sz w:val="32"/>
          <w:szCs w:val="32"/>
        </w:rPr>
        <w:sectPr>
          <w:footerReference r:id="rId6" w:type="default"/>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370"/>
        <w:gridCol w:w="2154"/>
        <w:gridCol w:w="2154"/>
        <w:gridCol w:w="1474"/>
        <w:gridCol w:w="1474"/>
        <w:gridCol w:w="2455"/>
        <w:gridCol w:w="20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0" w:hRule="atLeast"/>
        </w:trPr>
        <w:tc>
          <w:tcPr>
            <w:tcW w:w="5000" w:type="pct"/>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2024年永吉县三公经费支出情况表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4"/>
                <w:szCs w:val="24"/>
                <w:u w:val="none"/>
              </w:rPr>
            </w:pPr>
          </w:p>
        </w:tc>
        <w:tc>
          <w:tcPr>
            <w:tcW w:w="760" w:type="pct"/>
            <w:tcBorders>
              <w:top w:val="nil"/>
              <w:left w:val="nil"/>
              <w:bottom w:val="nil"/>
              <w:right w:val="nil"/>
            </w:tcBorders>
            <w:shd w:val="clear" w:color="auto" w:fill="auto"/>
            <w:noWrap/>
            <w:vAlign w:val="center"/>
          </w:tcPr>
          <w:p>
            <w:pPr>
              <w:rPr>
                <w:rFonts w:hint="eastAsia" w:ascii="Tahoma" w:hAnsi="Tahoma" w:eastAsia="Tahoma" w:cs="Tahoma"/>
                <w:i w:val="0"/>
                <w:iCs w:val="0"/>
                <w:color w:val="000000"/>
                <w:sz w:val="22"/>
                <w:szCs w:val="22"/>
                <w:u w:val="none"/>
              </w:rPr>
            </w:pPr>
          </w:p>
        </w:tc>
        <w:tc>
          <w:tcPr>
            <w:tcW w:w="760" w:type="pct"/>
            <w:tcBorders>
              <w:top w:val="nil"/>
              <w:left w:val="nil"/>
              <w:bottom w:val="nil"/>
              <w:right w:val="nil"/>
            </w:tcBorders>
            <w:shd w:val="clear" w:color="auto" w:fill="auto"/>
            <w:noWrap/>
            <w:vAlign w:val="center"/>
          </w:tcPr>
          <w:p>
            <w:pPr>
              <w:rPr>
                <w:rFonts w:hint="default" w:ascii="Tahoma" w:hAnsi="Tahoma" w:eastAsia="Tahoma" w:cs="Tahoma"/>
                <w:i w:val="0"/>
                <w:iCs w:val="0"/>
                <w:color w:val="000000"/>
                <w:sz w:val="22"/>
                <w:szCs w:val="22"/>
                <w:u w:val="none"/>
              </w:rPr>
            </w:pPr>
          </w:p>
        </w:tc>
        <w:tc>
          <w:tcPr>
            <w:tcW w:w="520" w:type="pct"/>
            <w:tcBorders>
              <w:top w:val="nil"/>
              <w:left w:val="nil"/>
              <w:bottom w:val="nil"/>
              <w:right w:val="nil"/>
            </w:tcBorders>
            <w:shd w:val="clear" w:color="auto" w:fill="auto"/>
            <w:noWrap/>
            <w:vAlign w:val="center"/>
          </w:tcPr>
          <w:p>
            <w:pPr>
              <w:rPr>
                <w:rFonts w:hint="default" w:ascii="Tahoma" w:hAnsi="Tahoma" w:eastAsia="Tahoma" w:cs="Tahoma"/>
                <w:i w:val="0"/>
                <w:iCs w:val="0"/>
                <w:color w:val="000000"/>
                <w:sz w:val="22"/>
                <w:szCs w:val="22"/>
                <w:u w:val="none"/>
              </w:rPr>
            </w:pPr>
          </w:p>
        </w:tc>
        <w:tc>
          <w:tcPr>
            <w:tcW w:w="520" w:type="pct"/>
            <w:tcBorders>
              <w:top w:val="nil"/>
              <w:left w:val="nil"/>
              <w:bottom w:val="nil"/>
              <w:right w:val="nil"/>
            </w:tcBorders>
            <w:shd w:val="clear" w:color="auto" w:fill="auto"/>
            <w:noWrap/>
            <w:vAlign w:val="center"/>
          </w:tcPr>
          <w:p>
            <w:pPr>
              <w:jc w:val="right"/>
              <w:rPr>
                <w:rFonts w:hint="default" w:ascii="Tahoma" w:hAnsi="Tahoma" w:eastAsia="Tahoma" w:cs="Tahoma"/>
                <w:i w:val="0"/>
                <w:iCs w:val="0"/>
                <w:color w:val="000000"/>
                <w:sz w:val="22"/>
                <w:szCs w:val="22"/>
                <w:u w:val="none"/>
              </w:rPr>
            </w:pPr>
          </w:p>
        </w:tc>
        <w:tc>
          <w:tcPr>
            <w:tcW w:w="866" w:type="pct"/>
            <w:tcBorders>
              <w:top w:val="nil"/>
              <w:left w:val="nil"/>
              <w:bottom w:val="nil"/>
              <w:right w:val="nil"/>
            </w:tcBorders>
            <w:shd w:val="clear" w:color="auto" w:fill="auto"/>
            <w:noWrap/>
            <w:vAlign w:val="center"/>
          </w:tcPr>
          <w:p>
            <w:pPr>
              <w:rPr>
                <w:rFonts w:hint="default" w:ascii="Tahoma" w:hAnsi="Tahoma" w:eastAsia="Tahoma" w:cs="Tahoma"/>
                <w:i w:val="0"/>
                <w:iCs w:val="0"/>
                <w:color w:val="000000"/>
                <w:sz w:val="22"/>
                <w:szCs w:val="22"/>
                <w:u w:val="none"/>
              </w:rPr>
            </w:pPr>
          </w:p>
        </w:tc>
        <w:tc>
          <w:tcPr>
            <w:tcW w:w="734"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836"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760"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2023年执行数</w:t>
            </w:r>
          </w:p>
        </w:tc>
        <w:tc>
          <w:tcPr>
            <w:tcW w:w="760"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2024年执行数</w:t>
            </w:r>
          </w:p>
        </w:tc>
        <w:tc>
          <w:tcPr>
            <w:tcW w:w="520"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同比增减</w:t>
            </w:r>
          </w:p>
        </w:tc>
        <w:tc>
          <w:tcPr>
            <w:tcW w:w="520"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增减变动</w:t>
            </w:r>
          </w:p>
        </w:tc>
        <w:tc>
          <w:tcPr>
            <w:tcW w:w="866"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2024年预算安排</w:t>
            </w:r>
          </w:p>
        </w:tc>
        <w:tc>
          <w:tcPr>
            <w:tcW w:w="734" w:type="pct"/>
            <w:tcBorders>
              <w:top w:val="single" w:color="000000" w:sz="12" w:space="0"/>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完成预算比例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   计</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934</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591</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-343</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-36.72%</w:t>
            </w:r>
          </w:p>
        </w:tc>
        <w:tc>
          <w:tcPr>
            <w:tcW w:w="86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681</w:t>
            </w:r>
          </w:p>
        </w:tc>
        <w:tc>
          <w:tcPr>
            <w:tcW w:w="734"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86.78%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公务用车购置费</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-100.00%</w:t>
            </w:r>
          </w:p>
        </w:tc>
        <w:tc>
          <w:tcPr>
            <w:tcW w:w="86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734"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公务用车维护费</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806</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533</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-273</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-33.87%</w:t>
            </w:r>
          </w:p>
        </w:tc>
        <w:tc>
          <w:tcPr>
            <w:tcW w:w="86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603</w:t>
            </w:r>
          </w:p>
        </w:tc>
        <w:tc>
          <w:tcPr>
            <w:tcW w:w="734"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88.39%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公务接待费</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81</w:t>
            </w:r>
          </w:p>
        </w:tc>
        <w:tc>
          <w:tcPr>
            <w:tcW w:w="76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-28.40%</w:t>
            </w:r>
          </w:p>
        </w:tc>
        <w:tc>
          <w:tcPr>
            <w:tcW w:w="866"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78</w:t>
            </w:r>
          </w:p>
        </w:tc>
        <w:tc>
          <w:tcPr>
            <w:tcW w:w="734"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836" w:type="pct"/>
            <w:tcBorders>
              <w:top w:val="nil"/>
              <w:left w:val="single" w:color="000000" w:sz="12" w:space="0"/>
              <w:bottom w:val="single" w:color="000000" w:sz="12"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公务出国</w:t>
            </w:r>
          </w:p>
        </w:tc>
        <w:tc>
          <w:tcPr>
            <w:tcW w:w="760" w:type="pct"/>
            <w:tcBorders>
              <w:top w:val="nil"/>
              <w:left w:val="single" w:color="000000" w:sz="12" w:space="0"/>
              <w:bottom w:val="single" w:color="000000" w:sz="12"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760" w:type="pct"/>
            <w:tcBorders>
              <w:top w:val="nil"/>
              <w:left w:val="single" w:color="000000" w:sz="12" w:space="0"/>
              <w:bottom w:val="single" w:color="000000" w:sz="12" w:space="0"/>
              <w:right w:val="single" w:color="000000" w:sz="8" w:space="0"/>
            </w:tcBorders>
            <w:shd w:val="clear" w:color="auto" w:fill="auto"/>
            <w:noWrap/>
            <w:vAlign w:val="center"/>
          </w:tcPr>
          <w:p>
            <w:pPr>
              <w:keepNext w:val="0"/>
              <w:keepLines w:val="0"/>
              <w:widowControl/>
              <w:suppressLineNumbers w:val="0"/>
              <w:jc w:val="center"/>
              <w:textAlignment w:val="center"/>
              <w:rPr>
                <w:rFonts w:hint="default" w:ascii="Tahoma" w:hAnsi="Tahoma" w:eastAsia="Tahoma" w:cs="Tahoma"/>
                <w:i w:val="0"/>
                <w:iCs w:val="0"/>
                <w:color w:val="000000"/>
                <w:sz w:val="22"/>
                <w:szCs w:val="22"/>
                <w:u w:val="none"/>
              </w:rPr>
            </w:pPr>
            <w:r>
              <w:rPr>
                <w:rFonts w:hint="default" w:ascii="Tahoma" w:hAnsi="Tahoma" w:eastAsia="Tahoma" w:cs="Tahoma"/>
                <w:i w:val="0"/>
                <w:iCs w:val="0"/>
                <w:color w:val="000000"/>
                <w:kern w:val="0"/>
                <w:sz w:val="22"/>
                <w:szCs w:val="22"/>
                <w:u w:val="none"/>
                <w:lang w:val="en-US" w:eastAsia="zh-CN" w:bidi="ar"/>
              </w:rPr>
              <w:t>0</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w:t>
            </w:r>
          </w:p>
        </w:tc>
        <w:tc>
          <w:tcPr>
            <w:tcW w:w="520"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c>
          <w:tcPr>
            <w:tcW w:w="866" w:type="pct"/>
            <w:tcBorders>
              <w:top w:val="nil"/>
              <w:left w:val="single" w:color="000000" w:sz="12" w:space="0"/>
              <w:bottom w:val="single" w:color="000000" w:sz="12" w:space="0"/>
              <w:right w:val="single" w:color="000000" w:sz="8" w:space="0"/>
            </w:tcBorders>
            <w:shd w:val="clear" w:color="auto" w:fill="auto"/>
            <w:noWrap/>
            <w:vAlign w:val="center"/>
          </w:tcPr>
          <w:p>
            <w:pPr>
              <w:jc w:val="center"/>
              <w:rPr>
                <w:rFonts w:hint="default" w:ascii="Tahoma" w:hAnsi="Tahoma" w:eastAsia="Tahoma" w:cs="Tahoma"/>
                <w:i w:val="0"/>
                <w:iCs w:val="0"/>
                <w:color w:val="000000"/>
                <w:sz w:val="22"/>
                <w:szCs w:val="22"/>
                <w:u w:val="none"/>
              </w:rPr>
            </w:pPr>
          </w:p>
        </w:tc>
        <w:tc>
          <w:tcPr>
            <w:tcW w:w="734" w:type="pct"/>
            <w:tcBorders>
              <w:top w:val="nil"/>
              <w:left w:val="single" w:color="000000" w:sz="12" w:space="0"/>
              <w:bottom w:val="single" w:color="000000" w:sz="8" w:space="0"/>
              <w:right w:val="single" w:color="000000" w:sz="8"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#DIV/0!</w:t>
            </w:r>
          </w:p>
        </w:tc>
      </w:tr>
    </w:tbl>
    <w:p>
      <w:pPr>
        <w:spacing w:line="600" w:lineRule="exact"/>
        <w:rPr>
          <w:rFonts w:ascii="Times New Roman" w:hAnsi="Times New Roman" w:eastAsia="仿宋" w:cs="Times New Roman"/>
          <w:sz w:val="32"/>
          <w:szCs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both"/>
        <w:rPr>
          <w:rFonts w:hint="eastAsia" w:ascii="宋体" w:hAnsi="宋体" w:eastAsia="宋体" w:cs="宋体"/>
          <w:b/>
          <w:bCs/>
          <w:color w:val="auto"/>
          <w:sz w:val="44"/>
          <w:szCs w:val="44"/>
          <w:lang w:eastAsia="en-US"/>
        </w:rPr>
      </w:pPr>
      <w:bookmarkStart w:id="57" w:name="_Toc10813"/>
      <w:bookmarkStart w:id="58" w:name="_Toc16279"/>
      <w:r>
        <w:rPr>
          <w:rFonts w:hint="eastAsia" w:ascii="宋体" w:hAnsi="宋体" w:eastAsia="宋体" w:cs="宋体"/>
          <w:b/>
          <w:bCs/>
          <w:color w:val="auto"/>
          <w:sz w:val="44"/>
          <w:szCs w:val="44"/>
          <w:lang w:val="en-US" w:eastAsia="zh-CN"/>
        </w:rPr>
        <w:t>2024</w:t>
      </w:r>
      <w:r>
        <w:rPr>
          <w:rFonts w:hint="eastAsia" w:ascii="宋体" w:hAnsi="宋体" w:eastAsia="宋体" w:cs="宋体"/>
          <w:b/>
          <w:bCs/>
          <w:color w:val="auto"/>
          <w:sz w:val="44"/>
          <w:szCs w:val="44"/>
          <w:lang w:eastAsia="en-US"/>
        </w:rPr>
        <w:t>年永吉县“三公”经费预算</w:t>
      </w:r>
    </w:p>
    <w:p>
      <w:pPr>
        <w:spacing w:line="600" w:lineRule="exact"/>
        <w:ind w:firstLine="2209" w:firstLineChars="500"/>
        <w:jc w:val="both"/>
        <w:rPr>
          <w:rFonts w:hint="eastAsia" w:ascii="宋体" w:hAnsi="宋体" w:eastAsia="宋体" w:cs="宋体"/>
          <w:b/>
          <w:bCs/>
          <w:color w:val="auto"/>
          <w:sz w:val="44"/>
          <w:szCs w:val="44"/>
          <w:lang w:eastAsia="en-US"/>
        </w:rPr>
      </w:pPr>
      <w:r>
        <w:rPr>
          <w:rFonts w:hint="eastAsia" w:ascii="宋体" w:hAnsi="宋体" w:eastAsia="宋体" w:cs="宋体"/>
          <w:b/>
          <w:bCs/>
          <w:color w:val="auto"/>
          <w:sz w:val="44"/>
          <w:szCs w:val="44"/>
          <w:lang w:eastAsia="en-US"/>
        </w:rPr>
        <w:t>安排执行情况</w:t>
      </w:r>
      <w:bookmarkEnd w:id="57"/>
      <w:bookmarkEnd w:id="58"/>
      <w:bookmarkStart w:id="59" w:name="_Toc3359"/>
      <w:bookmarkStart w:id="60" w:name="_Toc14789"/>
      <w:r>
        <w:rPr>
          <w:rFonts w:hint="eastAsia" w:ascii="宋体" w:hAnsi="宋体" w:eastAsia="宋体" w:cs="宋体"/>
          <w:b/>
          <w:bCs/>
          <w:color w:val="auto"/>
          <w:sz w:val="44"/>
          <w:szCs w:val="44"/>
          <w:lang w:eastAsia="en-US"/>
        </w:rPr>
        <w:t>说明</w:t>
      </w:r>
      <w:bookmarkEnd w:id="59"/>
      <w:bookmarkEnd w:id="60"/>
    </w:p>
    <w:p>
      <w:pPr>
        <w:widowControl w:val="0"/>
        <w:spacing w:line="560" w:lineRule="exact"/>
        <w:ind w:firstLine="640" w:firstLineChars="200"/>
        <w:jc w:val="left"/>
        <w:textAlignment w:val="auto"/>
        <w:rPr>
          <w:rFonts w:eastAsia="仿宋_GB2312"/>
          <w:color w:val="auto"/>
          <w:sz w:val="32"/>
          <w:szCs w:val="24"/>
          <w:u w:val="none" w:color="auto"/>
        </w:rPr>
      </w:pPr>
      <w:r>
        <w:rPr>
          <w:rFonts w:eastAsia="仿宋_GB2312"/>
          <w:color w:val="auto"/>
          <w:sz w:val="32"/>
          <w:szCs w:val="24"/>
          <w:u w:val="none" w:color="auto"/>
        </w:rPr>
        <w:t>20</w:t>
      </w:r>
      <w:r>
        <w:rPr>
          <w:rFonts w:hint="eastAsia" w:eastAsia="仿宋_GB2312"/>
          <w:color w:val="auto"/>
          <w:sz w:val="32"/>
          <w:szCs w:val="24"/>
          <w:u w:val="none" w:color="auto"/>
          <w:lang w:val="en-US" w:eastAsia="zh-CN"/>
        </w:rPr>
        <w:t>24</w:t>
      </w:r>
      <w:r>
        <w:rPr>
          <w:rFonts w:eastAsia="仿宋_GB2312"/>
          <w:color w:val="auto"/>
          <w:sz w:val="32"/>
          <w:szCs w:val="24"/>
          <w:u w:val="none" w:color="auto"/>
        </w:rPr>
        <w:t>年，</w:t>
      </w:r>
      <w:r>
        <w:rPr>
          <w:rFonts w:hint="eastAsia" w:eastAsia="仿宋_GB2312"/>
          <w:color w:val="auto"/>
          <w:sz w:val="32"/>
          <w:szCs w:val="24"/>
          <w:u w:val="none" w:color="auto"/>
          <w:lang w:eastAsia="zh-CN"/>
        </w:rPr>
        <w:t>全县</w:t>
      </w:r>
      <w:r>
        <w:rPr>
          <w:rFonts w:eastAsia="仿宋_GB2312"/>
          <w:color w:val="auto"/>
          <w:sz w:val="32"/>
          <w:szCs w:val="24"/>
          <w:u w:val="none" w:color="auto"/>
        </w:rPr>
        <w:t>“三公”经费</w:t>
      </w:r>
      <w:r>
        <w:rPr>
          <w:rFonts w:hint="eastAsia" w:eastAsia="仿宋_GB2312"/>
          <w:color w:val="auto"/>
          <w:sz w:val="32"/>
          <w:szCs w:val="24"/>
          <w:u w:val="none" w:color="auto"/>
          <w:lang w:eastAsia="zh-CN"/>
        </w:rPr>
        <w:t>预算安排</w:t>
      </w:r>
      <w:r>
        <w:rPr>
          <w:rFonts w:hint="eastAsia" w:eastAsia="仿宋_GB2312"/>
          <w:color w:val="auto"/>
          <w:sz w:val="32"/>
          <w:szCs w:val="24"/>
          <w:u w:val="none" w:color="auto"/>
          <w:lang w:val="en-US" w:eastAsia="zh-CN"/>
        </w:rPr>
        <w:t>681万元，实际</w:t>
      </w:r>
      <w:r>
        <w:rPr>
          <w:rFonts w:eastAsia="仿宋_GB2312"/>
          <w:color w:val="auto"/>
          <w:sz w:val="32"/>
          <w:szCs w:val="24"/>
          <w:u w:val="none" w:color="auto"/>
        </w:rPr>
        <w:t>支出</w:t>
      </w:r>
      <w:r>
        <w:rPr>
          <w:rFonts w:hint="eastAsia" w:eastAsia="仿宋_GB2312"/>
          <w:color w:val="auto"/>
          <w:sz w:val="32"/>
          <w:szCs w:val="24"/>
          <w:u w:val="none" w:color="auto"/>
          <w:lang w:val="en-US" w:eastAsia="zh-CN"/>
        </w:rPr>
        <w:t>591</w:t>
      </w:r>
      <w:r>
        <w:rPr>
          <w:rFonts w:eastAsia="仿宋_GB2312"/>
          <w:color w:val="auto"/>
          <w:sz w:val="32"/>
          <w:szCs w:val="24"/>
          <w:u w:val="none" w:color="auto"/>
        </w:rPr>
        <w:t>万元，</w:t>
      </w:r>
      <w:r>
        <w:rPr>
          <w:rFonts w:hint="eastAsia" w:eastAsia="仿宋_GB2312"/>
          <w:color w:val="auto"/>
          <w:sz w:val="32"/>
          <w:szCs w:val="24"/>
          <w:u w:val="none" w:color="auto"/>
          <w:lang w:eastAsia="zh-CN"/>
        </w:rPr>
        <w:t>同比下降</w:t>
      </w:r>
      <w:r>
        <w:rPr>
          <w:rFonts w:hint="eastAsia" w:eastAsia="仿宋_GB2312"/>
          <w:color w:val="auto"/>
          <w:sz w:val="32"/>
          <w:szCs w:val="24"/>
          <w:u w:val="none" w:color="auto"/>
          <w:lang w:val="en-US" w:eastAsia="zh-CN"/>
        </w:rPr>
        <w:t>36.72%</w:t>
      </w:r>
      <w:r>
        <w:rPr>
          <w:rFonts w:eastAsia="仿宋_GB2312"/>
          <w:color w:val="auto"/>
          <w:sz w:val="32"/>
          <w:szCs w:val="24"/>
          <w:u w:val="none" w:color="auto"/>
        </w:rPr>
        <w:t>，</w:t>
      </w:r>
      <w:r>
        <w:rPr>
          <w:rFonts w:hint="eastAsia" w:eastAsia="仿宋_GB2312"/>
          <w:color w:val="auto"/>
          <w:sz w:val="32"/>
          <w:szCs w:val="24"/>
          <w:u w:val="none" w:color="auto"/>
          <w:lang w:eastAsia="zh-CN"/>
        </w:rPr>
        <w:t>比预算少</w:t>
      </w:r>
      <w:r>
        <w:rPr>
          <w:rFonts w:hint="eastAsia" w:eastAsia="仿宋_GB2312"/>
          <w:color w:val="auto"/>
          <w:sz w:val="32"/>
          <w:szCs w:val="24"/>
          <w:u w:val="none" w:color="auto"/>
          <w:lang w:val="en-US" w:eastAsia="zh-CN"/>
        </w:rPr>
        <w:t>90万元，</w:t>
      </w:r>
      <w:r>
        <w:rPr>
          <w:rFonts w:eastAsia="仿宋_GB2312"/>
          <w:bCs/>
          <w:color w:val="auto"/>
          <w:sz w:val="32"/>
          <w:szCs w:val="24"/>
          <w:u w:val="none" w:color="auto"/>
        </w:rPr>
        <w:t>主要项目支出是：</w:t>
      </w:r>
    </w:p>
    <w:p>
      <w:pPr>
        <w:widowControl w:val="0"/>
        <w:numPr>
          <w:ilvl w:val="0"/>
          <w:numId w:val="0"/>
        </w:numPr>
        <w:spacing w:line="560" w:lineRule="exact"/>
        <w:ind w:firstLine="640" w:firstLineChars="200"/>
        <w:jc w:val="left"/>
        <w:textAlignment w:val="auto"/>
        <w:rPr>
          <w:rFonts w:hint="default" w:eastAsia="仿宋_GB2312"/>
          <w:color w:val="auto"/>
          <w:sz w:val="32"/>
          <w:szCs w:val="24"/>
          <w:u w:val="none" w:color="auto"/>
          <w:lang w:val="en-US" w:eastAsia="zh-CN"/>
        </w:rPr>
      </w:pPr>
      <w:r>
        <w:rPr>
          <w:rFonts w:hint="eastAsia" w:eastAsia="仿宋_GB2312"/>
          <w:color w:val="auto"/>
          <w:sz w:val="32"/>
          <w:szCs w:val="24"/>
          <w:u w:val="none" w:color="auto"/>
          <w:lang w:val="en-US" w:eastAsia="zh-CN"/>
        </w:rPr>
        <w:t>1、本年未发生</w:t>
      </w:r>
      <w:r>
        <w:rPr>
          <w:rFonts w:eastAsia="仿宋_GB2312"/>
          <w:color w:val="auto"/>
          <w:sz w:val="32"/>
          <w:szCs w:val="24"/>
          <w:u w:val="none" w:color="auto"/>
        </w:rPr>
        <w:t>公务用车购置费支出</w:t>
      </w:r>
      <w:r>
        <w:rPr>
          <w:rFonts w:hint="eastAsia" w:eastAsia="仿宋_GB2312"/>
          <w:color w:val="auto"/>
          <w:sz w:val="32"/>
          <w:szCs w:val="24"/>
          <w:u w:val="none" w:color="auto"/>
          <w:lang w:val="en-US" w:eastAsia="zh-CN"/>
        </w:rPr>
        <w:t>；</w:t>
      </w:r>
    </w:p>
    <w:p>
      <w:pPr>
        <w:widowControl w:val="0"/>
        <w:spacing w:line="560" w:lineRule="exact"/>
        <w:ind w:firstLine="640" w:firstLineChars="200"/>
        <w:jc w:val="left"/>
        <w:textAlignment w:val="auto"/>
        <w:rPr>
          <w:rFonts w:hint="default" w:eastAsia="仿宋_GB2312"/>
          <w:color w:val="auto"/>
          <w:sz w:val="32"/>
          <w:szCs w:val="24"/>
          <w:u w:val="none" w:color="auto"/>
          <w:lang w:val="en-US" w:eastAsia="zh-CN"/>
        </w:rPr>
      </w:pPr>
      <w:r>
        <w:rPr>
          <w:rFonts w:eastAsia="仿宋_GB2312"/>
          <w:color w:val="auto"/>
          <w:sz w:val="32"/>
          <w:szCs w:val="24"/>
          <w:u w:val="none" w:color="auto"/>
        </w:rPr>
        <w:t>2、公务用车运行维护费支出</w:t>
      </w:r>
      <w:r>
        <w:rPr>
          <w:rFonts w:hint="eastAsia" w:eastAsia="仿宋_GB2312"/>
          <w:color w:val="auto"/>
          <w:sz w:val="32"/>
          <w:szCs w:val="24"/>
          <w:u w:val="none" w:color="auto"/>
          <w:lang w:val="en-US" w:eastAsia="zh-CN"/>
        </w:rPr>
        <w:t>533</w:t>
      </w:r>
      <w:r>
        <w:rPr>
          <w:rFonts w:eastAsia="仿宋_GB2312"/>
          <w:color w:val="auto"/>
          <w:sz w:val="32"/>
          <w:szCs w:val="24"/>
          <w:u w:val="none" w:color="auto"/>
        </w:rPr>
        <w:t>万元</w:t>
      </w:r>
      <w:r>
        <w:rPr>
          <w:rFonts w:hint="eastAsia" w:eastAsia="仿宋_GB2312"/>
          <w:color w:val="auto"/>
          <w:sz w:val="32"/>
          <w:szCs w:val="24"/>
          <w:u w:val="none" w:color="auto"/>
          <w:lang w:eastAsia="zh-CN"/>
        </w:rPr>
        <w:t>，年初预算安排</w:t>
      </w:r>
      <w:r>
        <w:rPr>
          <w:rFonts w:hint="eastAsia" w:eastAsia="仿宋_GB2312"/>
          <w:color w:val="auto"/>
          <w:sz w:val="32"/>
          <w:szCs w:val="24"/>
          <w:u w:val="none" w:color="auto"/>
          <w:lang w:val="en-US" w:eastAsia="zh-CN"/>
        </w:rPr>
        <w:t>603万元</w:t>
      </w:r>
      <w:r>
        <w:rPr>
          <w:rFonts w:hint="eastAsia" w:eastAsia="仿宋_GB2312"/>
          <w:color w:val="auto"/>
          <w:sz w:val="32"/>
          <w:szCs w:val="24"/>
          <w:u w:val="none" w:color="auto"/>
          <w:lang w:eastAsia="zh-CN"/>
        </w:rPr>
        <w:t>，完成年初预算安排的</w:t>
      </w:r>
      <w:r>
        <w:rPr>
          <w:rFonts w:hint="eastAsia" w:eastAsia="仿宋_GB2312"/>
          <w:color w:val="auto"/>
          <w:sz w:val="32"/>
          <w:szCs w:val="24"/>
          <w:u w:val="none" w:color="auto"/>
          <w:lang w:val="en-US" w:eastAsia="zh-CN"/>
        </w:rPr>
        <w:t>88.39%；</w:t>
      </w:r>
    </w:p>
    <w:p>
      <w:pPr>
        <w:widowControl w:val="0"/>
        <w:spacing w:line="560" w:lineRule="exact"/>
        <w:ind w:firstLine="640" w:firstLineChars="200"/>
        <w:jc w:val="left"/>
        <w:textAlignment w:val="auto"/>
        <w:rPr>
          <w:rFonts w:hint="default" w:eastAsia="仿宋_GB2312"/>
          <w:color w:val="auto"/>
          <w:sz w:val="32"/>
          <w:szCs w:val="24"/>
          <w:u w:val="none" w:color="auto"/>
          <w:lang w:val="en-US"/>
        </w:rPr>
      </w:pPr>
      <w:r>
        <w:rPr>
          <w:rFonts w:eastAsia="仿宋_GB2312"/>
          <w:color w:val="auto"/>
          <w:sz w:val="32"/>
          <w:szCs w:val="24"/>
          <w:u w:val="none" w:color="auto"/>
        </w:rPr>
        <w:t>3、公务接待费支出</w:t>
      </w:r>
      <w:r>
        <w:rPr>
          <w:rFonts w:hint="eastAsia" w:eastAsia="仿宋_GB2312"/>
          <w:color w:val="auto"/>
          <w:sz w:val="32"/>
          <w:szCs w:val="24"/>
          <w:u w:val="none" w:color="auto"/>
          <w:lang w:val="en-US" w:eastAsia="zh-CN"/>
        </w:rPr>
        <w:t>58</w:t>
      </w:r>
      <w:r>
        <w:rPr>
          <w:rFonts w:eastAsia="仿宋_GB2312"/>
          <w:color w:val="auto"/>
          <w:sz w:val="32"/>
          <w:szCs w:val="24"/>
          <w:u w:val="none" w:color="auto"/>
        </w:rPr>
        <w:t>万元</w:t>
      </w:r>
      <w:r>
        <w:rPr>
          <w:rFonts w:hint="eastAsia" w:eastAsia="仿宋_GB2312"/>
          <w:color w:val="auto"/>
          <w:sz w:val="32"/>
          <w:szCs w:val="24"/>
          <w:u w:val="none" w:color="auto"/>
          <w:lang w:eastAsia="zh-CN"/>
        </w:rPr>
        <w:t>，年初预算安排</w:t>
      </w:r>
      <w:r>
        <w:rPr>
          <w:rFonts w:hint="eastAsia" w:eastAsia="仿宋_GB2312"/>
          <w:color w:val="auto"/>
          <w:sz w:val="32"/>
          <w:szCs w:val="24"/>
          <w:u w:val="none" w:color="auto"/>
          <w:lang w:val="en-US" w:eastAsia="zh-CN"/>
        </w:rPr>
        <w:t>78万元，完成年初预算安排的74.36%；</w:t>
      </w:r>
    </w:p>
    <w:p>
      <w:pPr>
        <w:widowControl w:val="0"/>
        <w:spacing w:line="560" w:lineRule="exact"/>
        <w:ind w:firstLine="672" w:firstLineChars="210"/>
        <w:jc w:val="left"/>
        <w:textAlignment w:val="auto"/>
        <w:rPr>
          <w:rFonts w:eastAsia="仿宋_GB2312"/>
          <w:color w:val="auto"/>
          <w:sz w:val="32"/>
          <w:szCs w:val="24"/>
          <w:u w:val="none" w:color="auto"/>
        </w:rPr>
      </w:pPr>
      <w:r>
        <w:rPr>
          <w:rFonts w:eastAsia="仿宋_GB2312"/>
          <w:color w:val="auto"/>
          <w:sz w:val="32"/>
          <w:szCs w:val="24"/>
          <w:u w:val="none" w:color="auto"/>
        </w:rPr>
        <w:t>4、本年</w:t>
      </w:r>
      <w:r>
        <w:rPr>
          <w:rFonts w:hint="eastAsia" w:eastAsia="仿宋_GB2312"/>
          <w:color w:val="auto"/>
          <w:sz w:val="32"/>
          <w:szCs w:val="24"/>
          <w:u w:val="none" w:color="auto"/>
          <w:lang w:eastAsia="zh-CN"/>
        </w:rPr>
        <w:t>未</w:t>
      </w:r>
      <w:r>
        <w:rPr>
          <w:rFonts w:eastAsia="仿宋_GB2312"/>
          <w:color w:val="auto"/>
          <w:sz w:val="32"/>
          <w:szCs w:val="24"/>
          <w:u w:val="none" w:color="auto"/>
        </w:rPr>
        <w:t>发生因公出国经费支出。</w:t>
      </w:r>
    </w:p>
    <w:p>
      <w:pPr>
        <w:spacing w:line="600" w:lineRule="exact"/>
        <w:ind w:firstLine="640" w:firstLineChars="200"/>
        <w:rPr>
          <w:rFonts w:ascii="Times New Roman" w:hAnsi="Times New Roman" w:eastAsia="仿宋" w:cs="Times New Roman"/>
          <w:sz w:val="32"/>
          <w:szCs w:val="32"/>
        </w:rPr>
      </w:pPr>
    </w:p>
    <w:p>
      <w:pPr>
        <w:widowControl/>
        <w:textAlignment w:val="center"/>
        <w:rPr>
          <w:rFonts w:ascii="宋体" w:hAnsi="宋体" w:eastAsia="宋体" w:cs="宋体"/>
          <w:b/>
          <w:kern w:val="0"/>
          <w:sz w:val="36"/>
          <w:szCs w:val="36"/>
          <w:lang w:bidi="ar"/>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196"/>
        <w:gridCol w:w="891"/>
        <w:gridCol w:w="6196"/>
        <w:gridCol w:w="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2024年永吉县一般公共预算税收返还和转移支付表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上级补助收入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248,924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补助下级支出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返还性收入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5,532</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返还性支出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所得税基数返还收入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所得税基数返还支出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成品油税费改革税收返还收入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成品油税费改革税收返还支出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增值税税收返还收入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2,607</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增值税税收返还支出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消费税税收返还收入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消费税税收返还支出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增值税“五五分享”税收返还收入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2,483</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增值税“五五分享”税收返还支出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其他返还性收入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其他返还性支出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一般性转移支付收入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225,779</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一般性转移支付支出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体制补助收入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体制补助支出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均衡性转移支付收入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44,636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均衡性转移支付支出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县级基本财力保障机制奖补资金收入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29,860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县级基本财力保障机制奖补资金支出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结算补助收入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1,208</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结算补助支出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资源枯竭型城市转移支付补助收入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资源枯竭型城市转移支付补助支出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企业事业单位划转补助收入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企业事业单位划转补助支出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产粮(油)大县奖励资金收入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3,931</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产粮(油)大县奖励资金支出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重点生态功能区转移支付收入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重点生态功能区转移支付支出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固定数额补助收入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26,749</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固定数额补助支出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革命老区转移支付收入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革命老区转移支付支出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民族地区转移支付收入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民族地区转移支付支出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边境地区转移支付收入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边境地区转移支付支出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巩固脱贫攻坚成果衔接乡村振兴转移支付收入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3,677</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巩固脱贫攻坚成果衔接乡村振兴转移支付支出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一般公共服务共同财政事权转移支付收入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一般公共服务共同财政事权转移支付支出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外交共同财政事权转移支付收入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外交共同财政事权转移支付支出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公共安全共同财政事权转移支付收入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1,885</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公共安全共同财政事权转移支付支出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6,921</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33,545</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医疗卫生共同财政事权转移支付收入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7,057</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医疗卫生共同财政事权转移支付支出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1,693</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57,524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6,206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商业服务业等共同财政事权转移支付收入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商业服务业等共同财政事权转移支付支出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住房保障共同财政事权转移支付收入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153</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住房保障共同财政事权转移支付支出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粮油物资储备共同财政事权转移支付收入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粮油物资储备共同财政事权转移支付支出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其他共同财政事权转移支付收入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其他共同财政事权转移支付支出 </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其他一般性转移支付收入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256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其他一般性转移支付支出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专项转移支付收入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17,613</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专项转移支付支出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一般公共服务</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一般公共服务</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外交</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外交</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国防</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公共安全</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公共安全</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68</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教育</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237</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卫生健康</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卫生健康</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233</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8,964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3,441</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462</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商业服务业等</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560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商业服务业等</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金融</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住房保障</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住房保障</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粮油物资储备</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粮油物资储备</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2,458</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灾害防治及应急管理</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1,012</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下级上解收入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上解上级支出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5,383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体制上解收入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体制上解支出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5,079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专项上解收入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专项上解支出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待偿债再融资一般债券上年结余</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上年结余收入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127,904</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调入资金   </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5,898</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调出资金</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从政府性基金预算调入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792</w:t>
            </w:r>
          </w:p>
        </w:tc>
        <w:tc>
          <w:tcPr>
            <w:tcW w:w="2188"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调出用于补充超长期特别国债偿债备付金的资金</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从国有资本经营预算调入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调出用于偿还超长期特别国债本金的资金</w:t>
            </w:r>
          </w:p>
        </w:tc>
        <w:tc>
          <w:tcPr>
            <w:tcW w:w="311" w:type="pct"/>
            <w:tcBorders>
              <w:top w:val="nil"/>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从其他资金调入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5,106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其他调出资金</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地方政府债务收入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地方政府一般债务还本支出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一般债务收入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9,636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地方政府其他一般债务还本支出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33,986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债务转贷支出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地方政府一般债务转贷收入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33,986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地方政府一般债券转贷支出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地方政府一般债券转贷收入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33,586</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地方政府向外国政府借款转贷支出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地方政府向外国政府借款转贷收入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地方政府向国际组织借款转贷支出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地方政府向国际组织借款转贷收入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地方政府其他一般债务转贷支出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地方政府其他一般债务转贷收入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b/>
                <w:bCs/>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国债转贷收入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补充预算周转金</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国债转贷资金上年结余</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拨付国债转贷资金数</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国债转贷转补助数</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国债转贷资金结余</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动用预算稳定调节基金</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66,481</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安排预算稳定调节基金</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区域间转移性收入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区域间转移性支出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接受其他地区援助收入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援助其他地区支出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接受其他省(自治区、直辖市、计划单列市)援助收入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援助其他省(自治区、直辖市、计划单列市)支出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接受省内其他地市(区)援助收入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援助省内其他地市(区)支出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接受市内其他县市(区)援助收入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援助市内其他县市(区)支出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生态保护补偿转移性收入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生态保护补偿转移性支出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其他省(自治区、直辖市、计划单列市)横向生态保护补偿转移性收入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其他省(自治区、直辖市、计划单列市)横向生态保护补偿转移性支出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省内其他地市(区)横向生态保护补偿转移性收入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省内其他地市(区)横向生态保护补偿转移性支出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市内其他县市(区)横向生态保护补偿转移性收入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市内其他县市(区)横向生态保护补偿转移性支出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土地指标调剂转移性收入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土地指标调剂转移性支出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其他省(自治区、直辖市、计划单列市)横向土地指标调剂转移性收入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其他省(自治区、直辖市、计划单列市)横向土地指标调剂转移性支出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省内其他地市(区)横向土地指标调剂转移性收入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省内其他地市(区)横向土地指标调剂转移性支出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市内其他县市(区)横向土地指标调剂转移性收入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市内其他县市(区)横向土地指标调剂转移性支出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其他省(自治区、直辖市、计划单列市)其他转移性收入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其他省(自治区、直辖市、计划单列市)其他转移性支出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省内其他地市(区)其他转移性收入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省内其他地市(区)其他转移性支出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市内其他县市(区)其他转移性收入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市内其他县市(区)其他转移性支出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省补助计划单列市收入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计划单列市上解省支出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计划单列市上解省收入</w:t>
            </w:r>
          </w:p>
        </w:tc>
        <w:tc>
          <w:tcPr>
            <w:tcW w:w="3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1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省补助计划单列市支出</w:t>
            </w:r>
          </w:p>
        </w:tc>
        <w:tc>
          <w:tcPr>
            <w:tcW w:w="31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spacing w:line="576" w:lineRule="exact"/>
        <w:rPr>
          <w:rFonts w:eastAsia="仿宋_GB2312"/>
          <w:sz w:val="32"/>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center"/>
        <w:rPr>
          <w:rFonts w:hint="eastAsia" w:ascii="宋体" w:hAnsi="宋体" w:eastAsia="宋体" w:cs="宋体"/>
          <w:b/>
          <w:bCs/>
          <w:sz w:val="44"/>
          <w:szCs w:val="44"/>
          <w:lang w:eastAsia="en-US"/>
        </w:rPr>
      </w:pPr>
      <w:bookmarkStart w:id="61" w:name="_Toc14903"/>
      <w:bookmarkStart w:id="62" w:name="_Toc17870"/>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w:t>
      </w:r>
      <w:r>
        <w:rPr>
          <w:rFonts w:hint="eastAsia" w:ascii="宋体" w:hAnsi="宋体" w:eastAsia="宋体" w:cs="宋体"/>
          <w:b/>
          <w:bCs/>
          <w:sz w:val="44"/>
          <w:szCs w:val="44"/>
          <w:lang w:eastAsia="zh-CN"/>
        </w:rPr>
        <w:t>一般公共预算</w:t>
      </w:r>
      <w:r>
        <w:rPr>
          <w:rFonts w:hint="eastAsia" w:ascii="宋体" w:hAnsi="宋体" w:eastAsia="宋体" w:cs="宋体"/>
          <w:b/>
          <w:bCs/>
          <w:sz w:val="44"/>
          <w:szCs w:val="44"/>
          <w:lang w:eastAsia="en-US"/>
        </w:rPr>
        <w:t>转移支付执行情况说明</w:t>
      </w:r>
      <w:bookmarkEnd w:id="61"/>
      <w:bookmarkEnd w:id="62"/>
    </w:p>
    <w:p>
      <w:pPr>
        <w:spacing w:line="576" w:lineRule="exact"/>
        <w:ind w:firstLine="883" w:firstLineChars="200"/>
        <w:rPr>
          <w:rFonts w:ascii="Times New Roman" w:hAnsi="Times New Roman" w:eastAsia="仿宋" w:cs="Times New Roman"/>
          <w:b/>
          <w:bCs/>
          <w:sz w:val="44"/>
          <w:szCs w:val="44"/>
          <w:lang w:eastAsia="en-US"/>
        </w:rPr>
      </w:pPr>
    </w:p>
    <w:p>
      <w:pPr>
        <w:pStyle w:val="2"/>
        <w:keepNext w:val="0"/>
        <w:keepLines w:val="0"/>
        <w:pageBreakBefore w:val="0"/>
        <w:widowControl w:val="0"/>
        <w:kinsoku/>
        <w:wordWrap/>
        <w:overflowPunct/>
        <w:topLinePunct w:val="0"/>
        <w:autoSpaceDE/>
        <w:autoSpaceDN/>
        <w:bidi w:val="0"/>
        <w:adjustRightInd/>
        <w:snapToGrid/>
        <w:spacing w:before="0" w:after="0" w:line="576" w:lineRule="exact"/>
        <w:ind w:left="0" w:right="0" w:firstLine="640"/>
        <w:jc w:val="both"/>
        <w:textAlignment w:val="auto"/>
        <w:rPr>
          <w:rFonts w:hint="default" w:ascii="Times New Roman" w:hAnsi="Times New Roman" w:eastAsia="仿宋_GB2312" w:cs="Times New Roman"/>
          <w:b w:val="0"/>
          <w:bCs w:val="0"/>
          <w:highlight w:val="none"/>
        </w:rPr>
      </w:pPr>
      <w:r>
        <w:rPr>
          <w:rFonts w:hint="default" w:ascii="Times New Roman" w:hAnsi="Times New Roman" w:eastAsia="仿宋_GB2312" w:cs="Times New Roman"/>
          <w:b w:val="0"/>
          <w:bCs w:val="0"/>
          <w:highlight w:val="none"/>
        </w:rPr>
        <w:t>2024年，省财政下达我县各项补助收入248</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val="0"/>
          <w:highlight w:val="none"/>
        </w:rPr>
        <w:t>924万元，其中：一是返还性收入5</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val="0"/>
          <w:highlight w:val="none"/>
        </w:rPr>
        <w:t>532万元；二是一般性转移支付收入110,342万元（不含公共安全、教育、科学技术、文化旅游体育与传媒、社会保障和就业、医疗卫生、节能环保、农林水、交通运输、住房保障、灾害防治及应急管理等共同事权转移支付收入115,437万元），主要项目是：均衡性转移支付收入44</w:t>
      </w:r>
      <w:r>
        <w:rPr>
          <w:rFonts w:hint="default" w:ascii="Times New Roman" w:hAnsi="Times New Roman" w:eastAsia="仿宋_GB2312" w:cs="Times New Roman"/>
          <w:highlight w:val="none"/>
        </w:rPr>
        <w:t>,</w:t>
      </w:r>
      <w:r>
        <w:rPr>
          <w:rFonts w:hint="default" w:ascii="Times New Roman" w:hAnsi="Times New Roman" w:eastAsia="仿宋_GB2312" w:cs="Times New Roman"/>
          <w:b w:val="0"/>
          <w:bCs w:val="0"/>
          <w:highlight w:val="none"/>
        </w:rPr>
        <w:t>636万元，县级基本财力保障机制奖补资金收入29,860万元，结算补助收入1,208万元，产粮（油）大县奖励资金收入3,931万元，固定数额补助收入26,749万元，民族地区转移支付收入25万元，衔接资金转移支付收入3,677万元，其他一般性转移支付收入256万元；三是专项转移支付收入133,050万元（含公共安全、教育、文化旅游体育与传媒、社会保障和就业、医疗卫生、节能环保、农林水、交通运输、住房保障、灾害防治及应急管理等共同事权转移支付收入115,437万元）。</w:t>
      </w: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spacing w:line="576" w:lineRule="exact"/>
        <w:ind w:firstLine="640" w:firstLineChars="200"/>
        <w:rPr>
          <w:rFonts w:eastAsia="仿宋_GB2312"/>
          <w:sz w:val="32"/>
        </w:rPr>
      </w:pPr>
    </w:p>
    <w:p>
      <w:pPr>
        <w:pStyle w:val="2"/>
        <w:jc w:val="both"/>
        <w:rPr>
          <w:rFonts w:eastAsia="仿宋_GB2312"/>
          <w:sz w:val="32"/>
        </w:rPr>
      </w:pPr>
    </w:p>
    <w:p>
      <w:pPr>
        <w:rPr>
          <w:rFonts w:eastAsia="仿宋_GB2312"/>
          <w:sz w:val="32"/>
        </w:rPr>
      </w:pPr>
    </w:p>
    <w:p>
      <w:pPr>
        <w:pStyle w:val="2"/>
        <w:rPr>
          <w:rFonts w:eastAsia="仿宋_GB2312"/>
          <w:sz w:val="32"/>
        </w:rPr>
      </w:pPr>
    </w:p>
    <w:p>
      <w:pPr>
        <w:rPr>
          <w:rFonts w:eastAsia="仿宋_GB2312"/>
          <w:sz w:val="32"/>
        </w:rPr>
      </w:pPr>
    </w:p>
    <w:p>
      <w:pPr>
        <w:pStyle w:val="2"/>
      </w:pPr>
    </w:p>
    <w:p/>
    <w:p>
      <w:pPr>
        <w:spacing w:line="600" w:lineRule="exact"/>
        <w:ind w:firstLine="883" w:firstLineChars="200"/>
        <w:jc w:val="both"/>
        <w:rPr>
          <w:rFonts w:hint="eastAsia" w:ascii="宋体" w:hAnsi="宋体" w:eastAsia="宋体" w:cs="宋体"/>
          <w:b/>
          <w:bCs/>
          <w:sz w:val="44"/>
          <w:szCs w:val="44"/>
          <w:lang w:eastAsia="en-US"/>
        </w:rPr>
      </w:pPr>
      <w:bookmarkStart w:id="63" w:name="_Toc3484"/>
      <w:bookmarkStart w:id="64" w:name="_Toc29230"/>
      <w:bookmarkStart w:id="65" w:name="_Toc7025"/>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年永吉县政府性基金收支情况</w:t>
      </w:r>
      <w:bookmarkEnd w:id="63"/>
      <w:bookmarkEnd w:id="64"/>
      <w:bookmarkEnd w:id="65"/>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ascii="宋体" w:hAnsi="宋体" w:eastAsia="宋体" w:cs="宋体"/>
          <w:b/>
          <w:bCs/>
          <w:sz w:val="44"/>
          <w:szCs w:val="44"/>
          <w:lang w:eastAsia="en-US"/>
        </w:rPr>
      </w:pPr>
    </w:p>
    <w:p>
      <w:pPr>
        <w:rPr>
          <w:rFonts w:hint="eastAsia" w:ascii="宋体" w:hAnsi="宋体" w:eastAsia="宋体" w:cs="宋体"/>
          <w:b/>
          <w:bCs/>
          <w:sz w:val="44"/>
          <w:szCs w:val="44"/>
          <w:lang w:eastAsia="en-US"/>
        </w:rPr>
      </w:pPr>
    </w:p>
    <w:p>
      <w:pPr>
        <w:pStyle w:val="2"/>
        <w:rPr>
          <w:rFonts w:hint="eastAsia"/>
          <w:lang w:eastAsia="en-US"/>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7336"/>
        <w:gridCol w:w="11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2024年永吉县政府性基金收入完成表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完成数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政府性基金预算收入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5,739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政府性基金收入(款)</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农网还贷资金收入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中央农网还贷资金收入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地方农网还贷资金收入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铁路建设基金收入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民航发展基金收入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海南省高等级公路车辆通行附加费收入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旅游发展基金收入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国家电影事业发展专项资金收入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国有土地收益基金收入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农业土地开发资金收入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国有土地使用权出让收入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土地出让价款收入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补缴的土地价款</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划拨土地收入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缴纳新增建设用地土地有偿使用费</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-746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其他土地出让收入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大中型水库移民后期扶持基金收入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大中型水库库区基金收入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中央大中型水库库区基金收入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地方大中型水库库区基金收入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三峡水库库区基金收入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中央特别国债经营基金收入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中央特别国债经营基金财务收入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彩票公益金收入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福利彩票公益金收入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体育彩票公益金收入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城市基础设施配套费收入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小型水库移民扶助基金收入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国家重大水利工程建设基金收入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中央重大水利工程建设资金</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地方重大水利工程建设资金</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车辆通行费</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核电站乏燃料处理处置基金收入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可再生能源电价附加收入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船舶油污损害赔偿基金收入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废弃电器电子产品处理基金收入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税务部门征收的废弃电器电子产品处理基金收入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海关征收的废弃电器电子产品处理基金收入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污水处理费收入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369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彩票发行机构和彩票销售机构的业务费用</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福利彩票发行机构的业务费用</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体育彩票发行机构的业务费用</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福利彩票销售机构的业务费用</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体育彩票销售机构的业务费用</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彩票兑奖周转金</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彩票发行销售风险基金</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彩票市场调控资金收入</w:t>
            </w:r>
          </w:p>
        </w:tc>
        <w:tc>
          <w:tcPr>
            <w:tcW w:w="692" w:type="pct"/>
            <w:tcBorders>
              <w:top w:val="single" w:color="000000" w:sz="4" w:space="0"/>
              <w:left w:val="single" w:color="000000" w:sz="4" w:space="0"/>
              <w:bottom w:val="nil"/>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抗疫特别国债财务基金收入</w:t>
            </w:r>
          </w:p>
        </w:tc>
        <w:tc>
          <w:tcPr>
            <w:tcW w:w="692" w:type="pct"/>
            <w:tcBorders>
              <w:top w:val="single" w:color="000000" w:sz="4" w:space="0"/>
              <w:left w:val="single" w:color="000000" w:sz="4" w:space="0"/>
              <w:bottom w:val="nil"/>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耕地保护考核奖惩基金收入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超长期特别国债财务基金收入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其他政府性基金收入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专项债务对应项目专项收入</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海南省高等级公路车辆通行附加费专项债务对应项目专项收入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国家电影事业发展专项资金专项债务对应项目专项收入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国有土地使用权出让金专项债务对应项目专项收入  </w:t>
            </w:r>
          </w:p>
        </w:tc>
        <w:tc>
          <w:tcPr>
            <w:tcW w:w="692"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土地储备专项债券对应项目专项收入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棚户区改造专项债券对应项目专项收入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其他国有土地使用权出让金专项债务对应项目专项收入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农业土地开发资金专项债务对应项目专项收入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大中型水库库区基金专项债务对应项目专项收入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城市基础设施配套费专项债务对应项目专项收入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小型水库移民扶助基金专项债务对应项目专项收入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国家重大水利工程建设基金专项债务对应项目专项收入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车辆通行费专项债务对应项目专项收入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政府收费公路专项债券对应项目专项收入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其他车辆通行费专项债务对应项目专项收入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污水处理费专项债务对应项目专项收入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其他政府性基金专项债务对应项目专项收入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430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其他政府性基金专项债务对应项目专项收入  </w:t>
            </w:r>
          </w:p>
        </w:tc>
        <w:tc>
          <w:tcPr>
            <w:tcW w:w="69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spacing w:line="576" w:lineRule="exact"/>
        <w:ind w:firstLine="640" w:firstLineChars="200"/>
        <w:rPr>
          <w:rFonts w:eastAsia="仿宋_GB2312"/>
          <w:sz w:val="32"/>
        </w:rPr>
      </w:pPr>
    </w:p>
    <w:p>
      <w:pPr>
        <w:pStyle w:val="2"/>
        <w:jc w:val="both"/>
      </w:pPr>
    </w:p>
    <w:p>
      <w:pPr>
        <w:spacing w:line="600" w:lineRule="exact"/>
        <w:jc w:val="both"/>
        <w:rPr>
          <w:rFonts w:hint="eastAsia" w:ascii="宋体" w:hAnsi="宋体" w:eastAsia="宋体" w:cs="宋体"/>
          <w:b/>
          <w:bCs/>
          <w:sz w:val="44"/>
          <w:szCs w:val="44"/>
          <w:lang w:val="en-US" w:eastAsia="zh-CN"/>
        </w:rPr>
      </w:pPr>
      <w:bookmarkStart w:id="66" w:name="_Toc28718"/>
      <w:bookmarkStart w:id="67" w:name="_Toc28772"/>
      <w:bookmarkStart w:id="68" w:name="_Toc6630"/>
      <w:r>
        <w:rPr>
          <w:rFonts w:hint="eastAsia" w:ascii="宋体" w:hAnsi="宋体" w:eastAsia="宋体" w:cs="宋体"/>
          <w:b/>
          <w:bCs/>
          <w:sz w:val="44"/>
          <w:szCs w:val="44"/>
          <w:lang w:val="en-US" w:eastAsia="zh-CN"/>
        </w:rPr>
        <w:t xml:space="preserve"> </w:t>
      </w:r>
    </w:p>
    <w:p>
      <w:pPr>
        <w:pStyle w:val="2"/>
        <w:rPr>
          <w:rFonts w:hint="eastAsia" w:ascii="宋体" w:hAnsi="宋体" w:eastAsia="宋体" w:cs="宋体"/>
          <w:b/>
          <w:bCs/>
          <w:sz w:val="44"/>
          <w:szCs w:val="44"/>
          <w:lang w:val="en-US" w:eastAsia="zh-CN"/>
        </w:rPr>
      </w:pPr>
    </w:p>
    <w:p>
      <w:pPr>
        <w:rPr>
          <w:rFonts w:hint="eastAsia" w:ascii="宋体" w:hAnsi="宋体" w:eastAsia="宋体" w:cs="宋体"/>
          <w:b/>
          <w:bCs/>
          <w:sz w:val="44"/>
          <w:szCs w:val="44"/>
          <w:lang w:val="en-US" w:eastAsia="zh-CN"/>
        </w:rPr>
      </w:pPr>
    </w:p>
    <w:p>
      <w:pPr>
        <w:pStyle w:val="2"/>
        <w:rPr>
          <w:rFonts w:hint="eastAsia" w:ascii="宋体" w:hAnsi="宋体" w:eastAsia="宋体" w:cs="宋体"/>
          <w:b/>
          <w:bCs/>
          <w:sz w:val="44"/>
          <w:szCs w:val="44"/>
          <w:lang w:val="en-US" w:eastAsia="zh-CN"/>
        </w:rPr>
      </w:pPr>
    </w:p>
    <w:p>
      <w:pPr>
        <w:rPr>
          <w:rFonts w:hint="eastAsia" w:ascii="宋体" w:hAnsi="宋体" w:eastAsia="宋体" w:cs="宋体"/>
          <w:b/>
          <w:bCs/>
          <w:sz w:val="44"/>
          <w:szCs w:val="44"/>
          <w:lang w:val="en-US" w:eastAsia="zh-CN"/>
        </w:rPr>
      </w:pPr>
    </w:p>
    <w:p>
      <w:pPr>
        <w:pStyle w:val="2"/>
        <w:rPr>
          <w:rFonts w:hint="eastAsia"/>
          <w:lang w:val="en-US" w:eastAsia="zh-CN"/>
        </w:rPr>
      </w:pPr>
    </w:p>
    <w:p>
      <w:pPr>
        <w:keepNext w:val="0"/>
        <w:keepLines w:val="0"/>
        <w:widowControl/>
        <w:suppressLineNumbers w:val="0"/>
        <w:jc w:val="center"/>
        <w:textAlignment w:val="center"/>
        <w:rPr>
          <w:rFonts w:hint="eastAsia" w:ascii="宋体" w:hAnsi="宋体" w:eastAsia="宋体" w:cs="宋体"/>
          <w:b/>
          <w:bCs/>
          <w:i w:val="0"/>
          <w:iCs w:val="0"/>
          <w:color w:val="000000"/>
          <w:kern w:val="0"/>
          <w:sz w:val="36"/>
          <w:szCs w:val="36"/>
          <w:u w:val="none"/>
          <w:lang w:val="en-US" w:eastAsia="zh-CN" w:bidi="ar"/>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983"/>
        <w:gridCol w:w="2207"/>
        <w:gridCol w:w="4586"/>
        <w:gridCol w:w="13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2024年永吉县政府性基金转移支付表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2110"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77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1617"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493"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政府性基金预算上级补助收入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37,790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政府性基金预算补助下级支出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政府性基金转移支付收入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37,790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政府性基金转移支付支出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科学技术</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文化旅游体育与传媒</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社会保障和就业</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节能环保</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615</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城乡社区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1,708</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农林水</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交通运输</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资源勘探工业信息等</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自然资源海洋气象等</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超长期特别国债转移支付收入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34,508</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超长期特别国债转移支付支出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908</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政府性基金预算下级上解收入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政府性基金预算上解上级支出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抗疫特别国债还本上解收入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抗疫特别国债还本上解支出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超长期特别国债还本上解收入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超长期特别国债还本上解支出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其他政府性基金上解收入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其他政府性基金上解支出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待偿债再融资专项债券上年结余</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政府性基金预算上年结余收入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3,923</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政府性基金预算调入资金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6,235</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政府性基金预算调出资金</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中央单位特殊上缴利润专项收入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其他调入政府性基金预算资金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6,235</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从一般公共预算调入用于补充超长期特别国债偿债备付金的资金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从一般公共预算调入用于偿还超长期特别国债本金的资金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从一般公共预算调入的其他资金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从国有资本经营预算调入用于补充超长期特别国债偿债备付金的资金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从国有资本经营预算调入用于偿还超长期特别国债本金的资金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其他调入资金</w:t>
            </w:r>
          </w:p>
        </w:tc>
        <w:tc>
          <w:tcPr>
            <w:tcW w:w="778" w:type="pct"/>
            <w:tcBorders>
              <w:top w:val="single" w:color="000000" w:sz="4" w:space="0"/>
              <w:left w:val="single" w:color="000000" w:sz="4" w:space="0"/>
              <w:bottom w:val="single" w:color="auto"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6,235</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auto"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债务收入</w:t>
            </w:r>
          </w:p>
        </w:tc>
        <w:tc>
          <w:tcPr>
            <w:tcW w:w="778"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auto"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债务还本支出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中央政府债务收入</w:t>
            </w:r>
          </w:p>
        </w:tc>
        <w:tc>
          <w:tcPr>
            <w:tcW w:w="778" w:type="pct"/>
            <w:tcBorders>
              <w:top w:val="single" w:color="auto"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地方政府专项债务还本支出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抗疫特别国债还本支出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地方政府债务收入</w:t>
            </w:r>
          </w:p>
        </w:tc>
        <w:tc>
          <w:tcPr>
            <w:tcW w:w="778"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超长期特别国债还本支出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bottom"/>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专项债务收入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债务转贷支出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债务转贷收入</w:t>
            </w:r>
          </w:p>
        </w:tc>
        <w:tc>
          <w:tcPr>
            <w:tcW w:w="77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地方政府专项债务转贷收入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政府性基金预算省补助计划单列市收入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政府性基金预算省补助计划单列市支出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政府性基金预算计划单列市上解省收入</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政府性基金预算计划单列市上解省支出</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动用偿债备付金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偿债备付金</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动用超长期特别国债偿债备付金</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安排超长期特别国债偿债备付金</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待偿债再融资专项债券结余</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0"/>
                <w:szCs w:val="20"/>
                <w:u w:val="none"/>
              </w:rPr>
            </w:pP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政府性基金预算年终结余</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47,156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211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　</w:t>
            </w:r>
          </w:p>
        </w:tc>
        <w:tc>
          <w:tcPr>
            <w:tcW w:w="77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47,948</w:t>
            </w:r>
          </w:p>
        </w:tc>
        <w:tc>
          <w:tcPr>
            <w:tcW w:w="161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　</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47,948</w:t>
            </w:r>
          </w:p>
        </w:tc>
      </w:tr>
    </w:tbl>
    <w:p>
      <w:pPr>
        <w:spacing w:line="600" w:lineRule="exact"/>
        <w:jc w:val="both"/>
        <w:rPr>
          <w:rFonts w:hint="default" w:ascii="宋体" w:hAnsi="宋体" w:eastAsia="宋体" w:cs="宋体"/>
          <w:b/>
          <w:bCs/>
          <w:sz w:val="44"/>
          <w:szCs w:val="44"/>
          <w:lang w:val="en-US" w:eastAsia="zh-CN"/>
        </w:rPr>
      </w:pPr>
    </w:p>
    <w:p>
      <w:pPr>
        <w:pStyle w:val="2"/>
        <w:jc w:val="both"/>
        <w:rPr>
          <w:rFonts w:hint="eastAsia" w:ascii="宋体" w:hAnsi="宋体" w:eastAsia="宋体" w:cs="宋体"/>
          <w:b/>
          <w:bCs/>
          <w:sz w:val="44"/>
          <w:szCs w:val="44"/>
          <w:lang w:val="en-US" w:eastAsia="zh-CN"/>
        </w:rPr>
      </w:pPr>
    </w:p>
    <w:p>
      <w:pPr>
        <w:rPr>
          <w:rFonts w:hint="eastAsia" w:ascii="宋体" w:hAnsi="宋体" w:eastAsia="宋体" w:cs="宋体"/>
          <w:b/>
          <w:bCs/>
          <w:sz w:val="44"/>
          <w:szCs w:val="44"/>
          <w:lang w:val="en-US" w:eastAsia="zh-CN"/>
        </w:rPr>
      </w:pPr>
    </w:p>
    <w:p>
      <w:pPr>
        <w:pStyle w:val="2"/>
        <w:jc w:val="both"/>
        <w:rPr>
          <w:rFonts w:hint="eastAsia" w:ascii="宋体" w:hAnsi="宋体" w:eastAsia="宋体" w:cs="宋体"/>
          <w:b/>
          <w:bCs/>
          <w:sz w:val="44"/>
          <w:szCs w:val="44"/>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rPr>
          <w:rFonts w:hint="eastAsia"/>
          <w:lang w:val="en-US" w:eastAsia="zh-CN"/>
        </w:rPr>
      </w:pPr>
    </w:p>
    <w:p>
      <w:pPr>
        <w:spacing w:line="600" w:lineRule="exact"/>
        <w:jc w:val="center"/>
        <w:rPr>
          <w:rFonts w:ascii="Times New Roman" w:hAnsi="Times New Roman" w:eastAsia="仿宋" w:cs="Times New Roman"/>
          <w:b/>
          <w:bCs/>
          <w:sz w:val="44"/>
          <w:szCs w:val="44"/>
        </w:rPr>
      </w:pPr>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年永吉县政府性基金</w:t>
      </w:r>
      <w:bookmarkEnd w:id="66"/>
      <w:bookmarkEnd w:id="67"/>
      <w:bookmarkEnd w:id="68"/>
      <w:bookmarkStart w:id="69" w:name="_Toc15608"/>
      <w:bookmarkStart w:id="70" w:name="_Toc12576"/>
      <w:bookmarkStart w:id="71" w:name="_Toc24930"/>
      <w:r>
        <w:rPr>
          <w:rFonts w:hint="eastAsia" w:ascii="宋体" w:hAnsi="宋体" w:eastAsia="宋体" w:cs="宋体"/>
          <w:b/>
          <w:bCs/>
          <w:sz w:val="44"/>
          <w:szCs w:val="44"/>
          <w:lang w:eastAsia="en-US"/>
        </w:rPr>
        <w:t>收入完成情况</w:t>
      </w:r>
      <w:bookmarkEnd w:id="69"/>
      <w:bookmarkEnd w:id="70"/>
      <w:bookmarkEnd w:id="71"/>
    </w:p>
    <w:p>
      <w:pPr>
        <w:keepNext w:val="0"/>
        <w:keepLines w:val="0"/>
        <w:pageBreakBefore w:val="0"/>
        <w:widowControl w:val="0"/>
        <w:kinsoku/>
        <w:wordWrap/>
        <w:overflowPunct/>
        <w:topLinePunct w:val="0"/>
        <w:autoSpaceDE/>
        <w:autoSpaceDN/>
        <w:bidi w:val="0"/>
        <w:adjustRightInd/>
        <w:snapToGrid/>
        <w:spacing w:line="576" w:lineRule="exact"/>
        <w:ind w:left="0" w:right="0" w:firstLine="63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2024年，我县</w:t>
      </w:r>
      <w:r>
        <w:rPr>
          <w:rFonts w:hint="default" w:ascii="Times New Roman" w:hAnsi="Times New Roman" w:eastAsia="仿宋_GB2312" w:cs="Times New Roman"/>
          <w:b/>
          <w:bCs/>
          <w:sz w:val="32"/>
          <w:szCs w:val="32"/>
          <w:highlight w:val="none"/>
        </w:rPr>
        <w:t>政府性基金收入</w:t>
      </w:r>
      <w:r>
        <w:rPr>
          <w:rFonts w:hint="default" w:ascii="Times New Roman" w:hAnsi="Times New Roman" w:eastAsia="仿宋_GB2312" w:cs="Times New Roman"/>
          <w:sz w:val="32"/>
          <w:szCs w:val="32"/>
          <w:highlight w:val="none"/>
          <w:lang w:val="en-US" w:eastAsia="zh-CN"/>
        </w:rPr>
        <w:t>完成</w:t>
      </w:r>
      <w:r>
        <w:rPr>
          <w:rFonts w:hint="default" w:ascii="Times New Roman" w:hAnsi="Times New Roman" w:eastAsia="仿宋_GB2312" w:cs="Times New Roman"/>
          <w:sz w:val="32"/>
          <w:szCs w:val="32"/>
          <w:highlight w:val="none"/>
        </w:rPr>
        <w:t>53,687万元，为预算的98.2%，其中：上年结余3,923万元，本级收入5,739万元，</w:t>
      </w:r>
      <w:r>
        <w:rPr>
          <w:rFonts w:hint="default" w:ascii="Times New Roman" w:hAnsi="Times New Roman" w:eastAsia="仿宋_GB2312" w:cs="Times New Roman"/>
          <w:kern w:val="0"/>
          <w:sz w:val="32"/>
          <w:szCs w:val="32"/>
          <w:highlight w:val="none"/>
        </w:rPr>
        <w:t>省专项收入37,790万元，</w:t>
      </w:r>
      <w:r>
        <w:rPr>
          <w:rFonts w:hint="default" w:ascii="Times New Roman" w:hAnsi="Times New Roman" w:eastAsia="仿宋_GB2312" w:cs="Times New Roman"/>
          <w:sz w:val="32"/>
          <w:szCs w:val="32"/>
          <w:highlight w:val="none"/>
        </w:rPr>
        <w:t>调入资金6,235万元。</w:t>
      </w:r>
      <w:r>
        <w:rPr>
          <w:rFonts w:hint="default" w:ascii="Times New Roman" w:hAnsi="Times New Roman" w:eastAsia="仿宋_GB2312" w:cs="Times New Roman"/>
          <w:b/>
          <w:bCs/>
          <w:sz w:val="32"/>
          <w:szCs w:val="32"/>
          <w:highlight w:val="none"/>
        </w:rPr>
        <w:t>政府性基金支出</w:t>
      </w:r>
      <w:r>
        <w:rPr>
          <w:rFonts w:hint="default" w:ascii="Times New Roman" w:hAnsi="Times New Roman" w:eastAsia="仿宋_GB2312" w:cs="Times New Roman"/>
          <w:sz w:val="32"/>
          <w:szCs w:val="32"/>
          <w:highlight w:val="none"/>
        </w:rPr>
        <w:t>12,906万元，</w:t>
      </w:r>
      <w:r>
        <w:rPr>
          <w:rFonts w:hint="default" w:ascii="Times New Roman" w:hAnsi="Times New Roman" w:eastAsia="仿宋_GB2312" w:cs="Times New Roman"/>
          <w:b/>
          <w:bCs/>
          <w:sz w:val="32"/>
          <w:szCs w:val="32"/>
          <w:highlight w:val="none"/>
        </w:rPr>
        <w:t>一是</w:t>
      </w:r>
      <w:r>
        <w:rPr>
          <w:rFonts w:hint="default" w:ascii="Times New Roman" w:hAnsi="Times New Roman" w:eastAsia="仿宋_GB2312" w:cs="Times New Roman"/>
          <w:sz w:val="32"/>
          <w:szCs w:val="32"/>
          <w:highlight w:val="none"/>
        </w:rPr>
        <w:t>城乡社区支出2,251万元，其中：国有土地使用权出让收入安排的支出1,583万元，城市基础设施配套费安排的支出268万元，污水处理费安排的支出400万元；</w:t>
      </w:r>
      <w:r>
        <w:rPr>
          <w:rFonts w:hint="default" w:ascii="Times New Roman" w:hAnsi="Times New Roman" w:eastAsia="仿宋_GB2312" w:cs="Times New Roman"/>
          <w:b/>
          <w:bCs/>
          <w:sz w:val="32"/>
          <w:szCs w:val="32"/>
          <w:highlight w:val="none"/>
        </w:rPr>
        <w:t>二是</w:t>
      </w:r>
      <w:r>
        <w:rPr>
          <w:rFonts w:hint="default" w:ascii="Times New Roman" w:hAnsi="Times New Roman" w:eastAsia="仿宋_GB2312" w:cs="Times New Roman"/>
          <w:sz w:val="32"/>
          <w:szCs w:val="32"/>
          <w:highlight w:val="none"/>
        </w:rPr>
        <w:t>农林水支出851万元，主要是大中型水库库区基金安排支出；</w:t>
      </w:r>
      <w:r>
        <w:rPr>
          <w:rFonts w:hint="default" w:ascii="Times New Roman" w:hAnsi="Times New Roman" w:eastAsia="仿宋_GB2312" w:cs="Times New Roman"/>
          <w:b/>
          <w:bCs/>
          <w:sz w:val="32"/>
          <w:szCs w:val="32"/>
          <w:highlight w:val="none"/>
        </w:rPr>
        <w:t>三是</w:t>
      </w:r>
      <w:r>
        <w:rPr>
          <w:rFonts w:hint="default" w:ascii="Times New Roman" w:hAnsi="Times New Roman" w:eastAsia="仿宋_GB2312" w:cs="Times New Roman"/>
          <w:sz w:val="32"/>
          <w:szCs w:val="32"/>
          <w:highlight w:val="none"/>
        </w:rPr>
        <w:t>其他支出477万元，主要是彩票公益金安排的支出463万元；彩票发行销售机构业务费安排的支出14万元。</w:t>
      </w:r>
      <w:r>
        <w:rPr>
          <w:rFonts w:hint="default" w:ascii="Times New Roman" w:hAnsi="Times New Roman" w:eastAsia="仿宋_GB2312" w:cs="Times New Roman"/>
          <w:b/>
          <w:bCs/>
          <w:sz w:val="32"/>
          <w:szCs w:val="32"/>
          <w:highlight w:val="none"/>
        </w:rPr>
        <w:t>四是</w:t>
      </w:r>
      <w:r>
        <w:rPr>
          <w:rFonts w:hint="default" w:ascii="Times New Roman" w:hAnsi="Times New Roman" w:eastAsia="仿宋_GB2312" w:cs="Times New Roman"/>
          <w:sz w:val="32"/>
          <w:szCs w:val="32"/>
          <w:highlight w:val="none"/>
        </w:rPr>
        <w:t>债务付息支出9,327万元，主要是地方政府专项债务付息支出。</w:t>
      </w:r>
    </w:p>
    <w:p>
      <w:pPr>
        <w:keepNext w:val="0"/>
        <w:keepLines w:val="0"/>
        <w:pageBreakBefore w:val="0"/>
        <w:widowControl w:val="0"/>
        <w:kinsoku/>
        <w:wordWrap/>
        <w:overflowPunct/>
        <w:topLinePunct w:val="0"/>
        <w:autoSpaceDE/>
        <w:autoSpaceDN/>
        <w:bidi w:val="0"/>
        <w:adjustRightInd/>
        <w:snapToGrid/>
        <w:spacing w:line="576" w:lineRule="exact"/>
        <w:ind w:left="0" w:right="0" w:firstLine="627" w:firstLineChars="196"/>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政府性基金预算收入合计为53,687万元。政府性基金预算支出12,906万元</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加上调出资金792万元、年终结转39,989万元，支出合计53,687万元，收支总量相抵，实现</w:t>
      </w:r>
      <w:r>
        <w:rPr>
          <w:rFonts w:hint="default" w:ascii="Times New Roman" w:hAnsi="Times New Roman" w:eastAsia="仿宋_GB2312" w:cs="Times New Roman"/>
          <w:kern w:val="0"/>
          <w:sz w:val="32"/>
          <w:szCs w:val="32"/>
          <w:highlight w:val="none"/>
        </w:rPr>
        <w:t>收支平衡。</w:t>
      </w:r>
    </w:p>
    <w:p>
      <w:pPr>
        <w:pStyle w:val="2"/>
        <w:jc w:val="both"/>
        <w:rPr>
          <w:rFonts w:hint="eastAsia" w:eastAsia="仿宋_GB2312"/>
          <w:color w:val="auto"/>
          <w:sz w:val="32"/>
          <w:szCs w:val="32"/>
          <w:lang w:val="en-US" w:eastAsia="zh-CN"/>
        </w:rPr>
      </w:pPr>
    </w:p>
    <w:p>
      <w:pPr>
        <w:rPr>
          <w:rFonts w:hint="eastAsia" w:eastAsia="仿宋_GB2312"/>
          <w:color w:val="auto"/>
          <w:sz w:val="32"/>
          <w:szCs w:val="32"/>
          <w:lang w:val="en-US" w:eastAsia="zh-CN"/>
        </w:rPr>
      </w:pPr>
    </w:p>
    <w:p>
      <w:pPr>
        <w:pStyle w:val="2"/>
        <w:rPr>
          <w:rFonts w:hint="eastAsia" w:eastAsia="仿宋_GB2312"/>
          <w:color w:val="auto"/>
          <w:sz w:val="32"/>
          <w:szCs w:val="32"/>
          <w:lang w:val="en-US" w:eastAsia="zh-CN"/>
        </w:rPr>
      </w:pPr>
    </w:p>
    <w:p>
      <w:pPr>
        <w:rPr>
          <w:rFonts w:hint="eastAsia" w:eastAsia="仿宋_GB2312"/>
          <w:color w:val="auto"/>
          <w:sz w:val="32"/>
          <w:szCs w:val="32"/>
          <w:lang w:val="en-US" w:eastAsia="zh-CN"/>
        </w:rPr>
      </w:pPr>
    </w:p>
    <w:p>
      <w:pPr>
        <w:pStyle w:val="2"/>
        <w:rPr>
          <w:rFonts w:hint="eastAsia" w:eastAsia="仿宋_GB2312"/>
          <w:color w:val="auto"/>
          <w:sz w:val="32"/>
          <w:szCs w:val="32"/>
          <w:lang w:val="en-US" w:eastAsia="zh-CN"/>
        </w:rPr>
      </w:pPr>
    </w:p>
    <w:p>
      <w:pPr>
        <w:rPr>
          <w:rFonts w:hint="eastAsia"/>
          <w:lang w:val="en-US"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25"/>
        <w:gridCol w:w="1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2"/>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2024年度永吉县政府性基金预算支出完成表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0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政府性基金预算支出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城乡社区支出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国有土地使用权出让收入安排的支出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征地和拆迁补偿支出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土地开发支出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城市建设支出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土地出让业务支出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农业农村生态环境支出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城市基础设施配套费安排的支出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城市公共设施</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城市环境卫生</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污水处理费安排的支出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污水处理设施建设和运营</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大中型水库库区基金安排的支出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其他大中型水库库区基金支出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大中型水库移民后期扶持基金支出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移民补助</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彩票发行销售机构业务费安排的支出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彩票公益金安排的支出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用于社会福利的彩票公益金支出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用于教育事业的彩票公益金支出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用于残疾人事业的彩票公益金支出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用于其他社会公益事业的彩票公益金支出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地方政府专项债务付息支出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国有土地使用权出让金债务付息支出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7,932</w:t>
            </w:r>
          </w:p>
        </w:tc>
      </w:tr>
    </w:tbl>
    <w:p>
      <w:pPr>
        <w:pStyle w:val="2"/>
        <w:jc w:val="both"/>
        <w:rPr>
          <w:rFonts w:hint="eastAsia"/>
          <w:lang w:val="en-US" w:eastAsia="zh-CN"/>
        </w:rPr>
      </w:pPr>
    </w:p>
    <w:p>
      <w:pPr>
        <w:rPr>
          <w:rFonts w:hint="eastAsia"/>
          <w:lang w:val="en-US" w:eastAsia="zh-CN"/>
        </w:rPr>
      </w:pPr>
    </w:p>
    <w:p>
      <w:pPr>
        <w:pStyle w:val="6"/>
        <w:rPr>
          <w:rFonts w:hint="eastAsia"/>
          <w:lang w:val="en-US" w:eastAsia="zh-CN"/>
        </w:rPr>
      </w:pPr>
    </w:p>
    <w:p>
      <w:pPr>
        <w:rPr>
          <w:rFonts w:hint="eastAsia"/>
          <w:lang w:val="en-US" w:eastAsia="zh-CN"/>
        </w:rPr>
      </w:pPr>
    </w:p>
    <w:p>
      <w:pPr>
        <w:pStyle w:val="2"/>
        <w:jc w:val="both"/>
      </w:pPr>
    </w:p>
    <w:p/>
    <w:p>
      <w:pPr>
        <w:pStyle w:val="6"/>
      </w:pPr>
    </w:p>
    <w:p/>
    <w:p>
      <w:pPr>
        <w:pStyle w:val="6"/>
      </w:pPr>
    </w:p>
    <w:p/>
    <w:p>
      <w:pPr>
        <w:pStyle w:val="6"/>
      </w:pPr>
    </w:p>
    <w:p/>
    <w:p>
      <w:pPr>
        <w:pStyle w:val="2"/>
      </w:pPr>
    </w:p>
    <w:p/>
    <w:p>
      <w:pPr>
        <w:pStyle w:val="2"/>
      </w:pPr>
    </w:p>
    <w:p/>
    <w:p>
      <w:pPr>
        <w:pStyle w:val="2"/>
      </w:pPr>
    </w:p>
    <w:p/>
    <w:p>
      <w:pPr>
        <w:pStyle w:val="2"/>
      </w:pPr>
    </w:p>
    <w:p/>
    <w:p>
      <w:pPr>
        <w:pStyle w:val="2"/>
      </w:pPr>
    </w:p>
    <w:p/>
    <w:p>
      <w:pPr>
        <w:pStyle w:val="2"/>
      </w:pPr>
    </w:p>
    <w:p>
      <w:pPr>
        <w:spacing w:line="600" w:lineRule="exact"/>
        <w:jc w:val="center"/>
        <w:rPr>
          <w:rFonts w:hint="eastAsia" w:ascii="宋体" w:hAnsi="宋体" w:eastAsia="宋体" w:cs="宋体"/>
          <w:b/>
          <w:bCs/>
          <w:sz w:val="44"/>
          <w:szCs w:val="44"/>
          <w:lang w:eastAsia="en-US"/>
        </w:rPr>
      </w:pPr>
      <w:bookmarkStart w:id="72" w:name="_Toc771"/>
      <w:bookmarkStart w:id="73" w:name="_Toc8557"/>
      <w:bookmarkStart w:id="74" w:name="_Toc1074"/>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年永吉县政府性基金</w:t>
      </w:r>
      <w:bookmarkEnd w:id="72"/>
      <w:bookmarkEnd w:id="73"/>
      <w:bookmarkEnd w:id="74"/>
    </w:p>
    <w:p>
      <w:pPr>
        <w:spacing w:line="600" w:lineRule="exact"/>
        <w:ind w:firstLine="2650" w:firstLineChars="600"/>
        <w:jc w:val="both"/>
        <w:rPr>
          <w:rFonts w:hint="eastAsia" w:ascii="宋体" w:hAnsi="宋体" w:eastAsia="宋体" w:cs="宋体"/>
          <w:b/>
          <w:bCs/>
          <w:sz w:val="44"/>
          <w:szCs w:val="44"/>
          <w:lang w:eastAsia="en-US"/>
        </w:rPr>
      </w:pPr>
      <w:bookmarkStart w:id="75" w:name="_Toc16363"/>
      <w:bookmarkStart w:id="76" w:name="_Toc24332"/>
      <w:bookmarkStart w:id="77" w:name="_Toc653"/>
      <w:r>
        <w:rPr>
          <w:rFonts w:hint="eastAsia" w:ascii="宋体" w:hAnsi="宋体" w:eastAsia="宋体" w:cs="宋体"/>
          <w:b/>
          <w:bCs/>
          <w:sz w:val="44"/>
          <w:szCs w:val="44"/>
          <w:lang w:eastAsia="en-US"/>
        </w:rPr>
        <w:t>支出完成情况</w:t>
      </w:r>
      <w:bookmarkEnd w:id="75"/>
      <w:bookmarkEnd w:id="76"/>
      <w:bookmarkEnd w:id="77"/>
    </w:p>
    <w:p>
      <w:pPr>
        <w:pStyle w:val="6"/>
      </w:pPr>
    </w:p>
    <w:p>
      <w:pPr>
        <w:keepNext w:val="0"/>
        <w:keepLines w:val="0"/>
        <w:pageBreakBefore w:val="0"/>
        <w:widowControl w:val="0"/>
        <w:kinsoku/>
        <w:wordWrap/>
        <w:overflowPunct/>
        <w:topLinePunct w:val="0"/>
        <w:autoSpaceDE/>
        <w:autoSpaceDN/>
        <w:bidi w:val="0"/>
        <w:adjustRightInd/>
        <w:snapToGrid/>
        <w:spacing w:line="576" w:lineRule="exact"/>
        <w:ind w:left="0" w:right="0" w:firstLine="63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b/>
          <w:bCs/>
          <w:sz w:val="32"/>
          <w:szCs w:val="32"/>
          <w:highlight w:val="none"/>
        </w:rPr>
        <w:t>政府性基金支出</w:t>
      </w:r>
      <w:r>
        <w:rPr>
          <w:rFonts w:hint="default" w:ascii="Times New Roman" w:hAnsi="Times New Roman" w:eastAsia="仿宋_GB2312" w:cs="Times New Roman"/>
          <w:sz w:val="32"/>
          <w:szCs w:val="32"/>
          <w:highlight w:val="none"/>
        </w:rPr>
        <w:t>12,906万元，</w:t>
      </w:r>
      <w:r>
        <w:rPr>
          <w:rFonts w:hint="default" w:ascii="Times New Roman" w:hAnsi="Times New Roman" w:eastAsia="仿宋_GB2312" w:cs="Times New Roman"/>
          <w:b/>
          <w:bCs/>
          <w:sz w:val="32"/>
          <w:szCs w:val="32"/>
          <w:highlight w:val="none"/>
        </w:rPr>
        <w:t>一是</w:t>
      </w:r>
      <w:r>
        <w:rPr>
          <w:rFonts w:hint="default" w:ascii="Times New Roman" w:hAnsi="Times New Roman" w:eastAsia="仿宋_GB2312" w:cs="Times New Roman"/>
          <w:sz w:val="32"/>
          <w:szCs w:val="32"/>
          <w:highlight w:val="none"/>
        </w:rPr>
        <w:t>城乡社区支出2,251万元，其中：国有土地使用权出让收入安排的支出1,583万元，城市基础设施配套费安排的支出268万元，污水处理费安排的支出400万元；</w:t>
      </w:r>
      <w:r>
        <w:rPr>
          <w:rFonts w:hint="default" w:ascii="Times New Roman" w:hAnsi="Times New Roman" w:eastAsia="仿宋_GB2312" w:cs="Times New Roman"/>
          <w:b/>
          <w:bCs/>
          <w:sz w:val="32"/>
          <w:szCs w:val="32"/>
          <w:highlight w:val="none"/>
        </w:rPr>
        <w:t>二是</w:t>
      </w:r>
      <w:r>
        <w:rPr>
          <w:rFonts w:hint="default" w:ascii="Times New Roman" w:hAnsi="Times New Roman" w:eastAsia="仿宋_GB2312" w:cs="Times New Roman"/>
          <w:sz w:val="32"/>
          <w:szCs w:val="32"/>
          <w:highlight w:val="none"/>
        </w:rPr>
        <w:t>农林水支出851万元，主要是大中型水库库区基金安排支出；</w:t>
      </w:r>
      <w:r>
        <w:rPr>
          <w:rFonts w:hint="default" w:ascii="Times New Roman" w:hAnsi="Times New Roman" w:eastAsia="仿宋_GB2312" w:cs="Times New Roman"/>
          <w:b/>
          <w:bCs/>
          <w:sz w:val="32"/>
          <w:szCs w:val="32"/>
          <w:highlight w:val="none"/>
        </w:rPr>
        <w:t>三是</w:t>
      </w:r>
      <w:r>
        <w:rPr>
          <w:rFonts w:hint="default" w:ascii="Times New Roman" w:hAnsi="Times New Roman" w:eastAsia="仿宋_GB2312" w:cs="Times New Roman"/>
          <w:sz w:val="32"/>
          <w:szCs w:val="32"/>
          <w:highlight w:val="none"/>
        </w:rPr>
        <w:t>其他支出477万元，主要是彩票公益金安排的支出463万元；彩票发行销售机构业务费安排的支出14万元。</w:t>
      </w:r>
      <w:r>
        <w:rPr>
          <w:rFonts w:hint="default" w:ascii="Times New Roman" w:hAnsi="Times New Roman" w:eastAsia="仿宋_GB2312" w:cs="Times New Roman"/>
          <w:b/>
          <w:bCs/>
          <w:sz w:val="32"/>
          <w:szCs w:val="32"/>
          <w:highlight w:val="none"/>
        </w:rPr>
        <w:t>四是</w:t>
      </w:r>
      <w:r>
        <w:rPr>
          <w:rFonts w:hint="default" w:ascii="Times New Roman" w:hAnsi="Times New Roman" w:eastAsia="仿宋_GB2312" w:cs="Times New Roman"/>
          <w:sz w:val="32"/>
          <w:szCs w:val="32"/>
          <w:highlight w:val="none"/>
        </w:rPr>
        <w:t>债务付息支出9,327万元，主要是地方政府专项债务付息支出。</w:t>
      </w: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lang w:val="en-US" w:eastAsia="zh-CN"/>
        </w:rPr>
      </w:pPr>
    </w:p>
    <w:p>
      <w:pPr>
        <w:pStyle w:val="2"/>
        <w:rPr>
          <w:rFonts w:hint="default" w:ascii="Times New Roman" w:hAnsi="Times New Roman" w:eastAsia="仿宋_GB2312" w:cs="Times New Roman"/>
          <w:color w:val="auto"/>
          <w:sz w:val="32"/>
          <w:szCs w:val="32"/>
          <w:lang w:val="en-US" w:eastAsia="zh-CN"/>
        </w:rPr>
      </w:pPr>
    </w:p>
    <w:p>
      <w:pPr>
        <w:rPr>
          <w:rFonts w:hint="default" w:ascii="Times New Roman" w:hAnsi="Times New Roman" w:eastAsia="仿宋_GB2312" w:cs="Times New Roman"/>
          <w:color w:val="auto"/>
          <w:sz w:val="32"/>
          <w:szCs w:val="32"/>
          <w:lang w:val="en-US" w:eastAsia="zh-CN"/>
        </w:rPr>
      </w:pPr>
    </w:p>
    <w:p>
      <w:pPr>
        <w:pStyle w:val="2"/>
        <w:rPr>
          <w:rFonts w:hint="default"/>
          <w:lang w:val="en-US" w:eastAsia="zh-CN"/>
        </w:rPr>
      </w:pPr>
    </w:p>
    <w:p>
      <w:pPr>
        <w:rPr>
          <w:rFonts w:hint="default"/>
          <w:lang w:val="en-US"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625"/>
        <w:gridCol w:w="189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0" w:hRule="atLeast"/>
        </w:trPr>
        <w:tc>
          <w:tcPr>
            <w:tcW w:w="5000" w:type="pct"/>
            <w:gridSpan w:val="2"/>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2024年度永吉县本级政府性基金预算支出决算</w:t>
            </w:r>
            <w:r>
              <w:rPr>
                <w:rFonts w:hint="eastAsia" w:ascii="宋体" w:hAnsi="宋体" w:eastAsia="宋体" w:cs="宋体"/>
                <w:b/>
                <w:bCs/>
                <w:i w:val="0"/>
                <w:iCs w:val="0"/>
                <w:color w:val="000000"/>
                <w:kern w:val="0"/>
                <w:sz w:val="36"/>
                <w:szCs w:val="36"/>
                <w:u w:val="none"/>
                <w:lang w:val="en-US" w:eastAsia="zh-CN" w:bidi="ar"/>
              </w:rPr>
              <w:br w:type="textWrapping"/>
            </w:r>
            <w:r>
              <w:rPr>
                <w:rFonts w:hint="eastAsia" w:ascii="宋体" w:hAnsi="宋体" w:eastAsia="宋体" w:cs="宋体"/>
                <w:b/>
                <w:bCs/>
                <w:i w:val="0"/>
                <w:iCs w:val="0"/>
                <w:color w:val="000000"/>
                <w:kern w:val="0"/>
                <w:sz w:val="36"/>
                <w:szCs w:val="36"/>
                <w:u w:val="none"/>
                <w:lang w:val="en-US" w:eastAsia="zh-CN" w:bidi="ar"/>
              </w:rPr>
              <w:t>功能分类明细表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nil"/>
              <w:left w:val="nil"/>
              <w:bottom w:val="nil"/>
              <w:right w:val="nil"/>
            </w:tcBorders>
            <w:shd w:val="clear" w:color="auto" w:fill="auto"/>
            <w:noWrap/>
            <w:vAlign w:val="center"/>
          </w:tcPr>
          <w:p>
            <w:pPr>
              <w:rPr>
                <w:rFonts w:hint="eastAsia" w:ascii="宋体" w:hAnsi="宋体" w:eastAsia="宋体" w:cs="宋体"/>
                <w:i w:val="0"/>
                <w:iCs w:val="0"/>
                <w:color w:val="000000"/>
                <w:sz w:val="22"/>
                <w:szCs w:val="22"/>
                <w:u w:val="none"/>
              </w:rPr>
            </w:pPr>
          </w:p>
        </w:tc>
        <w:tc>
          <w:tcPr>
            <w:tcW w:w="1109" w:type="pct"/>
            <w:tcBorders>
              <w:top w:val="nil"/>
              <w:left w:val="nil"/>
              <w:bottom w:val="nil"/>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预算科目</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政府性基金预算支出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城乡社区支出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2,251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国有土地使用权出让收入安排的支出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征地和拆迁补偿支出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土地开发支出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城市建设支出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土地出让业务支出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农业农村生态环境支出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711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城市基础设施配套费安排的支出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城市公共设施</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181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城市环境卫生</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污水处理费安排的支出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污水处理设施建设和运营</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农林水支出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大中型水库库区基金安排的支出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其他大中型水库库区基金支出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大中型水库移民后期扶持基金支出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移民补助</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其他支出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477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彩票发行销售机构业务费安排的支出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福利彩票销售机构的业务费支出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彩票公益金安排的支出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463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用于社会福利的彩票公益金支出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用于体育事业的彩票公益金支出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用于教育事业的彩票公益金支出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用于残疾人事业的彩票公益金支出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104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用于其他社会公益事业的彩票公益金支出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 xml:space="preserve">  地方政府专项债务付息支出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9,327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国有土地使用权出让金债务付息支出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38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其他地方自行试点项目收益专项债券付息支出</w:t>
            </w:r>
          </w:p>
        </w:tc>
        <w:tc>
          <w:tcPr>
            <w:tcW w:w="110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7,932</w:t>
            </w:r>
          </w:p>
        </w:tc>
      </w:tr>
    </w:tbl>
    <w:p>
      <w:pPr>
        <w:spacing w:line="600" w:lineRule="exact"/>
      </w:pPr>
    </w:p>
    <w:p/>
    <w:p/>
    <w:p/>
    <w:p/>
    <w:p/>
    <w:p/>
    <w:p/>
    <w:p/>
    <w:p/>
    <w:p/>
    <w:p/>
    <w:p/>
    <w:p/>
    <w:p>
      <w:pPr>
        <w:pStyle w:val="6"/>
      </w:pPr>
    </w:p>
    <w:p/>
    <w:p>
      <w:pPr>
        <w:pStyle w:val="6"/>
      </w:pPr>
    </w:p>
    <w:p/>
    <w:p>
      <w:pPr>
        <w:pStyle w:val="6"/>
      </w:pPr>
    </w:p>
    <w:p/>
    <w:p>
      <w:pPr>
        <w:pStyle w:val="6"/>
      </w:pPr>
    </w:p>
    <w:p/>
    <w:p>
      <w:pPr>
        <w:pStyle w:val="6"/>
      </w:pPr>
    </w:p>
    <w:p/>
    <w:p>
      <w:pPr>
        <w:pStyle w:val="6"/>
      </w:pPr>
    </w:p>
    <w:p/>
    <w:p>
      <w:pPr>
        <w:pStyle w:val="2"/>
      </w:pPr>
    </w:p>
    <w:p/>
    <w:p>
      <w:pPr>
        <w:pStyle w:val="2"/>
      </w:pPr>
    </w:p>
    <w:p/>
    <w:p>
      <w:pPr>
        <w:pStyle w:val="2"/>
      </w:pPr>
    </w:p>
    <w:p/>
    <w:p>
      <w:pPr>
        <w:pStyle w:val="2"/>
      </w:pPr>
    </w:p>
    <w:p/>
    <w:p>
      <w:pPr>
        <w:tabs>
          <w:tab w:val="left" w:pos="521"/>
        </w:tabs>
        <w:jc w:val="center"/>
        <w:rPr>
          <w:rFonts w:hint="eastAsia" w:ascii="宋体" w:hAnsi="宋体" w:eastAsia="宋体" w:cs="宋体"/>
          <w:b/>
          <w:bCs/>
          <w:sz w:val="44"/>
          <w:szCs w:val="44"/>
          <w:lang w:eastAsia="en-US"/>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bookmarkStart w:id="78" w:name="_Toc8047"/>
      <w:bookmarkStart w:id="79" w:name="_Toc14168"/>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年永吉县国有资本经营收支情况</w:t>
      </w:r>
      <w:bookmarkEnd w:id="78"/>
      <w:bookmarkEnd w:id="79"/>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4"/>
        <w:gridCol w:w="1494"/>
        <w:gridCol w:w="5865"/>
        <w:gridCol w:w="2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2024年度永吉县国有资本经营预算收支情况表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27"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69"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18"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206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71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利润收入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解决历史遗留问题及改革成本支出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股利、股息收入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国有企业资本金注入</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产权转让收入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国有企业政策性补贴</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上解上级支出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计划单列市上解省支出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调出资金</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年终结余</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bl>
    <w:p>
      <w:pPr>
        <w:shd w:val="clear" w:color="auto" w:fill="000000"/>
        <w:spacing w:line="600" w:lineRule="exact"/>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74"/>
        <w:gridCol w:w="1494"/>
        <w:gridCol w:w="5865"/>
        <w:gridCol w:w="204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000" w:type="pct"/>
            <w:gridSpan w:val="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2024年度永吉县本级国有资本经营预算收支明细表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527"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2069" w:type="pct"/>
            <w:tcBorders>
              <w:top w:val="nil"/>
              <w:left w:val="nil"/>
              <w:bottom w:val="single" w:color="000000" w:sz="4" w:space="0"/>
              <w:right w:val="nil"/>
            </w:tcBorders>
            <w:shd w:val="clear" w:color="auto" w:fill="auto"/>
            <w:noWrap/>
            <w:vAlign w:val="center"/>
          </w:tcPr>
          <w:p>
            <w:pPr>
              <w:jc w:val="center"/>
              <w:rPr>
                <w:rFonts w:hint="eastAsia" w:ascii="宋体" w:hAnsi="宋体" w:eastAsia="宋体" w:cs="宋体"/>
                <w:i w:val="0"/>
                <w:iCs w:val="0"/>
                <w:color w:val="000000"/>
                <w:sz w:val="20"/>
                <w:szCs w:val="20"/>
                <w:u w:val="none"/>
              </w:rPr>
            </w:pPr>
          </w:p>
        </w:tc>
        <w:tc>
          <w:tcPr>
            <w:tcW w:w="718" w:type="pct"/>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40" w:hRule="atLeast"/>
        </w:trPr>
        <w:tc>
          <w:tcPr>
            <w:tcW w:w="1684"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527"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c>
          <w:tcPr>
            <w:tcW w:w="2069"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预算科目</w:t>
            </w:r>
          </w:p>
        </w:tc>
        <w:tc>
          <w:tcPr>
            <w:tcW w:w="718"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利润收入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解决历史遗留问题及改革成本支出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股利、股息收入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国有企业资本金注入</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产权转让收入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国有企业政策性补贴</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清算收入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其他国有资本经营预算收入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收 入 合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本 年 支 出 合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上级补助收入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上解上级支出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上年结余收入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省补助计划单列市收入</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计划单列市上解省支出</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调出资金</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left"/>
              <w:rPr>
                <w:rFonts w:hint="eastAsia" w:ascii="宋体" w:hAnsi="宋体" w:eastAsia="宋体" w:cs="宋体"/>
                <w:i w:val="0"/>
                <w:iCs w:val="0"/>
                <w:color w:val="000000"/>
                <w:sz w:val="20"/>
                <w:szCs w:val="20"/>
                <w:u w:val="none"/>
              </w:rPr>
            </w:pP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年终结余</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168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收  入  总  计</w:t>
            </w:r>
          </w:p>
        </w:tc>
        <w:tc>
          <w:tcPr>
            <w:tcW w:w="527"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c>
          <w:tcPr>
            <w:tcW w:w="20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支  出  总  计</w:t>
            </w:r>
          </w:p>
        </w:tc>
        <w:tc>
          <w:tcPr>
            <w:tcW w:w="7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0</w:t>
            </w:r>
          </w:p>
        </w:tc>
      </w:tr>
    </w:tbl>
    <w:p>
      <w:pPr>
        <w:spacing w:line="600" w:lineRule="exact"/>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pStyle w:val="6"/>
      </w:pPr>
    </w:p>
    <w:p/>
    <w:p/>
    <w:p/>
    <w:p/>
    <w:p>
      <w:pPr>
        <w:spacing w:line="600" w:lineRule="exact"/>
        <w:jc w:val="both"/>
      </w:pPr>
    </w:p>
    <w:p>
      <w:pPr>
        <w:spacing w:line="600" w:lineRule="exact"/>
        <w:ind w:firstLine="440" w:firstLineChars="200"/>
        <w:jc w:val="center"/>
      </w:pPr>
    </w:p>
    <w:p>
      <w:pPr>
        <w:spacing w:line="600" w:lineRule="exact"/>
        <w:ind w:firstLine="440" w:firstLineChars="200"/>
        <w:jc w:val="center"/>
      </w:pPr>
    </w:p>
    <w:p>
      <w:pPr>
        <w:spacing w:line="600" w:lineRule="exact"/>
        <w:jc w:val="center"/>
        <w:rPr>
          <w:rFonts w:hint="eastAsia" w:ascii="宋体" w:hAnsi="宋体" w:eastAsia="宋体" w:cs="宋体"/>
          <w:b/>
          <w:bCs/>
          <w:sz w:val="44"/>
          <w:szCs w:val="44"/>
          <w:lang w:val="en-US" w:eastAsia="zh-CN"/>
        </w:rPr>
      </w:pPr>
      <w:bookmarkStart w:id="80" w:name="_Toc9492"/>
      <w:bookmarkStart w:id="81" w:name="_Toc5095"/>
      <w:bookmarkStart w:id="82" w:name="_Toc6271"/>
    </w:p>
    <w:p>
      <w:pPr>
        <w:spacing w:line="600" w:lineRule="exact"/>
        <w:jc w:val="center"/>
        <w:rPr>
          <w:rFonts w:hint="eastAsia" w:ascii="宋体" w:hAnsi="宋体" w:eastAsia="宋体" w:cs="宋体"/>
          <w:b/>
          <w:bCs/>
          <w:sz w:val="44"/>
          <w:szCs w:val="44"/>
          <w:lang w:eastAsia="en-US"/>
        </w:rPr>
      </w:pPr>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年永吉县社会保险基金收支情况</w:t>
      </w:r>
      <w:bookmarkEnd w:id="80"/>
      <w:bookmarkEnd w:id="81"/>
      <w:bookmarkEnd w:id="82"/>
    </w:p>
    <w:p>
      <w:pPr>
        <w:spacing w:line="600" w:lineRule="exact"/>
        <w:ind w:firstLine="883" w:firstLineChars="200"/>
        <w:jc w:val="center"/>
        <w:rPr>
          <w:rFonts w:hint="eastAsia" w:ascii="宋体" w:hAnsi="宋体" w:eastAsia="宋体" w:cs="宋体"/>
          <w:b/>
          <w:bCs/>
          <w:sz w:val="44"/>
          <w:szCs w:val="44"/>
          <w:lang w:eastAsia="en-US"/>
        </w:rPr>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44"/>
        <w:gridCol w:w="1460"/>
        <w:gridCol w:w="1256"/>
        <w:gridCol w:w="1460"/>
        <w:gridCol w:w="1460"/>
        <w:gridCol w:w="1321"/>
        <w:gridCol w:w="1256"/>
        <w:gridCol w:w="1256"/>
        <w:gridCol w:w="1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2024年度永吉县社会保险基金预算收支情况表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6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215"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54,240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15,860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38,380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其中:社会保险费收入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16,441</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13,464</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财政补贴收入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35,691</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11,417</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24,274</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利息收入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委托投资收益</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1,299</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1,299</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全国统筹调剂资金收入</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51,841</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12,618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39,223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其中:社会保险待遇支出</w:t>
            </w:r>
          </w:p>
        </w:tc>
        <w:tc>
          <w:tcPr>
            <w:tcW w:w="51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50,476</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12,594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37,882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1,323</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515"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三、本年收支结余</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2,399</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四、年末滚存结余</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32,666</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31,826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
      <w:pPr>
        <w:pStyle w:val="2"/>
      </w:pPr>
    </w:p>
    <w:p/>
    <w:p>
      <w:pPr>
        <w:pStyle w:val="6"/>
      </w:pPr>
    </w:p>
    <w:p/>
    <w:p>
      <w:pPr>
        <w:pStyle w:val="6"/>
      </w:pPr>
    </w:p>
    <w:p/>
    <w:p>
      <w:pPr>
        <w:pStyle w:val="6"/>
      </w:pPr>
    </w:p>
    <w:p/>
    <w:p>
      <w:pPr>
        <w:pStyle w:val="6"/>
      </w:pPr>
    </w:p>
    <w:p/>
    <w:p/>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668"/>
        <w:gridCol w:w="1718"/>
        <w:gridCol w:w="1179"/>
        <w:gridCol w:w="1398"/>
        <w:gridCol w:w="1398"/>
        <w:gridCol w:w="1253"/>
        <w:gridCol w:w="1179"/>
        <w:gridCol w:w="1179"/>
        <w:gridCol w:w="12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2024年度永吉县社会保险基金预算收入情况表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60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1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49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49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42"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41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41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418"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00" w:hRule="atLeast"/>
        </w:trPr>
        <w:tc>
          <w:tcPr>
            <w:tcW w:w="1294"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60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1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9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2"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1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1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18"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一、收入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54,240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15,860</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38,380</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其中:社会保险费收入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16,441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2,977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13,464</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财政补贴收入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35,691</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11,417</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24,274</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利息收入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78</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27</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委托投资收益</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1,299</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1,299</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660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48</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612</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w:t>
            </w: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w:t>
            </w: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全国统筹调剂资金收入</w:t>
            </w:r>
          </w:p>
        </w:tc>
        <w:tc>
          <w:tcPr>
            <w:tcW w:w="6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1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bidi w:val="0"/>
        <w:rPr>
          <w:lang w:val="en-US" w:eastAsia="zh-CN"/>
        </w:rPr>
      </w:pPr>
    </w:p>
    <w:p>
      <w:pPr>
        <w:pStyle w:val="2"/>
        <w:rPr>
          <w:lang w:val="en-US" w:eastAsia="zh-CN"/>
        </w:rPr>
      </w:pPr>
    </w:p>
    <w:p>
      <w:pPr>
        <w:rPr>
          <w:lang w:val="en-US" w:eastAsia="zh-CN"/>
        </w:rPr>
      </w:pPr>
    </w:p>
    <w:tbl>
      <w:tblPr>
        <w:tblStyle w:val="9"/>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444"/>
        <w:gridCol w:w="1460"/>
        <w:gridCol w:w="1256"/>
        <w:gridCol w:w="1460"/>
        <w:gridCol w:w="1460"/>
        <w:gridCol w:w="1321"/>
        <w:gridCol w:w="1256"/>
        <w:gridCol w:w="1256"/>
        <w:gridCol w:w="126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5000" w:type="pct"/>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6"/>
                <w:szCs w:val="36"/>
                <w:u w:val="none"/>
              </w:rPr>
            </w:pPr>
            <w:r>
              <w:rPr>
                <w:rFonts w:hint="eastAsia" w:ascii="宋体" w:hAnsi="宋体" w:eastAsia="宋体" w:cs="宋体"/>
                <w:b/>
                <w:bCs/>
                <w:i w:val="0"/>
                <w:iCs w:val="0"/>
                <w:color w:val="000000"/>
                <w:kern w:val="0"/>
                <w:sz w:val="36"/>
                <w:szCs w:val="36"/>
                <w:u w:val="none"/>
                <w:lang w:val="en-US" w:eastAsia="zh-CN" w:bidi="ar"/>
              </w:rPr>
              <w:t>2024年度永吉县社会保险基金预算支出情况表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5000" w:type="pct"/>
            <w:gridSpan w:val="9"/>
            <w:tcBorders>
              <w:top w:val="nil"/>
              <w:left w:val="nil"/>
              <w:bottom w:val="single" w:color="000000" w:sz="4" w:space="0"/>
              <w:right w:val="nil"/>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vMerge w:val="restar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项目</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合计</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企业职工基本养老保险基金</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城乡居民基本养老保险基金</w:t>
            </w:r>
          </w:p>
        </w:tc>
        <w:tc>
          <w:tcPr>
            <w:tcW w:w="515"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机关事业单位基本养老保险基金</w:t>
            </w:r>
          </w:p>
        </w:tc>
        <w:tc>
          <w:tcPr>
            <w:tcW w:w="466"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职工基本医疗保险(含生育保险)基金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城乡居民基本医疗保险基金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工伤保险基金</w:t>
            </w:r>
          </w:p>
        </w:tc>
        <w:tc>
          <w:tcPr>
            <w:tcW w:w="443" w:type="pct"/>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失业保险基金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1215" w:type="pct"/>
            <w:vMerge w:val="continue"/>
            <w:tcBorders>
              <w:top w:val="nil"/>
              <w:left w:val="single" w:color="000000" w:sz="4" w:space="0"/>
              <w:bottom w:val="single" w:color="000000" w:sz="4" w:space="0"/>
              <w:right w:val="single" w:color="000000" w:sz="4" w:space="0"/>
            </w:tcBorders>
            <w:shd w:val="clear" w:color="auto" w:fill="auto"/>
            <w:noWrap/>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515"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66"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c>
          <w:tcPr>
            <w:tcW w:w="443" w:type="pct"/>
            <w:vMerge w:val="continue"/>
            <w:tcBorders>
              <w:top w:val="nil"/>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bCs/>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二、支出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51,841</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12,618</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39,223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其中:社会保险待遇支出</w:t>
            </w:r>
          </w:p>
        </w:tc>
        <w:tc>
          <w:tcPr>
            <w:tcW w:w="515"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50,476</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12,594</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37,882</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nil"/>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转移支出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1,323</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1,300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其他支出</w:t>
            </w:r>
          </w:p>
        </w:tc>
        <w:tc>
          <w:tcPr>
            <w:tcW w:w="515" w:type="pct"/>
            <w:tcBorders>
              <w:top w:val="nil"/>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40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 xml:space="preserve">        全国统筹调剂资金支出</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三、本年收支结余</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2,399</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3,242</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-843</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2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四、年末滚存结余</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32,666</w:t>
            </w: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31,826</w:t>
            </w:r>
          </w:p>
        </w:tc>
        <w:tc>
          <w:tcPr>
            <w:tcW w:w="5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840</w:t>
            </w:r>
          </w:p>
        </w:tc>
        <w:tc>
          <w:tcPr>
            <w:tcW w:w="46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c>
          <w:tcPr>
            <w:tcW w:w="44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right"/>
              <w:rPr>
                <w:rFonts w:hint="eastAsia" w:ascii="宋体" w:hAnsi="宋体" w:eastAsia="宋体" w:cs="宋体"/>
                <w:i w:val="0"/>
                <w:iCs w:val="0"/>
                <w:color w:val="000000"/>
                <w:sz w:val="20"/>
                <w:szCs w:val="20"/>
                <w:u w:val="none"/>
              </w:rPr>
            </w:pPr>
          </w:p>
        </w:tc>
      </w:tr>
    </w:tbl>
    <w:p>
      <w:pPr>
        <w:bidi w:val="0"/>
        <w:rPr>
          <w:lang w:val="en-US" w:eastAsia="zh-CN"/>
        </w:rPr>
      </w:pPr>
    </w:p>
    <w:p>
      <w:pPr>
        <w:bidi w:val="0"/>
        <w:jc w:val="left"/>
        <w:rPr>
          <w:lang w:val="en-US" w:eastAsia="zh-CN"/>
        </w:rPr>
        <w:sectPr>
          <w:pgSz w:w="16838" w:h="11906" w:orient="landscape"/>
          <w:pgMar w:top="1803" w:right="1440" w:bottom="1803" w:left="1440" w:header="851" w:footer="992" w:gutter="0"/>
          <w:pgBorders>
            <w:top w:val="none" w:sz="0" w:space="0"/>
            <w:left w:val="none" w:sz="0" w:space="0"/>
            <w:bottom w:val="none" w:sz="0" w:space="0"/>
            <w:right w:val="none" w:sz="0" w:space="0"/>
          </w:pgBorders>
          <w:pgNumType w:fmt="numberInDash"/>
          <w:cols w:space="0" w:num="1"/>
          <w:docGrid w:type="lines" w:linePitch="319" w:charSpace="0"/>
        </w:sectPr>
      </w:pPr>
    </w:p>
    <w:p>
      <w:pPr>
        <w:spacing w:line="600" w:lineRule="exact"/>
        <w:ind w:firstLine="883" w:firstLineChars="200"/>
        <w:jc w:val="center"/>
        <w:rPr>
          <w:rFonts w:hint="eastAsia" w:ascii="宋体" w:hAnsi="宋体" w:eastAsia="宋体" w:cs="宋体"/>
          <w:b/>
          <w:bCs/>
          <w:sz w:val="44"/>
          <w:szCs w:val="44"/>
          <w:lang w:eastAsia="en-US"/>
        </w:rPr>
      </w:pPr>
      <w:bookmarkStart w:id="83" w:name="_Toc23625"/>
      <w:bookmarkStart w:id="84" w:name="_Toc15975"/>
      <w:bookmarkStart w:id="85" w:name="_Toc1163"/>
      <w:r>
        <w:rPr>
          <w:rFonts w:hint="eastAsia" w:ascii="宋体" w:hAnsi="宋体" w:eastAsia="宋体" w:cs="宋体"/>
          <w:b/>
          <w:bCs/>
          <w:sz w:val="44"/>
          <w:szCs w:val="44"/>
          <w:lang w:val="en-US" w:eastAsia="zh-CN"/>
        </w:rPr>
        <w:t>2024</w:t>
      </w:r>
      <w:r>
        <w:rPr>
          <w:rFonts w:hint="eastAsia" w:ascii="宋体" w:hAnsi="宋体" w:eastAsia="宋体" w:cs="宋体"/>
          <w:b/>
          <w:bCs/>
          <w:sz w:val="44"/>
          <w:szCs w:val="44"/>
          <w:lang w:eastAsia="en-US"/>
        </w:rPr>
        <w:t>年永吉县社会保险基金</w:t>
      </w:r>
      <w:bookmarkEnd w:id="83"/>
      <w:bookmarkEnd w:id="84"/>
      <w:bookmarkEnd w:id="85"/>
    </w:p>
    <w:p>
      <w:pPr>
        <w:spacing w:line="600" w:lineRule="exact"/>
        <w:ind w:firstLine="883" w:firstLineChars="200"/>
        <w:jc w:val="center"/>
        <w:rPr>
          <w:rFonts w:hint="eastAsia" w:ascii="宋体" w:hAnsi="宋体" w:eastAsia="宋体" w:cs="宋体"/>
          <w:b/>
          <w:bCs/>
          <w:sz w:val="44"/>
          <w:szCs w:val="44"/>
          <w:lang w:eastAsia="en-US"/>
        </w:rPr>
      </w:pPr>
      <w:bookmarkStart w:id="86" w:name="_Toc6761"/>
      <w:bookmarkStart w:id="87" w:name="_Toc32180"/>
      <w:bookmarkStart w:id="88" w:name="_Toc15892"/>
      <w:r>
        <w:rPr>
          <w:rFonts w:hint="eastAsia" w:ascii="宋体" w:hAnsi="宋体" w:eastAsia="宋体" w:cs="宋体"/>
          <w:b/>
          <w:bCs/>
          <w:sz w:val="44"/>
          <w:szCs w:val="44"/>
          <w:lang w:eastAsia="en-US"/>
        </w:rPr>
        <w:t>收支完成情况</w:t>
      </w:r>
      <w:bookmarkEnd w:id="86"/>
      <w:bookmarkEnd w:id="87"/>
      <w:bookmarkEnd w:id="88"/>
    </w:p>
    <w:p>
      <w:pPr>
        <w:spacing w:line="600" w:lineRule="exact"/>
        <w:jc w:val="both"/>
        <w:rPr>
          <w:rFonts w:ascii="Times New Roman" w:hAnsi="Times New Roman" w:eastAsia="仿宋" w:cs="Times New Roman"/>
          <w:b/>
          <w:bCs/>
          <w:sz w:val="44"/>
          <w:szCs w:val="44"/>
          <w:lang w:eastAsia="en-US"/>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27" w:firstLineChars="196"/>
        <w:textAlignment w:val="auto"/>
        <w:rPr>
          <w:rFonts w:hint="default" w:ascii="Times New Roman" w:hAnsi="Times New Roman" w:eastAsia="仿宋_GB2312" w:cs="Times New Roman"/>
          <w:bCs/>
          <w:sz w:val="32"/>
          <w:szCs w:val="32"/>
          <w:highlight w:val="none"/>
        </w:rPr>
      </w:pPr>
      <w:r>
        <w:rPr>
          <w:rFonts w:hint="default" w:ascii="Times New Roman" w:hAnsi="Times New Roman" w:eastAsia="仿宋_GB2312" w:cs="Times New Roman"/>
          <w:bCs/>
          <w:sz w:val="32"/>
          <w:szCs w:val="32"/>
          <w:highlight w:val="none"/>
        </w:rPr>
        <w:t>2024年，</w:t>
      </w:r>
      <w:r>
        <w:rPr>
          <w:rFonts w:hint="default" w:ascii="Times New Roman" w:hAnsi="Times New Roman" w:eastAsia="仿宋_GB2312" w:cs="Times New Roman"/>
          <w:bCs/>
          <w:sz w:val="32"/>
          <w:szCs w:val="32"/>
          <w:highlight w:val="none"/>
          <w:lang w:eastAsia="zh-CN"/>
        </w:rPr>
        <w:t>我县</w:t>
      </w:r>
      <w:r>
        <w:rPr>
          <w:rFonts w:hint="default" w:ascii="Times New Roman" w:hAnsi="Times New Roman" w:eastAsia="仿宋_GB2312" w:cs="Times New Roman"/>
          <w:b w:val="0"/>
          <w:bCs/>
          <w:sz w:val="32"/>
          <w:szCs w:val="32"/>
          <w:highlight w:val="none"/>
        </w:rPr>
        <w:t>社会保险基金收入</w:t>
      </w:r>
      <w:r>
        <w:rPr>
          <w:rFonts w:hint="default" w:ascii="Times New Roman" w:hAnsi="Times New Roman" w:eastAsia="仿宋_GB2312" w:cs="Times New Roman"/>
          <w:bCs/>
          <w:sz w:val="32"/>
          <w:szCs w:val="32"/>
          <w:highlight w:val="none"/>
        </w:rPr>
        <w:t>完成54</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Cs/>
          <w:sz w:val="32"/>
          <w:szCs w:val="32"/>
          <w:highlight w:val="none"/>
        </w:rPr>
        <w:t>2</w:t>
      </w:r>
      <w:r>
        <w:rPr>
          <w:rFonts w:hint="default" w:ascii="Times New Roman" w:hAnsi="Times New Roman" w:eastAsia="仿宋_GB2312" w:cs="Times New Roman"/>
          <w:bCs/>
          <w:sz w:val="32"/>
          <w:szCs w:val="32"/>
          <w:highlight w:val="none"/>
          <w:lang w:val="en-US" w:eastAsia="zh-CN"/>
        </w:rPr>
        <w:t>40</w:t>
      </w:r>
      <w:r>
        <w:rPr>
          <w:rFonts w:hint="default" w:ascii="Times New Roman" w:hAnsi="Times New Roman" w:eastAsia="仿宋_GB2312" w:cs="Times New Roman"/>
          <w:bCs/>
          <w:sz w:val="32"/>
          <w:szCs w:val="32"/>
          <w:highlight w:val="none"/>
        </w:rPr>
        <w:t>万元，其中：保险费收入16</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Cs/>
          <w:sz w:val="32"/>
          <w:szCs w:val="32"/>
          <w:highlight w:val="none"/>
        </w:rPr>
        <w:t>441万元，财政补贴收入35</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Cs/>
          <w:sz w:val="32"/>
          <w:szCs w:val="32"/>
          <w:highlight w:val="none"/>
        </w:rPr>
        <w:t>691万元，</w:t>
      </w:r>
      <w:r>
        <w:rPr>
          <w:rFonts w:hint="default" w:ascii="Times New Roman" w:hAnsi="Times New Roman" w:eastAsia="仿宋_GB2312" w:cs="Times New Roman"/>
          <w:bCs/>
          <w:sz w:val="32"/>
          <w:szCs w:val="32"/>
          <w:highlight w:val="none"/>
          <w:lang w:eastAsia="zh-CN"/>
        </w:rPr>
        <w:t>集体补助收入</w:t>
      </w:r>
      <w:r>
        <w:rPr>
          <w:rFonts w:hint="default" w:ascii="Times New Roman" w:hAnsi="Times New Roman" w:eastAsia="仿宋_GB2312" w:cs="Times New Roman"/>
          <w:bCs/>
          <w:sz w:val="32"/>
          <w:szCs w:val="32"/>
          <w:highlight w:val="none"/>
          <w:lang w:val="en-US" w:eastAsia="zh-CN"/>
        </w:rPr>
        <w:t>61万元，</w:t>
      </w:r>
      <w:r>
        <w:rPr>
          <w:rFonts w:hint="default" w:ascii="Times New Roman" w:hAnsi="Times New Roman" w:eastAsia="仿宋_GB2312" w:cs="Times New Roman"/>
          <w:bCs/>
          <w:sz w:val="32"/>
          <w:szCs w:val="32"/>
          <w:highlight w:val="none"/>
        </w:rPr>
        <w:t>利息收入78万元，委托投资收益1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Cs/>
          <w:sz w:val="32"/>
          <w:szCs w:val="32"/>
          <w:highlight w:val="none"/>
          <w:lang w:val="en-US" w:eastAsia="zh-CN"/>
        </w:rPr>
        <w:t>300</w:t>
      </w:r>
      <w:r>
        <w:rPr>
          <w:rFonts w:hint="default" w:ascii="Times New Roman" w:hAnsi="Times New Roman" w:eastAsia="仿宋_GB2312" w:cs="Times New Roman"/>
          <w:bCs/>
          <w:sz w:val="32"/>
          <w:szCs w:val="32"/>
          <w:highlight w:val="none"/>
        </w:rPr>
        <w:t>万元，转移收入66</w:t>
      </w:r>
      <w:r>
        <w:rPr>
          <w:rFonts w:hint="default" w:ascii="Times New Roman" w:hAnsi="Times New Roman" w:eastAsia="仿宋_GB2312" w:cs="Times New Roman"/>
          <w:bCs/>
          <w:sz w:val="32"/>
          <w:szCs w:val="32"/>
          <w:highlight w:val="none"/>
          <w:lang w:val="en-US" w:eastAsia="zh-CN"/>
        </w:rPr>
        <w:t>1</w:t>
      </w:r>
      <w:r>
        <w:rPr>
          <w:rFonts w:hint="default" w:ascii="Times New Roman" w:hAnsi="Times New Roman" w:eastAsia="仿宋_GB2312" w:cs="Times New Roman"/>
          <w:bCs/>
          <w:sz w:val="32"/>
          <w:szCs w:val="32"/>
          <w:highlight w:val="none"/>
        </w:rPr>
        <w:t>万元，其他收入8万元。当年支出51</w:t>
      </w:r>
      <w:r>
        <w:rPr>
          <w:rFonts w:hint="default" w:ascii="Times New Roman" w:hAnsi="Times New Roman" w:eastAsia="仿宋_GB2312" w:cs="Times New Roman"/>
          <w:sz w:val="32"/>
          <w:szCs w:val="32"/>
          <w:highlight w:val="none"/>
        </w:rPr>
        <w:t>,</w:t>
      </w:r>
      <w:r>
        <w:rPr>
          <w:rFonts w:hint="default" w:ascii="Times New Roman" w:hAnsi="Times New Roman" w:eastAsia="仿宋_GB2312" w:cs="Times New Roman"/>
          <w:bCs/>
          <w:sz w:val="32"/>
          <w:szCs w:val="32"/>
          <w:highlight w:val="none"/>
        </w:rPr>
        <w:t>84</w:t>
      </w:r>
      <w:r>
        <w:rPr>
          <w:rFonts w:hint="default" w:ascii="Times New Roman" w:hAnsi="Times New Roman" w:eastAsia="仿宋_GB2312" w:cs="Times New Roman"/>
          <w:bCs/>
          <w:sz w:val="32"/>
          <w:szCs w:val="32"/>
          <w:highlight w:val="none"/>
          <w:lang w:val="en-US" w:eastAsia="zh-CN"/>
        </w:rPr>
        <w:t>0</w:t>
      </w:r>
      <w:r>
        <w:rPr>
          <w:rFonts w:hint="default" w:ascii="Times New Roman" w:hAnsi="Times New Roman" w:eastAsia="仿宋_GB2312" w:cs="Times New Roman"/>
          <w:bCs/>
          <w:sz w:val="32"/>
          <w:szCs w:val="32"/>
          <w:highlight w:val="none"/>
        </w:rPr>
        <w:t>万元，其中：社会保险待遇支出50,47</w:t>
      </w:r>
      <w:r>
        <w:rPr>
          <w:rFonts w:hint="default" w:ascii="Times New Roman" w:hAnsi="Times New Roman" w:eastAsia="仿宋_GB2312" w:cs="Times New Roman"/>
          <w:bCs/>
          <w:sz w:val="32"/>
          <w:szCs w:val="32"/>
          <w:highlight w:val="none"/>
          <w:lang w:val="en-US" w:eastAsia="zh-CN"/>
        </w:rPr>
        <w:t>7</w:t>
      </w:r>
      <w:r>
        <w:rPr>
          <w:rFonts w:hint="default" w:ascii="Times New Roman" w:hAnsi="Times New Roman" w:eastAsia="仿宋_GB2312" w:cs="Times New Roman"/>
          <w:bCs/>
          <w:sz w:val="32"/>
          <w:szCs w:val="32"/>
          <w:highlight w:val="none"/>
        </w:rPr>
        <w:t>万元，转移支出1,323万元，其他支出40万元，当年结余2,</w:t>
      </w:r>
      <w:r>
        <w:rPr>
          <w:rFonts w:hint="default" w:ascii="Times New Roman" w:hAnsi="Times New Roman" w:eastAsia="仿宋_GB2312" w:cs="Times New Roman"/>
          <w:bCs/>
          <w:sz w:val="32"/>
          <w:szCs w:val="32"/>
          <w:highlight w:val="none"/>
          <w:lang w:val="en-US" w:eastAsia="zh-CN"/>
        </w:rPr>
        <w:t>400</w:t>
      </w:r>
      <w:r>
        <w:rPr>
          <w:rFonts w:hint="default" w:ascii="Times New Roman" w:hAnsi="Times New Roman" w:eastAsia="仿宋_GB2312" w:cs="Times New Roman"/>
          <w:bCs/>
          <w:sz w:val="32"/>
          <w:szCs w:val="32"/>
          <w:highlight w:val="none"/>
        </w:rPr>
        <w:t>万元，年末滚存结余32,666万元。</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黑体" w:cs="Times New Roman"/>
          <w:bCs/>
          <w:sz w:val="32"/>
          <w:szCs w:val="32"/>
          <w:highlight w:val="none"/>
        </w:rPr>
      </w:pPr>
      <w:r>
        <w:rPr>
          <w:rFonts w:hint="default" w:ascii="Times New Roman" w:hAnsi="Times New Roman" w:eastAsia="仿宋_GB2312" w:cs="Times New Roman"/>
          <w:bCs/>
          <w:sz w:val="32"/>
          <w:szCs w:val="32"/>
          <w:highlight w:val="none"/>
        </w:rPr>
        <w:t>具体项目如下：</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textAlignment w:val="auto"/>
        <w:rPr>
          <w:rFonts w:hint="default" w:ascii="Times New Roman" w:hAnsi="Times New Roman" w:eastAsia="仿宋_GB2312" w:cs="Times New Roman"/>
          <w:bCs/>
          <w:highlight w:val="none"/>
        </w:rPr>
      </w:pPr>
      <w:r>
        <w:rPr>
          <w:rFonts w:hint="default" w:ascii="Times New Roman" w:hAnsi="Times New Roman" w:eastAsia="仿宋_GB2312" w:cs="Times New Roman"/>
          <w:b/>
          <w:bCs/>
          <w:sz w:val="32"/>
          <w:szCs w:val="32"/>
          <w:highlight w:val="none"/>
        </w:rPr>
        <w:t>1.城乡居民基本养老保险基金。</w:t>
      </w:r>
      <w:r>
        <w:rPr>
          <w:rFonts w:hint="default" w:ascii="Times New Roman" w:hAnsi="Times New Roman" w:eastAsia="仿宋_GB2312" w:cs="Times New Roman"/>
          <w:bCs/>
          <w:sz w:val="32"/>
          <w:szCs w:val="32"/>
          <w:highlight w:val="none"/>
        </w:rPr>
        <w:t>城乡居民基本养老保险基金收入完成15,860万元，其中：个人缴费收入2,97</w:t>
      </w:r>
      <w:r>
        <w:rPr>
          <w:rFonts w:hint="default" w:ascii="Times New Roman" w:hAnsi="Times New Roman" w:eastAsia="仿宋_GB2312" w:cs="Times New Roman"/>
          <w:bCs/>
          <w:sz w:val="32"/>
          <w:szCs w:val="32"/>
          <w:highlight w:val="none"/>
          <w:lang w:val="en-US" w:eastAsia="zh-CN"/>
        </w:rPr>
        <w:t>8</w:t>
      </w:r>
      <w:r>
        <w:rPr>
          <w:rFonts w:hint="default" w:ascii="Times New Roman" w:hAnsi="Times New Roman" w:eastAsia="仿宋_GB2312" w:cs="Times New Roman"/>
          <w:bCs/>
          <w:sz w:val="32"/>
          <w:szCs w:val="32"/>
          <w:highlight w:val="none"/>
        </w:rPr>
        <w:t>万元，财政补贴收入11,417万元，</w:t>
      </w:r>
      <w:r>
        <w:rPr>
          <w:rFonts w:hint="default" w:ascii="Times New Roman" w:hAnsi="Times New Roman" w:eastAsia="仿宋_GB2312" w:cs="Times New Roman"/>
          <w:bCs/>
          <w:sz w:val="32"/>
          <w:szCs w:val="32"/>
          <w:highlight w:val="none"/>
          <w:lang w:eastAsia="zh-CN"/>
        </w:rPr>
        <w:t>集体补助收入</w:t>
      </w:r>
      <w:r>
        <w:rPr>
          <w:rFonts w:hint="default" w:ascii="Times New Roman" w:hAnsi="Times New Roman" w:eastAsia="仿宋_GB2312" w:cs="Times New Roman"/>
          <w:bCs/>
          <w:sz w:val="32"/>
          <w:szCs w:val="32"/>
          <w:highlight w:val="none"/>
          <w:lang w:val="en-US" w:eastAsia="zh-CN"/>
        </w:rPr>
        <w:t>61万元，</w:t>
      </w:r>
      <w:r>
        <w:rPr>
          <w:rFonts w:hint="default" w:ascii="Times New Roman" w:hAnsi="Times New Roman" w:eastAsia="仿宋_GB2312" w:cs="Times New Roman"/>
          <w:bCs/>
          <w:sz w:val="32"/>
          <w:szCs w:val="32"/>
          <w:highlight w:val="none"/>
        </w:rPr>
        <w:t>利息收入51万元，委托投资收益1,</w:t>
      </w:r>
      <w:r>
        <w:rPr>
          <w:rFonts w:hint="default" w:ascii="Times New Roman" w:hAnsi="Times New Roman" w:eastAsia="仿宋_GB2312" w:cs="Times New Roman"/>
          <w:bCs/>
          <w:sz w:val="32"/>
          <w:szCs w:val="32"/>
          <w:highlight w:val="none"/>
          <w:lang w:val="en-US" w:eastAsia="zh-CN"/>
        </w:rPr>
        <w:t>300</w:t>
      </w:r>
      <w:r>
        <w:rPr>
          <w:rFonts w:hint="default" w:ascii="Times New Roman" w:hAnsi="Times New Roman" w:eastAsia="仿宋_GB2312" w:cs="Times New Roman"/>
          <w:bCs/>
          <w:sz w:val="32"/>
          <w:szCs w:val="32"/>
          <w:highlight w:val="none"/>
        </w:rPr>
        <w:t>万元，转移收入48万元，其他收入5万元。当年支出12,61</w:t>
      </w:r>
      <w:r>
        <w:rPr>
          <w:rFonts w:hint="default" w:ascii="Times New Roman" w:hAnsi="Times New Roman" w:eastAsia="仿宋_GB2312" w:cs="Times New Roman"/>
          <w:bCs/>
          <w:sz w:val="32"/>
          <w:szCs w:val="32"/>
          <w:highlight w:val="none"/>
          <w:lang w:val="en-US" w:eastAsia="zh-CN"/>
        </w:rPr>
        <w:t>7</w:t>
      </w:r>
      <w:r>
        <w:rPr>
          <w:rFonts w:hint="default" w:ascii="Times New Roman" w:hAnsi="Times New Roman" w:eastAsia="仿宋_GB2312" w:cs="Times New Roman"/>
          <w:bCs/>
          <w:sz w:val="32"/>
          <w:szCs w:val="32"/>
          <w:highlight w:val="none"/>
        </w:rPr>
        <w:t>万元，其中：养老待遇支出12,594万元，转移支出23万元。当年结余3,242万元，年末滚存结余31,826万元。</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textAlignment w:val="auto"/>
        <w:rPr>
          <w:rFonts w:hint="default" w:ascii="Times New Roman" w:hAnsi="Times New Roman" w:eastAsia="方正楷体简体" w:cs="Times New Roman"/>
          <w:bCs/>
          <w:sz w:val="32"/>
          <w:highlight w:val="none"/>
        </w:rPr>
      </w:pPr>
      <w:r>
        <w:rPr>
          <w:rFonts w:hint="default" w:ascii="Times New Roman" w:hAnsi="Times New Roman" w:eastAsia="仿宋_GB2312" w:cs="Times New Roman"/>
          <w:b/>
          <w:bCs/>
          <w:sz w:val="32"/>
          <w:szCs w:val="32"/>
          <w:highlight w:val="none"/>
        </w:rPr>
        <w:t>2.机关事业单位基本养老保险基金。</w:t>
      </w:r>
      <w:r>
        <w:rPr>
          <w:rFonts w:hint="default" w:ascii="Times New Roman" w:hAnsi="Times New Roman" w:eastAsia="仿宋_GB2312" w:cs="Times New Roman"/>
          <w:bCs/>
          <w:sz w:val="32"/>
          <w:szCs w:val="32"/>
          <w:highlight w:val="none"/>
        </w:rPr>
        <w:t>机关事业单位基本养老保险基金收入完成38,380万元，其中：保费征缴收入13,464万元，财政补贴收入24,274元，利息收入27万元，转移收入612万元，其他收入3万元。当年支出39,22</w:t>
      </w:r>
      <w:r>
        <w:rPr>
          <w:rFonts w:hint="default" w:ascii="Times New Roman" w:hAnsi="Times New Roman"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rPr>
        <w:t>万元，其中：待遇支出37,882万元，转移支出1,300万元，其他支出40万元。当年结余-84</w:t>
      </w:r>
      <w:r>
        <w:rPr>
          <w:rFonts w:hint="default" w:ascii="Times New Roman" w:hAnsi="Times New Roman" w:eastAsia="仿宋_GB2312" w:cs="Times New Roman"/>
          <w:bCs/>
          <w:sz w:val="32"/>
          <w:szCs w:val="32"/>
          <w:highlight w:val="none"/>
          <w:lang w:val="en-US" w:eastAsia="zh-CN"/>
        </w:rPr>
        <w:t>2</w:t>
      </w:r>
      <w:r>
        <w:rPr>
          <w:rFonts w:hint="default" w:ascii="Times New Roman" w:hAnsi="Times New Roman" w:eastAsia="仿宋_GB2312" w:cs="Times New Roman"/>
          <w:bCs/>
          <w:sz w:val="32"/>
          <w:szCs w:val="32"/>
          <w:highlight w:val="none"/>
        </w:rPr>
        <w:t>万元，年末滚存结余840万元。</w:t>
      </w:r>
    </w:p>
    <w:p>
      <w:pPr>
        <w:spacing w:line="576" w:lineRule="exact"/>
        <w:ind w:firstLine="640" w:firstLineChars="200"/>
        <w:rPr>
          <w:rFonts w:ascii="Times New Roman" w:hAnsi="Times New Roman" w:eastAsia="仿宋" w:cs="Times New Roman"/>
          <w:sz w:val="32"/>
          <w:szCs w:val="32"/>
        </w:rPr>
      </w:pPr>
    </w:p>
    <w:p>
      <w:pPr>
        <w:spacing w:line="576" w:lineRule="exact"/>
        <w:ind w:firstLine="640" w:firstLineChars="200"/>
        <w:rPr>
          <w:rFonts w:ascii="Times New Roman" w:hAnsi="Times New Roman" w:eastAsia="仿宋" w:cs="Times New Roman"/>
          <w:sz w:val="32"/>
          <w:szCs w:val="32"/>
        </w:rPr>
      </w:pPr>
    </w:p>
    <w:p/>
    <w:p/>
    <w:p/>
    <w:p/>
    <w:p/>
    <w:p/>
    <w:p/>
    <w:p/>
    <w:p/>
    <w:p/>
    <w:p/>
    <w:p/>
    <w:p/>
    <w:p/>
    <w:p/>
    <w:p/>
    <w:p/>
    <w:p/>
    <w:p/>
    <w:p/>
    <w:p/>
    <w:p/>
    <w:p/>
    <w:p>
      <w:pPr>
        <w:spacing w:line="600" w:lineRule="exact"/>
        <w:jc w:val="both"/>
        <w:rPr>
          <w:rFonts w:ascii="Times New Roman" w:hAnsi="Times New Roman" w:eastAsia="仿宋" w:cs="Times New Roman"/>
          <w:b/>
          <w:bCs/>
          <w:sz w:val="44"/>
          <w:szCs w:val="44"/>
        </w:rPr>
      </w:pPr>
      <w:bookmarkStart w:id="89" w:name="_Toc22433"/>
    </w:p>
    <w:p>
      <w:pPr>
        <w:spacing w:line="600" w:lineRule="exact"/>
        <w:ind w:firstLine="883" w:firstLineChars="200"/>
        <w:jc w:val="center"/>
        <w:rPr>
          <w:rFonts w:hint="eastAsia" w:ascii="宋体" w:hAnsi="宋体" w:eastAsia="宋体" w:cs="宋体"/>
          <w:b/>
          <w:bCs/>
          <w:sz w:val="44"/>
          <w:szCs w:val="44"/>
          <w:lang w:eastAsia="en-US"/>
        </w:rPr>
      </w:pPr>
      <w:bookmarkStart w:id="90" w:name="_Toc32532"/>
      <w:bookmarkStart w:id="91" w:name="_Toc5030"/>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p>
    <w:p>
      <w:pPr>
        <w:spacing w:line="600" w:lineRule="exact"/>
        <w:ind w:firstLine="883" w:firstLineChars="200"/>
        <w:jc w:val="center"/>
        <w:rPr>
          <w:rFonts w:hint="eastAsia" w:ascii="宋体" w:hAnsi="宋体" w:eastAsia="宋体" w:cs="宋体"/>
          <w:b/>
          <w:bCs/>
          <w:sz w:val="44"/>
          <w:szCs w:val="44"/>
          <w:lang w:eastAsia="en-US"/>
        </w:rPr>
      </w:pPr>
      <w:r>
        <w:rPr>
          <w:rFonts w:hint="eastAsia" w:ascii="宋体" w:hAnsi="宋体" w:eastAsia="宋体" w:cs="宋体"/>
          <w:b/>
          <w:bCs/>
          <w:sz w:val="44"/>
          <w:szCs w:val="44"/>
          <w:lang w:eastAsia="en-US"/>
        </w:rPr>
        <w:t>重要事项解释说明</w:t>
      </w:r>
      <w:bookmarkEnd w:id="89"/>
      <w:bookmarkEnd w:id="90"/>
      <w:bookmarkEnd w:id="91"/>
    </w:p>
    <w:p/>
    <w:p/>
    <w:p/>
    <w:p/>
    <w:p/>
    <w:p/>
    <w:p/>
    <w:p/>
    <w:p>
      <w:pPr>
        <w:spacing w:line="600" w:lineRule="exact"/>
        <w:ind w:firstLine="440" w:firstLineChars="200"/>
        <w:jc w:val="center"/>
      </w:pPr>
    </w:p>
    <w:p>
      <w:pPr>
        <w:pStyle w:val="6"/>
      </w:pPr>
    </w:p>
    <w:p/>
    <w:p>
      <w:pPr>
        <w:pStyle w:val="6"/>
      </w:pPr>
    </w:p>
    <w:p/>
    <w:p>
      <w:pPr>
        <w:pStyle w:val="6"/>
      </w:pPr>
    </w:p>
    <w:p/>
    <w:p>
      <w:pPr>
        <w:pStyle w:val="6"/>
        <w:rPr>
          <w:rFonts w:hint="eastAsia"/>
          <w:lang w:eastAsia="en-US"/>
        </w:rPr>
      </w:pPr>
      <w:bookmarkStart w:id="92" w:name="_Toc28003"/>
      <w:bookmarkStart w:id="93" w:name="_Toc16659"/>
      <w:bookmarkStart w:id="94" w:name="_Toc29264"/>
    </w:p>
    <w:p>
      <w:pPr>
        <w:rPr>
          <w:rFonts w:hint="eastAsia"/>
          <w:lang w:eastAsia="en-US"/>
        </w:rPr>
      </w:pPr>
    </w:p>
    <w:p>
      <w:pPr>
        <w:spacing w:line="600" w:lineRule="exact"/>
        <w:ind w:firstLine="883" w:firstLineChars="200"/>
        <w:jc w:val="center"/>
        <w:rPr>
          <w:rFonts w:hint="eastAsia" w:ascii="宋体" w:hAnsi="宋体" w:eastAsia="宋体" w:cs="宋体"/>
          <w:b/>
          <w:bCs/>
          <w:color w:val="auto"/>
          <w:sz w:val="44"/>
          <w:szCs w:val="44"/>
          <w:highlight w:val="none"/>
          <w:lang w:eastAsia="en-US"/>
        </w:rPr>
      </w:pPr>
      <w:r>
        <w:rPr>
          <w:rFonts w:hint="eastAsia" w:ascii="宋体" w:hAnsi="宋体" w:eastAsia="宋体" w:cs="宋体"/>
          <w:b/>
          <w:bCs/>
          <w:color w:val="auto"/>
          <w:sz w:val="44"/>
          <w:szCs w:val="44"/>
          <w:highlight w:val="none"/>
          <w:lang w:eastAsia="en-US"/>
        </w:rPr>
        <w:t>举借</w:t>
      </w:r>
      <w:r>
        <w:rPr>
          <w:rFonts w:hint="eastAsia" w:ascii="宋体" w:hAnsi="宋体" w:eastAsia="宋体" w:cs="宋体"/>
          <w:b/>
          <w:bCs/>
          <w:color w:val="auto"/>
          <w:sz w:val="44"/>
          <w:szCs w:val="44"/>
          <w:highlight w:val="none"/>
          <w:lang w:eastAsia="zh-CN"/>
        </w:rPr>
        <w:t>政府</w:t>
      </w:r>
      <w:r>
        <w:rPr>
          <w:rFonts w:hint="eastAsia" w:ascii="宋体" w:hAnsi="宋体" w:eastAsia="宋体" w:cs="宋体"/>
          <w:b/>
          <w:bCs/>
          <w:color w:val="auto"/>
          <w:sz w:val="44"/>
          <w:szCs w:val="44"/>
          <w:highlight w:val="none"/>
          <w:lang w:eastAsia="en-US"/>
        </w:rPr>
        <w:t>债务情况</w:t>
      </w:r>
      <w:bookmarkEnd w:id="92"/>
      <w:r>
        <w:rPr>
          <w:rFonts w:hint="eastAsia" w:ascii="宋体" w:hAnsi="宋体" w:eastAsia="宋体" w:cs="宋体"/>
          <w:b/>
          <w:bCs/>
          <w:color w:val="auto"/>
          <w:sz w:val="44"/>
          <w:szCs w:val="44"/>
          <w:highlight w:val="none"/>
          <w:lang w:eastAsia="en-US"/>
        </w:rPr>
        <w:t>说明</w:t>
      </w:r>
      <w:bookmarkEnd w:id="93"/>
      <w:bookmarkEnd w:id="94"/>
    </w:p>
    <w:p>
      <w:pPr>
        <w:spacing w:line="600" w:lineRule="exact"/>
        <w:ind w:firstLine="640" w:firstLineChars="200"/>
        <w:jc w:val="both"/>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（一）</w:t>
      </w:r>
      <w:r>
        <w:rPr>
          <w:rFonts w:hint="default" w:ascii="Times New Roman" w:hAnsi="Times New Roman" w:eastAsia="仿宋_GB2312" w:cs="Times New Roman"/>
          <w:b w:val="0"/>
          <w:bCs/>
          <w:color w:val="auto"/>
          <w:sz w:val="32"/>
          <w:szCs w:val="32"/>
          <w:lang w:val="en-US" w:eastAsia="zh-CN"/>
        </w:rPr>
        <w:t>政府债务结构。</w:t>
      </w:r>
    </w:p>
    <w:p>
      <w:pPr>
        <w:pStyle w:val="2"/>
        <w:jc w:val="both"/>
        <w:rPr>
          <w:rFonts w:hint="eastAsia"/>
          <w:lang w:val="en-US" w:eastAsia="zh-CN"/>
        </w:rPr>
      </w:pPr>
    </w:p>
    <w:tbl>
      <w:tblPr>
        <w:tblStyle w:val="9"/>
        <w:tblpPr w:leftFromText="180" w:rightFromText="180" w:vertAnchor="text" w:horzAnchor="page" w:tblpX="1796" w:tblpY="68"/>
        <w:tblOverlap w:val="never"/>
        <w:tblW w:w="89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175"/>
        <w:gridCol w:w="1050"/>
        <w:gridCol w:w="1153"/>
        <w:gridCol w:w="1348"/>
        <w:gridCol w:w="1344"/>
        <w:gridCol w:w="1377"/>
        <w:gridCol w:w="149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2" w:hRule="atLeast"/>
        </w:trPr>
        <w:tc>
          <w:tcPr>
            <w:tcW w:w="8940" w:type="dxa"/>
            <w:gridSpan w:val="7"/>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Calibri" w:hAnsi="Calibri" w:eastAsia="宋体" w:cs="Calibri"/>
                <w:b/>
                <w:bCs/>
                <w:i w:val="0"/>
                <w:iCs w:val="0"/>
                <w:color w:val="000000"/>
                <w:sz w:val="32"/>
                <w:szCs w:val="32"/>
                <w:u w:val="none"/>
              </w:rPr>
            </w:pPr>
            <w:r>
              <w:rPr>
                <w:rFonts w:hint="default" w:ascii="Calibri" w:hAnsi="Calibri" w:eastAsia="宋体" w:cs="Calibri"/>
                <w:b/>
                <w:bCs/>
                <w:i w:val="0"/>
                <w:iCs w:val="0"/>
                <w:color w:val="000000"/>
                <w:kern w:val="0"/>
                <w:sz w:val="32"/>
                <w:szCs w:val="32"/>
                <w:u w:val="none"/>
                <w:lang w:val="en-US" w:eastAsia="zh-CN" w:bidi="ar"/>
              </w:rPr>
              <w:t>2024年地方政府债务限额及余额决算情况表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16" w:hRule="atLeast"/>
        </w:trPr>
        <w:tc>
          <w:tcPr>
            <w:tcW w:w="8940" w:type="dxa"/>
            <w:gridSpan w:val="7"/>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6" w:hRule="atLeast"/>
        </w:trPr>
        <w:tc>
          <w:tcPr>
            <w:tcW w:w="1175"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地 区</w:t>
            </w:r>
          </w:p>
        </w:tc>
        <w:tc>
          <w:tcPr>
            <w:tcW w:w="3551" w:type="dxa"/>
            <w:gridSpan w:val="3"/>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2024年债务限额</w:t>
            </w:r>
          </w:p>
        </w:tc>
        <w:tc>
          <w:tcPr>
            <w:tcW w:w="4214" w:type="dxa"/>
            <w:gridSpan w:val="3"/>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2024年债务余额（决算数）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91" w:hRule="atLeast"/>
        </w:trPr>
        <w:tc>
          <w:tcPr>
            <w:tcW w:w="1175" w:type="dxa"/>
            <w:vMerge w:val="restart"/>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公 式</w:t>
            </w:r>
          </w:p>
        </w:tc>
        <w:tc>
          <w:tcPr>
            <w:tcW w:w="1050" w:type="dxa"/>
            <w:tcBorders>
              <w:top w:val="single" w:color="000000" w:sz="4" w:space="0"/>
              <w:left w:val="single" w:color="000000" w:sz="4" w:space="0"/>
              <w:bottom w:val="single" w:color="000000" w:sz="4" w:space="0"/>
              <w:right w:val="single" w:color="000000" w:sz="4" w:space="0"/>
            </w:tcBorders>
            <w:shd w:val="clear" w:color="auto" w:fill="F5F5F5"/>
            <w:vAlign w:val="center"/>
          </w:tcPr>
          <w:p>
            <w:pPr>
              <w:jc w:val="center"/>
              <w:rPr>
                <w:rFonts w:hint="default" w:ascii="Calibri" w:hAnsi="Calibri" w:eastAsia="宋体" w:cs="Calibri"/>
                <w:b/>
                <w:bCs/>
                <w:i w:val="0"/>
                <w:iCs w:val="0"/>
                <w:color w:val="000000"/>
                <w:sz w:val="22"/>
                <w:szCs w:val="22"/>
                <w:u w:val="none"/>
              </w:rPr>
            </w:pPr>
          </w:p>
        </w:tc>
        <w:tc>
          <w:tcPr>
            <w:tcW w:w="1153"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一般债务</w:t>
            </w:r>
          </w:p>
        </w:tc>
        <w:tc>
          <w:tcPr>
            <w:tcW w:w="1348"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专项债务</w:t>
            </w:r>
          </w:p>
        </w:tc>
        <w:tc>
          <w:tcPr>
            <w:tcW w:w="1344" w:type="dxa"/>
            <w:tcBorders>
              <w:top w:val="single" w:color="000000" w:sz="4" w:space="0"/>
              <w:left w:val="single" w:color="000000" w:sz="4" w:space="0"/>
              <w:bottom w:val="single" w:color="000000" w:sz="4" w:space="0"/>
              <w:right w:val="single" w:color="000000" w:sz="4" w:space="0"/>
            </w:tcBorders>
            <w:shd w:val="clear" w:color="auto" w:fill="F5F5F5"/>
            <w:vAlign w:val="center"/>
          </w:tcPr>
          <w:p>
            <w:pPr>
              <w:jc w:val="center"/>
              <w:rPr>
                <w:rFonts w:hint="default" w:ascii="Calibri" w:hAnsi="Calibri" w:eastAsia="宋体" w:cs="Calibri"/>
                <w:b/>
                <w:bCs/>
                <w:i w:val="0"/>
                <w:iCs w:val="0"/>
                <w:color w:val="000000"/>
                <w:sz w:val="22"/>
                <w:szCs w:val="22"/>
                <w:u w:val="none"/>
              </w:rPr>
            </w:pPr>
          </w:p>
        </w:tc>
        <w:tc>
          <w:tcPr>
            <w:tcW w:w="1377"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一般债务</w:t>
            </w:r>
          </w:p>
        </w:tc>
        <w:tc>
          <w:tcPr>
            <w:tcW w:w="1493"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专项债务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7" w:hRule="atLeast"/>
        </w:trPr>
        <w:tc>
          <w:tcPr>
            <w:tcW w:w="1175" w:type="dxa"/>
            <w:vMerge w:val="continue"/>
            <w:tcBorders>
              <w:top w:val="single" w:color="000000" w:sz="4" w:space="0"/>
              <w:left w:val="single" w:color="000000" w:sz="4" w:space="0"/>
              <w:bottom w:val="single" w:color="000000" w:sz="4" w:space="0"/>
              <w:right w:val="single" w:color="000000" w:sz="4" w:space="0"/>
            </w:tcBorders>
            <w:shd w:val="clear" w:color="auto" w:fill="F5F5F5"/>
            <w:vAlign w:val="center"/>
          </w:tcPr>
          <w:p>
            <w:pPr>
              <w:jc w:val="center"/>
              <w:rPr>
                <w:rFonts w:hint="default" w:ascii="Calibri" w:hAnsi="Calibri" w:eastAsia="宋体" w:cs="Calibri"/>
                <w:b/>
                <w:bCs/>
                <w:i w:val="0"/>
                <w:iCs w:val="0"/>
                <w:color w:val="000000"/>
                <w:sz w:val="22"/>
                <w:szCs w:val="22"/>
                <w:u w:val="none"/>
              </w:rPr>
            </w:pPr>
          </w:p>
        </w:tc>
        <w:tc>
          <w:tcPr>
            <w:tcW w:w="1050"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A=B+C</w:t>
            </w:r>
          </w:p>
        </w:tc>
        <w:tc>
          <w:tcPr>
            <w:tcW w:w="1153"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B</w:t>
            </w:r>
          </w:p>
        </w:tc>
        <w:tc>
          <w:tcPr>
            <w:tcW w:w="1348"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C</w:t>
            </w:r>
          </w:p>
        </w:tc>
        <w:tc>
          <w:tcPr>
            <w:tcW w:w="1344"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D=E+F</w:t>
            </w:r>
          </w:p>
        </w:tc>
        <w:tc>
          <w:tcPr>
            <w:tcW w:w="1377"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E</w:t>
            </w:r>
          </w:p>
        </w:tc>
        <w:tc>
          <w:tcPr>
            <w:tcW w:w="1493"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F</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11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  永吉县</w:t>
            </w:r>
          </w:p>
        </w:tc>
        <w:tc>
          <w:tcPr>
            <w:tcW w:w="10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61.34</w:t>
            </w:r>
          </w:p>
        </w:tc>
        <w:tc>
          <w:tcPr>
            <w:tcW w:w="11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34.32</w:t>
            </w:r>
          </w:p>
        </w:tc>
        <w:tc>
          <w:tcPr>
            <w:tcW w:w="134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c>
          <w:tcPr>
            <w:tcW w:w="13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61.16</w:t>
            </w:r>
          </w:p>
        </w:tc>
        <w:tc>
          <w:tcPr>
            <w:tcW w:w="137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34.14</w:t>
            </w:r>
          </w:p>
        </w:tc>
        <w:tc>
          <w:tcPr>
            <w:tcW w:w="149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r>
    </w:tbl>
    <w:p>
      <w:pPr>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rPr>
          <w:rFonts w:hint="default"/>
          <w:lang w:val="en-US" w:eastAsia="zh-CN"/>
        </w:rPr>
      </w:pPr>
      <w:r>
        <w:rPr>
          <w:rFonts w:hint="eastAsia" w:ascii="Times New Roman" w:hAnsi="Times New Roman" w:eastAsia="仿宋_GB2312" w:cs="Times New Roman"/>
          <w:b w:val="0"/>
          <w:bCs/>
          <w:color w:val="auto"/>
          <w:sz w:val="32"/>
          <w:szCs w:val="32"/>
          <w:lang w:val="en-US" w:eastAsia="zh-CN"/>
        </w:rPr>
        <w:t>（二）</w:t>
      </w:r>
      <w:r>
        <w:rPr>
          <w:rFonts w:hint="default" w:ascii="Times New Roman" w:hAnsi="Times New Roman" w:eastAsia="仿宋_GB2312" w:cs="Times New Roman"/>
          <w:b w:val="0"/>
          <w:bCs/>
          <w:color w:val="auto"/>
          <w:sz w:val="32"/>
          <w:szCs w:val="32"/>
          <w:lang w:val="en-US" w:eastAsia="zh-CN"/>
        </w:rPr>
        <w:t>政府债券使用方向。</w:t>
      </w:r>
    </w:p>
    <w:tbl>
      <w:tblPr>
        <w:tblStyle w:val="9"/>
        <w:tblW w:w="9500" w:type="dxa"/>
        <w:tblInd w:w="-29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634"/>
        <w:gridCol w:w="1866"/>
        <w:gridCol w:w="1117"/>
        <w:gridCol w:w="986"/>
        <w:gridCol w:w="1081"/>
        <w:gridCol w:w="850"/>
        <w:gridCol w:w="766"/>
        <w:gridCol w:w="12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58" w:hRule="atLeast"/>
        </w:trPr>
        <w:tc>
          <w:tcPr>
            <w:tcW w:w="9500" w:type="dxa"/>
            <w:gridSpan w:val="8"/>
            <w:tcBorders>
              <w:top w:val="nil"/>
              <w:left w:val="nil"/>
              <w:bottom w:val="nil"/>
              <w:right w:val="nil"/>
            </w:tcBorders>
            <w:shd w:val="clear" w:color="auto" w:fill="auto"/>
            <w:vAlign w:val="center"/>
          </w:tcPr>
          <w:p>
            <w:pPr>
              <w:keepNext w:val="0"/>
              <w:keepLines w:val="0"/>
              <w:widowControl/>
              <w:suppressLineNumbers w:val="0"/>
              <w:jc w:val="center"/>
              <w:textAlignment w:val="center"/>
              <w:rPr>
                <w:rFonts w:ascii="Calibri" w:hAnsi="Calibri" w:eastAsia="宋体" w:cs="Calibri"/>
                <w:b/>
                <w:bCs/>
                <w:i w:val="0"/>
                <w:iCs w:val="0"/>
                <w:color w:val="000000"/>
                <w:sz w:val="32"/>
                <w:szCs w:val="32"/>
                <w:u w:val="none"/>
              </w:rPr>
            </w:pPr>
            <w:r>
              <w:rPr>
                <w:rFonts w:hint="default" w:ascii="Calibri" w:hAnsi="Calibri" w:eastAsia="宋体" w:cs="Calibri"/>
                <w:b/>
                <w:bCs/>
                <w:i w:val="0"/>
                <w:iCs w:val="0"/>
                <w:color w:val="000000"/>
                <w:kern w:val="0"/>
                <w:sz w:val="32"/>
                <w:szCs w:val="32"/>
                <w:u w:val="none"/>
                <w:lang w:val="en-US" w:eastAsia="zh-CN" w:bidi="ar"/>
              </w:rPr>
              <w:t>2024年地方政府债券使用情况表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3" w:hRule="atLeast"/>
        </w:trPr>
        <w:tc>
          <w:tcPr>
            <w:tcW w:w="9500" w:type="dxa"/>
            <w:gridSpan w:val="8"/>
            <w:tcBorders>
              <w:top w:val="nil"/>
              <w:left w:val="nil"/>
              <w:bottom w:val="nil"/>
              <w:right w:val="nil"/>
            </w:tcBorders>
            <w:shd w:val="clear" w:color="auto" w:fill="auto"/>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6" w:hRule="atLeast"/>
        </w:trPr>
        <w:tc>
          <w:tcPr>
            <w:tcW w:w="1634"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项目名称</w:t>
            </w:r>
          </w:p>
        </w:tc>
        <w:tc>
          <w:tcPr>
            <w:tcW w:w="1866"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项目编码</w:t>
            </w:r>
          </w:p>
        </w:tc>
        <w:tc>
          <w:tcPr>
            <w:tcW w:w="1117"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项目领域</w:t>
            </w:r>
          </w:p>
        </w:tc>
        <w:tc>
          <w:tcPr>
            <w:tcW w:w="986"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项目主管部门</w:t>
            </w:r>
          </w:p>
        </w:tc>
        <w:tc>
          <w:tcPr>
            <w:tcW w:w="1081"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项目实施单位</w:t>
            </w:r>
          </w:p>
        </w:tc>
        <w:tc>
          <w:tcPr>
            <w:tcW w:w="850"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债券性质</w:t>
            </w:r>
          </w:p>
        </w:tc>
        <w:tc>
          <w:tcPr>
            <w:tcW w:w="766"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债券规模</w:t>
            </w:r>
          </w:p>
        </w:tc>
        <w:tc>
          <w:tcPr>
            <w:tcW w:w="1200"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suppressLineNumbers w:val="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发行时间（年/月）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28" w:hRule="atLeast"/>
        </w:trPr>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永吉县实验职业高中建设项目</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220221242000000003570</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职业教育</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永吉县教育局</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永吉县实验职业高中</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一般债券</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1.43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41" w:hRule="atLeast"/>
        </w:trPr>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沈吉线西阳至马相屯段水害整治工程</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220221242000000003577</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铁路干线</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永吉县发展和改革局</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永吉县发展和改革局</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一般债券</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2.86</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63" w:hRule="atLeast"/>
        </w:trPr>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2024年永吉县百村示范基础设施建设项目</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220221242000000002972</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其他农村建设</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债务科直拨</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债务科直拨</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一般债券</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9.55</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78" w:hRule="atLeast"/>
        </w:trPr>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2024年永吉县“美丽乡村示范县”基础设施建设项目</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220221242000000002974</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其他农村建设</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债务科直拨</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债务科直拨</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一般债券</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7.43</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12" w:hRule="atLeast"/>
        </w:trPr>
        <w:tc>
          <w:tcPr>
            <w:tcW w:w="163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吉林省永吉县万昌镇内供热设施和给水设施提升改造工程</w:t>
            </w:r>
          </w:p>
        </w:tc>
        <w:tc>
          <w:tcPr>
            <w:tcW w:w="186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220221242000000002991</w:t>
            </w:r>
          </w:p>
        </w:tc>
        <w:tc>
          <w:tcPr>
            <w:tcW w:w="111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其他农村建设</w:t>
            </w:r>
          </w:p>
        </w:tc>
        <w:tc>
          <w:tcPr>
            <w:tcW w:w="9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永吉县万昌镇人民政府</w:t>
            </w:r>
          </w:p>
        </w:tc>
        <w:tc>
          <w:tcPr>
            <w:tcW w:w="108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永吉县万昌镇人民政府</w:t>
            </w:r>
          </w:p>
        </w:tc>
        <w:tc>
          <w:tcPr>
            <w:tcW w:w="8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一般债券</w:t>
            </w:r>
          </w:p>
        </w:tc>
        <w:tc>
          <w:tcPr>
            <w:tcW w:w="7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6.37</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2024-07</w:t>
            </w:r>
          </w:p>
        </w:tc>
      </w:tr>
    </w:tbl>
    <w:p>
      <w:pPr>
        <w:pStyle w:val="2"/>
        <w:numPr>
          <w:ilvl w:val="0"/>
          <w:numId w:val="0"/>
        </w:numPr>
        <w:adjustRightInd w:val="0"/>
        <w:snapToGrid w:val="0"/>
        <w:spacing w:before="240" w:beforeLines="0" w:after="60" w:afterLines="0" w:line="240" w:lineRule="auto"/>
        <w:jc w:val="both"/>
        <w:outlineLvl w:val="0"/>
        <w:rPr>
          <w:rFonts w:hint="default"/>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leftChars="200"/>
        <w:textAlignment w:val="auto"/>
        <w:rPr>
          <w:rFonts w:hint="default" w:ascii="Times New Roman" w:hAnsi="Times New Roman" w:eastAsia="仿宋_GB2312" w:cs="Times New Roman"/>
          <w:b w:val="0"/>
          <w:bCs/>
          <w:color w:val="auto"/>
          <w:sz w:val="32"/>
          <w:szCs w:val="32"/>
          <w:lang w:val="en-US" w:eastAsia="zh-CN"/>
        </w:rPr>
      </w:pPr>
      <w:r>
        <w:rPr>
          <w:rFonts w:hint="eastAsia" w:ascii="Times New Roman" w:hAnsi="Times New Roman" w:eastAsia="仿宋_GB2312" w:cs="Times New Roman"/>
          <w:b w:val="0"/>
          <w:bCs/>
          <w:color w:val="auto"/>
          <w:sz w:val="32"/>
          <w:szCs w:val="32"/>
          <w:lang w:val="en-US" w:eastAsia="zh-CN"/>
        </w:rPr>
        <w:t>（三）</w:t>
      </w:r>
      <w:r>
        <w:rPr>
          <w:rFonts w:hint="default" w:ascii="Times New Roman" w:hAnsi="Times New Roman" w:eastAsia="仿宋_GB2312" w:cs="Times New Roman"/>
          <w:b w:val="0"/>
          <w:bCs/>
          <w:color w:val="auto"/>
          <w:sz w:val="32"/>
          <w:szCs w:val="32"/>
          <w:lang w:val="en-US" w:eastAsia="zh-CN"/>
        </w:rPr>
        <w:t>政府债务偿还情况。</w:t>
      </w:r>
    </w:p>
    <w:tbl>
      <w:tblPr>
        <w:tblStyle w:val="9"/>
        <w:tblW w:w="8976" w:type="dxa"/>
        <w:tblInd w:w="42"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166"/>
        <w:gridCol w:w="2025"/>
        <w:gridCol w:w="178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8976" w:type="dxa"/>
            <w:gridSpan w:val="3"/>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Calibri" w:hAnsi="Calibri" w:eastAsia="宋体" w:cs="Calibri"/>
                <w:b/>
                <w:bCs/>
                <w:i w:val="0"/>
                <w:iCs w:val="0"/>
                <w:color w:val="000000"/>
                <w:sz w:val="32"/>
                <w:szCs w:val="32"/>
                <w:u w:val="none"/>
              </w:rPr>
            </w:pPr>
            <w:r>
              <w:rPr>
                <w:rFonts w:hint="default" w:ascii="Calibri" w:hAnsi="Calibri" w:eastAsia="宋体" w:cs="Calibri"/>
                <w:b/>
                <w:bCs/>
                <w:i w:val="0"/>
                <w:iCs w:val="0"/>
                <w:color w:val="000000"/>
                <w:kern w:val="0"/>
                <w:sz w:val="32"/>
                <w:szCs w:val="32"/>
                <w:u w:val="none"/>
                <w:lang w:val="en-US" w:eastAsia="zh-CN" w:bidi="ar"/>
              </w:rPr>
              <w:t>2024年地方政府债务发行及还本付息情况表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8976" w:type="dxa"/>
            <w:gridSpan w:val="3"/>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Calibri" w:hAnsi="Calibri" w:eastAsia="宋体" w:cs="Calibri"/>
                <w:i w:val="0"/>
                <w:iCs w:val="0"/>
                <w:color w:val="000000"/>
                <w:sz w:val="22"/>
                <w:szCs w:val="22"/>
                <w:u w:val="none"/>
              </w:rPr>
            </w:pPr>
            <w:r>
              <w:rPr>
                <w:rFonts w:hint="default" w:ascii="Calibri" w:hAnsi="Calibri" w:eastAsia="宋体" w:cs="Calibri"/>
                <w:i w:val="0"/>
                <w:iCs w:val="0"/>
                <w:color w:val="000000"/>
                <w:kern w:val="0"/>
                <w:sz w:val="22"/>
                <w:szCs w:val="22"/>
                <w:u w:val="none"/>
                <w:lang w:val="en-US" w:eastAsia="zh-CN" w:bidi="ar"/>
              </w:rPr>
              <w:t>单位：亿元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numPr>
                <w:ilvl w:val="0"/>
                <w:numId w:val="0"/>
              </w:numPr>
              <w:suppressLineNumbers w:val="0"/>
              <w:ind w:leftChars="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项目</w:t>
            </w:r>
          </w:p>
        </w:tc>
        <w:tc>
          <w:tcPr>
            <w:tcW w:w="2025"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numPr>
                <w:ilvl w:val="0"/>
                <w:numId w:val="0"/>
              </w:numPr>
              <w:suppressLineNumbers w:val="0"/>
              <w:ind w:leftChars="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本地区</w:t>
            </w:r>
          </w:p>
        </w:tc>
        <w:tc>
          <w:tcPr>
            <w:tcW w:w="1785" w:type="dxa"/>
            <w:tcBorders>
              <w:top w:val="single" w:color="000000" w:sz="4" w:space="0"/>
              <w:left w:val="single" w:color="000000" w:sz="4" w:space="0"/>
              <w:bottom w:val="single" w:color="000000" w:sz="4" w:space="0"/>
              <w:right w:val="single" w:color="000000" w:sz="4" w:space="0"/>
            </w:tcBorders>
            <w:shd w:val="clear" w:color="auto" w:fill="F5F5F5"/>
            <w:vAlign w:val="center"/>
          </w:tcPr>
          <w:p>
            <w:pPr>
              <w:keepNext w:val="0"/>
              <w:keepLines w:val="0"/>
              <w:widowControl/>
              <w:numPr>
                <w:ilvl w:val="0"/>
                <w:numId w:val="0"/>
              </w:numPr>
              <w:suppressLineNumbers w:val="0"/>
              <w:ind w:leftChars="0"/>
              <w:jc w:val="center"/>
              <w:textAlignment w:val="center"/>
              <w:rPr>
                <w:rFonts w:hint="default" w:ascii="Calibri" w:hAnsi="Calibri" w:eastAsia="宋体" w:cs="Calibri"/>
                <w:b/>
                <w:bCs/>
                <w:i w:val="0"/>
                <w:iCs w:val="0"/>
                <w:color w:val="000000"/>
                <w:sz w:val="22"/>
                <w:szCs w:val="22"/>
                <w:u w:val="none"/>
              </w:rPr>
            </w:pPr>
            <w:r>
              <w:rPr>
                <w:rFonts w:hint="default" w:ascii="Calibri" w:hAnsi="Calibri" w:eastAsia="宋体" w:cs="Calibri"/>
                <w:b/>
                <w:bCs/>
                <w:i w:val="0"/>
                <w:iCs w:val="0"/>
                <w:color w:val="000000"/>
                <w:kern w:val="0"/>
                <w:sz w:val="22"/>
                <w:szCs w:val="22"/>
                <w:u w:val="none"/>
                <w:lang w:val="en-US" w:eastAsia="zh-CN" w:bidi="ar"/>
              </w:rPr>
              <w:t>本级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9"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一、2023年末地方政府债务余额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58.73</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58.73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31.71</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31.71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二、2023年末地方政府债务限额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59.01</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31.99</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三、2024年地方政府债务发行决算数</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92"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新增一般债券发行额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2.49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再融资一般债券发行额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0.91</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新增专项债券发行额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再融资专项债券发行额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置换一般债券发行额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置换专项债券发行额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国际金融组织和外国政府贷款</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四、2024年地方政府债务还本决算数</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0.97</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五、2024年地方政府债务付息决算数</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1.96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0.93</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0.93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六、2024年末地方政府债务余额决算数</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61.16</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61.16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34.14</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34.14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七、2024年地方政府债务限额</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61.34</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其中：一般债务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34.32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0" w:hRule="atLeast"/>
        </w:trPr>
        <w:tc>
          <w:tcPr>
            <w:tcW w:w="51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专项债务</w:t>
            </w:r>
          </w:p>
        </w:tc>
        <w:tc>
          <w:tcPr>
            <w:tcW w:w="202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27.02</w:t>
            </w:r>
          </w:p>
        </w:tc>
        <w:tc>
          <w:tcPr>
            <w:tcW w:w="178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numPr>
                <w:ilvl w:val="0"/>
                <w:numId w:val="0"/>
              </w:numPr>
              <w:suppressLineNumbers w:val="0"/>
              <w:ind w:leftChars="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0.00</w:t>
            </w:r>
          </w:p>
        </w:tc>
      </w:tr>
    </w:tbl>
    <w:p>
      <w:pPr>
        <w:pStyle w:val="2"/>
        <w:numPr>
          <w:ilvl w:val="0"/>
          <w:numId w:val="0"/>
        </w:numPr>
        <w:ind w:leftChars="200"/>
        <w:jc w:val="both"/>
        <w:rPr>
          <w:rFonts w:hint="default"/>
          <w:lang w:val="en-US" w:eastAsia="zh-CN"/>
        </w:rPr>
      </w:pPr>
    </w:p>
    <w:p>
      <w:pPr>
        <w:rPr>
          <w:rFonts w:hint="default"/>
          <w:lang w:val="en-US" w:eastAsia="zh-CN"/>
        </w:rPr>
      </w:pP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textAlignment w:val="auto"/>
        <w:rPr>
          <w:rFonts w:hint="default" w:ascii="Times New Roman" w:hAnsi="Times New Roman" w:eastAsia="楷体_GB2312" w:cs="Times New Roman"/>
          <w:b/>
          <w:bCs/>
          <w:sz w:val="32"/>
          <w:szCs w:val="32"/>
          <w:highlight w:val="none"/>
        </w:rPr>
      </w:pPr>
      <w:r>
        <w:rPr>
          <w:rFonts w:hint="default" w:ascii="Times New Roman" w:hAnsi="Times New Roman" w:eastAsia="楷体_GB2312" w:cs="Times New Roman"/>
          <w:b/>
          <w:bCs/>
          <w:sz w:val="32"/>
          <w:szCs w:val="32"/>
          <w:highlight w:val="none"/>
        </w:rPr>
        <w:t>（</w:t>
      </w:r>
      <w:r>
        <w:rPr>
          <w:rFonts w:hint="default" w:ascii="Times New Roman" w:hAnsi="Times New Roman" w:eastAsia="楷体_GB2312" w:cs="Times New Roman"/>
          <w:b/>
          <w:bCs/>
          <w:sz w:val="32"/>
          <w:szCs w:val="32"/>
          <w:highlight w:val="none"/>
          <w:lang w:val="en-US" w:eastAsia="zh-CN"/>
        </w:rPr>
        <w:t>一</w:t>
      </w:r>
      <w:r>
        <w:rPr>
          <w:rFonts w:hint="default" w:ascii="Times New Roman" w:hAnsi="Times New Roman" w:eastAsia="楷体_GB2312" w:cs="Times New Roman"/>
          <w:b/>
          <w:bCs/>
          <w:sz w:val="32"/>
          <w:szCs w:val="32"/>
          <w:highlight w:val="none"/>
        </w:rPr>
        <w:t>）政府债务结构</w:t>
      </w:r>
    </w:p>
    <w:p>
      <w:pPr>
        <w:keepNext w:val="0"/>
        <w:keepLines w:val="0"/>
        <w:pageBreakBefore w:val="0"/>
        <w:widowControl w:val="0"/>
        <w:kinsoku/>
        <w:wordWrap/>
        <w:overflowPunct/>
        <w:topLinePunct w:val="0"/>
        <w:autoSpaceDE/>
        <w:autoSpaceDN/>
        <w:bidi w:val="0"/>
        <w:adjustRightInd/>
        <w:snapToGrid/>
        <w:spacing w:line="576" w:lineRule="exact"/>
        <w:ind w:left="0" w:righ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省财政厅核定我县本级政府债务限额61.34亿元（其中一般债务限额34.32亿元，专项债务限额27.02亿元）。截至2024年末</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债务余额61.16亿元（一般债务余额34.14亿元，专项债务余额27.02亿元）。政府债务构成情况：地方政府债券61.1亿元，占99%；外国政府债务转贷0.06亿元，占1%。</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textAlignment w:val="auto"/>
        <w:rPr>
          <w:rFonts w:hint="default" w:ascii="Times New Roman" w:hAnsi="Times New Roman" w:eastAsia="仿宋_GB2312" w:cs="Times New Roman"/>
          <w:highlight w:val="none"/>
        </w:rPr>
      </w:pPr>
      <w:r>
        <w:rPr>
          <w:rFonts w:hint="default" w:ascii="Times New Roman" w:hAnsi="Times New Roman" w:eastAsia="楷体_GB2312" w:cs="Times New Roman"/>
          <w:b/>
          <w:bCs/>
          <w:sz w:val="32"/>
          <w:szCs w:val="32"/>
          <w:highlight w:val="none"/>
        </w:rPr>
        <w:t>（二）政府债券使用方向。</w:t>
      </w:r>
      <w:r>
        <w:rPr>
          <w:rFonts w:hint="default" w:ascii="Times New Roman" w:hAnsi="Times New Roman" w:eastAsia="仿宋_GB2312" w:cs="Times New Roman"/>
          <w:sz w:val="32"/>
          <w:szCs w:val="32"/>
          <w:highlight w:val="none"/>
        </w:rPr>
        <w:t>我县聚焦水利、交通、住建、乡村振兴等重点领域重大项目，发行新增债券2.49亿元，支持项目6个。其中，一般债券2.49亿元，支持项目6个。</w:t>
      </w:r>
    </w:p>
    <w:p>
      <w:pPr>
        <w:keepNext w:val="0"/>
        <w:keepLines w:val="0"/>
        <w:pageBreakBefore w:val="0"/>
        <w:widowControl w:val="0"/>
        <w:kinsoku/>
        <w:wordWrap/>
        <w:overflowPunct/>
        <w:topLinePunct w:val="0"/>
        <w:autoSpaceDE/>
        <w:autoSpaceDN/>
        <w:bidi w:val="0"/>
        <w:adjustRightInd/>
        <w:snapToGrid/>
        <w:spacing w:line="576" w:lineRule="exact"/>
        <w:ind w:left="0" w:right="0" w:firstLine="643"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楷体_GB2312" w:cs="Times New Roman"/>
          <w:b/>
          <w:bCs/>
          <w:sz w:val="32"/>
          <w:szCs w:val="32"/>
          <w:highlight w:val="none"/>
        </w:rPr>
        <w:t>（三）政府债务偿还情况。</w:t>
      </w:r>
      <w:r>
        <w:rPr>
          <w:rFonts w:hint="default" w:ascii="Times New Roman" w:hAnsi="Times New Roman" w:eastAsia="仿宋_GB2312" w:cs="Times New Roman"/>
          <w:sz w:val="32"/>
          <w:szCs w:val="32"/>
          <w:highlight w:val="none"/>
        </w:rPr>
        <w:t>2024年，我县共偿还政府债务本息2.96亿元，其中：本金0.96亿元，利息2亿元。从还款途径看，通过发行再融资债券偿还本金0.86亿元，利用预算资金偿还本息0.1亿元。</w:t>
      </w:r>
    </w:p>
    <w:p>
      <w:pPr>
        <w:pStyle w:val="2"/>
        <w:keepNext w:val="0"/>
        <w:keepLines w:val="0"/>
        <w:pageBreakBefore w:val="0"/>
        <w:widowControl w:val="0"/>
        <w:kinsoku/>
        <w:wordWrap/>
        <w:overflowPunct/>
        <w:topLinePunct w:val="0"/>
        <w:autoSpaceDE/>
        <w:autoSpaceDN/>
        <w:bidi w:val="0"/>
        <w:adjustRightInd/>
        <w:snapToGrid/>
        <w:spacing w:before="0" w:after="0" w:line="576" w:lineRule="exact"/>
        <w:ind w:left="0" w:right="0" w:firstLine="643" w:firstLineChars="200"/>
        <w:jc w:val="left"/>
        <w:textAlignment w:val="auto"/>
        <w:rPr>
          <w:rFonts w:hint="default" w:ascii="Times New Roman" w:hAnsi="Times New Roman" w:eastAsia="仿宋_GB2312" w:cs="Times New Roman"/>
          <w:b w:val="0"/>
          <w:bCs w:val="0"/>
          <w:highlight w:val="none"/>
        </w:rPr>
      </w:pPr>
      <w:r>
        <w:rPr>
          <w:rFonts w:hint="default" w:ascii="Times New Roman" w:hAnsi="Times New Roman" w:eastAsia="楷体_GB2312" w:cs="Times New Roman"/>
          <w:b/>
          <w:bCs/>
          <w:kern w:val="2"/>
          <w:sz w:val="32"/>
          <w:szCs w:val="32"/>
          <w:highlight w:val="none"/>
          <w:lang w:val="en-US" w:eastAsia="zh-CN" w:bidi="ar-SA"/>
        </w:rPr>
        <w:t>（四）债券资金用于重大项目情况。</w:t>
      </w:r>
      <w:r>
        <w:rPr>
          <w:rFonts w:hint="default" w:ascii="Times New Roman" w:hAnsi="Times New Roman" w:eastAsia="仿宋_GB2312" w:cs="Times New Roman"/>
          <w:b w:val="0"/>
          <w:bCs w:val="0"/>
          <w:highlight w:val="none"/>
        </w:rPr>
        <w:t>2024年，我县用于重大项目的债券资金2.49亿元。其中：2024年永吉县百村示范基础设施建设项目发行债券资金0.6亿元；2024年永吉县“美丽乡村示范县”基础设施建设项目发行债券资金0.34亿元；吉林省永吉县万昌镇内供热设施和给水设施提升改造工程发行债券资金0.12亿元；永吉县实验职业高中建设项目发行债券资金0.52亿元；永吉县大黑山钼矿至国道202连接线道路工程发行债券资金0.05亿元；沈吉线西阳至马相屯段水害整治工程发行债券资金0.86亿元。</w:t>
      </w: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pStyle w:val="2"/>
        <w:rPr>
          <w:rFonts w:hint="default"/>
          <w:lang w:val="en-US" w:eastAsia="zh-CN"/>
        </w:rPr>
      </w:pPr>
    </w:p>
    <w:p>
      <w:pPr>
        <w:spacing w:line="600" w:lineRule="exact"/>
        <w:jc w:val="center"/>
        <w:rPr>
          <w:rFonts w:hint="eastAsia" w:ascii="宋体" w:hAnsi="宋体" w:eastAsia="宋体" w:cs="宋体"/>
          <w:b/>
          <w:bCs/>
          <w:sz w:val="44"/>
          <w:szCs w:val="44"/>
          <w:lang w:eastAsia="en-US"/>
        </w:rPr>
      </w:pPr>
      <w:bookmarkStart w:id="95" w:name="_Toc19863"/>
      <w:bookmarkStart w:id="96" w:name="_Toc15198"/>
      <w:r>
        <w:rPr>
          <w:rFonts w:hint="eastAsia" w:ascii="宋体" w:hAnsi="宋体" w:eastAsia="宋体" w:cs="宋体"/>
          <w:b/>
          <w:bCs/>
          <w:sz w:val="44"/>
          <w:szCs w:val="44"/>
          <w:lang w:eastAsia="en-US"/>
        </w:rPr>
        <w:t>预算绩效工作开展情况说明</w:t>
      </w:r>
      <w:bookmarkEnd w:id="95"/>
      <w:bookmarkEnd w:id="96"/>
    </w:p>
    <w:p>
      <w:pPr>
        <w:pStyle w:val="2"/>
      </w:pPr>
    </w:p>
    <w:p>
      <w:pPr>
        <w:keepNext w:val="0"/>
        <w:keepLines w:val="0"/>
        <w:pageBreakBefore w:val="0"/>
        <w:widowControl w:val="0"/>
        <w:kinsoku/>
        <w:wordWrap/>
        <w:overflowPunct/>
        <w:topLinePunct w:val="0"/>
        <w:autoSpaceDE/>
        <w:autoSpaceDN/>
        <w:bidi w:val="0"/>
        <w:adjustRightInd/>
        <w:snapToGrid/>
        <w:spacing w:line="576" w:lineRule="exact"/>
        <w:ind w:right="0" w:firstLine="640" w:firstLineChars="200"/>
        <w:textAlignment w:val="auto"/>
        <w:rPr>
          <w:rFonts w:hint="default" w:ascii="Times New Roman" w:hAnsi="Times New Roman" w:eastAsia="仿宋_GB2312" w:cs="Times New Roman"/>
          <w:sz w:val="32"/>
          <w:szCs w:val="32"/>
          <w:highlight w:val="none"/>
        </w:rPr>
      </w:pPr>
      <w:r>
        <w:rPr>
          <w:rFonts w:hint="default" w:ascii="Times New Roman" w:hAnsi="Times New Roman" w:eastAsia="仿宋_GB2312" w:cs="Times New Roman"/>
          <w:sz w:val="32"/>
          <w:szCs w:val="32"/>
          <w:highlight w:val="none"/>
        </w:rPr>
        <w:t>2024年</w:t>
      </w:r>
      <w:r>
        <w:rPr>
          <w:rFonts w:hint="default" w:ascii="Times New Roman" w:hAnsi="Times New Roman" w:eastAsia="仿宋_GB2312" w:cs="Times New Roman"/>
          <w:sz w:val="32"/>
          <w:szCs w:val="32"/>
          <w:highlight w:val="none"/>
          <w:lang w:eastAsia="zh-CN"/>
        </w:rPr>
        <w:t>，县政府</w:t>
      </w:r>
      <w:r>
        <w:rPr>
          <w:rFonts w:hint="default" w:ascii="Times New Roman" w:hAnsi="Times New Roman" w:eastAsia="仿宋_GB2312" w:cs="Times New Roman"/>
          <w:sz w:val="32"/>
          <w:szCs w:val="32"/>
          <w:highlight w:val="none"/>
        </w:rPr>
        <w:t>纵深推进财政预算绩效管理改革，提高财政资金使用效益，健全预算绩效管理制度体系建设，持续打造全成本预算绩效管理新模式，进一步提高绩效目标管理科学化规范化水平。建立单位自评为主、财政重评为辅相结合的评价机制，实现绩效评价广度、深度的快速拓展。2024年</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永吉县将全县60个预算部门都纳入绩效考评中。其中：部门整体支出预算绩效目标自评451个，一级项目预算绩效目标自评160个，二级项目预算绩效自评291个，项目涉及金额4.15亿元。从此次预算项目绩效自评结果来看，全县年初预算项目都已落实完毕，完成规定的绩效目标，也为我县将来预算编制提供了有力依据。</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方正仿宋_GB2312" w:hAnsi="方正仿宋_GB2312" w:eastAsia="方正仿宋_GB2312" w:cs="方正仿宋_GB2312"/>
          <w:i w:val="0"/>
          <w:iCs w:val="0"/>
          <w:caps w:val="0"/>
          <w:spacing w:val="0"/>
          <w:sz w:val="32"/>
          <w:szCs w:val="32"/>
          <w:lang w:eastAsia="zh-CN"/>
        </w:rPr>
      </w:pPr>
      <w:r>
        <w:rPr>
          <w:rFonts w:hint="eastAsia" w:ascii="方正仿宋_GB2312" w:hAnsi="方正仿宋_GB2312" w:eastAsia="方正仿宋_GB2312" w:cs="方正仿宋_GB2312"/>
          <w:i w:val="0"/>
          <w:iCs w:val="0"/>
          <w:caps w:val="0"/>
          <w:spacing w:val="0"/>
          <w:sz w:val="32"/>
          <w:szCs w:val="32"/>
          <w:shd w:val="clear" w:fill="FFFFFF"/>
        </w:rPr>
        <w:t>根据</w:t>
      </w:r>
      <w:r>
        <w:rPr>
          <w:rFonts w:hint="eastAsia" w:ascii="方正仿宋_GB2312" w:hAnsi="方正仿宋_GB2312" w:eastAsia="方正仿宋_GB2312" w:cs="方正仿宋_GB2312"/>
          <w:i w:val="0"/>
          <w:iCs w:val="0"/>
          <w:caps w:val="0"/>
          <w:spacing w:val="0"/>
          <w:sz w:val="32"/>
          <w:szCs w:val="32"/>
          <w:shd w:val="clear" w:fill="FFFFFF"/>
          <w:lang w:val="en-US" w:eastAsia="zh-CN"/>
        </w:rPr>
        <w:t>衔接资金管理办法</w:t>
      </w:r>
      <w:r>
        <w:rPr>
          <w:rFonts w:hint="eastAsia" w:ascii="方正仿宋_GB2312" w:hAnsi="方正仿宋_GB2312" w:eastAsia="方正仿宋_GB2312" w:cs="方正仿宋_GB2312"/>
          <w:i w:val="0"/>
          <w:iCs w:val="0"/>
          <w:caps w:val="0"/>
          <w:spacing w:val="0"/>
          <w:sz w:val="32"/>
          <w:szCs w:val="32"/>
          <w:shd w:val="clear" w:fill="FFFFFF"/>
        </w:rPr>
        <w:t>要求，</w:t>
      </w:r>
      <w:r>
        <w:rPr>
          <w:rFonts w:hint="eastAsia" w:ascii="方正仿宋_GB2312" w:hAnsi="方正仿宋_GB2312" w:eastAsia="方正仿宋_GB2312" w:cs="方正仿宋_GB2312"/>
          <w:i w:val="0"/>
          <w:iCs w:val="0"/>
          <w:caps w:val="0"/>
          <w:spacing w:val="0"/>
          <w:sz w:val="32"/>
          <w:szCs w:val="32"/>
          <w:shd w:val="clear" w:fill="FFFFFF"/>
          <w:lang w:val="en-US" w:eastAsia="zh-CN"/>
        </w:rPr>
        <w:t>永吉县乡村振兴服务中心会同永吉县财政局对</w:t>
      </w:r>
      <w:r>
        <w:rPr>
          <w:rFonts w:hint="eastAsia" w:ascii="方正仿宋_GB2312" w:hAnsi="方正仿宋_GB2312" w:eastAsia="方正仿宋_GB2312" w:cs="方正仿宋_GB2312"/>
          <w:i w:val="0"/>
          <w:iCs w:val="0"/>
          <w:caps w:val="0"/>
          <w:spacing w:val="0"/>
          <w:sz w:val="32"/>
          <w:szCs w:val="32"/>
          <w:shd w:val="clear" w:fill="FFFFFF"/>
        </w:rPr>
        <w:t>我县2024年度财政衔接推进乡村振兴补助资金项目实施情况进行了全面自评，现将有关情况报告如下</w:t>
      </w:r>
      <w:r>
        <w:rPr>
          <w:rFonts w:hint="eastAsia" w:ascii="方正仿宋_GB2312" w:hAnsi="方正仿宋_GB2312" w:eastAsia="方正仿宋_GB2312" w:cs="方正仿宋_GB2312"/>
          <w:i w:val="0"/>
          <w:iCs w:val="0"/>
          <w:caps w:val="0"/>
          <w:spacing w:val="0"/>
          <w:sz w:val="32"/>
          <w:szCs w:val="32"/>
          <w:shd w:val="clear" w:fill="FFFFFF"/>
          <w:lang w:eastAsia="zh-CN"/>
        </w:rPr>
        <w:t>。</w:t>
      </w:r>
    </w:p>
    <w:p>
      <w:pPr>
        <w:pStyle w:val="3"/>
        <w:keepNext w:val="0"/>
        <w:keepLines w:val="0"/>
        <w:pageBreakBefore w:val="0"/>
        <w:widowControl/>
        <w:numPr>
          <w:ilvl w:val="0"/>
          <w:numId w:val="2"/>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黑体" w:hAnsi="黑体" w:eastAsia="黑体" w:cs="黑体"/>
          <w:b w:val="0"/>
          <w:bCs w:val="0"/>
          <w:i w:val="0"/>
          <w:iCs w:val="0"/>
          <w:caps w:val="0"/>
          <w:spacing w:val="0"/>
          <w:sz w:val="32"/>
          <w:szCs w:val="32"/>
          <w:shd w:val="clear" w:fill="FFFFFF"/>
        </w:rPr>
      </w:pPr>
      <w:r>
        <w:rPr>
          <w:rFonts w:hint="eastAsia" w:ascii="黑体" w:hAnsi="黑体" w:eastAsia="黑体" w:cs="黑体"/>
          <w:b w:val="0"/>
          <w:bCs w:val="0"/>
          <w:i w:val="0"/>
          <w:iCs w:val="0"/>
          <w:caps w:val="0"/>
          <w:spacing w:val="0"/>
          <w:sz w:val="32"/>
          <w:szCs w:val="32"/>
          <w:shd w:val="clear" w:fill="FFFFFF"/>
        </w:rPr>
        <w:t>项目基本情况</w:t>
      </w:r>
    </w:p>
    <w:p>
      <w:pPr>
        <w:pStyle w:val="3"/>
        <w:keepNext w:val="0"/>
        <w:keepLines w:val="0"/>
        <w:pageBreakBefore w:val="0"/>
        <w:widowControl/>
        <w:numPr>
          <w:ilvl w:val="0"/>
          <w:numId w:val="3"/>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rightChars="0" w:firstLine="640" w:firstLineChars="200"/>
        <w:jc w:val="left"/>
        <w:textAlignment w:val="auto"/>
        <w:outlineLvl w:val="1"/>
        <w:rPr>
          <w:rFonts w:hint="eastAsia" w:ascii="方正楷体_GB2312" w:hAnsi="方正楷体_GB2312" w:eastAsia="方正楷体_GB2312" w:cs="方正楷体_GB2312"/>
          <w:b w:val="0"/>
          <w:bCs w:val="0"/>
          <w:i w:val="0"/>
          <w:iCs w:val="0"/>
          <w:caps w:val="0"/>
          <w:spacing w:val="0"/>
          <w:sz w:val="32"/>
          <w:szCs w:val="32"/>
          <w:shd w:val="clear" w:fill="FFFFFF"/>
        </w:rPr>
      </w:pPr>
      <w:r>
        <w:rPr>
          <w:rFonts w:hint="eastAsia" w:ascii="方正楷体_GB2312" w:hAnsi="方正楷体_GB2312" w:eastAsia="方正楷体_GB2312" w:cs="方正楷体_GB2312"/>
          <w:b w:val="0"/>
          <w:bCs w:val="0"/>
          <w:i w:val="0"/>
          <w:iCs w:val="0"/>
          <w:caps w:val="0"/>
          <w:spacing w:val="0"/>
          <w:sz w:val="32"/>
          <w:szCs w:val="32"/>
          <w:shd w:val="clear" w:fill="FFFFFF"/>
        </w:rPr>
        <w:t>资金投入情况</w:t>
      </w:r>
      <w:r>
        <w:rPr>
          <w:rFonts w:hint="eastAsia" w:ascii="方正楷体_GB2312" w:hAnsi="方正楷体_GB2312" w:eastAsia="方正楷体_GB2312" w:cs="方正楷体_GB2312"/>
          <w:b w:val="0"/>
          <w:bCs w:val="0"/>
          <w:i w:val="0"/>
          <w:iCs w:val="0"/>
          <w:caps w:val="0"/>
          <w:spacing w:val="0"/>
          <w:sz w:val="32"/>
          <w:szCs w:val="32"/>
          <w:shd w:val="clear" w:fill="FFFFFF"/>
          <w:lang w:eastAsia="zh-CN"/>
        </w:rPr>
        <w:t>。</w:t>
      </w:r>
    </w:p>
    <w:p>
      <w:pPr>
        <w:pStyle w:val="3"/>
        <w:keepNext w:val="0"/>
        <w:keepLines w:val="0"/>
        <w:pageBreakBefore w:val="0"/>
        <w:widowControl/>
        <w:numPr>
          <w:ilvl w:val="0"/>
          <w:numId w:val="0"/>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rightChars="0" w:firstLine="640" w:firstLineChars="200"/>
        <w:jc w:val="left"/>
        <w:textAlignment w:val="auto"/>
        <w:outlineLvl w:val="1"/>
        <w:rPr>
          <w:rFonts w:hint="eastAsia" w:ascii="方正仿宋_GB2312" w:hAnsi="方正仿宋_GB2312" w:eastAsia="方正仿宋_GB2312" w:cs="方正仿宋_GB2312"/>
          <w:b w:val="0"/>
          <w:bCs w:val="0"/>
          <w:i w:val="0"/>
          <w:iCs w:val="0"/>
          <w:caps w:val="0"/>
          <w:spacing w:val="0"/>
          <w:sz w:val="32"/>
          <w:szCs w:val="32"/>
          <w:shd w:val="clear" w:fill="FFFFFF"/>
        </w:rPr>
      </w:pPr>
      <w:r>
        <w:rPr>
          <w:rFonts w:hint="eastAsia" w:ascii="方正仿宋_GB2312" w:hAnsi="方正仿宋_GB2312" w:eastAsia="方正仿宋_GB2312" w:cs="方正仿宋_GB2312"/>
          <w:b w:val="0"/>
          <w:bCs w:val="0"/>
          <w:i w:val="0"/>
          <w:iCs w:val="0"/>
          <w:caps w:val="0"/>
          <w:spacing w:val="0"/>
          <w:sz w:val="32"/>
          <w:szCs w:val="32"/>
          <w:shd w:val="clear" w:fill="FFFFFF"/>
        </w:rPr>
        <w:t>2024年我县共安排财政衔接推进乡村振兴补助资金项目</w:t>
      </w:r>
      <w:r>
        <w:rPr>
          <w:rFonts w:hint="eastAsia" w:ascii="方正仿宋_GB2312" w:hAnsi="方正仿宋_GB2312" w:eastAsia="方正仿宋_GB2312" w:cs="方正仿宋_GB2312"/>
          <w:b w:val="0"/>
          <w:bCs w:val="0"/>
          <w:i w:val="0"/>
          <w:iCs w:val="0"/>
          <w:caps w:val="0"/>
          <w:spacing w:val="0"/>
          <w:sz w:val="32"/>
          <w:szCs w:val="32"/>
          <w:shd w:val="clear" w:fill="FFFFFF"/>
          <w:lang w:val="en-US" w:eastAsia="zh-CN"/>
        </w:rPr>
        <w:t>2</w:t>
      </w:r>
      <w:r>
        <w:rPr>
          <w:rStyle w:val="11"/>
          <w:rFonts w:hint="eastAsia" w:ascii="方正仿宋_GB2312" w:hAnsi="方正仿宋_GB2312" w:eastAsia="方正仿宋_GB2312" w:cs="方正仿宋_GB2312"/>
          <w:b w:val="0"/>
          <w:bCs w:val="0"/>
          <w:i w:val="0"/>
          <w:iCs w:val="0"/>
          <w:caps w:val="0"/>
          <w:spacing w:val="0"/>
          <w:sz w:val="32"/>
          <w:szCs w:val="32"/>
          <w:shd w:val="clear" w:fill="FFFFFF"/>
          <w:lang w:val="en-US" w:eastAsia="zh-CN"/>
        </w:rPr>
        <w:t>9</w:t>
      </w:r>
      <w:r>
        <w:rPr>
          <w:rStyle w:val="11"/>
          <w:rFonts w:hint="eastAsia" w:ascii="方正仿宋_GB2312" w:hAnsi="方正仿宋_GB2312" w:eastAsia="方正仿宋_GB2312" w:cs="方正仿宋_GB2312"/>
          <w:b w:val="0"/>
          <w:bCs w:val="0"/>
          <w:i w:val="0"/>
          <w:iCs w:val="0"/>
          <w:caps w:val="0"/>
          <w:spacing w:val="0"/>
          <w:sz w:val="32"/>
          <w:szCs w:val="32"/>
          <w:shd w:val="clear" w:fill="FFFFFF"/>
        </w:rPr>
        <w:t>个</w:t>
      </w:r>
      <w:r>
        <w:rPr>
          <w:rFonts w:hint="eastAsia" w:ascii="方正仿宋_GB2312" w:hAnsi="方正仿宋_GB2312" w:eastAsia="方正仿宋_GB2312" w:cs="方正仿宋_GB2312"/>
          <w:b w:val="0"/>
          <w:bCs w:val="0"/>
          <w:i w:val="0"/>
          <w:iCs w:val="0"/>
          <w:caps w:val="0"/>
          <w:spacing w:val="0"/>
          <w:sz w:val="32"/>
          <w:szCs w:val="32"/>
          <w:shd w:val="clear" w:fill="FFFFFF"/>
        </w:rPr>
        <w:t>，总投资</w:t>
      </w:r>
      <w:r>
        <w:rPr>
          <w:rStyle w:val="11"/>
          <w:rFonts w:hint="eastAsia" w:ascii="方正仿宋_GB2312" w:hAnsi="方正仿宋_GB2312" w:eastAsia="方正仿宋_GB2312" w:cs="方正仿宋_GB2312"/>
          <w:b w:val="0"/>
          <w:bCs w:val="0"/>
          <w:i w:val="0"/>
          <w:iCs w:val="0"/>
          <w:caps w:val="0"/>
          <w:spacing w:val="0"/>
          <w:sz w:val="32"/>
          <w:szCs w:val="32"/>
          <w:shd w:val="clear" w:fill="FFFFFF"/>
          <w:lang w:val="en-US" w:eastAsia="zh-CN"/>
        </w:rPr>
        <w:t>4540</w:t>
      </w:r>
      <w:r>
        <w:rPr>
          <w:rStyle w:val="11"/>
          <w:rFonts w:hint="eastAsia" w:ascii="方正仿宋_GB2312" w:hAnsi="方正仿宋_GB2312" w:eastAsia="方正仿宋_GB2312" w:cs="方正仿宋_GB2312"/>
          <w:b w:val="0"/>
          <w:bCs w:val="0"/>
          <w:i w:val="0"/>
          <w:iCs w:val="0"/>
          <w:caps w:val="0"/>
          <w:spacing w:val="0"/>
          <w:sz w:val="32"/>
          <w:szCs w:val="32"/>
          <w:shd w:val="clear" w:fill="FFFFFF"/>
        </w:rPr>
        <w:t>万元</w:t>
      </w:r>
      <w:r>
        <w:rPr>
          <w:rStyle w:val="11"/>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rPr>
        <w:t>其中</w:t>
      </w:r>
      <w:r>
        <w:rPr>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rPr>
        <w:t>中央财政衔接资金2715万元</w:t>
      </w:r>
      <w:r>
        <w:rPr>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rPr>
        <w:t>省级财政衔接资金962万元</w:t>
      </w:r>
      <w:r>
        <w:rPr>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rPr>
        <w:t>市级财政衔接资金413万元</w:t>
      </w:r>
      <w:r>
        <w:rPr>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rPr>
        <w:t>县级财政衔接资金450万元</w:t>
      </w:r>
      <w:r>
        <w:rPr>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spacing w:val="0"/>
          <w:sz w:val="32"/>
          <w:szCs w:val="32"/>
          <w:shd w:val="clear" w:fill="FFFFFF"/>
          <w:lang w:val="en-US" w:eastAsia="zh-CN"/>
        </w:rPr>
        <w:t>截至2024年12月底资金支出进度达到100%。</w:t>
      </w:r>
    </w:p>
    <w:p>
      <w:pPr>
        <w:pStyle w:val="3"/>
        <w:keepNext w:val="0"/>
        <w:keepLines w:val="0"/>
        <w:pageBreakBefore w:val="0"/>
        <w:widowControl/>
        <w:numPr>
          <w:ilvl w:val="0"/>
          <w:numId w:val="0"/>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rightChars="0" w:firstLine="640" w:firstLineChars="200"/>
        <w:jc w:val="left"/>
        <w:textAlignment w:val="auto"/>
        <w:outlineLvl w:val="1"/>
        <w:rPr>
          <w:rFonts w:hint="eastAsia" w:ascii="方正楷体_GB2312" w:hAnsi="方正楷体_GB2312" w:eastAsia="方正楷体_GB2312" w:cs="方正楷体_GB2312"/>
          <w:b w:val="0"/>
          <w:bCs w:val="0"/>
          <w:i w:val="0"/>
          <w:iCs w:val="0"/>
          <w:caps w:val="0"/>
          <w:spacing w:val="0"/>
          <w:sz w:val="32"/>
          <w:szCs w:val="32"/>
          <w:shd w:val="clear" w:fill="FFFFFF"/>
          <w:lang w:eastAsia="zh-CN"/>
        </w:rPr>
      </w:pPr>
      <w:r>
        <w:rPr>
          <w:rFonts w:hint="eastAsia" w:ascii="方正楷体_GB2312" w:hAnsi="方正楷体_GB2312" w:eastAsia="方正楷体_GB2312" w:cs="方正楷体_GB2312"/>
          <w:b w:val="0"/>
          <w:bCs w:val="0"/>
          <w:i w:val="0"/>
          <w:iCs w:val="0"/>
          <w:caps w:val="0"/>
          <w:spacing w:val="0"/>
          <w:sz w:val="32"/>
          <w:szCs w:val="32"/>
          <w:shd w:val="clear" w:fill="FFFFFF"/>
        </w:rPr>
        <w:t>（二）项目分类实施情况</w:t>
      </w:r>
      <w:r>
        <w:rPr>
          <w:rFonts w:hint="eastAsia" w:ascii="方正楷体_GB2312" w:hAnsi="方正楷体_GB2312" w:eastAsia="方正楷体_GB2312" w:cs="方正楷体_GB2312"/>
          <w:b w:val="0"/>
          <w:bCs w:val="0"/>
          <w:i w:val="0"/>
          <w:iCs w:val="0"/>
          <w:caps w:val="0"/>
          <w:spacing w:val="0"/>
          <w:sz w:val="32"/>
          <w:szCs w:val="32"/>
          <w:shd w:val="clear" w:fill="FFFFFF"/>
          <w:lang w:eastAsia="zh-CN"/>
        </w:rPr>
        <w:t>。</w:t>
      </w:r>
    </w:p>
    <w:p>
      <w:pPr>
        <w:pStyle w:val="5"/>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bCs/>
          <w:i w:val="0"/>
          <w:iCs w:val="0"/>
          <w:caps w:val="0"/>
          <w:spacing w:val="0"/>
          <w:sz w:val="32"/>
          <w:szCs w:val="32"/>
          <w:shd w:val="clear" w:fill="FFFFFF"/>
          <w:lang w:eastAsia="zh-CN"/>
        </w:rPr>
      </w:pPr>
      <w:r>
        <w:rPr>
          <w:rFonts w:hint="eastAsia" w:ascii="方正仿宋_GB2312" w:hAnsi="方正仿宋_GB2312" w:eastAsia="方正仿宋_GB2312" w:cs="方正仿宋_GB2312"/>
          <w:b/>
          <w:bCs/>
          <w:i w:val="0"/>
          <w:iCs w:val="0"/>
          <w:caps w:val="0"/>
          <w:spacing w:val="0"/>
          <w:sz w:val="32"/>
          <w:szCs w:val="32"/>
          <w:shd w:val="clear" w:fill="FFFFFF"/>
          <w:lang w:val="en-US" w:eastAsia="zh-CN"/>
        </w:rPr>
        <w:t>1.</w:t>
      </w:r>
      <w:r>
        <w:rPr>
          <w:rFonts w:hint="eastAsia" w:ascii="方正仿宋_GB2312" w:hAnsi="方正仿宋_GB2312" w:eastAsia="方正仿宋_GB2312" w:cs="方正仿宋_GB2312"/>
          <w:b/>
          <w:bCs/>
          <w:i w:val="0"/>
          <w:iCs w:val="0"/>
          <w:caps w:val="0"/>
          <w:spacing w:val="0"/>
          <w:sz w:val="32"/>
          <w:szCs w:val="32"/>
          <w:shd w:val="clear" w:fill="FFFFFF"/>
        </w:rPr>
        <w:t xml:space="preserve"> 巩固三保障成果类项目（2个）</w:t>
      </w:r>
      <w:r>
        <w:rPr>
          <w:rFonts w:hint="eastAsia" w:ascii="方正仿宋_GB2312" w:hAnsi="方正仿宋_GB2312" w:eastAsia="方正仿宋_GB2312" w:cs="方正仿宋_GB2312"/>
          <w:b/>
          <w:bCs/>
          <w:i w:val="0"/>
          <w:iCs w:val="0"/>
          <w:caps w:val="0"/>
          <w:spacing w:val="0"/>
          <w:sz w:val="32"/>
          <w:szCs w:val="32"/>
          <w:shd w:val="clear" w:fill="FFFFFF"/>
          <w:lang w:eastAsia="zh-CN"/>
        </w:rPr>
        <w:t>。</w:t>
      </w:r>
    </w:p>
    <w:p>
      <w:pPr>
        <w:pStyle w:val="5"/>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方正仿宋_GB2312" w:hAnsi="方正仿宋_GB2312" w:eastAsia="方正仿宋_GB2312" w:cs="方正仿宋_GB2312"/>
          <w:b w:val="0"/>
          <w:bCs w:val="0"/>
          <w:color w:val="auto"/>
          <w:sz w:val="32"/>
          <w:szCs w:val="32"/>
        </w:rPr>
      </w:pPr>
      <w:r>
        <w:rPr>
          <w:rFonts w:hint="eastAsia" w:ascii="方正仿宋_GB2312" w:hAnsi="方正仿宋_GB2312" w:eastAsia="方正仿宋_GB2312" w:cs="方正仿宋_GB2312"/>
          <w:b w:val="0"/>
          <w:bCs w:val="0"/>
          <w:i w:val="0"/>
          <w:iCs w:val="0"/>
          <w:caps w:val="0"/>
          <w:spacing w:val="0"/>
          <w:sz w:val="32"/>
          <w:szCs w:val="32"/>
          <w:shd w:val="clear" w:fill="FFFFFF"/>
          <w:lang w:val="en-US" w:eastAsia="zh-CN"/>
        </w:rPr>
        <w:t>包括</w:t>
      </w:r>
      <w:r>
        <w:rPr>
          <w:rStyle w:val="11"/>
          <w:rFonts w:hint="eastAsia" w:ascii="方正仿宋_GB2312" w:hAnsi="方正仿宋_GB2312" w:eastAsia="方正仿宋_GB2312" w:cs="方正仿宋_GB2312"/>
          <w:b w:val="0"/>
          <w:bCs w:val="0"/>
          <w:i w:val="0"/>
          <w:iCs w:val="0"/>
          <w:caps w:val="0"/>
          <w:spacing w:val="0"/>
          <w:sz w:val="32"/>
          <w:szCs w:val="32"/>
          <w:shd w:val="clear" w:fill="FFFFFF"/>
        </w:rPr>
        <w:t>春季</w:t>
      </w:r>
      <w:r>
        <w:rPr>
          <w:rStyle w:val="11"/>
          <w:rFonts w:hint="eastAsia" w:ascii="方正仿宋_GB2312" w:hAnsi="方正仿宋_GB2312" w:eastAsia="方正仿宋_GB2312" w:cs="方正仿宋_GB2312"/>
          <w:b w:val="0"/>
          <w:bCs w:val="0"/>
          <w:i w:val="0"/>
          <w:iCs w:val="0"/>
          <w:caps w:val="0"/>
          <w:spacing w:val="0"/>
          <w:sz w:val="32"/>
          <w:szCs w:val="32"/>
          <w:shd w:val="clear" w:fill="FFFFFF"/>
          <w:lang w:eastAsia="zh-CN"/>
        </w:rPr>
        <w:t>、</w:t>
      </w:r>
      <w:r>
        <w:rPr>
          <w:rStyle w:val="11"/>
          <w:rFonts w:hint="eastAsia" w:ascii="方正仿宋_GB2312" w:hAnsi="方正仿宋_GB2312" w:eastAsia="方正仿宋_GB2312" w:cs="方正仿宋_GB2312"/>
          <w:b w:val="0"/>
          <w:bCs w:val="0"/>
          <w:i w:val="0"/>
          <w:iCs w:val="0"/>
          <w:caps w:val="0"/>
          <w:spacing w:val="0"/>
          <w:sz w:val="32"/>
          <w:szCs w:val="32"/>
          <w:shd w:val="clear" w:fill="FFFFFF"/>
        </w:rPr>
        <w:t>秋季雨露计划</w:t>
      </w:r>
      <w:r>
        <w:rPr>
          <w:rFonts w:hint="eastAsia" w:ascii="方正仿宋_GB2312" w:hAnsi="方正仿宋_GB2312" w:eastAsia="方正仿宋_GB2312" w:cs="方正仿宋_GB2312"/>
          <w:b w:val="0"/>
          <w:bCs w:val="0"/>
          <w:i w:val="0"/>
          <w:iCs w:val="0"/>
          <w:caps w:val="0"/>
          <w:color w:val="auto"/>
          <w:spacing w:val="0"/>
          <w:sz w:val="32"/>
          <w:szCs w:val="32"/>
          <w:shd w:val="clear" w:fill="FFFFFF"/>
        </w:rPr>
        <w:t>：</w:t>
      </w:r>
      <w:r>
        <w:rPr>
          <w:rFonts w:hint="eastAsia" w:ascii="方正仿宋_GB2312" w:hAnsi="方正仿宋_GB2312" w:eastAsia="方正仿宋_GB2312" w:cs="方正仿宋_GB2312"/>
          <w:b w:val="0"/>
          <w:bCs w:val="0"/>
          <w:i w:val="0"/>
          <w:iCs w:val="0"/>
          <w:caps w:val="0"/>
          <w:color w:val="auto"/>
          <w:spacing w:val="0"/>
          <w:sz w:val="32"/>
          <w:szCs w:val="32"/>
          <w:shd w:val="clear" w:fill="FFFFFF"/>
          <w:lang w:val="en-US" w:eastAsia="zh-CN"/>
        </w:rPr>
        <w:t>投资35.85</w:t>
      </w:r>
      <w:r>
        <w:rPr>
          <w:rFonts w:hint="eastAsia" w:ascii="方正仿宋_GB2312" w:hAnsi="方正仿宋_GB2312" w:eastAsia="方正仿宋_GB2312" w:cs="方正仿宋_GB2312"/>
          <w:b w:val="0"/>
          <w:bCs w:val="0"/>
          <w:i w:val="0"/>
          <w:iCs w:val="0"/>
          <w:caps w:val="0"/>
          <w:color w:val="auto"/>
          <w:spacing w:val="0"/>
          <w:sz w:val="32"/>
          <w:szCs w:val="32"/>
          <w:shd w:val="clear" w:fill="FFFFFF"/>
        </w:rPr>
        <w:t>万元，资助脱贫家庭学生</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lang w:val="en-US" w:eastAsia="zh-CN"/>
        </w:rPr>
        <w:t>238</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rPr>
        <w:t>人次</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lang w:eastAsia="zh-CN"/>
        </w:rPr>
        <w:t>。</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rPr>
        <w:t>实施效果</w:t>
      </w:r>
      <w:r>
        <w:rPr>
          <w:rFonts w:hint="eastAsia" w:ascii="方正仿宋_GB2312" w:hAnsi="方正仿宋_GB2312" w:eastAsia="方正仿宋_GB2312" w:cs="方正仿宋_GB2312"/>
          <w:b w:val="0"/>
          <w:bCs w:val="0"/>
          <w:i w:val="0"/>
          <w:iCs w:val="0"/>
          <w:caps w:val="0"/>
          <w:color w:val="auto"/>
          <w:spacing w:val="0"/>
          <w:sz w:val="32"/>
          <w:szCs w:val="32"/>
          <w:shd w:val="clear" w:fill="FFFFFF"/>
        </w:rPr>
        <w:t>：确保脱贫家庭学生教育资助全覆盖，义务教育巩固率保持100%</w:t>
      </w:r>
    </w:p>
    <w:p>
      <w:pPr>
        <w:pStyle w:val="5"/>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bCs/>
          <w:i w:val="0"/>
          <w:iCs w:val="0"/>
          <w:caps w:val="0"/>
          <w:color w:val="auto"/>
          <w:spacing w:val="0"/>
          <w:sz w:val="32"/>
          <w:szCs w:val="32"/>
        </w:rPr>
      </w:pPr>
      <w:r>
        <w:rPr>
          <w:rFonts w:hint="eastAsia" w:ascii="方正仿宋_GB2312" w:hAnsi="方正仿宋_GB2312" w:eastAsia="方正仿宋_GB2312" w:cs="方正仿宋_GB2312"/>
          <w:b/>
          <w:bCs/>
          <w:i w:val="0"/>
          <w:iCs w:val="0"/>
          <w:caps w:val="0"/>
          <w:color w:val="auto"/>
          <w:spacing w:val="0"/>
          <w:sz w:val="32"/>
          <w:szCs w:val="32"/>
          <w:shd w:val="clear" w:fill="FFFFFF"/>
        </w:rPr>
        <w:t>2. 就业帮扶类项目（3个）</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Autospacing="0" w:line="576" w:lineRule="exact"/>
        <w:ind w:left="0" w:leftChars="0" w:firstLine="643" w:firstLineChars="200"/>
        <w:jc w:val="left"/>
        <w:textAlignment w:val="auto"/>
        <w:rPr>
          <w:rFonts w:hint="eastAsia" w:ascii="方正仿宋_GB2312" w:hAnsi="方正仿宋_GB2312" w:eastAsia="方正仿宋_GB2312" w:cs="方正仿宋_GB2312"/>
          <w:color w:val="auto"/>
          <w:sz w:val="32"/>
          <w:szCs w:val="32"/>
          <w:lang w:eastAsia="zh-CN"/>
        </w:rPr>
      </w:pPr>
      <w:r>
        <w:rPr>
          <w:rStyle w:val="11"/>
          <w:rFonts w:hint="eastAsia" w:ascii="方正仿宋_GB2312" w:hAnsi="方正仿宋_GB2312" w:eastAsia="方正仿宋_GB2312" w:cs="方正仿宋_GB2312"/>
          <w:b/>
          <w:bCs/>
          <w:i w:val="0"/>
          <w:iCs w:val="0"/>
          <w:caps w:val="0"/>
          <w:color w:val="auto"/>
          <w:spacing w:val="0"/>
          <w:sz w:val="32"/>
          <w:szCs w:val="32"/>
          <w:shd w:val="clear" w:fill="FFFFFF"/>
        </w:rPr>
        <w:t>帮扶车间奖补</w:t>
      </w:r>
      <w:r>
        <w:rPr>
          <w:rFonts w:hint="eastAsia" w:ascii="方正仿宋_GB2312" w:hAnsi="方正仿宋_GB2312" w:eastAsia="方正仿宋_GB2312" w:cs="方正仿宋_GB2312"/>
          <w:i w:val="0"/>
          <w:iCs w:val="0"/>
          <w:caps w:val="0"/>
          <w:color w:val="auto"/>
          <w:spacing w:val="0"/>
          <w:sz w:val="32"/>
          <w:szCs w:val="32"/>
          <w:shd w:val="clear" w:fill="FFFFFF"/>
        </w:rPr>
        <w:t>：</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w:t>
      </w:r>
      <w:r>
        <w:rPr>
          <w:rFonts w:hint="eastAsia" w:ascii="方正仿宋_GB2312" w:hAnsi="方正仿宋_GB2312" w:eastAsia="方正仿宋_GB2312" w:cs="方正仿宋_GB2312"/>
          <w:i w:val="0"/>
          <w:iCs w:val="0"/>
          <w:caps w:val="0"/>
          <w:color w:val="auto"/>
          <w:spacing w:val="0"/>
          <w:sz w:val="32"/>
          <w:szCs w:val="32"/>
          <w:shd w:val="clear" w:fill="FFFFFF"/>
        </w:rPr>
        <w:t>2.58万元，</w:t>
      </w:r>
      <w:r>
        <w:rPr>
          <w:rFonts w:hint="eastAsia" w:ascii="方正仿宋_GB2312" w:hAnsi="方正仿宋_GB2312" w:eastAsia="方正仿宋_GB2312" w:cs="方正仿宋_GB2312"/>
          <w:b w:val="0"/>
          <w:bCs w:val="0"/>
          <w:i w:val="0"/>
          <w:iCs w:val="0"/>
          <w:caps w:val="0"/>
          <w:color w:val="auto"/>
          <w:spacing w:val="0"/>
          <w:sz w:val="32"/>
          <w:szCs w:val="32"/>
          <w:shd w:val="clear" w:fill="FFFFFF"/>
        </w:rPr>
        <w:t>带动就业</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lang w:val="en-US" w:eastAsia="zh-CN"/>
        </w:rPr>
        <w:t>15</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rPr>
        <w:t>人</w:t>
      </w:r>
      <w:r>
        <w:rPr>
          <w:rStyle w:val="11"/>
          <w:rFonts w:hint="eastAsia" w:ascii="方正仿宋_GB2312" w:hAnsi="方正仿宋_GB2312" w:eastAsia="方正仿宋_GB2312" w:cs="方正仿宋_GB2312"/>
          <w:b w:val="0"/>
          <w:bCs w:val="0"/>
          <w:i w:val="0"/>
          <w:iCs w:val="0"/>
          <w:caps w:val="0"/>
          <w:color w:val="auto"/>
          <w:spacing w:val="0"/>
          <w:sz w:val="32"/>
          <w:szCs w:val="32"/>
          <w:shd w:val="clear" w:fill="FFFFFF"/>
          <w:lang w:eastAsia="zh-CN"/>
        </w:rPr>
        <w:t>。</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Autospacing="0" w:line="576" w:lineRule="exact"/>
        <w:ind w:left="0" w:leftChars="0" w:firstLine="643" w:firstLineChars="200"/>
        <w:jc w:val="left"/>
        <w:textAlignment w:val="auto"/>
        <w:rPr>
          <w:rFonts w:hint="eastAsia" w:ascii="方正仿宋_GB2312" w:hAnsi="方正仿宋_GB2312" w:eastAsia="方正仿宋_GB2312" w:cs="方正仿宋_GB2312"/>
          <w:color w:val="auto"/>
          <w:sz w:val="32"/>
          <w:szCs w:val="32"/>
          <w:lang w:val="en-US" w:eastAsia="zh-CN"/>
        </w:rPr>
      </w:pPr>
      <w:r>
        <w:rPr>
          <w:rStyle w:val="11"/>
          <w:rFonts w:hint="eastAsia" w:ascii="方正仿宋_GB2312" w:hAnsi="方正仿宋_GB2312" w:eastAsia="方正仿宋_GB2312" w:cs="方正仿宋_GB2312"/>
          <w:b/>
          <w:bCs/>
          <w:i w:val="0"/>
          <w:iCs w:val="0"/>
          <w:caps w:val="0"/>
          <w:color w:val="auto"/>
          <w:spacing w:val="0"/>
          <w:sz w:val="32"/>
          <w:szCs w:val="32"/>
          <w:shd w:val="clear" w:fill="FFFFFF"/>
        </w:rPr>
        <w:t>公益岗位补贴</w:t>
      </w:r>
      <w:r>
        <w:rPr>
          <w:rFonts w:hint="eastAsia" w:ascii="方正仿宋_GB2312" w:hAnsi="方正仿宋_GB2312" w:eastAsia="方正仿宋_GB2312" w:cs="方正仿宋_GB2312"/>
          <w:i w:val="0"/>
          <w:iCs w:val="0"/>
          <w:caps w:val="0"/>
          <w:color w:val="auto"/>
          <w:spacing w:val="0"/>
          <w:sz w:val="32"/>
          <w:szCs w:val="32"/>
          <w:shd w:val="clear" w:fill="FFFFFF"/>
        </w:rPr>
        <w:t>：</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投资250.64</w:t>
      </w:r>
      <w:r>
        <w:rPr>
          <w:rFonts w:hint="eastAsia" w:ascii="方正仿宋_GB2312" w:hAnsi="方正仿宋_GB2312" w:eastAsia="方正仿宋_GB2312" w:cs="方正仿宋_GB2312"/>
          <w:i w:val="0"/>
          <w:iCs w:val="0"/>
          <w:caps w:val="0"/>
          <w:color w:val="auto"/>
          <w:spacing w:val="0"/>
          <w:sz w:val="32"/>
          <w:szCs w:val="32"/>
          <w:shd w:val="clear" w:fill="FFFFFF"/>
        </w:rPr>
        <w:t>万元，开发岗位</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1200</w:t>
      </w:r>
      <w:r>
        <w:rPr>
          <w:rFonts w:hint="eastAsia" w:ascii="方正仿宋_GB2312" w:hAnsi="方正仿宋_GB2312" w:eastAsia="方正仿宋_GB2312" w:cs="方正仿宋_GB2312"/>
          <w:i w:val="0"/>
          <w:iCs w:val="0"/>
          <w:caps w:val="0"/>
          <w:color w:val="auto"/>
          <w:spacing w:val="0"/>
          <w:sz w:val="32"/>
          <w:szCs w:val="32"/>
          <w:shd w:val="clear" w:fill="FFFFFF"/>
        </w:rPr>
        <w:t>个</w:t>
      </w:r>
      <w:r>
        <w:rPr>
          <w:rStyle w:val="11"/>
          <w:rFonts w:hint="eastAsia" w:ascii="方正仿宋_GB2312" w:hAnsi="方正仿宋_GB2312" w:eastAsia="方正仿宋_GB2312" w:cs="方正仿宋_GB2312"/>
          <w:b/>
          <w:bCs/>
          <w:i w:val="0"/>
          <w:iCs w:val="0"/>
          <w:caps w:val="0"/>
          <w:color w:val="auto"/>
          <w:spacing w:val="0"/>
          <w:sz w:val="32"/>
          <w:szCs w:val="32"/>
          <w:shd w:val="clear" w:fill="FFFFFF"/>
          <w:lang w:eastAsia="zh-CN"/>
        </w:rPr>
        <w:t>。</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Autospacing="0" w:line="576" w:lineRule="exact"/>
        <w:ind w:left="0" w:leftChars="0" w:firstLine="643" w:firstLineChars="200"/>
        <w:jc w:val="left"/>
        <w:textAlignment w:val="auto"/>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pPr>
      <w:r>
        <w:rPr>
          <w:rStyle w:val="11"/>
          <w:rFonts w:hint="eastAsia" w:ascii="方正仿宋_GB2312" w:hAnsi="方正仿宋_GB2312" w:eastAsia="方正仿宋_GB2312" w:cs="方正仿宋_GB2312"/>
          <w:b/>
          <w:bCs/>
          <w:i w:val="0"/>
          <w:iCs w:val="0"/>
          <w:caps w:val="0"/>
          <w:color w:val="auto"/>
          <w:spacing w:val="0"/>
          <w:sz w:val="32"/>
          <w:szCs w:val="32"/>
          <w:shd w:val="clear" w:fill="FFFFFF"/>
        </w:rPr>
        <w:t>交通补助项目</w:t>
      </w:r>
      <w:r>
        <w:rPr>
          <w:rFonts w:hint="eastAsia" w:ascii="方正仿宋_GB2312" w:hAnsi="方正仿宋_GB2312" w:eastAsia="方正仿宋_GB2312" w:cs="方正仿宋_GB2312"/>
          <w:i w:val="0"/>
          <w:iCs w:val="0"/>
          <w:caps w:val="0"/>
          <w:color w:val="auto"/>
          <w:spacing w:val="0"/>
          <w:sz w:val="32"/>
          <w:szCs w:val="32"/>
          <w:shd w:val="clear" w:fill="FFFFFF"/>
        </w:rPr>
        <w:t>：</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投资15.1</w:t>
      </w:r>
      <w:r>
        <w:rPr>
          <w:rFonts w:hint="eastAsia" w:ascii="方正仿宋_GB2312" w:hAnsi="方正仿宋_GB2312" w:eastAsia="方正仿宋_GB2312" w:cs="方正仿宋_GB2312"/>
          <w:i w:val="0"/>
          <w:iCs w:val="0"/>
          <w:caps w:val="0"/>
          <w:color w:val="auto"/>
          <w:spacing w:val="0"/>
          <w:sz w:val="32"/>
          <w:szCs w:val="32"/>
          <w:shd w:val="clear" w:fill="FFFFFF"/>
        </w:rPr>
        <w:t>万元，补助务工人员</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456</w:t>
      </w:r>
      <w:r>
        <w:rPr>
          <w:rFonts w:hint="eastAsia" w:ascii="方正仿宋_GB2312" w:hAnsi="方正仿宋_GB2312" w:eastAsia="方正仿宋_GB2312" w:cs="方正仿宋_GB2312"/>
          <w:i w:val="0"/>
          <w:iCs w:val="0"/>
          <w:caps w:val="0"/>
          <w:color w:val="auto"/>
          <w:spacing w:val="0"/>
          <w:sz w:val="32"/>
          <w:szCs w:val="32"/>
          <w:shd w:val="clear" w:fill="FFFFFF"/>
        </w:rPr>
        <w:t>人</w:t>
      </w:r>
      <w:r>
        <w:rPr>
          <w:rFonts w:hint="eastAsia" w:ascii="方正仿宋_GB2312" w:hAnsi="方正仿宋_GB2312" w:eastAsia="方正仿宋_GB2312" w:cs="方正仿宋_GB2312"/>
          <w:i w:val="0"/>
          <w:iCs w:val="0"/>
          <w:caps w:val="0"/>
          <w:color w:val="auto"/>
          <w:spacing w:val="0"/>
          <w:sz w:val="32"/>
          <w:szCs w:val="32"/>
          <w:shd w:val="clear" w:fill="FFFFFF"/>
          <w:lang w:eastAsia="zh-CN"/>
        </w:rPr>
        <w:t>。</w:t>
      </w:r>
    </w:p>
    <w:p>
      <w:pPr>
        <w:pStyle w:val="5"/>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bCs/>
          <w:i w:val="0"/>
          <w:iCs w:val="0"/>
          <w:caps w:val="0"/>
          <w:color w:val="auto"/>
          <w:spacing w:val="0"/>
          <w:sz w:val="32"/>
          <w:szCs w:val="32"/>
        </w:rPr>
      </w:pPr>
      <w:r>
        <w:rPr>
          <w:rFonts w:hint="eastAsia" w:ascii="方正仿宋_GB2312" w:hAnsi="方正仿宋_GB2312" w:eastAsia="方正仿宋_GB2312" w:cs="方正仿宋_GB2312"/>
          <w:b/>
          <w:bCs/>
          <w:i w:val="0"/>
          <w:iCs w:val="0"/>
          <w:caps w:val="0"/>
          <w:color w:val="auto"/>
          <w:spacing w:val="0"/>
          <w:sz w:val="32"/>
          <w:szCs w:val="32"/>
          <w:shd w:val="clear" w:fill="FFFFFF"/>
        </w:rPr>
        <w:t>3. 产业发展类项目（1</w:t>
      </w:r>
      <w:r>
        <w:rPr>
          <w:rFonts w:hint="eastAsia" w:ascii="方正仿宋_GB2312" w:hAnsi="方正仿宋_GB2312" w:eastAsia="方正仿宋_GB2312" w:cs="方正仿宋_GB2312"/>
          <w:b/>
          <w:bCs/>
          <w:i w:val="0"/>
          <w:iCs w:val="0"/>
          <w:caps w:val="0"/>
          <w:color w:val="auto"/>
          <w:spacing w:val="0"/>
          <w:sz w:val="32"/>
          <w:szCs w:val="32"/>
          <w:shd w:val="clear" w:fill="FFFFFF"/>
          <w:lang w:val="en-US" w:eastAsia="zh-CN"/>
        </w:rPr>
        <w:t>4</w:t>
      </w:r>
      <w:r>
        <w:rPr>
          <w:rFonts w:hint="eastAsia" w:ascii="方正仿宋_GB2312" w:hAnsi="方正仿宋_GB2312" w:eastAsia="方正仿宋_GB2312" w:cs="方正仿宋_GB2312"/>
          <w:b/>
          <w:bCs/>
          <w:i w:val="0"/>
          <w:iCs w:val="0"/>
          <w:caps w:val="0"/>
          <w:color w:val="auto"/>
          <w:spacing w:val="0"/>
          <w:sz w:val="32"/>
          <w:szCs w:val="32"/>
          <w:shd w:val="clear" w:fill="FFFFFF"/>
        </w:rPr>
        <w:t>个）</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Autospacing="0" w:line="576" w:lineRule="exact"/>
        <w:ind w:left="0" w:leftChars="0" w:firstLine="643" w:firstLineChars="200"/>
        <w:jc w:val="left"/>
        <w:textAlignment w:val="auto"/>
        <w:rPr>
          <w:rFonts w:hint="eastAsia" w:ascii="方正仿宋_GB2312" w:hAnsi="方正仿宋_GB2312" w:eastAsia="方正仿宋_GB2312" w:cs="方正仿宋_GB2312"/>
          <w:color w:val="auto"/>
          <w:sz w:val="32"/>
          <w:szCs w:val="32"/>
          <w:lang w:eastAsia="zh-CN"/>
        </w:rPr>
      </w:pPr>
      <w:r>
        <w:rPr>
          <w:rStyle w:val="11"/>
          <w:rFonts w:hint="eastAsia" w:ascii="方正仿宋_GB2312" w:hAnsi="方正仿宋_GB2312" w:eastAsia="方正仿宋_GB2312" w:cs="方正仿宋_GB2312"/>
          <w:b/>
          <w:bCs/>
          <w:i w:val="0"/>
          <w:iCs w:val="0"/>
          <w:caps w:val="0"/>
          <w:color w:val="auto"/>
          <w:spacing w:val="0"/>
          <w:sz w:val="32"/>
          <w:szCs w:val="32"/>
          <w:shd w:val="clear" w:fill="FFFFFF"/>
          <w:lang w:val="en-US" w:eastAsia="zh-CN"/>
        </w:rPr>
        <w:t>重点</w:t>
      </w:r>
      <w:r>
        <w:rPr>
          <w:rStyle w:val="11"/>
          <w:rFonts w:hint="eastAsia" w:ascii="方正仿宋_GB2312" w:hAnsi="方正仿宋_GB2312" w:eastAsia="方正仿宋_GB2312" w:cs="方正仿宋_GB2312"/>
          <w:b/>
          <w:bCs/>
          <w:i w:val="0"/>
          <w:iCs w:val="0"/>
          <w:caps w:val="0"/>
          <w:color w:val="auto"/>
          <w:spacing w:val="0"/>
          <w:sz w:val="32"/>
          <w:szCs w:val="32"/>
          <w:shd w:val="clear" w:fill="FFFFFF"/>
        </w:rPr>
        <w:t>项目</w:t>
      </w:r>
      <w:r>
        <w:rPr>
          <w:rFonts w:hint="eastAsia" w:ascii="方正仿宋_GB2312" w:hAnsi="方正仿宋_GB2312" w:eastAsia="方正仿宋_GB2312" w:cs="方正仿宋_GB2312"/>
          <w:i w:val="0"/>
          <w:iCs w:val="0"/>
          <w:caps w:val="0"/>
          <w:color w:val="auto"/>
          <w:spacing w:val="0"/>
          <w:sz w:val="32"/>
          <w:szCs w:val="32"/>
          <w:shd w:val="clear" w:fill="FFFFFF"/>
        </w:rPr>
        <w:t>：水木年华亲子营地建设</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w:t>
      </w:r>
      <w:r>
        <w:rPr>
          <w:rFonts w:hint="eastAsia" w:ascii="方正仿宋_GB2312" w:hAnsi="方正仿宋_GB2312" w:eastAsia="方正仿宋_GB2312" w:cs="方正仿宋_GB2312"/>
          <w:i w:val="0"/>
          <w:iCs w:val="0"/>
          <w:caps w:val="0"/>
          <w:color w:val="auto"/>
          <w:spacing w:val="0"/>
          <w:sz w:val="32"/>
          <w:szCs w:val="32"/>
          <w:shd w:val="clear" w:fill="FFFFFF"/>
        </w:rPr>
        <w:t>207万元</w:t>
      </w:r>
      <w:r>
        <w:rPr>
          <w:rFonts w:hint="eastAsia" w:ascii="方正仿宋_GB2312" w:hAnsi="方正仿宋_GB2312" w:eastAsia="方正仿宋_GB2312" w:cs="方正仿宋_GB2312"/>
          <w:i w:val="0"/>
          <w:iCs w:val="0"/>
          <w:caps w:val="0"/>
          <w:color w:val="auto"/>
          <w:spacing w:val="0"/>
          <w:sz w:val="32"/>
          <w:szCs w:val="32"/>
          <w:shd w:val="clear" w:fill="FFFFFF"/>
          <w:lang w:eastAsia="zh-CN"/>
        </w:rPr>
        <w:t>，双河镇与吉林卓远农业发展有限公司合作发展农业综合开发利用项目</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500万元，一拉溪镇</w:t>
      </w:r>
      <w:r>
        <w:rPr>
          <w:rFonts w:hint="eastAsia" w:ascii="方正仿宋_GB2312" w:hAnsi="方正仿宋_GB2312" w:eastAsia="方正仿宋_GB2312" w:cs="方正仿宋_GB2312"/>
          <w:i w:val="0"/>
          <w:iCs w:val="0"/>
          <w:caps w:val="0"/>
          <w:color w:val="auto"/>
          <w:spacing w:val="0"/>
          <w:sz w:val="32"/>
          <w:szCs w:val="32"/>
          <w:shd w:val="clear" w:fill="FFFFFF"/>
        </w:rPr>
        <w:t>与吉林卓远农业发展有限公司合作发展农业综合开发利用项目</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w:t>
      </w:r>
      <w:r>
        <w:rPr>
          <w:rFonts w:hint="eastAsia" w:ascii="方正仿宋_GB2312" w:hAnsi="方正仿宋_GB2312" w:eastAsia="方正仿宋_GB2312" w:cs="方正仿宋_GB2312"/>
          <w:i w:val="0"/>
          <w:iCs w:val="0"/>
          <w:caps w:val="0"/>
          <w:color w:val="auto"/>
          <w:spacing w:val="0"/>
          <w:sz w:val="32"/>
          <w:szCs w:val="32"/>
          <w:shd w:val="clear" w:fill="FFFFFF"/>
        </w:rPr>
        <w:t>900万元</w:t>
      </w:r>
      <w:r>
        <w:rPr>
          <w:rFonts w:hint="eastAsia" w:ascii="方正仿宋_GB2312" w:hAnsi="方正仿宋_GB2312" w:eastAsia="方正仿宋_GB2312" w:cs="方正仿宋_GB2312"/>
          <w:i w:val="0"/>
          <w:iCs w:val="0"/>
          <w:caps w:val="0"/>
          <w:color w:val="auto"/>
          <w:spacing w:val="0"/>
          <w:sz w:val="32"/>
          <w:szCs w:val="32"/>
          <w:shd w:val="clear" w:fill="FFFFFF"/>
          <w:lang w:eastAsia="zh-CN"/>
        </w:rPr>
        <w:t>，</w:t>
      </w:r>
      <w:r>
        <w:rPr>
          <w:rFonts w:hint="eastAsia" w:ascii="方正仿宋_GB2312" w:hAnsi="方正仿宋_GB2312" w:eastAsia="方正仿宋_GB2312" w:cs="方正仿宋_GB2312"/>
          <w:i w:val="0"/>
          <w:iCs w:val="0"/>
          <w:caps w:val="0"/>
          <w:color w:val="auto"/>
          <w:spacing w:val="0"/>
          <w:sz w:val="32"/>
          <w:szCs w:val="32"/>
          <w:shd w:val="clear" w:fill="FFFFFF"/>
        </w:rPr>
        <w:t>庭院经济奖励项目</w:t>
      </w:r>
      <w:r>
        <w:rPr>
          <w:rFonts w:hint="eastAsia" w:ascii="方正仿宋_GB2312" w:hAnsi="方正仿宋_GB2312" w:eastAsia="方正仿宋_GB2312" w:cs="方正仿宋_GB2312"/>
          <w:i w:val="0"/>
          <w:iCs w:val="0"/>
          <w:caps w:val="0"/>
          <w:color w:val="auto"/>
          <w:spacing w:val="0"/>
          <w:sz w:val="32"/>
          <w:szCs w:val="32"/>
          <w:shd w:val="clear" w:fill="FFFFFF"/>
          <w:lang w:val="en-US" w:eastAsia="zh-CN"/>
        </w:rPr>
        <w:t>投资383.85</w:t>
      </w:r>
      <w:r>
        <w:rPr>
          <w:rFonts w:hint="eastAsia" w:ascii="方正仿宋_GB2312" w:hAnsi="方正仿宋_GB2312" w:eastAsia="方正仿宋_GB2312" w:cs="方正仿宋_GB2312"/>
          <w:i w:val="0"/>
          <w:iCs w:val="0"/>
          <w:caps w:val="0"/>
          <w:color w:val="auto"/>
          <w:spacing w:val="0"/>
          <w:sz w:val="32"/>
          <w:szCs w:val="32"/>
          <w:shd w:val="clear" w:fill="FFFFFF"/>
        </w:rPr>
        <w:t>万元</w:t>
      </w:r>
      <w:r>
        <w:rPr>
          <w:rFonts w:hint="eastAsia" w:ascii="方正仿宋_GB2312" w:hAnsi="方正仿宋_GB2312" w:eastAsia="方正仿宋_GB2312" w:cs="方正仿宋_GB2312"/>
          <w:i w:val="0"/>
          <w:iCs w:val="0"/>
          <w:caps w:val="0"/>
          <w:color w:val="auto"/>
          <w:spacing w:val="0"/>
          <w:sz w:val="32"/>
          <w:szCs w:val="32"/>
          <w:shd w:val="clear" w:fill="FFFFFF"/>
          <w:lang w:eastAsia="zh-CN"/>
        </w:rPr>
        <w:t>。</w:t>
      </w:r>
    </w:p>
    <w:p>
      <w:pPr>
        <w:pStyle w:val="5"/>
        <w:keepNext w:val="0"/>
        <w:keepLines w:val="0"/>
        <w:pageBreakBefore w:val="0"/>
        <w:widowControl/>
        <w:numPr>
          <w:ilvl w:val="0"/>
          <w:numId w:val="4"/>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val="0"/>
          <w:bCs w:val="0"/>
          <w:i w:val="0"/>
          <w:iCs w:val="0"/>
          <w:caps w:val="0"/>
          <w:color w:val="auto"/>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color w:val="auto"/>
          <w:spacing w:val="0"/>
          <w:sz w:val="32"/>
          <w:szCs w:val="32"/>
          <w:shd w:val="clear" w:fill="FFFFFF"/>
        </w:rPr>
        <w:t>乡村建设项目（</w:t>
      </w:r>
      <w:r>
        <w:rPr>
          <w:rFonts w:hint="eastAsia" w:ascii="方正仿宋_GB2312" w:hAnsi="方正仿宋_GB2312" w:eastAsia="方正仿宋_GB2312" w:cs="方正仿宋_GB2312"/>
          <w:b/>
          <w:bCs/>
          <w:i w:val="0"/>
          <w:iCs w:val="0"/>
          <w:caps w:val="0"/>
          <w:color w:val="auto"/>
          <w:spacing w:val="0"/>
          <w:sz w:val="32"/>
          <w:szCs w:val="32"/>
          <w:shd w:val="clear" w:fill="FFFFFF"/>
          <w:lang w:val="en-US" w:eastAsia="zh-CN"/>
        </w:rPr>
        <w:t>10</w:t>
      </w:r>
      <w:r>
        <w:rPr>
          <w:rFonts w:hint="eastAsia" w:ascii="方正仿宋_GB2312" w:hAnsi="方正仿宋_GB2312" w:eastAsia="方正仿宋_GB2312" w:cs="方正仿宋_GB2312"/>
          <w:b/>
          <w:bCs/>
          <w:i w:val="0"/>
          <w:iCs w:val="0"/>
          <w:caps w:val="0"/>
          <w:color w:val="auto"/>
          <w:spacing w:val="0"/>
          <w:sz w:val="32"/>
          <w:szCs w:val="32"/>
          <w:shd w:val="clear" w:fill="FFFFFF"/>
        </w:rPr>
        <w:t>个）</w:t>
      </w:r>
      <w:r>
        <w:rPr>
          <w:rFonts w:hint="eastAsia" w:ascii="方正仿宋_GB2312" w:hAnsi="方正仿宋_GB2312" w:eastAsia="方正仿宋_GB2312" w:cs="方正仿宋_GB2312"/>
          <w:b/>
          <w:bCs/>
          <w:i w:val="0"/>
          <w:iCs w:val="0"/>
          <w:caps w:val="0"/>
          <w:color w:val="auto"/>
          <w:spacing w:val="0"/>
          <w:sz w:val="32"/>
          <w:szCs w:val="32"/>
          <w:shd w:val="clear" w:fill="FFFFFF"/>
          <w:lang w:eastAsia="zh-CN"/>
        </w:rPr>
        <w:t>，</w:t>
      </w:r>
      <w:r>
        <w:rPr>
          <w:rFonts w:hint="eastAsia" w:ascii="方正仿宋_GB2312" w:hAnsi="方正仿宋_GB2312" w:eastAsia="方正仿宋_GB2312" w:cs="方正仿宋_GB2312"/>
          <w:b w:val="0"/>
          <w:bCs w:val="0"/>
          <w:i w:val="0"/>
          <w:iCs w:val="0"/>
          <w:caps w:val="0"/>
          <w:color w:val="auto"/>
          <w:spacing w:val="0"/>
          <w:sz w:val="32"/>
          <w:szCs w:val="32"/>
          <w:shd w:val="clear" w:fill="FFFFFF"/>
          <w:lang w:val="en-US" w:eastAsia="zh-CN"/>
        </w:rPr>
        <w:t>总投资1672.20万元。</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beforeAutospacing="0" w:afterAutospacing="0" w:line="576" w:lineRule="exact"/>
        <w:ind w:left="0" w:leftChars="0" w:firstLine="643" w:firstLineChars="200"/>
        <w:jc w:val="left"/>
        <w:textAlignment w:val="auto"/>
        <w:rPr>
          <w:rFonts w:hint="default" w:ascii="方正仿宋_GB2312" w:hAnsi="方正仿宋_GB2312" w:eastAsia="方正仿宋_GB2312" w:cs="方正仿宋_GB2312"/>
          <w:i w:val="0"/>
          <w:iCs w:val="0"/>
          <w:caps w:val="0"/>
          <w:spacing w:val="0"/>
          <w:sz w:val="32"/>
          <w:szCs w:val="32"/>
          <w:shd w:val="clear" w:fill="FFFFFF"/>
          <w:lang w:val="en-US" w:eastAsia="zh-CN"/>
        </w:rPr>
      </w:pPr>
      <w:r>
        <w:rPr>
          <w:rFonts w:hint="eastAsia" w:ascii="方正仿宋_GB2312" w:hAnsi="方正仿宋_GB2312" w:eastAsia="方正仿宋_GB2312" w:cs="方正仿宋_GB2312"/>
          <w:b/>
          <w:bCs/>
          <w:i w:val="0"/>
          <w:iCs w:val="0"/>
          <w:caps w:val="0"/>
          <w:spacing w:val="0"/>
          <w:sz w:val="32"/>
          <w:szCs w:val="32"/>
          <w:shd w:val="clear" w:fill="FFFFFF"/>
          <w:lang w:val="en-US" w:eastAsia="zh-CN"/>
        </w:rPr>
        <w:t>重点项目：</w:t>
      </w:r>
      <w:r>
        <w:rPr>
          <w:rFonts w:hint="eastAsia" w:ascii="方正仿宋_GB2312" w:hAnsi="方正仿宋_GB2312" w:eastAsia="方正仿宋_GB2312" w:cs="方正仿宋_GB2312"/>
          <w:i w:val="0"/>
          <w:iCs w:val="0"/>
          <w:caps w:val="0"/>
          <w:spacing w:val="0"/>
          <w:sz w:val="32"/>
          <w:szCs w:val="32"/>
          <w:shd w:val="clear" w:fill="FFFFFF"/>
          <w:lang w:val="en-US" w:eastAsia="zh-CN"/>
        </w:rPr>
        <w:t>2024年永吉县百村示范基础设施建设项目450万元，一拉溪镇北阳村基础设施建设项目194万元，金家满族乡莲花村基础设施项目184.02万元，新立村基础设施提升项目198.39万元，永吉县口前镇镇西村基础设施建设项目190万元</w:t>
      </w:r>
    </w:p>
    <w:p>
      <w:pPr>
        <w:pStyle w:val="3"/>
        <w:keepNext w:val="0"/>
        <w:keepLines w:val="0"/>
        <w:pageBreakBefore w:val="0"/>
        <w:widowControl/>
        <w:numPr>
          <w:ilvl w:val="0"/>
          <w:numId w:val="2"/>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rightChars="0" w:firstLine="640" w:firstLineChars="200"/>
        <w:jc w:val="left"/>
        <w:textAlignment w:val="auto"/>
        <w:outlineLvl w:val="1"/>
        <w:rPr>
          <w:rFonts w:hint="eastAsia" w:ascii="黑体" w:hAnsi="黑体" w:eastAsia="黑体" w:cs="黑体"/>
          <w:b w:val="0"/>
          <w:bCs w:val="0"/>
          <w:i w:val="0"/>
          <w:iCs w:val="0"/>
          <w:caps w:val="0"/>
          <w:spacing w:val="0"/>
          <w:sz w:val="32"/>
          <w:szCs w:val="32"/>
          <w:shd w:val="clear" w:fill="FFFFFF"/>
        </w:rPr>
      </w:pPr>
      <w:r>
        <w:rPr>
          <w:rFonts w:hint="eastAsia" w:ascii="黑体" w:hAnsi="黑体" w:eastAsia="黑体" w:cs="黑体"/>
          <w:b w:val="0"/>
          <w:bCs w:val="0"/>
          <w:i w:val="0"/>
          <w:iCs w:val="0"/>
          <w:caps w:val="0"/>
          <w:spacing w:val="0"/>
          <w:sz w:val="32"/>
          <w:szCs w:val="32"/>
          <w:shd w:val="clear" w:fill="FFFFFF"/>
        </w:rPr>
        <w:t>绩效目标完成情况</w:t>
      </w:r>
    </w:p>
    <w:p>
      <w:pPr>
        <w:pStyle w:val="3"/>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spacing w:before="0" w:beforeAutospacing="0" w:after="0" w:afterAutospacing="0" w:line="576" w:lineRule="exact"/>
        <w:ind w:left="0" w:leftChars="0" w:right="0" w:rightChars="0" w:firstLine="643" w:firstLineChars="200"/>
        <w:jc w:val="left"/>
        <w:textAlignment w:val="auto"/>
        <w:outlineLvl w:val="1"/>
        <w:rPr>
          <w:rFonts w:hint="eastAsia" w:ascii="方正仿宋_GB2312" w:hAnsi="方正仿宋_GB2312" w:eastAsia="方正仿宋_GB2312" w:cs="方正仿宋_GB2312"/>
          <w:b/>
          <w:bCs/>
          <w:i w:val="0"/>
          <w:iCs w:val="0"/>
          <w:caps w:val="0"/>
          <w:spacing w:val="0"/>
          <w:sz w:val="32"/>
          <w:szCs w:val="32"/>
          <w:shd w:val="clear" w:fill="FFFFFF"/>
        </w:rPr>
      </w:pPr>
      <w:r>
        <w:rPr>
          <w:rFonts w:hint="eastAsia" w:ascii="方正仿宋_GB2312" w:hAnsi="方正仿宋_GB2312" w:eastAsia="方正仿宋_GB2312" w:cs="方正仿宋_GB2312"/>
          <w:b/>
          <w:bCs/>
          <w:i w:val="0"/>
          <w:iCs w:val="0"/>
          <w:caps w:val="0"/>
          <w:spacing w:val="0"/>
          <w:sz w:val="32"/>
          <w:szCs w:val="32"/>
          <w:shd w:val="clear" w:fill="FFFFFF"/>
        </w:rPr>
        <w:t>产出指标</w:t>
      </w:r>
    </w:p>
    <w:p>
      <w:pPr>
        <w:keepNext w:val="0"/>
        <w:keepLines w:val="0"/>
        <w:pageBreakBefore w:val="0"/>
        <w:numPr>
          <w:ilvl w:val="0"/>
          <w:numId w:val="0"/>
        </w:numPr>
        <w:kinsoku/>
        <w:overflowPunct/>
        <w:topLinePunct w:val="0"/>
        <w:autoSpaceDE/>
        <w:autoSpaceDN/>
        <w:bidi w:val="0"/>
        <w:adjustRightInd/>
        <w:snapToGrid/>
        <w:spacing w:line="576" w:lineRule="exact"/>
        <w:ind w:left="0" w:leftChars="0" w:firstLine="640" w:firstLineChars="200"/>
        <w:textAlignment w:val="auto"/>
        <w:rPr>
          <w:rFonts w:hint="eastAsia"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对29个项目联农带农、补贴数量、资助数量、收益使用、奖补资金发放等环节进行逐一核查，设定的产出指标全部完成，未发现较大偏离。</w:t>
      </w:r>
    </w:p>
    <w:p>
      <w:pPr>
        <w:keepNext w:val="0"/>
        <w:keepLines w:val="0"/>
        <w:pageBreakBefore w:val="0"/>
        <w:numPr>
          <w:ilvl w:val="0"/>
          <w:numId w:val="0"/>
        </w:numPr>
        <w:kinsoku/>
        <w:overflowPunct/>
        <w:topLinePunct w:val="0"/>
        <w:autoSpaceDE/>
        <w:autoSpaceDN/>
        <w:bidi w:val="0"/>
        <w:adjustRightInd/>
        <w:snapToGrid/>
        <w:spacing w:line="576" w:lineRule="exact"/>
        <w:ind w:left="0" w:leftChars="0" w:firstLine="640" w:firstLineChars="200"/>
        <w:textAlignment w:val="auto"/>
        <w:rPr>
          <w:rFonts w:hint="default" w:ascii="方正仿宋_GB2312" w:hAnsi="方正仿宋_GB2312" w:eastAsia="方正仿宋_GB2312" w:cs="方正仿宋_GB2312"/>
          <w:sz w:val="32"/>
          <w:szCs w:val="32"/>
          <w:lang w:val="en-US" w:eastAsia="zh-CN"/>
        </w:rPr>
      </w:pPr>
      <w:r>
        <w:rPr>
          <w:rFonts w:hint="eastAsia" w:ascii="方正仿宋_GB2312" w:hAnsi="方正仿宋_GB2312" w:eastAsia="方正仿宋_GB2312" w:cs="方正仿宋_GB2312"/>
          <w:sz w:val="32"/>
          <w:szCs w:val="32"/>
          <w:lang w:val="en-US" w:eastAsia="zh-CN"/>
        </w:rPr>
        <w:t>重点项目情况：庭院经济项目各类作物种植面积达到1200亩，家禽、家畜养殖数量达到30000只（羽毛）。一拉溪镇与吉林卓远农业发展有限公司合作发展农业综合开发利用项目受益人口数量达到1102人。北大湖镇小山村基础设施建设项目新建改建公路里程6000平方米，新增硬化路里程1650平方米。永吉县口前镇镇西村基础设施建设项目新建改建公路里程0.5公里，新增边沟里程1公里。项目验收合格率为100%，项目（工程）完成及时率为100%.</w:t>
      </w:r>
    </w:p>
    <w:p>
      <w:pPr>
        <w:pStyle w:val="4"/>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pPr>
      <w:r>
        <w:rPr>
          <w:rFonts w:hint="eastAsia" w:ascii="方正仿宋_GB2312" w:hAnsi="方正仿宋_GB2312" w:eastAsia="方正仿宋_GB2312" w:cs="方正仿宋_GB2312"/>
          <w:b/>
          <w:bCs/>
          <w:i w:val="0"/>
          <w:iCs w:val="0"/>
          <w:caps w:val="0"/>
          <w:spacing w:val="0"/>
          <w:kern w:val="0"/>
          <w:sz w:val="32"/>
          <w:szCs w:val="32"/>
          <w:shd w:val="clear" w:fill="FFFFFF"/>
          <w:lang w:val="en-US" w:eastAsia="zh-CN" w:bidi="ar"/>
        </w:rPr>
        <w:t>效益指标</w:t>
      </w:r>
    </w:p>
    <w:p>
      <w:pPr>
        <w:pStyle w:val="4"/>
        <w:keepNext w:val="0"/>
        <w:keepLines w:val="0"/>
        <w:pageBreakBefore w:val="0"/>
        <w:widowControl/>
        <w:numPr>
          <w:ilvl w:val="0"/>
          <w:numId w:val="0"/>
        </w:numPr>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rightChars="0" w:firstLine="640" w:firstLineChars="200"/>
        <w:jc w:val="left"/>
        <w:textAlignment w:val="auto"/>
        <w:outlineLvl w:val="2"/>
        <w:rPr>
          <w:rFonts w:hint="eastAsia" w:ascii="方正仿宋_GB2312" w:hAnsi="方正仿宋_GB2312" w:eastAsia="方正仿宋_GB2312" w:cs="方正仿宋_GB2312"/>
          <w:b w:val="0"/>
          <w:bCs w:val="0"/>
          <w:kern w:val="2"/>
          <w:sz w:val="32"/>
          <w:szCs w:val="32"/>
          <w:lang w:val="en-US" w:eastAsia="zh-CN" w:bidi="ar-SA"/>
        </w:rPr>
      </w:pPr>
      <w:r>
        <w:rPr>
          <w:rFonts w:hint="eastAsia" w:ascii="方正仿宋_GB2312" w:hAnsi="方正仿宋_GB2312" w:eastAsia="方正仿宋_GB2312" w:cs="方正仿宋_GB2312"/>
          <w:b w:val="0"/>
          <w:bCs w:val="0"/>
          <w:kern w:val="2"/>
          <w:sz w:val="32"/>
          <w:szCs w:val="32"/>
          <w:lang w:val="en-US" w:eastAsia="zh-CN" w:bidi="ar-SA"/>
        </w:rPr>
        <w:t>通过实地走访，电话核查，查阅档案材料等方式对，效益指标完成情况进行了自评，设定的产出指标全部完成，未发现指标较大偏离的问题。</w:t>
      </w:r>
    </w:p>
    <w:p>
      <w:pPr>
        <w:pStyle w:val="4"/>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default" w:ascii="方正仿宋_GB2312" w:hAnsi="方正仿宋_GB2312" w:eastAsia="方正仿宋_GB2312" w:cs="方正仿宋_GB2312"/>
          <w:b w:val="0"/>
          <w:bCs w:val="0"/>
          <w:i w:val="0"/>
          <w:iCs w:val="0"/>
          <w:caps w:val="0"/>
          <w:spacing w:val="0"/>
          <w:sz w:val="32"/>
          <w:szCs w:val="32"/>
          <w:shd w:val="clear" w:fill="FFFFFF"/>
          <w:lang w:val="en-US"/>
        </w:rPr>
      </w:pPr>
      <w:r>
        <w:rPr>
          <w:rFonts w:hint="eastAsia" w:ascii="方正仿宋_GB2312" w:hAnsi="方正仿宋_GB2312" w:eastAsia="方正仿宋_GB2312" w:cs="方正仿宋_GB2312"/>
          <w:b/>
          <w:bCs/>
          <w:sz w:val="32"/>
          <w:szCs w:val="32"/>
          <w:lang w:val="en-US" w:eastAsia="zh-CN"/>
        </w:rPr>
        <w:t>重点项目情况：</w:t>
      </w:r>
      <w:r>
        <w:rPr>
          <w:rFonts w:hint="eastAsia" w:ascii="方正仿宋_GB2312" w:hAnsi="方正仿宋_GB2312" w:eastAsia="方正仿宋_GB2312" w:cs="方正仿宋_GB2312"/>
          <w:b w:val="0"/>
          <w:bCs w:val="0"/>
          <w:sz w:val="32"/>
          <w:szCs w:val="32"/>
          <w:lang w:val="en-US" w:eastAsia="zh-CN"/>
        </w:rPr>
        <w:t>春（秋）季雨露计划项目脱贫户（含监测帮扶对象）子女全程全部接受资助的比例100%；永吉县新建“帮扶车间”奖补项目吸纳就业15人；双河镇与吉林卓远农业发展有限公司合作发展农业综合开发利用项目股权年收益率5%；口前镇镇西村5社基础设施建设项目居民出行平均缩短时间0.1小时，工程设计使用年限10年。</w:t>
      </w:r>
    </w:p>
    <w:p>
      <w:pPr>
        <w:pStyle w:val="4"/>
        <w:keepNext w:val="0"/>
        <w:keepLines w:val="0"/>
        <w:pageBreakBefore w:val="0"/>
        <w:widowControl/>
        <w:suppressLineNumbers w:val="0"/>
        <w:shd w:val="clear" w:fill="FFFFFF"/>
        <w:kinsoku/>
        <w:wordWrap/>
        <w:overflowPunct/>
        <w:topLinePunct w:val="0"/>
        <w:autoSpaceDE/>
        <w:autoSpaceDN/>
        <w:bidi w:val="0"/>
        <w:adjustRightInd/>
        <w:snapToGrid/>
        <w:spacing w:before="0" w:beforeAutospacing="0" w:after="0" w:afterAutospacing="0" w:line="576" w:lineRule="exact"/>
        <w:ind w:left="0" w:leftChars="0" w:right="0" w:firstLine="643" w:firstLineChars="200"/>
        <w:jc w:val="left"/>
        <w:textAlignment w:val="auto"/>
        <w:rPr>
          <w:rFonts w:hint="eastAsia" w:ascii="方正仿宋_GB2312" w:hAnsi="方正仿宋_GB2312" w:eastAsia="方正仿宋_GB2312" w:cs="方正仿宋_GB2312"/>
          <w:b/>
          <w:bCs/>
          <w:i w:val="0"/>
          <w:iCs w:val="0"/>
          <w:caps w:val="0"/>
          <w:spacing w:val="0"/>
          <w:sz w:val="32"/>
          <w:szCs w:val="32"/>
        </w:rPr>
      </w:pPr>
      <w:r>
        <w:rPr>
          <w:rFonts w:hint="eastAsia" w:ascii="方正仿宋_GB2312" w:hAnsi="方正仿宋_GB2312" w:eastAsia="方正仿宋_GB2312" w:cs="方正仿宋_GB2312"/>
          <w:b/>
          <w:bCs/>
          <w:i w:val="0"/>
          <w:iCs w:val="0"/>
          <w:caps w:val="0"/>
          <w:spacing w:val="0"/>
          <w:sz w:val="32"/>
          <w:szCs w:val="32"/>
          <w:shd w:val="clear" w:fill="FFFFFF"/>
        </w:rPr>
        <w:t>（三）满意度指标</w:t>
      </w:r>
    </w:p>
    <w:p>
      <w:pPr>
        <w:pStyle w:val="3"/>
        <w:keepNext w:val="0"/>
        <w:keepLines w:val="0"/>
        <w:pageBreakBefore w:val="0"/>
        <w:widowControl/>
        <w:suppressLineNumbers w:val="0"/>
        <w:shd w:val="clear" w:fill="FFFFFF"/>
        <w:kinsoku/>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方正仿宋_GB2312" w:hAnsi="方正仿宋_GB2312" w:eastAsia="方正仿宋_GB2312" w:cs="方正仿宋_GB2312"/>
          <w:b w:val="0"/>
          <w:bCs w:val="0"/>
          <w:kern w:val="0"/>
          <w:sz w:val="32"/>
          <w:szCs w:val="32"/>
          <w:lang w:val="en-US" w:eastAsia="zh-CN" w:bidi="ar"/>
        </w:rPr>
      </w:pPr>
      <w:r>
        <w:rPr>
          <w:rFonts w:hint="eastAsia" w:ascii="方正仿宋_GB2312" w:hAnsi="方正仿宋_GB2312" w:eastAsia="方正仿宋_GB2312" w:cs="方正仿宋_GB2312"/>
          <w:b w:val="0"/>
          <w:bCs w:val="0"/>
          <w:kern w:val="0"/>
          <w:sz w:val="32"/>
          <w:szCs w:val="32"/>
          <w:lang w:val="en-US" w:eastAsia="zh-CN" w:bidi="ar"/>
        </w:rPr>
        <w:t>通过座谈企业员工、入户走访，电话调查，“雨露计划”明察暗访等手段，对受益人口和受益家庭进行了满意度调查，29个项目满意度调查结果均为100%。</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三、自评结果</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方正仿宋_GB2312" w:hAnsi="方正仿宋_GB2312" w:eastAsia="方正仿宋_GB2312" w:cs="方正仿宋_GB2312"/>
          <w:b w:val="0"/>
          <w:bCs w:val="0"/>
          <w:kern w:val="0"/>
          <w:sz w:val="32"/>
          <w:szCs w:val="32"/>
          <w:lang w:val="en-US" w:eastAsia="zh-CN" w:bidi="ar"/>
        </w:rPr>
      </w:pPr>
      <w:r>
        <w:rPr>
          <w:rFonts w:hint="default" w:ascii="方正仿宋_GB2312" w:hAnsi="方正仿宋_GB2312" w:eastAsia="方正仿宋_GB2312" w:cs="方正仿宋_GB2312"/>
          <w:b w:val="0"/>
          <w:bCs w:val="0"/>
          <w:kern w:val="0"/>
          <w:sz w:val="32"/>
          <w:szCs w:val="32"/>
          <w:lang w:val="en-US" w:eastAsia="zh-CN" w:bidi="ar"/>
        </w:rPr>
        <w:t>2024年度财政衔接推进乡村振兴补助资金的使用，总体上 符合政策要求，资金投向合理，项目实施规范，资金使用效益明显，有效推动了巩固脱贫攻坚成果、乡村振兴战略实施、农村基础设施改善、农民收入增长等目标的实现。</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default" w:ascii="方正仿宋_GB2312" w:hAnsi="方正仿宋_GB2312" w:eastAsia="方正仿宋_GB2312" w:cs="方正仿宋_GB2312"/>
          <w:b w:val="0"/>
          <w:bCs w:val="0"/>
          <w:kern w:val="0"/>
          <w:sz w:val="32"/>
          <w:szCs w:val="32"/>
          <w:lang w:val="en-US" w:eastAsia="zh-CN" w:bidi="ar"/>
        </w:rPr>
      </w:pPr>
      <w:r>
        <w:rPr>
          <w:rFonts w:hint="default" w:ascii="方正仿宋_GB2312" w:hAnsi="方正仿宋_GB2312" w:eastAsia="方正仿宋_GB2312" w:cs="方正仿宋_GB2312"/>
          <w:b w:val="0"/>
          <w:bCs w:val="0"/>
          <w:kern w:val="0"/>
          <w:sz w:val="32"/>
          <w:szCs w:val="32"/>
          <w:lang w:val="en-US" w:eastAsia="zh-CN" w:bidi="ar"/>
        </w:rPr>
        <w:t>根据资金使用情况、项目实施效果及社会经济效益评估，本年度财政衔接推进乡村振兴补助资金绩效目标完成情况良好，自评</w:t>
      </w:r>
      <w:r>
        <w:rPr>
          <w:rFonts w:hint="eastAsia" w:ascii="方正仿宋_GB2312" w:hAnsi="方正仿宋_GB2312" w:eastAsia="方正仿宋_GB2312" w:cs="方正仿宋_GB2312"/>
          <w:b w:val="0"/>
          <w:bCs w:val="0"/>
          <w:kern w:val="0"/>
          <w:sz w:val="32"/>
          <w:szCs w:val="32"/>
          <w:lang w:val="en-US" w:eastAsia="zh-CN" w:bidi="ar"/>
        </w:rPr>
        <w:t>分数99分</w:t>
      </w:r>
      <w:r>
        <w:rPr>
          <w:rFonts w:hint="default" w:ascii="方正仿宋_GB2312" w:hAnsi="方正仿宋_GB2312" w:eastAsia="方正仿宋_GB2312" w:cs="方正仿宋_GB2312"/>
          <w:b w:val="0"/>
          <w:bCs w:val="0"/>
          <w:kern w:val="0"/>
          <w:sz w:val="32"/>
          <w:szCs w:val="32"/>
          <w:lang w:val="en-US" w:eastAsia="zh-CN" w:bidi="ar"/>
        </w:rPr>
        <w:t>。</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黑体" w:hAnsi="黑体" w:eastAsia="黑体" w:cs="黑体"/>
          <w:b w:val="0"/>
          <w:bCs w:val="0"/>
          <w:kern w:val="0"/>
          <w:sz w:val="32"/>
          <w:szCs w:val="32"/>
          <w:lang w:val="en-US" w:eastAsia="zh-CN" w:bidi="ar"/>
        </w:rPr>
      </w:pPr>
      <w:r>
        <w:rPr>
          <w:rFonts w:hint="eastAsia" w:ascii="黑体" w:hAnsi="黑体" w:eastAsia="黑体" w:cs="黑体"/>
          <w:b w:val="0"/>
          <w:bCs w:val="0"/>
          <w:kern w:val="0"/>
          <w:sz w:val="32"/>
          <w:szCs w:val="32"/>
          <w:lang w:val="en-US" w:eastAsia="zh-CN" w:bidi="ar"/>
        </w:rPr>
        <w:t>四、下步工作打算</w:t>
      </w:r>
    </w:p>
    <w:p>
      <w:pPr>
        <w:pStyle w:val="8"/>
        <w:keepNext w:val="0"/>
        <w:keepLines w:val="0"/>
        <w:pageBreakBefore w:val="0"/>
        <w:widowControl/>
        <w:suppressLineNumbers w:val="0"/>
        <w:shd w:val="clear" w:fill="FFFFFF"/>
        <w:kinsoku/>
        <w:wordWrap w:val="0"/>
        <w:overflowPunct/>
        <w:topLinePunct w:val="0"/>
        <w:autoSpaceDE/>
        <w:autoSpaceDN/>
        <w:bidi w:val="0"/>
        <w:adjustRightInd/>
        <w:snapToGrid/>
        <w:spacing w:before="0" w:beforeAutospacing="0" w:after="0" w:afterAutospacing="0" w:line="576" w:lineRule="exact"/>
        <w:ind w:left="0" w:leftChars="0" w:right="0" w:firstLine="640" w:firstLineChars="200"/>
        <w:jc w:val="left"/>
        <w:textAlignment w:val="auto"/>
        <w:rPr>
          <w:rFonts w:hint="eastAsia" w:ascii="Times New Roman" w:hAnsi="Times New Roman" w:eastAsia="仿宋_GB2312" w:cs="Times New Roman"/>
          <w:bCs/>
          <w:kern w:val="2"/>
          <w:sz w:val="32"/>
          <w:szCs w:val="32"/>
          <w:lang w:val="en-US" w:eastAsia="zh-CN"/>
        </w:rPr>
      </w:pPr>
      <w:r>
        <w:rPr>
          <w:rFonts w:hint="eastAsia" w:ascii="方正仿宋_GB2312" w:hAnsi="方正仿宋_GB2312" w:eastAsia="方正仿宋_GB2312" w:cs="方正仿宋_GB2312"/>
          <w:b w:val="0"/>
          <w:bCs w:val="0"/>
          <w:kern w:val="0"/>
          <w:sz w:val="32"/>
          <w:szCs w:val="32"/>
          <w:lang w:val="en-US" w:eastAsia="zh-CN" w:bidi="ar"/>
        </w:rPr>
        <w:t>一是</w:t>
      </w:r>
      <w:r>
        <w:rPr>
          <w:rFonts w:hint="default" w:ascii="方正仿宋_GB2312" w:hAnsi="方正仿宋_GB2312" w:eastAsia="方正仿宋_GB2312" w:cs="方正仿宋_GB2312"/>
          <w:b w:val="0"/>
          <w:bCs w:val="0"/>
          <w:kern w:val="0"/>
          <w:sz w:val="32"/>
          <w:szCs w:val="32"/>
          <w:lang w:val="en-US" w:eastAsia="zh-CN" w:bidi="ar"/>
        </w:rPr>
        <w:t>优化资金分配机制，根据项目实际需求动态调整资金投入，提高资金使用效率。</w:t>
      </w:r>
      <w:r>
        <w:rPr>
          <w:rFonts w:hint="eastAsia" w:ascii="方正仿宋_GB2312" w:hAnsi="方正仿宋_GB2312" w:eastAsia="方正仿宋_GB2312" w:cs="方正仿宋_GB2312"/>
          <w:b w:val="0"/>
          <w:bCs w:val="0"/>
          <w:kern w:val="0"/>
          <w:sz w:val="32"/>
          <w:szCs w:val="32"/>
          <w:lang w:val="en-US" w:eastAsia="zh-CN" w:bidi="ar"/>
        </w:rPr>
        <w:t>二是</w:t>
      </w:r>
      <w:r>
        <w:rPr>
          <w:rFonts w:hint="default" w:ascii="方正仿宋_GB2312" w:hAnsi="方正仿宋_GB2312" w:eastAsia="方正仿宋_GB2312" w:cs="方正仿宋_GB2312"/>
          <w:b w:val="0"/>
          <w:bCs w:val="0"/>
          <w:kern w:val="0"/>
          <w:sz w:val="32"/>
          <w:szCs w:val="32"/>
          <w:lang w:val="en-US" w:eastAsia="zh-CN" w:bidi="ar"/>
        </w:rPr>
        <w:t>加强项目资金监管，确保资金使用透明、规范、安全。</w:t>
      </w:r>
      <w:r>
        <w:rPr>
          <w:rFonts w:hint="eastAsia" w:ascii="方正仿宋_GB2312" w:hAnsi="方正仿宋_GB2312" w:eastAsia="方正仿宋_GB2312" w:cs="方正仿宋_GB2312"/>
          <w:b w:val="0"/>
          <w:bCs w:val="0"/>
          <w:kern w:val="0"/>
          <w:sz w:val="32"/>
          <w:szCs w:val="32"/>
          <w:lang w:val="en-US" w:eastAsia="zh-CN" w:bidi="ar"/>
        </w:rPr>
        <w:t>三是</w:t>
      </w:r>
      <w:r>
        <w:rPr>
          <w:rFonts w:hint="default" w:ascii="方正仿宋_GB2312" w:hAnsi="方正仿宋_GB2312" w:eastAsia="方正仿宋_GB2312" w:cs="方正仿宋_GB2312"/>
          <w:b w:val="0"/>
          <w:bCs w:val="0"/>
          <w:kern w:val="0"/>
          <w:sz w:val="32"/>
          <w:szCs w:val="32"/>
          <w:lang w:val="en-US" w:eastAsia="zh-CN" w:bidi="ar"/>
        </w:rPr>
        <w:t>完善项目绩效评估机制，建立科学的绩效评价体系，提升资金使用效益。</w:t>
      </w:r>
    </w:p>
    <w:sectPr>
      <w:pgSz w:w="11906" w:h="16838"/>
      <w:pgMar w:top="1440" w:right="1803" w:bottom="1440" w:left="1803" w:header="851" w:footer="992" w:gutter="0"/>
      <w:pgBorders>
        <w:top w:val="none" w:sz="0" w:space="0"/>
        <w:left w:val="none" w:sz="0" w:space="0"/>
        <w:bottom w:val="none" w:sz="0" w:space="0"/>
        <w:right w:val="none" w:sz="0" w:space="0"/>
      </w:pgBorders>
      <w:pgNumType w:fmt="numberInDash"/>
      <w:cols w:space="0" w:num="1"/>
      <w:docGrid w:type="lines" w:linePitch="31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方正楷体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楷体_GB2312">
    <w:altName w:val="宋体"/>
    <w:panose1 w:val="02000000000000000000"/>
    <w:charset w:val="86"/>
    <w:family w:val="auto"/>
    <w:pitch w:val="default"/>
    <w:sig w:usb0="00000000" w:usb1="00000000" w:usb2="00000012"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_x0000_s4098" o:spid="_x0000_s4098"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w:pict>
        <v:shape id="文本框 3" o:spid="_x0000_s4097"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path/>
          <v:fill on="f" focussize="0,0"/>
          <v:stroke on="f" weight="0.5pt"/>
          <v:imagedata o:title=""/>
          <o:lock v:ext="edit" aspectratio="f"/>
          <v:textbox inset="0mm,0mm,0mm,0mm" style="mso-fit-shape-to-text:t;">
            <w:txbxContent>
              <w:p>
                <w:pPr>
                  <w:pStyle w:val="7"/>
                  <w:rPr>
                    <w:rFonts w:hint="eastAsia" w:eastAsiaTheme="minorEastAsia"/>
                    <w:lang w:eastAsia="zh-CN"/>
                  </w:rPr>
                </w:pPr>
                <w:r>
                  <w:rPr>
                    <w:rFonts w:hint="eastAsia"/>
                    <w:sz w:val="28"/>
                    <w:szCs w:val="28"/>
                    <w:lang w:eastAsia="zh-CN"/>
                  </w:rPr>
                  <w:fldChar w:fldCharType="begin"/>
                </w:r>
                <w:r>
                  <w:rPr>
                    <w:rFonts w:hint="eastAsia"/>
                    <w:sz w:val="28"/>
                    <w:szCs w:val="28"/>
                    <w:lang w:eastAsia="zh-CN"/>
                  </w:rPr>
                  <w:instrText xml:space="preserve"> PAGE  \* MERGEFORMAT </w:instrText>
                </w:r>
                <w:r>
                  <w:rPr>
                    <w:rFonts w:hint="eastAsia"/>
                    <w:sz w:val="28"/>
                    <w:szCs w:val="28"/>
                    <w:lang w:eastAsia="zh-CN"/>
                  </w:rPr>
                  <w:fldChar w:fldCharType="separate"/>
                </w:r>
                <w:r>
                  <w:rPr>
                    <w:rFonts w:hint="eastAsia"/>
                    <w:sz w:val="28"/>
                    <w:szCs w:val="28"/>
                    <w:lang w:eastAsia="zh-CN"/>
                  </w:rPr>
                  <w:t>1</w:t>
                </w:r>
                <w:r>
                  <w:rPr>
                    <w:rFonts w:hint="eastAsia"/>
                    <w:sz w:val="28"/>
                    <w:szCs w:val="28"/>
                    <w:lang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C5C4A97"/>
    <w:multiLevelType w:val="singleLevel"/>
    <w:tmpl w:val="EC5C4A97"/>
    <w:lvl w:ilvl="0" w:tentative="0">
      <w:start w:val="1"/>
      <w:numFmt w:val="chineseCounting"/>
      <w:suff w:val="nothing"/>
      <w:lvlText w:val="%1、"/>
      <w:lvlJc w:val="left"/>
      <w:rPr>
        <w:rFonts w:hint="eastAsia"/>
      </w:rPr>
    </w:lvl>
  </w:abstractNum>
  <w:abstractNum w:abstractNumId="1">
    <w:nsid w:val="F089846B"/>
    <w:multiLevelType w:val="singleLevel"/>
    <w:tmpl w:val="F089846B"/>
    <w:lvl w:ilvl="0" w:tentative="0">
      <w:start w:val="1"/>
      <w:numFmt w:val="chineseCounting"/>
      <w:suff w:val="nothing"/>
      <w:lvlText w:val="（%1）"/>
      <w:lvlJc w:val="left"/>
      <w:rPr>
        <w:rFonts w:hint="eastAsia"/>
      </w:rPr>
    </w:lvl>
  </w:abstractNum>
  <w:abstractNum w:abstractNumId="2">
    <w:nsid w:val="46AFADCE"/>
    <w:multiLevelType w:val="singleLevel"/>
    <w:tmpl w:val="46AFADCE"/>
    <w:lvl w:ilvl="0" w:tentative="0">
      <w:start w:val="1"/>
      <w:numFmt w:val="chineseCounting"/>
      <w:suff w:val="nothing"/>
      <w:lvlText w:val="（%1）"/>
      <w:lvlJc w:val="left"/>
      <w:rPr>
        <w:rFonts w:hint="eastAsia"/>
      </w:rPr>
    </w:lvl>
  </w:abstractNum>
  <w:abstractNum w:abstractNumId="3">
    <w:nsid w:val="604E2CCF"/>
    <w:multiLevelType w:val="singleLevel"/>
    <w:tmpl w:val="604E2CCF"/>
    <w:lvl w:ilvl="0" w:tentative="0">
      <w:start w:val="4"/>
      <w:numFmt w:val="decimal"/>
      <w:suff w:val="space"/>
      <w:lvlText w:val="%1."/>
      <w:lvlJc w:val="left"/>
    </w:lvl>
  </w:abstractNum>
  <w:abstractNum w:abstractNumId="4">
    <w:nsid w:val="6CC20167"/>
    <w:multiLevelType w:val="singleLevel"/>
    <w:tmpl w:val="6CC20167"/>
    <w:lvl w:ilvl="0" w:tentative="0">
      <w:start w:val="1"/>
      <w:numFmt w:val="chineseCounting"/>
      <w:suff w:val="nothing"/>
      <w:lvlText w:val="（%1）"/>
      <w:lvlJc w:val="left"/>
      <w:rPr>
        <w:rFonts w:hint="eastAsi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4"/>
    </o:shapelayout>
  </w:hdrShapeDefaults>
  <w:footnotePr>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WRhNTdjOWQyZjU5Y2M2NjM4NmY0YjhmODU4M2I2MTAifQ=="/>
  </w:docVars>
  <w:rsids>
    <w:rsidRoot w:val="00D31D50"/>
    <w:rsid w:val="000061D8"/>
    <w:rsid w:val="00102150"/>
    <w:rsid w:val="00323B43"/>
    <w:rsid w:val="003D37D8"/>
    <w:rsid w:val="00426133"/>
    <w:rsid w:val="004358AB"/>
    <w:rsid w:val="00441793"/>
    <w:rsid w:val="004E1553"/>
    <w:rsid w:val="006E2EB7"/>
    <w:rsid w:val="00832AA1"/>
    <w:rsid w:val="00836E97"/>
    <w:rsid w:val="008B7726"/>
    <w:rsid w:val="00921469"/>
    <w:rsid w:val="00D31D50"/>
    <w:rsid w:val="00E36015"/>
    <w:rsid w:val="013B0DE8"/>
    <w:rsid w:val="0153398F"/>
    <w:rsid w:val="016F0A91"/>
    <w:rsid w:val="01800F28"/>
    <w:rsid w:val="01802C9E"/>
    <w:rsid w:val="01817603"/>
    <w:rsid w:val="01883393"/>
    <w:rsid w:val="01977F3E"/>
    <w:rsid w:val="01AA7D1B"/>
    <w:rsid w:val="01C1444F"/>
    <w:rsid w:val="02022956"/>
    <w:rsid w:val="02025461"/>
    <w:rsid w:val="020573F5"/>
    <w:rsid w:val="0205767C"/>
    <w:rsid w:val="02060B41"/>
    <w:rsid w:val="020D13EC"/>
    <w:rsid w:val="023560A6"/>
    <w:rsid w:val="028945B9"/>
    <w:rsid w:val="029A1B3E"/>
    <w:rsid w:val="02F83DE2"/>
    <w:rsid w:val="0300236B"/>
    <w:rsid w:val="03306781"/>
    <w:rsid w:val="03390BC2"/>
    <w:rsid w:val="03433F84"/>
    <w:rsid w:val="03542192"/>
    <w:rsid w:val="03604B36"/>
    <w:rsid w:val="036068E4"/>
    <w:rsid w:val="038145B8"/>
    <w:rsid w:val="03912F41"/>
    <w:rsid w:val="03AE2860"/>
    <w:rsid w:val="03AE3AF3"/>
    <w:rsid w:val="03B10EED"/>
    <w:rsid w:val="03FD2384"/>
    <w:rsid w:val="040D179B"/>
    <w:rsid w:val="042D3BE3"/>
    <w:rsid w:val="045A6874"/>
    <w:rsid w:val="04963AEA"/>
    <w:rsid w:val="04B10997"/>
    <w:rsid w:val="04D6652D"/>
    <w:rsid w:val="04E452F2"/>
    <w:rsid w:val="05335C79"/>
    <w:rsid w:val="054D1677"/>
    <w:rsid w:val="0550715A"/>
    <w:rsid w:val="057C377D"/>
    <w:rsid w:val="05917228"/>
    <w:rsid w:val="05CB19D9"/>
    <w:rsid w:val="05D24F9A"/>
    <w:rsid w:val="05D36833"/>
    <w:rsid w:val="05E77031"/>
    <w:rsid w:val="06205E6C"/>
    <w:rsid w:val="06815CB3"/>
    <w:rsid w:val="06D97B80"/>
    <w:rsid w:val="073076B3"/>
    <w:rsid w:val="0760702C"/>
    <w:rsid w:val="076F17EB"/>
    <w:rsid w:val="077614EF"/>
    <w:rsid w:val="077F1277"/>
    <w:rsid w:val="07935DE5"/>
    <w:rsid w:val="07A1571D"/>
    <w:rsid w:val="07BB67DE"/>
    <w:rsid w:val="07C3707E"/>
    <w:rsid w:val="07C75183"/>
    <w:rsid w:val="07CD6512"/>
    <w:rsid w:val="07D70A0B"/>
    <w:rsid w:val="07F25F78"/>
    <w:rsid w:val="08002443"/>
    <w:rsid w:val="080E1140"/>
    <w:rsid w:val="084E67CA"/>
    <w:rsid w:val="08555C58"/>
    <w:rsid w:val="089D4E0C"/>
    <w:rsid w:val="08A8716B"/>
    <w:rsid w:val="08C264A7"/>
    <w:rsid w:val="08CB4FE1"/>
    <w:rsid w:val="08DC5BFF"/>
    <w:rsid w:val="090452D1"/>
    <w:rsid w:val="0907013A"/>
    <w:rsid w:val="098A3E6E"/>
    <w:rsid w:val="09F064E7"/>
    <w:rsid w:val="09FC6C3A"/>
    <w:rsid w:val="09FD0984"/>
    <w:rsid w:val="09FF1896"/>
    <w:rsid w:val="0A232419"/>
    <w:rsid w:val="0A2D14EA"/>
    <w:rsid w:val="0A375EC4"/>
    <w:rsid w:val="0A390045"/>
    <w:rsid w:val="0A4B69F1"/>
    <w:rsid w:val="0A56459C"/>
    <w:rsid w:val="0A670558"/>
    <w:rsid w:val="0A697C5B"/>
    <w:rsid w:val="0A740EC6"/>
    <w:rsid w:val="0AA277E2"/>
    <w:rsid w:val="0AAE262A"/>
    <w:rsid w:val="0AC37758"/>
    <w:rsid w:val="0ACE2529"/>
    <w:rsid w:val="0ADA51CD"/>
    <w:rsid w:val="0B056AF6"/>
    <w:rsid w:val="0B0A49C6"/>
    <w:rsid w:val="0B0D6131"/>
    <w:rsid w:val="0B161F7E"/>
    <w:rsid w:val="0B61144B"/>
    <w:rsid w:val="0B85745E"/>
    <w:rsid w:val="0B9570D9"/>
    <w:rsid w:val="0BB1713C"/>
    <w:rsid w:val="0BBC2B25"/>
    <w:rsid w:val="0C00569B"/>
    <w:rsid w:val="0C0266E3"/>
    <w:rsid w:val="0C08196F"/>
    <w:rsid w:val="0C44710E"/>
    <w:rsid w:val="0C474430"/>
    <w:rsid w:val="0C5F529A"/>
    <w:rsid w:val="0C8C24F7"/>
    <w:rsid w:val="0C966B72"/>
    <w:rsid w:val="0CB466C8"/>
    <w:rsid w:val="0CDF7759"/>
    <w:rsid w:val="0CE045F1"/>
    <w:rsid w:val="0CE21673"/>
    <w:rsid w:val="0CF36836"/>
    <w:rsid w:val="0CF85DDF"/>
    <w:rsid w:val="0D0B5B12"/>
    <w:rsid w:val="0D211451"/>
    <w:rsid w:val="0D3A63F7"/>
    <w:rsid w:val="0D405202"/>
    <w:rsid w:val="0D4E64FB"/>
    <w:rsid w:val="0D6214AA"/>
    <w:rsid w:val="0D671A33"/>
    <w:rsid w:val="0D7A2C98"/>
    <w:rsid w:val="0D827083"/>
    <w:rsid w:val="0DAE57DD"/>
    <w:rsid w:val="0DB81A1E"/>
    <w:rsid w:val="0DD56120"/>
    <w:rsid w:val="0DFF2C22"/>
    <w:rsid w:val="0E0B497D"/>
    <w:rsid w:val="0E2235F1"/>
    <w:rsid w:val="0E62280C"/>
    <w:rsid w:val="0E900046"/>
    <w:rsid w:val="0E94205F"/>
    <w:rsid w:val="0EAA7385"/>
    <w:rsid w:val="0EB75826"/>
    <w:rsid w:val="0EE36845"/>
    <w:rsid w:val="0EFD76DC"/>
    <w:rsid w:val="0F3B1898"/>
    <w:rsid w:val="0F6D69BB"/>
    <w:rsid w:val="0F841EBD"/>
    <w:rsid w:val="0F9216F8"/>
    <w:rsid w:val="0FB81855"/>
    <w:rsid w:val="0FBC1346"/>
    <w:rsid w:val="0FCB3337"/>
    <w:rsid w:val="0FCF6D49"/>
    <w:rsid w:val="0FDA5C70"/>
    <w:rsid w:val="0FDC3BD4"/>
    <w:rsid w:val="0FE12B5A"/>
    <w:rsid w:val="103E7FAD"/>
    <w:rsid w:val="10437371"/>
    <w:rsid w:val="10556140"/>
    <w:rsid w:val="10882A18"/>
    <w:rsid w:val="109B743F"/>
    <w:rsid w:val="10B763A2"/>
    <w:rsid w:val="10E34A03"/>
    <w:rsid w:val="10F212BC"/>
    <w:rsid w:val="10F723EE"/>
    <w:rsid w:val="110B2A87"/>
    <w:rsid w:val="11202B3C"/>
    <w:rsid w:val="114E3FC8"/>
    <w:rsid w:val="11555880"/>
    <w:rsid w:val="11665B62"/>
    <w:rsid w:val="116E36DA"/>
    <w:rsid w:val="11AE1162"/>
    <w:rsid w:val="11B04D78"/>
    <w:rsid w:val="11C72770"/>
    <w:rsid w:val="11C93240"/>
    <w:rsid w:val="11CC772A"/>
    <w:rsid w:val="11EC46FF"/>
    <w:rsid w:val="12647A72"/>
    <w:rsid w:val="12900868"/>
    <w:rsid w:val="12976D66"/>
    <w:rsid w:val="12A96665"/>
    <w:rsid w:val="12EC1F42"/>
    <w:rsid w:val="13071061"/>
    <w:rsid w:val="13274D28"/>
    <w:rsid w:val="13645F7C"/>
    <w:rsid w:val="13653AA2"/>
    <w:rsid w:val="13925C5F"/>
    <w:rsid w:val="13B10A95"/>
    <w:rsid w:val="13BB7B66"/>
    <w:rsid w:val="13C0517C"/>
    <w:rsid w:val="13CC0849"/>
    <w:rsid w:val="13D1103D"/>
    <w:rsid w:val="142919F4"/>
    <w:rsid w:val="142C40F0"/>
    <w:rsid w:val="143D1032"/>
    <w:rsid w:val="143F0797"/>
    <w:rsid w:val="146004C6"/>
    <w:rsid w:val="146853CC"/>
    <w:rsid w:val="14710F49"/>
    <w:rsid w:val="148A272A"/>
    <w:rsid w:val="1492319D"/>
    <w:rsid w:val="149C34F4"/>
    <w:rsid w:val="14A2149A"/>
    <w:rsid w:val="14C63417"/>
    <w:rsid w:val="15205DB6"/>
    <w:rsid w:val="156D6C3E"/>
    <w:rsid w:val="15942A55"/>
    <w:rsid w:val="15990D17"/>
    <w:rsid w:val="15B30AF5"/>
    <w:rsid w:val="15CA314E"/>
    <w:rsid w:val="15CE6608"/>
    <w:rsid w:val="15FF3D3A"/>
    <w:rsid w:val="161609FE"/>
    <w:rsid w:val="163953E7"/>
    <w:rsid w:val="163B6C14"/>
    <w:rsid w:val="164F24A0"/>
    <w:rsid w:val="165D3AE1"/>
    <w:rsid w:val="16731C09"/>
    <w:rsid w:val="16784A4E"/>
    <w:rsid w:val="1679780D"/>
    <w:rsid w:val="16D57191"/>
    <w:rsid w:val="16FE0496"/>
    <w:rsid w:val="17125CEF"/>
    <w:rsid w:val="173E3529"/>
    <w:rsid w:val="174D02D0"/>
    <w:rsid w:val="17710C68"/>
    <w:rsid w:val="17723949"/>
    <w:rsid w:val="17747262"/>
    <w:rsid w:val="177A3993"/>
    <w:rsid w:val="17960665"/>
    <w:rsid w:val="179F6772"/>
    <w:rsid w:val="17B27D7A"/>
    <w:rsid w:val="17C83906"/>
    <w:rsid w:val="18086B3F"/>
    <w:rsid w:val="18486503"/>
    <w:rsid w:val="188A680E"/>
    <w:rsid w:val="18C269EE"/>
    <w:rsid w:val="18C56BD4"/>
    <w:rsid w:val="18CE73FA"/>
    <w:rsid w:val="18DC4807"/>
    <w:rsid w:val="18F16C54"/>
    <w:rsid w:val="18FB3A9F"/>
    <w:rsid w:val="19037FE5"/>
    <w:rsid w:val="1945415A"/>
    <w:rsid w:val="19832ED4"/>
    <w:rsid w:val="19A63172"/>
    <w:rsid w:val="19B93742"/>
    <w:rsid w:val="19D76D7C"/>
    <w:rsid w:val="1A030C66"/>
    <w:rsid w:val="1A057D8D"/>
    <w:rsid w:val="1A0A0EFF"/>
    <w:rsid w:val="1A0C5283"/>
    <w:rsid w:val="1A677C09"/>
    <w:rsid w:val="1A91608A"/>
    <w:rsid w:val="1A9E347E"/>
    <w:rsid w:val="1AE97909"/>
    <w:rsid w:val="1AF71484"/>
    <w:rsid w:val="1AFE49A5"/>
    <w:rsid w:val="1B3A5582"/>
    <w:rsid w:val="1B6A0AA5"/>
    <w:rsid w:val="1B6A0AE5"/>
    <w:rsid w:val="1BAD2CA0"/>
    <w:rsid w:val="1BE53697"/>
    <w:rsid w:val="1BF0403F"/>
    <w:rsid w:val="1C0A23C2"/>
    <w:rsid w:val="1C1E2502"/>
    <w:rsid w:val="1C4F3541"/>
    <w:rsid w:val="1C844F99"/>
    <w:rsid w:val="1CF76179"/>
    <w:rsid w:val="1D323DCF"/>
    <w:rsid w:val="1D492EC0"/>
    <w:rsid w:val="1D4B1B7E"/>
    <w:rsid w:val="1D6358BA"/>
    <w:rsid w:val="1D7E1167"/>
    <w:rsid w:val="1E606294"/>
    <w:rsid w:val="1E6432D4"/>
    <w:rsid w:val="1E6908EA"/>
    <w:rsid w:val="1E694901"/>
    <w:rsid w:val="1EA0645A"/>
    <w:rsid w:val="1EAA5BAE"/>
    <w:rsid w:val="1EC303AE"/>
    <w:rsid w:val="1EE627FB"/>
    <w:rsid w:val="1F0E394C"/>
    <w:rsid w:val="1F2708A3"/>
    <w:rsid w:val="1F3A160A"/>
    <w:rsid w:val="1F4A1750"/>
    <w:rsid w:val="1F4E5815"/>
    <w:rsid w:val="1F514E8C"/>
    <w:rsid w:val="1F7F7C9A"/>
    <w:rsid w:val="1F856F40"/>
    <w:rsid w:val="1FA6178A"/>
    <w:rsid w:val="1FB50154"/>
    <w:rsid w:val="1FC102B2"/>
    <w:rsid w:val="1FCF6E73"/>
    <w:rsid w:val="20242636"/>
    <w:rsid w:val="203E60D5"/>
    <w:rsid w:val="2048214B"/>
    <w:rsid w:val="20605222"/>
    <w:rsid w:val="20660430"/>
    <w:rsid w:val="209F1F94"/>
    <w:rsid w:val="20A31B4A"/>
    <w:rsid w:val="20A85E3A"/>
    <w:rsid w:val="20CE712B"/>
    <w:rsid w:val="20CF4D0D"/>
    <w:rsid w:val="20E9521E"/>
    <w:rsid w:val="20F26E11"/>
    <w:rsid w:val="2130749E"/>
    <w:rsid w:val="21415B4F"/>
    <w:rsid w:val="21463165"/>
    <w:rsid w:val="21472463"/>
    <w:rsid w:val="215D4FD6"/>
    <w:rsid w:val="216C2627"/>
    <w:rsid w:val="21751354"/>
    <w:rsid w:val="21763E46"/>
    <w:rsid w:val="218A2969"/>
    <w:rsid w:val="21C15F63"/>
    <w:rsid w:val="21F52495"/>
    <w:rsid w:val="221F7512"/>
    <w:rsid w:val="22904EE3"/>
    <w:rsid w:val="229604D4"/>
    <w:rsid w:val="22996551"/>
    <w:rsid w:val="22AE04D3"/>
    <w:rsid w:val="22B87A4D"/>
    <w:rsid w:val="22DD3A8A"/>
    <w:rsid w:val="22EC5646"/>
    <w:rsid w:val="2303465D"/>
    <w:rsid w:val="23046E34"/>
    <w:rsid w:val="234A56FC"/>
    <w:rsid w:val="234E2DF2"/>
    <w:rsid w:val="235C0A1E"/>
    <w:rsid w:val="23606EBC"/>
    <w:rsid w:val="23690A46"/>
    <w:rsid w:val="237A0EA4"/>
    <w:rsid w:val="238C0FF9"/>
    <w:rsid w:val="23907A30"/>
    <w:rsid w:val="23E40A13"/>
    <w:rsid w:val="23FF4CA7"/>
    <w:rsid w:val="2406098A"/>
    <w:rsid w:val="240D6FC4"/>
    <w:rsid w:val="241318F0"/>
    <w:rsid w:val="24200217"/>
    <w:rsid w:val="244871F4"/>
    <w:rsid w:val="24746AE7"/>
    <w:rsid w:val="24826042"/>
    <w:rsid w:val="249B16D6"/>
    <w:rsid w:val="24B94340"/>
    <w:rsid w:val="24C70119"/>
    <w:rsid w:val="24E752CA"/>
    <w:rsid w:val="25236D9F"/>
    <w:rsid w:val="252C1C36"/>
    <w:rsid w:val="253264D3"/>
    <w:rsid w:val="2538648D"/>
    <w:rsid w:val="253F4153"/>
    <w:rsid w:val="255065E2"/>
    <w:rsid w:val="255120D8"/>
    <w:rsid w:val="255A0464"/>
    <w:rsid w:val="25604BE5"/>
    <w:rsid w:val="25773F32"/>
    <w:rsid w:val="257C58CD"/>
    <w:rsid w:val="25A401FE"/>
    <w:rsid w:val="25A866E5"/>
    <w:rsid w:val="25C7239A"/>
    <w:rsid w:val="25CD17F2"/>
    <w:rsid w:val="25D80104"/>
    <w:rsid w:val="25D86356"/>
    <w:rsid w:val="25DC5E46"/>
    <w:rsid w:val="25DF5CBB"/>
    <w:rsid w:val="25EB6FC2"/>
    <w:rsid w:val="26263C5E"/>
    <w:rsid w:val="263E08AF"/>
    <w:rsid w:val="26487037"/>
    <w:rsid w:val="264D28A0"/>
    <w:rsid w:val="2665408D"/>
    <w:rsid w:val="267406A1"/>
    <w:rsid w:val="268230C3"/>
    <w:rsid w:val="269664BE"/>
    <w:rsid w:val="269A3F89"/>
    <w:rsid w:val="26AF65A5"/>
    <w:rsid w:val="26C22734"/>
    <w:rsid w:val="26DE037A"/>
    <w:rsid w:val="26E00191"/>
    <w:rsid w:val="26EA37FB"/>
    <w:rsid w:val="27173123"/>
    <w:rsid w:val="272E26D1"/>
    <w:rsid w:val="27AC61B9"/>
    <w:rsid w:val="27D8263D"/>
    <w:rsid w:val="27FE6EF0"/>
    <w:rsid w:val="28110526"/>
    <w:rsid w:val="2814724C"/>
    <w:rsid w:val="282B140C"/>
    <w:rsid w:val="28375750"/>
    <w:rsid w:val="28447CD2"/>
    <w:rsid w:val="28560FCB"/>
    <w:rsid w:val="286E1C83"/>
    <w:rsid w:val="289F7C50"/>
    <w:rsid w:val="28CD43A7"/>
    <w:rsid w:val="295703E0"/>
    <w:rsid w:val="29812E00"/>
    <w:rsid w:val="2996455E"/>
    <w:rsid w:val="29AA0AD5"/>
    <w:rsid w:val="29B1687E"/>
    <w:rsid w:val="29B63151"/>
    <w:rsid w:val="29B703CA"/>
    <w:rsid w:val="29F55728"/>
    <w:rsid w:val="2A0873C7"/>
    <w:rsid w:val="2A3F69A3"/>
    <w:rsid w:val="2A477BBF"/>
    <w:rsid w:val="2A7E3546"/>
    <w:rsid w:val="2A887A0B"/>
    <w:rsid w:val="2AC60146"/>
    <w:rsid w:val="2AF91248"/>
    <w:rsid w:val="2AF9760E"/>
    <w:rsid w:val="2B0E7904"/>
    <w:rsid w:val="2B3B6C64"/>
    <w:rsid w:val="2B611C34"/>
    <w:rsid w:val="2B910D6A"/>
    <w:rsid w:val="2B936FA7"/>
    <w:rsid w:val="2B9570FA"/>
    <w:rsid w:val="2BB56E47"/>
    <w:rsid w:val="2BF10171"/>
    <w:rsid w:val="2BF92F32"/>
    <w:rsid w:val="2C5F157F"/>
    <w:rsid w:val="2C7C4112"/>
    <w:rsid w:val="2C8A4498"/>
    <w:rsid w:val="2C8B4122"/>
    <w:rsid w:val="2C8C559B"/>
    <w:rsid w:val="2C956D4E"/>
    <w:rsid w:val="2C9A10B4"/>
    <w:rsid w:val="2CB0586A"/>
    <w:rsid w:val="2CBC0FE6"/>
    <w:rsid w:val="2CC338BC"/>
    <w:rsid w:val="2CDE6947"/>
    <w:rsid w:val="2D0A021B"/>
    <w:rsid w:val="2D4744ED"/>
    <w:rsid w:val="2D5A402F"/>
    <w:rsid w:val="2E0E21C8"/>
    <w:rsid w:val="2E61338C"/>
    <w:rsid w:val="2E8157DC"/>
    <w:rsid w:val="2ED02867"/>
    <w:rsid w:val="2EE24B4A"/>
    <w:rsid w:val="2EE47B19"/>
    <w:rsid w:val="2F333F87"/>
    <w:rsid w:val="2F3A5FB6"/>
    <w:rsid w:val="2F4C6C90"/>
    <w:rsid w:val="2F6E0D2D"/>
    <w:rsid w:val="2F7075FF"/>
    <w:rsid w:val="2F8C4439"/>
    <w:rsid w:val="2F9B6E27"/>
    <w:rsid w:val="2FAC4ADB"/>
    <w:rsid w:val="2FB6046C"/>
    <w:rsid w:val="2FBB348E"/>
    <w:rsid w:val="2FC736C3"/>
    <w:rsid w:val="2FEE3910"/>
    <w:rsid w:val="30313232"/>
    <w:rsid w:val="30515682"/>
    <w:rsid w:val="305320C6"/>
    <w:rsid w:val="308349EB"/>
    <w:rsid w:val="309D26FC"/>
    <w:rsid w:val="30A36E0A"/>
    <w:rsid w:val="30AD4066"/>
    <w:rsid w:val="30FC7EA1"/>
    <w:rsid w:val="30FD4EC2"/>
    <w:rsid w:val="31132938"/>
    <w:rsid w:val="31442AF1"/>
    <w:rsid w:val="315321B6"/>
    <w:rsid w:val="3155488D"/>
    <w:rsid w:val="3155608C"/>
    <w:rsid w:val="31653241"/>
    <w:rsid w:val="3194654F"/>
    <w:rsid w:val="319677F1"/>
    <w:rsid w:val="31973569"/>
    <w:rsid w:val="31AF049E"/>
    <w:rsid w:val="31BC7B89"/>
    <w:rsid w:val="31BE42AC"/>
    <w:rsid w:val="3213099D"/>
    <w:rsid w:val="322A63A7"/>
    <w:rsid w:val="324B7348"/>
    <w:rsid w:val="325C6F85"/>
    <w:rsid w:val="328007DE"/>
    <w:rsid w:val="32AF1B92"/>
    <w:rsid w:val="32B642F1"/>
    <w:rsid w:val="33243993"/>
    <w:rsid w:val="335039CF"/>
    <w:rsid w:val="33792F26"/>
    <w:rsid w:val="339A78D1"/>
    <w:rsid w:val="33BF67AD"/>
    <w:rsid w:val="33F933F4"/>
    <w:rsid w:val="33FD68F0"/>
    <w:rsid w:val="34511572"/>
    <w:rsid w:val="34592D57"/>
    <w:rsid w:val="346D2E29"/>
    <w:rsid w:val="347A3B44"/>
    <w:rsid w:val="347B0F20"/>
    <w:rsid w:val="34961621"/>
    <w:rsid w:val="34C957E7"/>
    <w:rsid w:val="34CB63A6"/>
    <w:rsid w:val="34D810A4"/>
    <w:rsid w:val="34DC2CA2"/>
    <w:rsid w:val="34E45C0B"/>
    <w:rsid w:val="34F266E5"/>
    <w:rsid w:val="34F52CEB"/>
    <w:rsid w:val="34FF4F9B"/>
    <w:rsid w:val="350A2FE2"/>
    <w:rsid w:val="35215C68"/>
    <w:rsid w:val="352526B6"/>
    <w:rsid w:val="354030C8"/>
    <w:rsid w:val="355E0625"/>
    <w:rsid w:val="35611825"/>
    <w:rsid w:val="35803FB6"/>
    <w:rsid w:val="35B02DF4"/>
    <w:rsid w:val="35B75F88"/>
    <w:rsid w:val="35C661CB"/>
    <w:rsid w:val="35D31047"/>
    <w:rsid w:val="35D81164"/>
    <w:rsid w:val="35F81D42"/>
    <w:rsid w:val="35FA5E74"/>
    <w:rsid w:val="35FC1BEC"/>
    <w:rsid w:val="36160F00"/>
    <w:rsid w:val="3621237D"/>
    <w:rsid w:val="362E76E6"/>
    <w:rsid w:val="363D6BBB"/>
    <w:rsid w:val="3665579A"/>
    <w:rsid w:val="366E2AEA"/>
    <w:rsid w:val="36730100"/>
    <w:rsid w:val="36923C71"/>
    <w:rsid w:val="36976817"/>
    <w:rsid w:val="36CE0F9D"/>
    <w:rsid w:val="36D44917"/>
    <w:rsid w:val="36DF5351"/>
    <w:rsid w:val="36E55B21"/>
    <w:rsid w:val="36EE59D9"/>
    <w:rsid w:val="3710594F"/>
    <w:rsid w:val="371D5C16"/>
    <w:rsid w:val="37516E98"/>
    <w:rsid w:val="375D3B3C"/>
    <w:rsid w:val="376958AF"/>
    <w:rsid w:val="376C34BF"/>
    <w:rsid w:val="37D96F69"/>
    <w:rsid w:val="37EE22E0"/>
    <w:rsid w:val="37F64977"/>
    <w:rsid w:val="381A7DA5"/>
    <w:rsid w:val="384223E5"/>
    <w:rsid w:val="3851190D"/>
    <w:rsid w:val="38B60778"/>
    <w:rsid w:val="390414E4"/>
    <w:rsid w:val="390A5865"/>
    <w:rsid w:val="391101E4"/>
    <w:rsid w:val="391A2AB5"/>
    <w:rsid w:val="392C506F"/>
    <w:rsid w:val="39335925"/>
    <w:rsid w:val="3934169D"/>
    <w:rsid w:val="39832859"/>
    <w:rsid w:val="398A0386"/>
    <w:rsid w:val="39936720"/>
    <w:rsid w:val="39FB3442"/>
    <w:rsid w:val="3A11525B"/>
    <w:rsid w:val="3A233BEC"/>
    <w:rsid w:val="3A4F5B49"/>
    <w:rsid w:val="3A683CF4"/>
    <w:rsid w:val="3A88317F"/>
    <w:rsid w:val="3A963A42"/>
    <w:rsid w:val="3ABD0D6D"/>
    <w:rsid w:val="3AC3717D"/>
    <w:rsid w:val="3AC9023B"/>
    <w:rsid w:val="3AEF5046"/>
    <w:rsid w:val="3B0029AF"/>
    <w:rsid w:val="3B3B324A"/>
    <w:rsid w:val="3B8406BA"/>
    <w:rsid w:val="3B84285C"/>
    <w:rsid w:val="3BB00C1C"/>
    <w:rsid w:val="3BB24DB6"/>
    <w:rsid w:val="3BC8410B"/>
    <w:rsid w:val="3BCE6465"/>
    <w:rsid w:val="3BE270EB"/>
    <w:rsid w:val="3BE630E8"/>
    <w:rsid w:val="3BEC412E"/>
    <w:rsid w:val="3BFA097C"/>
    <w:rsid w:val="3C052337"/>
    <w:rsid w:val="3C3363EC"/>
    <w:rsid w:val="3C7C3A4E"/>
    <w:rsid w:val="3C7E3BFA"/>
    <w:rsid w:val="3CCD6091"/>
    <w:rsid w:val="3CE21B3C"/>
    <w:rsid w:val="3CEC0D46"/>
    <w:rsid w:val="3CF237D3"/>
    <w:rsid w:val="3CFE0C13"/>
    <w:rsid w:val="3D1B2ECD"/>
    <w:rsid w:val="3D395934"/>
    <w:rsid w:val="3D475DEF"/>
    <w:rsid w:val="3D4A1496"/>
    <w:rsid w:val="3D633D0C"/>
    <w:rsid w:val="3D7A6218"/>
    <w:rsid w:val="3DB652AD"/>
    <w:rsid w:val="3DB8257E"/>
    <w:rsid w:val="3DE64954"/>
    <w:rsid w:val="3DEB2C72"/>
    <w:rsid w:val="3E13765C"/>
    <w:rsid w:val="3E2B12C1"/>
    <w:rsid w:val="3E336F0D"/>
    <w:rsid w:val="3E592ACB"/>
    <w:rsid w:val="3E967B80"/>
    <w:rsid w:val="3EA559E4"/>
    <w:rsid w:val="3EB23E35"/>
    <w:rsid w:val="3ECC33E2"/>
    <w:rsid w:val="3EE03731"/>
    <w:rsid w:val="3F014394"/>
    <w:rsid w:val="3F216AF9"/>
    <w:rsid w:val="3F3D74FE"/>
    <w:rsid w:val="3F3F535D"/>
    <w:rsid w:val="3F972C5E"/>
    <w:rsid w:val="3FC96FE3"/>
    <w:rsid w:val="3FE06B86"/>
    <w:rsid w:val="3FE11DB2"/>
    <w:rsid w:val="400D103A"/>
    <w:rsid w:val="400E0999"/>
    <w:rsid w:val="40302BBE"/>
    <w:rsid w:val="40316936"/>
    <w:rsid w:val="4050090A"/>
    <w:rsid w:val="40585419"/>
    <w:rsid w:val="40811C90"/>
    <w:rsid w:val="40A44D1B"/>
    <w:rsid w:val="40A47286"/>
    <w:rsid w:val="40C1415E"/>
    <w:rsid w:val="40DC7371"/>
    <w:rsid w:val="40DF7F41"/>
    <w:rsid w:val="40F01DD4"/>
    <w:rsid w:val="413D016F"/>
    <w:rsid w:val="41412F19"/>
    <w:rsid w:val="414F52C6"/>
    <w:rsid w:val="41540B2E"/>
    <w:rsid w:val="41546D80"/>
    <w:rsid w:val="415B21F7"/>
    <w:rsid w:val="416C5E78"/>
    <w:rsid w:val="418800C2"/>
    <w:rsid w:val="41C1260A"/>
    <w:rsid w:val="41DC0740"/>
    <w:rsid w:val="41E53E7C"/>
    <w:rsid w:val="41FB544E"/>
    <w:rsid w:val="420A743F"/>
    <w:rsid w:val="423602A4"/>
    <w:rsid w:val="42397786"/>
    <w:rsid w:val="42642FF3"/>
    <w:rsid w:val="427D2C92"/>
    <w:rsid w:val="427F6E02"/>
    <w:rsid w:val="42812836"/>
    <w:rsid w:val="428720F1"/>
    <w:rsid w:val="428B1FE6"/>
    <w:rsid w:val="428E1E1E"/>
    <w:rsid w:val="42942F33"/>
    <w:rsid w:val="429E3A07"/>
    <w:rsid w:val="42ED44F6"/>
    <w:rsid w:val="42F32422"/>
    <w:rsid w:val="43104F29"/>
    <w:rsid w:val="433B1FA6"/>
    <w:rsid w:val="434C405F"/>
    <w:rsid w:val="43697F5F"/>
    <w:rsid w:val="438927A9"/>
    <w:rsid w:val="439F6833"/>
    <w:rsid w:val="43AD665B"/>
    <w:rsid w:val="43C47AEF"/>
    <w:rsid w:val="43DD12AF"/>
    <w:rsid w:val="43E837B0"/>
    <w:rsid w:val="43F079D4"/>
    <w:rsid w:val="43F67065"/>
    <w:rsid w:val="441D78FE"/>
    <w:rsid w:val="44246EDE"/>
    <w:rsid w:val="444E0313"/>
    <w:rsid w:val="446B0669"/>
    <w:rsid w:val="44775260"/>
    <w:rsid w:val="44906321"/>
    <w:rsid w:val="449F7158"/>
    <w:rsid w:val="44A55335"/>
    <w:rsid w:val="44A973E3"/>
    <w:rsid w:val="44C128DE"/>
    <w:rsid w:val="450834D0"/>
    <w:rsid w:val="45143CD2"/>
    <w:rsid w:val="452B1BA6"/>
    <w:rsid w:val="456D6141"/>
    <w:rsid w:val="45877724"/>
    <w:rsid w:val="45C36283"/>
    <w:rsid w:val="45C92C96"/>
    <w:rsid w:val="45D00FD8"/>
    <w:rsid w:val="46061F6A"/>
    <w:rsid w:val="460E4BB4"/>
    <w:rsid w:val="465A6961"/>
    <w:rsid w:val="46A80F1F"/>
    <w:rsid w:val="46AA3CC9"/>
    <w:rsid w:val="46BC026D"/>
    <w:rsid w:val="46C84454"/>
    <w:rsid w:val="46DE0FD7"/>
    <w:rsid w:val="47134FE8"/>
    <w:rsid w:val="471B6FB2"/>
    <w:rsid w:val="47392CA0"/>
    <w:rsid w:val="47906638"/>
    <w:rsid w:val="47B134A6"/>
    <w:rsid w:val="47D77324"/>
    <w:rsid w:val="481316CF"/>
    <w:rsid w:val="481728B6"/>
    <w:rsid w:val="482B27C1"/>
    <w:rsid w:val="485F219C"/>
    <w:rsid w:val="48816D46"/>
    <w:rsid w:val="48931F3C"/>
    <w:rsid w:val="48C12E89"/>
    <w:rsid w:val="48D80297"/>
    <w:rsid w:val="48EC5AF0"/>
    <w:rsid w:val="490135A1"/>
    <w:rsid w:val="491F1A22"/>
    <w:rsid w:val="492B486B"/>
    <w:rsid w:val="492D2391"/>
    <w:rsid w:val="496D09DF"/>
    <w:rsid w:val="496D5598"/>
    <w:rsid w:val="49B605D8"/>
    <w:rsid w:val="49BA5F57"/>
    <w:rsid w:val="49C820BA"/>
    <w:rsid w:val="49C96054"/>
    <w:rsid w:val="49D97F97"/>
    <w:rsid w:val="49EB1A27"/>
    <w:rsid w:val="49F3183F"/>
    <w:rsid w:val="4A421E6C"/>
    <w:rsid w:val="4A69564B"/>
    <w:rsid w:val="4AAD40C0"/>
    <w:rsid w:val="4AAF6DD6"/>
    <w:rsid w:val="4AB34B18"/>
    <w:rsid w:val="4AB94054"/>
    <w:rsid w:val="4AC7411F"/>
    <w:rsid w:val="4AD64E25"/>
    <w:rsid w:val="4AE256BB"/>
    <w:rsid w:val="4AE5215F"/>
    <w:rsid w:val="4AEA6802"/>
    <w:rsid w:val="4B0233A9"/>
    <w:rsid w:val="4B2C615B"/>
    <w:rsid w:val="4B5D136C"/>
    <w:rsid w:val="4B810772"/>
    <w:rsid w:val="4BD81F28"/>
    <w:rsid w:val="4BFC604B"/>
    <w:rsid w:val="4C00292D"/>
    <w:rsid w:val="4C3D35AC"/>
    <w:rsid w:val="4C60163C"/>
    <w:rsid w:val="4C995FFF"/>
    <w:rsid w:val="4CC52EB8"/>
    <w:rsid w:val="4CE641A2"/>
    <w:rsid w:val="4CF95344"/>
    <w:rsid w:val="4CFF4392"/>
    <w:rsid w:val="4D085466"/>
    <w:rsid w:val="4D186EB4"/>
    <w:rsid w:val="4D6F7ACE"/>
    <w:rsid w:val="4D7A7111"/>
    <w:rsid w:val="4D92310A"/>
    <w:rsid w:val="4DB06E57"/>
    <w:rsid w:val="4DF25957"/>
    <w:rsid w:val="4DF3347D"/>
    <w:rsid w:val="4DF95F50"/>
    <w:rsid w:val="4E630F9F"/>
    <w:rsid w:val="4E65437B"/>
    <w:rsid w:val="4E6C7832"/>
    <w:rsid w:val="4E710F72"/>
    <w:rsid w:val="4E8223A4"/>
    <w:rsid w:val="4E895B2B"/>
    <w:rsid w:val="4EAD187E"/>
    <w:rsid w:val="4ECE46EF"/>
    <w:rsid w:val="4ED60034"/>
    <w:rsid w:val="4ED82D9F"/>
    <w:rsid w:val="4EEA4DAE"/>
    <w:rsid w:val="4EFA424F"/>
    <w:rsid w:val="4F0430A7"/>
    <w:rsid w:val="4F1A6B9B"/>
    <w:rsid w:val="4F214D18"/>
    <w:rsid w:val="4F4F0B87"/>
    <w:rsid w:val="4FA9376F"/>
    <w:rsid w:val="4FCE7F30"/>
    <w:rsid w:val="4FF41F56"/>
    <w:rsid w:val="502618E8"/>
    <w:rsid w:val="502A762A"/>
    <w:rsid w:val="503F29AA"/>
    <w:rsid w:val="50546455"/>
    <w:rsid w:val="5079410E"/>
    <w:rsid w:val="509C5D50"/>
    <w:rsid w:val="50A13664"/>
    <w:rsid w:val="50A218B6"/>
    <w:rsid w:val="50AE085F"/>
    <w:rsid w:val="50CE3598"/>
    <w:rsid w:val="51091A40"/>
    <w:rsid w:val="510A705F"/>
    <w:rsid w:val="512C1180"/>
    <w:rsid w:val="514D723D"/>
    <w:rsid w:val="516923D4"/>
    <w:rsid w:val="51921CEE"/>
    <w:rsid w:val="51F6353C"/>
    <w:rsid w:val="51F80AC1"/>
    <w:rsid w:val="52145D31"/>
    <w:rsid w:val="5228628E"/>
    <w:rsid w:val="522F3081"/>
    <w:rsid w:val="52533913"/>
    <w:rsid w:val="52642B9B"/>
    <w:rsid w:val="52675237"/>
    <w:rsid w:val="52903990"/>
    <w:rsid w:val="52AF6286"/>
    <w:rsid w:val="52D14209"/>
    <w:rsid w:val="530920D8"/>
    <w:rsid w:val="531763B3"/>
    <w:rsid w:val="533E0EA9"/>
    <w:rsid w:val="5361752C"/>
    <w:rsid w:val="536750BF"/>
    <w:rsid w:val="538661C4"/>
    <w:rsid w:val="53A40680"/>
    <w:rsid w:val="53A776F0"/>
    <w:rsid w:val="53BC3B51"/>
    <w:rsid w:val="53C17C75"/>
    <w:rsid w:val="53E62DA2"/>
    <w:rsid w:val="53ED1B1B"/>
    <w:rsid w:val="53F43D78"/>
    <w:rsid w:val="540E7263"/>
    <w:rsid w:val="543061F9"/>
    <w:rsid w:val="54667B16"/>
    <w:rsid w:val="54682970"/>
    <w:rsid w:val="549D09A1"/>
    <w:rsid w:val="54D04159"/>
    <w:rsid w:val="54FD204A"/>
    <w:rsid w:val="551132B9"/>
    <w:rsid w:val="55195EBF"/>
    <w:rsid w:val="55332658"/>
    <w:rsid w:val="554A4D59"/>
    <w:rsid w:val="5569504C"/>
    <w:rsid w:val="55713E81"/>
    <w:rsid w:val="55732D4D"/>
    <w:rsid w:val="55833339"/>
    <w:rsid w:val="559B0682"/>
    <w:rsid w:val="55A90FF1"/>
    <w:rsid w:val="55E634C6"/>
    <w:rsid w:val="562B5EAA"/>
    <w:rsid w:val="562C1C22"/>
    <w:rsid w:val="563A587F"/>
    <w:rsid w:val="56771D5E"/>
    <w:rsid w:val="569E667C"/>
    <w:rsid w:val="56A871DC"/>
    <w:rsid w:val="56B20379"/>
    <w:rsid w:val="56EF4602"/>
    <w:rsid w:val="574809D7"/>
    <w:rsid w:val="577675F9"/>
    <w:rsid w:val="57C57C38"/>
    <w:rsid w:val="57E330A5"/>
    <w:rsid w:val="57F25F31"/>
    <w:rsid w:val="57F60DB2"/>
    <w:rsid w:val="58047FBA"/>
    <w:rsid w:val="58727D91"/>
    <w:rsid w:val="58B46E2E"/>
    <w:rsid w:val="58CE6FC1"/>
    <w:rsid w:val="58D93676"/>
    <w:rsid w:val="59274A81"/>
    <w:rsid w:val="593625F0"/>
    <w:rsid w:val="594159E5"/>
    <w:rsid w:val="596E04C5"/>
    <w:rsid w:val="598F49A2"/>
    <w:rsid w:val="598F6750"/>
    <w:rsid w:val="59A259AE"/>
    <w:rsid w:val="59A57D21"/>
    <w:rsid w:val="59A9231D"/>
    <w:rsid w:val="59DB7BE7"/>
    <w:rsid w:val="59F128D3"/>
    <w:rsid w:val="59F34F31"/>
    <w:rsid w:val="5A3B13C4"/>
    <w:rsid w:val="5A3C7DCD"/>
    <w:rsid w:val="5A4511BC"/>
    <w:rsid w:val="5A4C3D35"/>
    <w:rsid w:val="5A5720ED"/>
    <w:rsid w:val="5A5A6D5E"/>
    <w:rsid w:val="5A6C06B7"/>
    <w:rsid w:val="5A820532"/>
    <w:rsid w:val="5A971BA8"/>
    <w:rsid w:val="5B1A473F"/>
    <w:rsid w:val="5B2401AD"/>
    <w:rsid w:val="5B2472F7"/>
    <w:rsid w:val="5B2C4700"/>
    <w:rsid w:val="5B372BFB"/>
    <w:rsid w:val="5B4E13CA"/>
    <w:rsid w:val="5B507C7E"/>
    <w:rsid w:val="5B5C1BB2"/>
    <w:rsid w:val="5B631316"/>
    <w:rsid w:val="5B6D191A"/>
    <w:rsid w:val="5B70435F"/>
    <w:rsid w:val="5B975D90"/>
    <w:rsid w:val="5BBF1E33"/>
    <w:rsid w:val="5BCB4F37"/>
    <w:rsid w:val="5BDA3D5D"/>
    <w:rsid w:val="5BDE265B"/>
    <w:rsid w:val="5C0B035E"/>
    <w:rsid w:val="5C0B27CB"/>
    <w:rsid w:val="5C0D47D0"/>
    <w:rsid w:val="5C2C1096"/>
    <w:rsid w:val="5C4E6CCC"/>
    <w:rsid w:val="5C580D1E"/>
    <w:rsid w:val="5C7A58CD"/>
    <w:rsid w:val="5CC26B83"/>
    <w:rsid w:val="5CC664E0"/>
    <w:rsid w:val="5CE16024"/>
    <w:rsid w:val="5CF05758"/>
    <w:rsid w:val="5D073FC7"/>
    <w:rsid w:val="5D0B4C83"/>
    <w:rsid w:val="5D1673EA"/>
    <w:rsid w:val="5D30024A"/>
    <w:rsid w:val="5D5850AB"/>
    <w:rsid w:val="5D631593"/>
    <w:rsid w:val="5D673D23"/>
    <w:rsid w:val="5D6C0E8A"/>
    <w:rsid w:val="5D8D2FA6"/>
    <w:rsid w:val="5D8F1FA0"/>
    <w:rsid w:val="5D907490"/>
    <w:rsid w:val="5DB744C7"/>
    <w:rsid w:val="5DC10EA2"/>
    <w:rsid w:val="5E0437CB"/>
    <w:rsid w:val="5E3406B3"/>
    <w:rsid w:val="5E4044BD"/>
    <w:rsid w:val="5E6613BD"/>
    <w:rsid w:val="5E755603"/>
    <w:rsid w:val="5E79352B"/>
    <w:rsid w:val="5E8056A5"/>
    <w:rsid w:val="5EE4067B"/>
    <w:rsid w:val="5F160697"/>
    <w:rsid w:val="5F33703C"/>
    <w:rsid w:val="5F375401"/>
    <w:rsid w:val="5F4368A9"/>
    <w:rsid w:val="5F637D59"/>
    <w:rsid w:val="5F722F52"/>
    <w:rsid w:val="5F9315FA"/>
    <w:rsid w:val="5FB707AE"/>
    <w:rsid w:val="5FDE50AE"/>
    <w:rsid w:val="60177DA7"/>
    <w:rsid w:val="605051E5"/>
    <w:rsid w:val="60583D31"/>
    <w:rsid w:val="606249EA"/>
    <w:rsid w:val="606F4ABE"/>
    <w:rsid w:val="606F72DB"/>
    <w:rsid w:val="60854833"/>
    <w:rsid w:val="60C74A21"/>
    <w:rsid w:val="60D3031F"/>
    <w:rsid w:val="60DE5427"/>
    <w:rsid w:val="61033F6B"/>
    <w:rsid w:val="61241E74"/>
    <w:rsid w:val="6138591F"/>
    <w:rsid w:val="613D3E82"/>
    <w:rsid w:val="61493688"/>
    <w:rsid w:val="61552CA7"/>
    <w:rsid w:val="617701F5"/>
    <w:rsid w:val="619C5EAE"/>
    <w:rsid w:val="61FA00CC"/>
    <w:rsid w:val="62185BE9"/>
    <w:rsid w:val="625E74B7"/>
    <w:rsid w:val="62654F75"/>
    <w:rsid w:val="62793854"/>
    <w:rsid w:val="62B62F9F"/>
    <w:rsid w:val="62B75EB5"/>
    <w:rsid w:val="62C57C67"/>
    <w:rsid w:val="62C7400B"/>
    <w:rsid w:val="62D068A8"/>
    <w:rsid w:val="62DB2144"/>
    <w:rsid w:val="62DE186B"/>
    <w:rsid w:val="62EF64B1"/>
    <w:rsid w:val="6300709D"/>
    <w:rsid w:val="63236338"/>
    <w:rsid w:val="63502E79"/>
    <w:rsid w:val="635E7AC6"/>
    <w:rsid w:val="636055EA"/>
    <w:rsid w:val="637440E7"/>
    <w:rsid w:val="63792345"/>
    <w:rsid w:val="63844E4C"/>
    <w:rsid w:val="63E36016"/>
    <w:rsid w:val="63F3575B"/>
    <w:rsid w:val="642D52F8"/>
    <w:rsid w:val="645A3BA2"/>
    <w:rsid w:val="646B44D9"/>
    <w:rsid w:val="647050F9"/>
    <w:rsid w:val="64800C99"/>
    <w:rsid w:val="64852B18"/>
    <w:rsid w:val="648A39B4"/>
    <w:rsid w:val="649A1701"/>
    <w:rsid w:val="64BD0615"/>
    <w:rsid w:val="64C4146C"/>
    <w:rsid w:val="64EB43DB"/>
    <w:rsid w:val="650224CC"/>
    <w:rsid w:val="65036678"/>
    <w:rsid w:val="651C0169"/>
    <w:rsid w:val="65293EFC"/>
    <w:rsid w:val="65382D82"/>
    <w:rsid w:val="65515201"/>
    <w:rsid w:val="65515BA4"/>
    <w:rsid w:val="65663365"/>
    <w:rsid w:val="656E1529"/>
    <w:rsid w:val="65752C9E"/>
    <w:rsid w:val="65973F90"/>
    <w:rsid w:val="65C86787"/>
    <w:rsid w:val="65D5373C"/>
    <w:rsid w:val="65FF2A50"/>
    <w:rsid w:val="662C5E17"/>
    <w:rsid w:val="663639F0"/>
    <w:rsid w:val="663D12E2"/>
    <w:rsid w:val="664105AA"/>
    <w:rsid w:val="6655487D"/>
    <w:rsid w:val="665B318D"/>
    <w:rsid w:val="665E35B4"/>
    <w:rsid w:val="66780FC2"/>
    <w:rsid w:val="669C2010"/>
    <w:rsid w:val="66A7297A"/>
    <w:rsid w:val="66AB0941"/>
    <w:rsid w:val="66C35C8B"/>
    <w:rsid w:val="66D95D80"/>
    <w:rsid w:val="66ED1363"/>
    <w:rsid w:val="66F807A3"/>
    <w:rsid w:val="66FC25F4"/>
    <w:rsid w:val="66FF410B"/>
    <w:rsid w:val="671D35ED"/>
    <w:rsid w:val="678202A7"/>
    <w:rsid w:val="67857371"/>
    <w:rsid w:val="678E72CF"/>
    <w:rsid w:val="67C978F1"/>
    <w:rsid w:val="67D51A4A"/>
    <w:rsid w:val="67E1286C"/>
    <w:rsid w:val="68033F70"/>
    <w:rsid w:val="68093B71"/>
    <w:rsid w:val="68094D42"/>
    <w:rsid w:val="68386205"/>
    <w:rsid w:val="683D6CF3"/>
    <w:rsid w:val="689D1A85"/>
    <w:rsid w:val="689E69AF"/>
    <w:rsid w:val="68B00494"/>
    <w:rsid w:val="68D94ACE"/>
    <w:rsid w:val="68EC5D88"/>
    <w:rsid w:val="69104FD2"/>
    <w:rsid w:val="693764BC"/>
    <w:rsid w:val="69487370"/>
    <w:rsid w:val="697B7766"/>
    <w:rsid w:val="699F5A9E"/>
    <w:rsid w:val="699F681A"/>
    <w:rsid w:val="69A4607B"/>
    <w:rsid w:val="69E56D5C"/>
    <w:rsid w:val="69FD17F3"/>
    <w:rsid w:val="6A1C13C9"/>
    <w:rsid w:val="6A4411D8"/>
    <w:rsid w:val="6A576E16"/>
    <w:rsid w:val="6A5E63F6"/>
    <w:rsid w:val="6A68021D"/>
    <w:rsid w:val="6A691E51"/>
    <w:rsid w:val="6A6F5236"/>
    <w:rsid w:val="6AB55323"/>
    <w:rsid w:val="6AB73D58"/>
    <w:rsid w:val="6AB909BC"/>
    <w:rsid w:val="6AD91964"/>
    <w:rsid w:val="6AF57CFF"/>
    <w:rsid w:val="6B1940CB"/>
    <w:rsid w:val="6B2C7F23"/>
    <w:rsid w:val="6B3845E2"/>
    <w:rsid w:val="6B641837"/>
    <w:rsid w:val="6B655563"/>
    <w:rsid w:val="6BEA3CBA"/>
    <w:rsid w:val="6BEA57EC"/>
    <w:rsid w:val="6BF52911"/>
    <w:rsid w:val="6C2D5B88"/>
    <w:rsid w:val="6C3075D6"/>
    <w:rsid w:val="6C4877A7"/>
    <w:rsid w:val="6C4F4AAC"/>
    <w:rsid w:val="6C660BA4"/>
    <w:rsid w:val="6C70267D"/>
    <w:rsid w:val="6C8D0A44"/>
    <w:rsid w:val="6CB95B66"/>
    <w:rsid w:val="6CBF0CA2"/>
    <w:rsid w:val="6CD14E74"/>
    <w:rsid w:val="6CDC6266"/>
    <w:rsid w:val="6CEF77DA"/>
    <w:rsid w:val="6CFD5D26"/>
    <w:rsid w:val="6D054A29"/>
    <w:rsid w:val="6D5A0320"/>
    <w:rsid w:val="6D5B5932"/>
    <w:rsid w:val="6D5F124E"/>
    <w:rsid w:val="6D601FCB"/>
    <w:rsid w:val="6D605CB7"/>
    <w:rsid w:val="6D611D5A"/>
    <w:rsid w:val="6D981D32"/>
    <w:rsid w:val="6DEE7A91"/>
    <w:rsid w:val="6E0025A6"/>
    <w:rsid w:val="6E096679"/>
    <w:rsid w:val="6E1B2378"/>
    <w:rsid w:val="6E4B5241"/>
    <w:rsid w:val="6E9422EC"/>
    <w:rsid w:val="6EA2087C"/>
    <w:rsid w:val="6EA976BF"/>
    <w:rsid w:val="6EDD0049"/>
    <w:rsid w:val="6EFB0BBF"/>
    <w:rsid w:val="6F072567"/>
    <w:rsid w:val="6F4035AB"/>
    <w:rsid w:val="6F457B85"/>
    <w:rsid w:val="6F481423"/>
    <w:rsid w:val="6FAE3743"/>
    <w:rsid w:val="6FF021FE"/>
    <w:rsid w:val="700131AA"/>
    <w:rsid w:val="70187047"/>
    <w:rsid w:val="701D4D9B"/>
    <w:rsid w:val="70222B25"/>
    <w:rsid w:val="702903A4"/>
    <w:rsid w:val="70333E81"/>
    <w:rsid w:val="703B3CFF"/>
    <w:rsid w:val="704C2525"/>
    <w:rsid w:val="7057030E"/>
    <w:rsid w:val="70752C14"/>
    <w:rsid w:val="707866CF"/>
    <w:rsid w:val="7090126C"/>
    <w:rsid w:val="709067E3"/>
    <w:rsid w:val="70A443A2"/>
    <w:rsid w:val="70D50E08"/>
    <w:rsid w:val="70EE5FFA"/>
    <w:rsid w:val="70F353BF"/>
    <w:rsid w:val="7103312E"/>
    <w:rsid w:val="71084668"/>
    <w:rsid w:val="712908C0"/>
    <w:rsid w:val="712966D8"/>
    <w:rsid w:val="71362F36"/>
    <w:rsid w:val="714F1660"/>
    <w:rsid w:val="71712AA2"/>
    <w:rsid w:val="717259F1"/>
    <w:rsid w:val="7189187F"/>
    <w:rsid w:val="718A28A1"/>
    <w:rsid w:val="71CF78AB"/>
    <w:rsid w:val="71EC078C"/>
    <w:rsid w:val="720F315D"/>
    <w:rsid w:val="72275320"/>
    <w:rsid w:val="724009EE"/>
    <w:rsid w:val="72404633"/>
    <w:rsid w:val="7258197D"/>
    <w:rsid w:val="726A2A28"/>
    <w:rsid w:val="72835AB7"/>
    <w:rsid w:val="7294037B"/>
    <w:rsid w:val="72974D76"/>
    <w:rsid w:val="72C20C25"/>
    <w:rsid w:val="72D8486C"/>
    <w:rsid w:val="72E6720A"/>
    <w:rsid w:val="730218E9"/>
    <w:rsid w:val="73382330"/>
    <w:rsid w:val="73400E28"/>
    <w:rsid w:val="73666918"/>
    <w:rsid w:val="7366709D"/>
    <w:rsid w:val="737F118B"/>
    <w:rsid w:val="73955FD2"/>
    <w:rsid w:val="739968BA"/>
    <w:rsid w:val="73AF2E6B"/>
    <w:rsid w:val="73D04495"/>
    <w:rsid w:val="73F35C31"/>
    <w:rsid w:val="73F8313B"/>
    <w:rsid w:val="73FB6A64"/>
    <w:rsid w:val="74457DA4"/>
    <w:rsid w:val="746451FC"/>
    <w:rsid w:val="747B7BA5"/>
    <w:rsid w:val="749175FE"/>
    <w:rsid w:val="749925C3"/>
    <w:rsid w:val="74B66E2F"/>
    <w:rsid w:val="74D774D1"/>
    <w:rsid w:val="74F65750"/>
    <w:rsid w:val="751F6782"/>
    <w:rsid w:val="75306BE1"/>
    <w:rsid w:val="75355367"/>
    <w:rsid w:val="75411016"/>
    <w:rsid w:val="757C42AD"/>
    <w:rsid w:val="75952EE8"/>
    <w:rsid w:val="75A03A85"/>
    <w:rsid w:val="75A761E4"/>
    <w:rsid w:val="75AC07FE"/>
    <w:rsid w:val="76080F80"/>
    <w:rsid w:val="76397D18"/>
    <w:rsid w:val="7686550D"/>
    <w:rsid w:val="769021CF"/>
    <w:rsid w:val="769136B0"/>
    <w:rsid w:val="769C4F42"/>
    <w:rsid w:val="76AC6DAF"/>
    <w:rsid w:val="76C0697A"/>
    <w:rsid w:val="76DB0DCF"/>
    <w:rsid w:val="76F1623A"/>
    <w:rsid w:val="77020109"/>
    <w:rsid w:val="77230185"/>
    <w:rsid w:val="77417307"/>
    <w:rsid w:val="77550EA7"/>
    <w:rsid w:val="77634BA9"/>
    <w:rsid w:val="77822FF8"/>
    <w:rsid w:val="77B72002"/>
    <w:rsid w:val="77CD6969"/>
    <w:rsid w:val="77DD7648"/>
    <w:rsid w:val="77E50650"/>
    <w:rsid w:val="77ED700C"/>
    <w:rsid w:val="77F444D3"/>
    <w:rsid w:val="7826006B"/>
    <w:rsid w:val="782F1376"/>
    <w:rsid w:val="78363092"/>
    <w:rsid w:val="78600196"/>
    <w:rsid w:val="7861622C"/>
    <w:rsid w:val="786E3F39"/>
    <w:rsid w:val="788D60F9"/>
    <w:rsid w:val="78943089"/>
    <w:rsid w:val="78B8098A"/>
    <w:rsid w:val="78BC253A"/>
    <w:rsid w:val="78C435AE"/>
    <w:rsid w:val="78C95383"/>
    <w:rsid w:val="78DF3CE8"/>
    <w:rsid w:val="792B53A6"/>
    <w:rsid w:val="797C0647"/>
    <w:rsid w:val="79A010BC"/>
    <w:rsid w:val="7A0A5C4F"/>
    <w:rsid w:val="7A24483B"/>
    <w:rsid w:val="7A2F2EF8"/>
    <w:rsid w:val="7A7F7CD9"/>
    <w:rsid w:val="7A8157E9"/>
    <w:rsid w:val="7ACD7133"/>
    <w:rsid w:val="7B02062D"/>
    <w:rsid w:val="7B1A6F92"/>
    <w:rsid w:val="7B623BF9"/>
    <w:rsid w:val="7B785C27"/>
    <w:rsid w:val="7BA313AA"/>
    <w:rsid w:val="7BA67F7A"/>
    <w:rsid w:val="7BA9149B"/>
    <w:rsid w:val="7BB15E76"/>
    <w:rsid w:val="7BB87930"/>
    <w:rsid w:val="7BC6239A"/>
    <w:rsid w:val="7BCE2CB0"/>
    <w:rsid w:val="7BCF674F"/>
    <w:rsid w:val="7BD16E2A"/>
    <w:rsid w:val="7BF0367F"/>
    <w:rsid w:val="7BFD3860"/>
    <w:rsid w:val="7C083E85"/>
    <w:rsid w:val="7C0B51F9"/>
    <w:rsid w:val="7C7C69EA"/>
    <w:rsid w:val="7C964821"/>
    <w:rsid w:val="7CAD6D69"/>
    <w:rsid w:val="7CB77BE8"/>
    <w:rsid w:val="7CC336E0"/>
    <w:rsid w:val="7CDC144B"/>
    <w:rsid w:val="7CE71F14"/>
    <w:rsid w:val="7D1A2719"/>
    <w:rsid w:val="7D3134F6"/>
    <w:rsid w:val="7D821FA4"/>
    <w:rsid w:val="7D933C6C"/>
    <w:rsid w:val="7DB75F52"/>
    <w:rsid w:val="7DC26844"/>
    <w:rsid w:val="7DD61798"/>
    <w:rsid w:val="7DD73E33"/>
    <w:rsid w:val="7DE20C95"/>
    <w:rsid w:val="7E357016"/>
    <w:rsid w:val="7E3F67E4"/>
    <w:rsid w:val="7E416A7C"/>
    <w:rsid w:val="7E642729"/>
    <w:rsid w:val="7EA146AC"/>
    <w:rsid w:val="7EAD4DFF"/>
    <w:rsid w:val="7ED71E7C"/>
    <w:rsid w:val="7ED92098"/>
    <w:rsid w:val="7EF45C53"/>
    <w:rsid w:val="7F0D04A9"/>
    <w:rsid w:val="7F1E5CFC"/>
    <w:rsid w:val="7F313C82"/>
    <w:rsid w:val="7F3A71A5"/>
    <w:rsid w:val="7F5C05D3"/>
    <w:rsid w:val="7F6044FA"/>
    <w:rsid w:val="7F7830A3"/>
    <w:rsid w:val="7FAB531A"/>
    <w:rsid w:val="7FD84F1D"/>
    <w:rsid w:val="7FF72561"/>
    <w:rsid w:val="7FFD6E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Arial" w:hAnsi="Arial" w:cs="Arial"/>
      <w:b/>
      <w:sz w:val="32"/>
      <w:szCs w:val="32"/>
    </w:rPr>
  </w:style>
  <w:style w:type="paragraph" w:styleId="6">
    <w:name w:val="Body Text"/>
    <w:basedOn w:val="1"/>
    <w:next w:val="1"/>
    <w:qFormat/>
    <w:uiPriority w:val="0"/>
    <w:pPr>
      <w:spacing w:after="120"/>
    </w:pPr>
    <w:rPr>
      <w:rFonts w:eastAsia="仿宋" w:asciiTheme="minorAscii" w:hAnsiTheme="minorAscii"/>
      <w:sz w:val="32"/>
    </w:rPr>
  </w:style>
  <w:style w:type="paragraph" w:styleId="7">
    <w:name w:val="footer"/>
    <w:basedOn w:val="1"/>
    <w:next w:val="5"/>
    <w:qFormat/>
    <w:uiPriority w:val="0"/>
    <w:pPr>
      <w:tabs>
        <w:tab w:val="center" w:pos="4153"/>
        <w:tab w:val="right" w:pos="8306"/>
      </w:tabs>
      <w:snapToGrid w:val="0"/>
      <w:jc w:val="left"/>
    </w:pPr>
    <w:rPr>
      <w:sz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1"/>
    <w:qFormat/>
    <w:uiPriority w:val="0"/>
    <w:rPr>
      <w:rFonts w:ascii="Times New Roman" w:hAnsi="Times New Roman" w:eastAsia="宋体" w:cs="Times New Roman"/>
      <w:lang w:val="en-US" w:eastAsia="zh-CN" w:bidi="ar-SA"/>
    </w:rPr>
  </w:style>
  <w:style w:type="character" w:customStyle="1" w:styleId="13">
    <w:name w:val="font11"/>
    <w:basedOn w:val="10"/>
    <w:qFormat/>
    <w:uiPriority w:val="0"/>
    <w:rPr>
      <w:rFonts w:hint="eastAsia" w:ascii="宋体" w:hAnsi="宋体" w:eastAsia="宋体" w:cs="宋体"/>
      <w:color w:val="000000"/>
      <w:sz w:val="20"/>
      <w:szCs w:val="20"/>
      <w:u w:val="none"/>
    </w:rPr>
  </w:style>
  <w:style w:type="character" w:customStyle="1" w:styleId="14">
    <w:name w:val="font01"/>
    <w:basedOn w:val="10"/>
    <w:qFormat/>
    <w:uiPriority w:val="0"/>
    <w:rPr>
      <w:rFonts w:hint="eastAsia" w:ascii="宋体" w:hAnsi="宋体" w:eastAsia="宋体" w:cs="宋体"/>
      <w:color w:val="000000"/>
      <w:sz w:val="24"/>
      <w:szCs w:val="24"/>
      <w:u w:val="none"/>
    </w:rPr>
  </w:style>
  <w:style w:type="character" w:customStyle="1" w:styleId="15">
    <w:name w:val="font21"/>
    <w:basedOn w:val="10"/>
    <w:qFormat/>
    <w:uiPriority w:val="0"/>
    <w:rPr>
      <w:rFonts w:hint="eastAsia" w:ascii="宋体" w:hAnsi="宋体" w:eastAsia="宋体" w:cs="宋体"/>
      <w:color w:val="000000"/>
      <w:sz w:val="24"/>
      <w:szCs w:val="24"/>
      <w:u w:val="none"/>
    </w:rPr>
  </w:style>
  <w:style w:type="character" w:customStyle="1" w:styleId="16">
    <w:name w:val="font31"/>
    <w:basedOn w:val="1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4098" textRotate="1"/>
    <customShpInfo spid="_x0000_s4097"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76</Pages>
  <Words>19349</Words>
  <Characters>23820</Characters>
  <Lines>1</Lines>
  <Paragraphs>1</Paragraphs>
  <TotalTime>8</TotalTime>
  <ScaleCrop>false</ScaleCrop>
  <LinksUpToDate>false</LinksUpToDate>
  <CharactersWithSpaces>28405</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dc:creator>
  <cp:lastModifiedBy>Administrator</cp:lastModifiedBy>
  <cp:lastPrinted>2024-08-07T07:57:00Z</cp:lastPrinted>
  <dcterms:modified xsi:type="dcterms:W3CDTF">2025-08-13T07:40:39Z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700EEE4CF58C447286021D9510D34B6B</vt:lpwstr>
  </property>
  <property fmtid="{D5CDD505-2E9C-101B-9397-08002B2CF9AE}" pid="4" name="KSOTemplateDocerSaveRecord">
    <vt:lpwstr>eyJoZGlkIjoiZTFiMmZkMDEwYTc1M2I4NTY1Nzk4ZjVjNTQwYWNlZTUiLCJ1c2VySWQiOiI0NzY0NDY3NDcifQ==</vt:lpwstr>
  </property>
</Properties>
</file>