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AAB494C">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永吉县岔路河镇综合服务中心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29B4DC2E">
      <w:pPr>
        <w:jc w:val="center"/>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永吉县岔路河镇综合服务中心</w:t>
      </w:r>
    </w:p>
    <w:p w14:paraId="1F07C9F7">
      <w:pPr>
        <w:jc w:val="center"/>
        <w:rPr>
          <w:rFonts w:ascii="黑体" w:hAnsi="黑体" w:eastAsia="黑体"/>
          <w:sz w:val="44"/>
          <w:szCs w:val="44"/>
        </w:rPr>
      </w:pPr>
      <w:r>
        <w:rPr>
          <w:rFonts w:hint="eastAsia" w:ascii="黑体" w:hAnsi="黑体" w:eastAsia="黑体"/>
          <w:sz w:val="44"/>
          <w:szCs w:val="44"/>
        </w:rPr>
        <w:t>2026年预算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32C303D">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永吉县岔路河镇综合服务中心</w:t>
      </w:r>
    </w:p>
    <w:p w14:paraId="3FB284E7">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w:t>
      </w:r>
    </w:p>
    <w:p w14:paraId="0933E980">
      <w:pPr>
        <w:pStyle w:val="10"/>
        <w:widowControl/>
        <w:spacing w:line="620" w:lineRule="exact"/>
        <w:ind w:firstLine="627" w:firstLineChars="196"/>
        <w:contextualSpacing/>
        <w:rPr>
          <w:rFonts w:hint="eastAsia" w:ascii="仿宋" w:hAnsi="仿宋" w:eastAsia="仿宋"/>
          <w:b w:val="0"/>
          <w:bCs/>
          <w:kern w:val="0"/>
          <w:sz w:val="32"/>
          <w:szCs w:val="32"/>
        </w:rPr>
      </w:pPr>
      <w:r>
        <w:rPr>
          <w:rFonts w:hint="eastAsia" w:ascii="仿宋" w:hAnsi="仿宋" w:eastAsia="仿宋"/>
          <w:b w:val="0"/>
          <w:bCs/>
          <w:kern w:val="0"/>
          <w:sz w:val="32"/>
          <w:szCs w:val="32"/>
        </w:rPr>
        <w:t>主要职能：</w:t>
      </w:r>
    </w:p>
    <w:p w14:paraId="002BE96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1</w:t>
      </w:r>
      <w:r>
        <w:rPr>
          <w:rFonts w:hint="eastAsia" w:ascii="仿宋" w:hAnsi="仿宋" w:eastAsia="仿宋"/>
          <w:bCs/>
          <w:kern w:val="0"/>
          <w:sz w:val="32"/>
          <w:szCs w:val="32"/>
        </w:rPr>
        <w:t>、贯彻执行国家农业、林业、水利方面工作的基本方针、政策和法律、法规。</w:t>
      </w:r>
    </w:p>
    <w:p w14:paraId="53637D3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2</w:t>
      </w:r>
      <w:r>
        <w:rPr>
          <w:rFonts w:hint="eastAsia" w:ascii="仿宋" w:hAnsi="仿宋" w:eastAsia="仿宋"/>
          <w:bCs/>
          <w:kern w:val="0"/>
          <w:sz w:val="32"/>
          <w:szCs w:val="32"/>
        </w:rPr>
        <w:t>、提供农业综合服务，负责农业技术、农机、水利水保、畜牧兽医、林业等方面的技术推广、信息服务、资源环境保护、动物卫生检测、动物疫情防控、灾害防治等工作。</w:t>
      </w:r>
    </w:p>
    <w:p w14:paraId="6A4C4BA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3</w:t>
      </w:r>
      <w:r>
        <w:rPr>
          <w:rFonts w:hint="eastAsia" w:ascii="仿宋" w:hAnsi="仿宋" w:eastAsia="仿宋"/>
          <w:bCs/>
          <w:kern w:val="0"/>
          <w:sz w:val="32"/>
          <w:szCs w:val="32"/>
        </w:rPr>
        <w:t>、负责农产品、畜产品质量安全管理，农村各类合作经济经营管理</w:t>
      </w:r>
      <w:r>
        <w:rPr>
          <w:rFonts w:hint="eastAsia" w:ascii="仿宋" w:hAnsi="仿宋" w:eastAsia="仿宋"/>
          <w:bCs/>
          <w:kern w:val="0"/>
          <w:sz w:val="32"/>
          <w:szCs w:val="32"/>
          <w:lang w:eastAsia="zh-CN"/>
        </w:rPr>
        <w:t>、土地承包经营</w:t>
      </w:r>
      <w:r>
        <w:rPr>
          <w:rFonts w:hint="eastAsia" w:ascii="仿宋" w:hAnsi="仿宋" w:eastAsia="仿宋"/>
          <w:bCs/>
          <w:kern w:val="0"/>
          <w:sz w:val="32"/>
          <w:szCs w:val="32"/>
        </w:rPr>
        <w:t>等工作。</w:t>
      </w:r>
    </w:p>
    <w:p w14:paraId="62C48B1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4</w:t>
      </w:r>
      <w:r>
        <w:rPr>
          <w:rFonts w:hint="eastAsia" w:ascii="仿宋" w:hAnsi="仿宋" w:eastAsia="仿宋"/>
          <w:bCs/>
          <w:kern w:val="0"/>
          <w:sz w:val="32"/>
          <w:szCs w:val="32"/>
        </w:rPr>
        <w:t>、积极参加镇党委政府开展的各项中心工作。</w:t>
      </w:r>
    </w:p>
    <w:p w14:paraId="70CAAC9D">
      <w:pPr>
        <w:pStyle w:val="10"/>
        <w:widowControl/>
        <w:spacing w:line="620" w:lineRule="exact"/>
        <w:ind w:firstLine="627" w:firstLineChars="196"/>
        <w:contextualSpacing/>
        <w:rPr>
          <w:rFonts w:hint="eastAsia" w:ascii="仿宋" w:hAnsi="仿宋" w:eastAsia="仿宋"/>
          <w:b w:val="0"/>
          <w:bCs/>
          <w:kern w:val="0"/>
          <w:sz w:val="32"/>
          <w:szCs w:val="32"/>
        </w:rPr>
      </w:pPr>
      <w:r>
        <w:rPr>
          <w:rFonts w:hint="eastAsia" w:ascii="仿宋" w:hAnsi="仿宋" w:eastAsia="仿宋"/>
          <w:b w:val="0"/>
          <w:bCs/>
          <w:kern w:val="0"/>
          <w:sz w:val="32"/>
          <w:szCs w:val="32"/>
        </w:rPr>
        <w:t>主要业务：</w:t>
      </w:r>
    </w:p>
    <w:p w14:paraId="58A450E0">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永吉县岔路河镇综合服务中心内设机构12个</w:t>
      </w:r>
      <w:r>
        <w:rPr>
          <w:rFonts w:hint="eastAsia" w:ascii="仿宋" w:hAnsi="仿宋" w:eastAsia="仿宋"/>
          <w:sz w:val="32"/>
          <w:szCs w:val="32"/>
          <w:lang w:eastAsia="zh-CN"/>
        </w:rPr>
        <w:t>，按照职责不同，所承担的工作任务不同，具体如下：</w:t>
      </w:r>
    </w:p>
    <w:p w14:paraId="59F4CCFA">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一)党务综合科。负责综合服务中心党的政治建设、组织建设和宣传、意识形态等工作。负责机构编制、人事工作，负责综合服务中心日常运转工作，承担中心党务、会务、文书、信息、保密、档案、财务、资产管理、后勤保障等工作，承办镇党委、政府交办的其他事项。</w:t>
      </w:r>
    </w:p>
    <w:p w14:paraId="1883D947">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二)人力资源社会保障事务所。负责辖区劳动力资源、劳务输出、劳动力转移等工作，为失业人员提供再就业服务，为就业和再就业人员建立和接续社会保险关系，承担城乡居民社会养老保险、医疗保险的参保、缴费、待遇政策宣传等工作。</w:t>
      </w:r>
    </w:p>
    <w:p w14:paraId="4CDC2CC0">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三)退役军人服务站。负责宣传退役军人政策法规，建立健全本辖区退役军人基本信息台联，收集退役军人就业创业需求，提供政策咨询和信息服务，组织建立退役军人联系制度，开展走访慰问、帮扶解困、化解矛盾和思想教有工作。</w:t>
      </w:r>
    </w:p>
    <w:p w14:paraId="7AD2CEAB">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四)农村经济管理服务站。负责辖区内农村财务管理和集体资产管理工作，村级财务统计、审计和村务、财务公开工作。做好村屯组财务人员业务培训工作。定期对农村经济收支、农民收入以及农民负担情况进行监测，开展农村经济政策法规宣传服务。指导辖区内的士地流转工作，承担土地承包，耕地、荒山使用权流转和承包合同管理等工作。开展农业政策性保险宣传服务负责农村宅基地“三到户”和流转指导工作。</w:t>
      </w:r>
    </w:p>
    <w:p w14:paraId="1C259EB6">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五)农机管理站。宣传贯彻国家有关农业机械的法律法规：组织辖区农业机械进行农用作业：进行农业机械化新技术、新机具的示范推广：指导和管理农业机械服务体系的建设：负责农业机械统计工作。做好农业农机技术人员的管理培训工作。</w:t>
      </w:r>
    </w:p>
    <w:p w14:paraId="0E68B2F4">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六)农业技术推广站。负贵辖区内种植业技术推广、服务等工作。农作物病虫害预测预报和防治技术指导。承担辖区内农产品质量安全宣传、控制技术示范和标准化安全生产。承担产地农产品快速检验检测、质量安全事故应急处理。</w:t>
      </w:r>
    </w:p>
    <w:p w14:paraId="65BC6707">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七)畜牧兽医站。负责域内畜牧业产业发展，做好畜牧兽医相关情况普查上报工作，指导畜禽粪污资源化利用，落实各项强牧惠牧政策；负责做好动物强制免疫、疫情报告、消毒灭源等动物疫病防控工作：承担辖区内病死动物的收集和临时储存、运送工作：做好基层畜牧业技术推广和咨询服务。</w:t>
      </w:r>
    </w:p>
    <w:p w14:paraId="390FA41B">
      <w:pPr>
        <w:pStyle w:val="10"/>
        <w:widowControl/>
        <w:spacing w:line="620" w:lineRule="exact"/>
        <w:ind w:firstLine="320" w:firstLineChars="100"/>
        <w:contextualSpacing/>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八)自然资源所。负责编制辖区内土地利用、矿产资源、测绘发展、地质环境保护等规划并组织实施负责耕地保护，严格履行耕地保护目标责任制。负责具体实施永久基本农田保护及划区定界。协助做好城镇土地、农用地分等定级、评估、交易、调查登记和动态监测工作，协助做好矿产勘查开发的服务工作，组织宣传地质灾害防治知识。负责对本行政区域内的自然资源进行动态巡查，及时发现、制止和报告自然资源违法行为。</w:t>
      </w:r>
    </w:p>
    <w:p w14:paraId="22546536">
      <w:pPr>
        <w:pStyle w:val="10"/>
        <w:widowControl/>
        <w:spacing w:line="620" w:lineRule="exact"/>
        <w:ind w:firstLine="320" w:firstLineChars="100"/>
        <w:contextualSpacing/>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九)林业站。宣传贯彻执行相关法律法规，推广林业科学技术。组织和指导农村集体、个人开展林业生产经营活动。做好资源调查、造林检查验收、林业统计和森林资源档案管理等工作。做好森林防火服务保障工作。依法管理森林和野生动植</w:t>
      </w:r>
    </w:p>
    <w:p w14:paraId="1D5ED9D2">
      <w:pPr>
        <w:pStyle w:val="10"/>
        <w:widowControl/>
        <w:spacing w:line="620" w:lineRule="exact"/>
        <w:contextualSpacing/>
        <w:rPr>
          <w:rFonts w:hint="eastAsia" w:ascii="仿宋" w:hAnsi="仿宋" w:eastAsia="仿宋"/>
          <w:sz w:val="32"/>
          <w:szCs w:val="32"/>
          <w:lang w:eastAsia="zh-CN"/>
        </w:rPr>
      </w:pPr>
      <w:r>
        <w:rPr>
          <w:rFonts w:hint="eastAsia" w:ascii="仿宋" w:hAnsi="仿宋" w:eastAsia="仿宋"/>
          <w:sz w:val="32"/>
          <w:szCs w:val="32"/>
        </w:rPr>
        <w:t>物及湿地资源，做好乡村集体林保护工作。开展林业技术培训、咨询等服务工作。</w:t>
      </w:r>
    </w:p>
    <w:p w14:paraId="64FF597B">
      <w:pPr>
        <w:pStyle w:val="10"/>
        <w:widowControl/>
        <w:spacing w:line="620" w:lineRule="exact"/>
        <w:ind w:firstLine="320" w:firstLineChars="100"/>
        <w:contextualSpacing/>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十)水利站。负责辖区内水利规划与建设管理工作，组织协调农田水利基本建设、人畜饮水、节水灌溉和供水工作：负责农田水利建设的技术指导和工程管理，组织协调水利科学研究和技术推广。养殖技术服务、关键技术的引进、试验示范。水生动物病害监测，做好防汛抗旱服务保障工作。做好水利技术人员的管理培训工作。</w:t>
      </w:r>
    </w:p>
    <w:p w14:paraId="4214B432">
      <w:pPr>
        <w:pStyle w:val="10"/>
        <w:widowControl/>
        <w:spacing w:line="620" w:lineRule="exact"/>
        <w:ind w:firstLine="640" w:firstLineChars="20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十一）文化站（广播站）。组织实施全镇文化体育事业发展规划。指导群众文化的健康发展：推行全民健身计划，负责文体设施建设工作。开展村屯文体团队的建设工作，组织文体队伍开展活动；发展辖内的文化娱乐事业。负责全镇文体市场的管理工作。配合公安、工商、文化等职能部门对辖内的社会文化市场进行监督、巡查。开展文物宣传保护和非物质文化遗产搜集整理工作。</w:t>
      </w:r>
    </w:p>
    <w:p w14:paraId="1C3FAC35">
      <w:pPr>
        <w:pStyle w:val="10"/>
        <w:widowControl/>
        <w:spacing w:line="620" w:lineRule="exact"/>
        <w:ind w:firstLine="640" w:firstLineChars="200"/>
        <w:contextualSpacing/>
        <w:rPr>
          <w:rFonts w:hint="eastAsia" w:ascii="仿宋" w:hAnsi="仿宋" w:eastAsia="仿宋"/>
          <w:sz w:val="32"/>
          <w:szCs w:val="32"/>
          <w:lang w:val="en-US" w:eastAsia="zh-CN"/>
        </w:rPr>
      </w:pPr>
      <w:r>
        <w:rPr>
          <w:rFonts w:hint="eastAsia" w:ascii="仿宋" w:hAnsi="仿宋" w:eastAsia="仿宋"/>
          <w:sz w:val="32"/>
          <w:szCs w:val="32"/>
          <w:lang w:val="en-US" w:eastAsia="zh-CN"/>
        </w:rPr>
        <w:t>（十二）人口和计划生育服务站。负责本辖区域内的人口与计划生育工作，贯彻落实人口与计划生育实施方案；组织开展人口与计划生育宣传教育，做好计划生育知识的咨询和指导；落实计划生育政策和计划生育各项扶助制度：落实计划生育特殊家庭联系人制度：负责人口与计划生育统计信息工作：负责流动人口计划生育管理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E109318">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党务综合科、退役军人服务站、人力资源和社会保障所、农村经济管理服务站、农机管理站、农业技术推广站、畜牧兽医站、自然资源所、林业站、水利站、文化广播站、人口和计划生育服务站共12个内设机构。</w:t>
      </w:r>
    </w:p>
    <w:p w14:paraId="114985D0">
      <w:pPr>
        <w:pStyle w:val="12"/>
        <w:ind w:firstLine="627" w:firstLineChars="196"/>
        <w:rPr>
          <w:rFonts w:hint="eastAsia"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37</w:t>
      </w:r>
      <w:r>
        <w:rPr>
          <w:rFonts w:hint="eastAsia" w:ascii="仿宋" w:hAnsi="仿宋" w:eastAsia="仿宋"/>
          <w:kern w:val="0"/>
          <w:szCs w:val="32"/>
        </w:rPr>
        <w:t>人，编制数</w:t>
      </w:r>
      <w:r>
        <w:rPr>
          <w:rFonts w:hint="eastAsia" w:ascii="仿宋" w:hAnsi="仿宋" w:eastAsia="仿宋"/>
          <w:kern w:val="0"/>
          <w:szCs w:val="32"/>
          <w:lang w:val="en-US" w:eastAsia="zh-CN"/>
        </w:rPr>
        <w:t>49</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r>
        <w:rPr>
          <w:rFonts w:hint="eastAsia" w:ascii="仿宋" w:hAnsi="仿宋" w:eastAsia="仿宋"/>
          <w:kern w:val="0"/>
          <w:szCs w:val="32"/>
          <w:lang w:eastAsia="zh-CN"/>
        </w:rPr>
        <w:t>，主任（书记）</w:t>
      </w:r>
      <w:r>
        <w:rPr>
          <w:rFonts w:hint="eastAsia" w:ascii="仿宋" w:hAnsi="仿宋" w:eastAsia="仿宋"/>
          <w:kern w:val="0"/>
          <w:szCs w:val="32"/>
          <w:lang w:val="en-US" w:eastAsia="zh-CN"/>
        </w:rPr>
        <w:t>1人（由镇长兼任）、副书记1人、副主任2人（副科级1人、正股级1人）、正股级12人</w:t>
      </w:r>
      <w:r>
        <w:rPr>
          <w:rFonts w:hint="eastAsia" w:ascii="仿宋" w:hAnsi="仿宋" w:eastAsia="仿宋"/>
          <w:kern w:val="0"/>
          <w:szCs w:val="32"/>
        </w:rPr>
        <w:t>。</w:t>
      </w:r>
    </w:p>
    <w:p w14:paraId="1A612949">
      <w:pPr>
        <w:jc w:val="center"/>
        <w:rPr>
          <w:rFonts w:ascii="仿宋" w:hAnsi="仿宋" w:eastAsia="仿宋"/>
          <w:sz w:val="32"/>
          <w:szCs w:val="32"/>
        </w:rPr>
      </w:pPr>
      <w:r>
        <w:rPr>
          <w:rFonts w:hint="eastAsia" w:ascii="黑体" w:hAnsi="黑体" w:eastAsia="黑体"/>
          <w:sz w:val="32"/>
          <w:szCs w:val="32"/>
        </w:rPr>
        <w:t>第二部分  情况说明</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617.33</w:t>
      </w:r>
      <w:r>
        <w:rPr>
          <w:rFonts w:hint="eastAsia" w:ascii="仿宋" w:hAnsi="仿宋" w:eastAsia="仿宋"/>
          <w:sz w:val="32"/>
          <w:szCs w:val="32"/>
        </w:rPr>
        <w:t>万元，比 2025年预算数</w:t>
      </w:r>
      <w:r>
        <w:rPr>
          <w:rFonts w:hint="eastAsia" w:ascii="仿宋" w:hAnsi="仿宋" w:eastAsia="仿宋"/>
          <w:sz w:val="32"/>
          <w:szCs w:val="32"/>
          <w:lang w:val="en-US" w:eastAsia="zh-CN"/>
        </w:rPr>
        <w:t>589.70</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27.63</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人员增加、职称变动、正常薪级滚动委培生工资增加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617.33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617.33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617.33</w:t>
      </w:r>
      <w:r>
        <w:rPr>
          <w:rFonts w:hint="eastAsia" w:ascii="仿宋" w:hAnsi="仿宋" w:eastAsia="仿宋"/>
          <w:sz w:val="32"/>
          <w:szCs w:val="32"/>
        </w:rPr>
        <w:t>万元，其中：基本支出</w:t>
      </w:r>
      <w:r>
        <w:rPr>
          <w:rFonts w:hint="eastAsia" w:ascii="仿宋" w:hAnsi="仿宋" w:eastAsia="仿宋"/>
          <w:sz w:val="32"/>
          <w:szCs w:val="32"/>
          <w:lang w:val="en-US" w:eastAsia="zh-CN"/>
        </w:rPr>
        <w:t>479.28</w:t>
      </w:r>
      <w:r>
        <w:rPr>
          <w:rFonts w:hint="eastAsia" w:ascii="仿宋" w:hAnsi="仿宋" w:eastAsia="仿宋"/>
          <w:sz w:val="32"/>
          <w:szCs w:val="32"/>
        </w:rPr>
        <w:t>万元，占</w:t>
      </w:r>
      <w:r>
        <w:rPr>
          <w:rFonts w:hint="eastAsia" w:ascii="仿宋" w:hAnsi="仿宋" w:eastAsia="仿宋"/>
          <w:sz w:val="32"/>
          <w:szCs w:val="32"/>
          <w:lang w:val="en-US" w:eastAsia="zh-CN"/>
        </w:rPr>
        <w:t>77.64</w:t>
      </w:r>
      <w:r>
        <w:rPr>
          <w:rFonts w:hint="eastAsia" w:ascii="仿宋" w:hAnsi="仿宋" w:eastAsia="仿宋"/>
          <w:sz w:val="32"/>
          <w:szCs w:val="32"/>
        </w:rPr>
        <w:t>%；项目支出</w:t>
      </w:r>
      <w:r>
        <w:rPr>
          <w:rFonts w:hint="eastAsia" w:ascii="仿宋" w:hAnsi="仿宋" w:eastAsia="仿宋"/>
          <w:sz w:val="32"/>
          <w:szCs w:val="32"/>
          <w:lang w:val="en-US" w:eastAsia="zh-CN"/>
        </w:rPr>
        <w:t>138.05</w:t>
      </w:r>
      <w:r>
        <w:rPr>
          <w:rFonts w:hint="eastAsia" w:ascii="仿宋" w:hAnsi="仿宋" w:eastAsia="仿宋"/>
          <w:sz w:val="32"/>
          <w:szCs w:val="32"/>
        </w:rPr>
        <w:t>万元，占</w:t>
      </w:r>
      <w:r>
        <w:rPr>
          <w:rFonts w:hint="eastAsia" w:ascii="仿宋" w:hAnsi="仿宋" w:eastAsia="仿宋"/>
          <w:sz w:val="32"/>
          <w:szCs w:val="32"/>
          <w:lang w:val="en-US" w:eastAsia="zh-CN"/>
        </w:rPr>
        <w:t>22.36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617.33</w:t>
      </w:r>
      <w:r>
        <w:rPr>
          <w:rFonts w:hint="eastAsia" w:ascii="仿宋" w:hAnsi="仿宋" w:eastAsia="仿宋"/>
          <w:sz w:val="32"/>
          <w:szCs w:val="32"/>
        </w:rPr>
        <w:t>万元，其中：本年收入</w:t>
      </w:r>
      <w:r>
        <w:rPr>
          <w:rFonts w:hint="eastAsia" w:ascii="仿宋" w:hAnsi="仿宋" w:eastAsia="仿宋"/>
          <w:sz w:val="32"/>
          <w:szCs w:val="32"/>
          <w:lang w:val="en-US" w:eastAsia="zh-CN"/>
        </w:rPr>
        <w:t>617.33</w:t>
      </w:r>
      <w:r>
        <w:rPr>
          <w:rFonts w:hint="eastAsia" w:ascii="仿宋" w:hAnsi="仿宋" w:eastAsia="仿宋"/>
          <w:sz w:val="32"/>
          <w:szCs w:val="32"/>
        </w:rPr>
        <w:t>万元。本年支出</w:t>
      </w:r>
      <w:r>
        <w:rPr>
          <w:rFonts w:hint="eastAsia" w:ascii="仿宋" w:hAnsi="仿宋" w:eastAsia="仿宋"/>
          <w:sz w:val="32"/>
          <w:szCs w:val="32"/>
          <w:lang w:val="en-US" w:eastAsia="zh-CN"/>
        </w:rPr>
        <w:t>617.33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533.12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47.72</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36.49</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617.33</w:t>
      </w:r>
      <w:r>
        <w:rPr>
          <w:rFonts w:hint="eastAsia" w:ascii="仿宋" w:hAnsi="仿宋" w:eastAsia="仿宋"/>
          <w:sz w:val="32"/>
          <w:szCs w:val="32"/>
        </w:rPr>
        <w:t>万元，其中：基本支出</w:t>
      </w:r>
      <w:r>
        <w:rPr>
          <w:rFonts w:hint="eastAsia" w:ascii="仿宋" w:hAnsi="仿宋" w:eastAsia="仿宋"/>
          <w:sz w:val="32"/>
          <w:szCs w:val="32"/>
          <w:lang w:val="en-US" w:eastAsia="zh-CN"/>
        </w:rPr>
        <w:t>479.28</w:t>
      </w:r>
      <w:r>
        <w:rPr>
          <w:rFonts w:hint="eastAsia" w:ascii="仿宋" w:hAnsi="仿宋" w:eastAsia="仿宋"/>
          <w:sz w:val="32"/>
          <w:szCs w:val="32"/>
        </w:rPr>
        <w:t>万元，占</w:t>
      </w:r>
      <w:r>
        <w:rPr>
          <w:rFonts w:hint="eastAsia" w:ascii="仿宋" w:hAnsi="仿宋" w:eastAsia="仿宋"/>
          <w:sz w:val="32"/>
          <w:szCs w:val="32"/>
          <w:lang w:val="en-US" w:eastAsia="zh-CN"/>
        </w:rPr>
        <w:t>77.64</w:t>
      </w:r>
      <w:r>
        <w:rPr>
          <w:rFonts w:hint="eastAsia" w:ascii="仿宋" w:hAnsi="仿宋" w:eastAsia="仿宋"/>
          <w:sz w:val="32"/>
          <w:szCs w:val="32"/>
        </w:rPr>
        <w:t>%；项目支出</w:t>
      </w:r>
      <w:r>
        <w:rPr>
          <w:rFonts w:hint="eastAsia" w:ascii="仿宋" w:hAnsi="仿宋" w:eastAsia="仿宋"/>
          <w:sz w:val="32"/>
          <w:szCs w:val="32"/>
          <w:lang w:val="en-US" w:eastAsia="zh-CN"/>
        </w:rPr>
        <w:t>138.05</w:t>
      </w:r>
      <w:r>
        <w:rPr>
          <w:rFonts w:hint="eastAsia" w:ascii="仿宋" w:hAnsi="仿宋" w:eastAsia="仿宋"/>
          <w:sz w:val="32"/>
          <w:szCs w:val="32"/>
        </w:rPr>
        <w:t>万元，占</w:t>
      </w:r>
      <w:r>
        <w:rPr>
          <w:rFonts w:hint="eastAsia" w:ascii="仿宋" w:hAnsi="仿宋" w:eastAsia="仿宋"/>
          <w:sz w:val="32"/>
          <w:szCs w:val="32"/>
          <w:lang w:val="en-US" w:eastAsia="zh-CN"/>
        </w:rPr>
        <w:t>22.36</w:t>
      </w:r>
      <w:r>
        <w:rPr>
          <w:rFonts w:hint="eastAsia" w:ascii="仿宋" w:hAnsi="仿宋" w:eastAsia="仿宋"/>
          <w:sz w:val="32"/>
          <w:szCs w:val="32"/>
        </w:rPr>
        <w:t>%。基本支出中，人员经费</w:t>
      </w:r>
      <w:r>
        <w:rPr>
          <w:rFonts w:hint="eastAsia" w:ascii="仿宋" w:hAnsi="仿宋" w:eastAsia="仿宋"/>
          <w:sz w:val="32"/>
          <w:szCs w:val="32"/>
          <w:lang w:val="en-US" w:eastAsia="zh-CN"/>
        </w:rPr>
        <w:t>574.32</w:t>
      </w:r>
      <w:r>
        <w:rPr>
          <w:rFonts w:hint="eastAsia" w:ascii="仿宋" w:hAnsi="仿宋" w:eastAsia="仿宋"/>
          <w:sz w:val="32"/>
          <w:szCs w:val="32"/>
        </w:rPr>
        <w:t>万元，占</w:t>
      </w:r>
      <w:r>
        <w:rPr>
          <w:rFonts w:hint="eastAsia" w:ascii="仿宋" w:hAnsi="仿宋" w:eastAsia="仿宋"/>
          <w:sz w:val="32"/>
          <w:szCs w:val="32"/>
          <w:lang w:val="en-US" w:eastAsia="zh-CN"/>
        </w:rPr>
        <w:t>93.03</w:t>
      </w:r>
      <w:r>
        <w:rPr>
          <w:rFonts w:hint="eastAsia" w:ascii="仿宋" w:hAnsi="仿宋" w:eastAsia="仿宋"/>
          <w:sz w:val="32"/>
          <w:szCs w:val="32"/>
        </w:rPr>
        <w:t>%；公用经费</w:t>
      </w:r>
      <w:r>
        <w:rPr>
          <w:rFonts w:hint="eastAsia" w:ascii="仿宋" w:hAnsi="仿宋" w:eastAsia="仿宋"/>
          <w:sz w:val="32"/>
          <w:szCs w:val="32"/>
          <w:lang w:val="en-US" w:eastAsia="zh-CN"/>
        </w:rPr>
        <w:t>43.01</w:t>
      </w:r>
      <w:r>
        <w:rPr>
          <w:rFonts w:hint="eastAsia" w:ascii="仿宋" w:hAnsi="仿宋" w:eastAsia="仿宋"/>
          <w:sz w:val="32"/>
          <w:szCs w:val="32"/>
        </w:rPr>
        <w:t>万元，占</w:t>
      </w:r>
      <w:r>
        <w:rPr>
          <w:rFonts w:hint="eastAsia" w:ascii="仿宋" w:hAnsi="仿宋" w:eastAsia="仿宋"/>
          <w:sz w:val="32"/>
          <w:szCs w:val="32"/>
          <w:lang w:val="en-US" w:eastAsia="zh-CN"/>
        </w:rPr>
        <w:t>6.97</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533.12</w:t>
      </w:r>
      <w:r>
        <w:rPr>
          <w:rFonts w:hint="eastAsia" w:ascii="仿宋" w:hAnsi="仿宋" w:eastAsia="仿宋"/>
          <w:sz w:val="32"/>
          <w:szCs w:val="32"/>
        </w:rPr>
        <w:t>万元，占</w:t>
      </w:r>
      <w:r>
        <w:rPr>
          <w:rFonts w:hint="eastAsia" w:ascii="仿宋" w:hAnsi="仿宋" w:eastAsia="仿宋"/>
          <w:sz w:val="32"/>
          <w:szCs w:val="32"/>
          <w:lang w:val="en-US" w:eastAsia="zh-CN"/>
        </w:rPr>
        <w:t>86.36</w:t>
      </w:r>
      <w:r>
        <w:rPr>
          <w:rFonts w:hint="eastAsia" w:ascii="仿宋" w:hAnsi="仿宋" w:eastAsia="仿宋"/>
          <w:sz w:val="32"/>
          <w:szCs w:val="32"/>
        </w:rPr>
        <w:t>%，主要用于：</w:t>
      </w:r>
      <w:r>
        <w:rPr>
          <w:rFonts w:hint="eastAsia" w:ascii="仿宋" w:hAnsi="仿宋" w:eastAsia="仿宋"/>
          <w:sz w:val="32"/>
          <w:szCs w:val="32"/>
          <w:lang w:eastAsia="zh-CN"/>
        </w:rPr>
        <w:t>人员基本工资、规范性津贴补贴、机关运行经费等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47.72</w:t>
      </w:r>
      <w:bookmarkStart w:id="0" w:name="_GoBack"/>
      <w:bookmarkEnd w:id="0"/>
      <w:r>
        <w:rPr>
          <w:rFonts w:hint="eastAsia" w:ascii="仿宋" w:hAnsi="仿宋" w:eastAsia="仿宋"/>
          <w:sz w:val="32"/>
          <w:szCs w:val="32"/>
        </w:rPr>
        <w:t>万元，占</w:t>
      </w:r>
      <w:r>
        <w:rPr>
          <w:rFonts w:hint="eastAsia" w:ascii="仿宋" w:hAnsi="仿宋" w:eastAsia="仿宋"/>
          <w:sz w:val="32"/>
          <w:szCs w:val="32"/>
          <w:lang w:val="en-US" w:eastAsia="zh-CN"/>
        </w:rPr>
        <w:t>7.73</w:t>
      </w:r>
      <w:r>
        <w:rPr>
          <w:rFonts w:hint="eastAsia" w:ascii="仿宋" w:hAnsi="仿宋" w:eastAsia="仿宋"/>
          <w:sz w:val="32"/>
          <w:szCs w:val="32"/>
        </w:rPr>
        <w:t>%，主要用于：</w:t>
      </w:r>
      <w:r>
        <w:rPr>
          <w:rFonts w:hint="eastAsia" w:ascii="仿宋" w:hAnsi="仿宋" w:eastAsia="仿宋"/>
          <w:sz w:val="32"/>
          <w:szCs w:val="32"/>
          <w:lang w:eastAsia="zh-CN"/>
        </w:rPr>
        <w:t>职工养老保险缴费和职业年金缴费支出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36.49</w:t>
      </w:r>
      <w:r>
        <w:rPr>
          <w:rFonts w:hint="eastAsia" w:ascii="仿宋" w:hAnsi="仿宋" w:eastAsia="仿宋"/>
          <w:sz w:val="32"/>
          <w:szCs w:val="32"/>
        </w:rPr>
        <w:t>万元，占</w:t>
      </w:r>
      <w:r>
        <w:rPr>
          <w:rFonts w:hint="eastAsia" w:ascii="仿宋" w:hAnsi="仿宋" w:eastAsia="仿宋"/>
          <w:sz w:val="32"/>
          <w:szCs w:val="32"/>
          <w:lang w:val="en-US" w:eastAsia="zh-CN"/>
        </w:rPr>
        <w:t>5.91</w:t>
      </w:r>
      <w:r>
        <w:rPr>
          <w:rFonts w:hint="eastAsia" w:ascii="仿宋" w:hAnsi="仿宋" w:eastAsia="仿宋"/>
          <w:sz w:val="32"/>
          <w:szCs w:val="32"/>
        </w:rPr>
        <w:t>%，主要用于：</w:t>
      </w:r>
      <w:r>
        <w:rPr>
          <w:rFonts w:hint="eastAsia" w:ascii="仿宋" w:hAnsi="仿宋" w:eastAsia="仿宋"/>
          <w:sz w:val="32"/>
          <w:szCs w:val="32"/>
          <w:lang w:eastAsia="zh-CN"/>
        </w:rPr>
        <w:t>干部职工住房公积金缴费支出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479.28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436.27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43.01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43.01</w:t>
      </w:r>
      <w:r>
        <w:rPr>
          <w:rFonts w:hint="eastAsia" w:ascii="仿宋" w:hAnsi="仿宋" w:eastAsia="仿宋"/>
          <w:sz w:val="32"/>
          <w:szCs w:val="32"/>
        </w:rPr>
        <w:t>万元，比 2025年预算增加</w:t>
      </w:r>
      <w:r>
        <w:rPr>
          <w:rFonts w:hint="eastAsia" w:ascii="仿宋" w:hAnsi="仿宋" w:eastAsia="仿宋"/>
          <w:sz w:val="32"/>
          <w:szCs w:val="32"/>
          <w:lang w:val="en-US" w:eastAsia="zh-CN"/>
        </w:rPr>
        <w:t>5.83</w:t>
      </w:r>
      <w:r>
        <w:rPr>
          <w:rFonts w:hint="eastAsia" w:ascii="仿宋" w:hAnsi="仿宋" w:eastAsia="仿宋"/>
          <w:sz w:val="32"/>
          <w:szCs w:val="32"/>
        </w:rPr>
        <w:t>万元，增长</w:t>
      </w:r>
      <w:r>
        <w:rPr>
          <w:rFonts w:hint="eastAsia" w:ascii="仿宋" w:hAnsi="仿宋" w:eastAsia="仿宋"/>
          <w:sz w:val="32"/>
          <w:szCs w:val="32"/>
          <w:lang w:val="en-US" w:eastAsia="zh-CN"/>
        </w:rPr>
        <w:t>15.68</w:t>
      </w:r>
      <w:r>
        <w:rPr>
          <w:rFonts w:hint="eastAsia" w:ascii="仿宋" w:hAnsi="仿宋" w:eastAsia="仿宋"/>
          <w:sz w:val="32"/>
          <w:szCs w:val="32"/>
        </w:rPr>
        <w:t>%，主要原因是</w:t>
      </w:r>
      <w:r>
        <w:rPr>
          <w:rFonts w:hint="eastAsia" w:ascii="仿宋" w:hAnsi="仿宋" w:eastAsia="仿宋"/>
          <w:sz w:val="32"/>
          <w:szCs w:val="32"/>
          <w:lang w:eastAsia="zh-CN"/>
        </w:rPr>
        <w:t>人员增加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 辆，其中，领导干部用车 * 辆、一般公务用车 * 辆,一般执法执勤用车 * 辆、特种专业技术用车 * 辆、其他用车 * 辆，价值200万元以上大型设备 *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 xx 万元，其中**。</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138.05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235014"/>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89C5198"/>
    <w:rsid w:val="691F508E"/>
    <w:rsid w:val="6A340295"/>
    <w:rsid w:val="6A5666B8"/>
    <w:rsid w:val="6AFB1E97"/>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2517</Words>
  <Characters>2762</Characters>
  <Lines>21</Lines>
  <Paragraphs>6</Paragraphs>
  <TotalTime>70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王新民</cp:lastModifiedBy>
  <dcterms:modified xsi:type="dcterms:W3CDTF">2026-03-24T05:18:10Z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eyJoZGlkIjoiNTI1YzRkMGUxNTMyNTExOGY1YjBmYmJhMjVjM2NkYjkiLCJ1c2VySWQiOiI2MDYzNjgwMjIifQ==</vt:lpwstr>
  </property>
</Properties>
</file>