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0722EA08">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5712AD97">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4DAE025F">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5C6FEE61">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4AAB23BB">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hint="eastAsia" w:ascii="黑体" w:hAnsi="黑体" w:eastAsia="黑体"/>
          <w:sz w:val="44"/>
          <w:szCs w:val="44"/>
          <w:lang w:eastAsia="zh-CN"/>
        </w:rPr>
      </w:pPr>
      <w:r>
        <w:rPr>
          <w:rFonts w:hint="eastAsia" w:ascii="黑体" w:hAnsi="黑体" w:eastAsia="黑体"/>
          <w:sz w:val="44"/>
          <w:szCs w:val="44"/>
          <w:lang w:eastAsia="zh-CN"/>
        </w:rPr>
        <w:t>永吉县疾病预防控制中心</w:t>
      </w:r>
    </w:p>
    <w:p w14:paraId="0050A5F4">
      <w:pPr>
        <w:keepNext w:val="0"/>
        <w:keepLines w:val="0"/>
        <w:pageBreakBefore w:val="0"/>
        <w:kinsoku/>
        <w:wordWrap/>
        <w:overflowPunct/>
        <w:topLinePunct w:val="0"/>
        <w:autoSpaceDE/>
        <w:autoSpaceDN/>
        <w:bidi w:val="0"/>
        <w:adjustRightInd/>
        <w:snapToGrid/>
        <w:spacing w:line="20" w:lineRule="atLeast"/>
        <w:ind w:left="0" w:leftChars="0" w:firstLine="1040" w:firstLineChars="200"/>
        <w:jc w:val="center"/>
        <w:textAlignment w:val="auto"/>
        <w:rPr>
          <w:rFonts w:ascii="黑体" w:hAnsi="黑体" w:eastAsia="黑体"/>
          <w:sz w:val="52"/>
          <w:szCs w:val="52"/>
        </w:rPr>
      </w:pPr>
      <w:r>
        <w:rPr>
          <w:rFonts w:hint="eastAsia" w:ascii="黑体" w:hAnsi="黑体" w:eastAsia="黑体"/>
          <w:sz w:val="52"/>
          <w:szCs w:val="52"/>
        </w:rPr>
        <w:t>2026年部门预算</w:t>
      </w:r>
    </w:p>
    <w:p w14:paraId="5C42AB12">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5EF162CE">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6D7738A2">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1997C969">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4F4ABFCB">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6E03DA41">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34D8D65D">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01FD5D38">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380AB34E">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628D9189">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6EA5914F">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357EC0AC">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661A2997">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60FA0F16">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74A34429">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18C3CAAE">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5E882940">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hint="eastAsia" w:ascii="黑体" w:hAnsi="黑体" w:eastAsia="黑体"/>
          <w:sz w:val="44"/>
          <w:szCs w:val="44"/>
          <w:lang w:eastAsia="zh-CN"/>
        </w:rPr>
      </w:pPr>
      <w:r>
        <w:rPr>
          <w:rFonts w:hint="eastAsia" w:ascii="黑体" w:hAnsi="黑体" w:eastAsia="黑体"/>
          <w:sz w:val="44"/>
          <w:szCs w:val="44"/>
          <w:lang w:eastAsia="zh-CN"/>
        </w:rPr>
        <w:t>永吉县疾病预防控制中心</w:t>
      </w:r>
    </w:p>
    <w:p w14:paraId="406F54B2">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hint="eastAsia" w:ascii="黑体" w:hAnsi="黑体" w:eastAsia="黑体"/>
          <w:sz w:val="44"/>
          <w:szCs w:val="44"/>
        </w:rPr>
      </w:pPr>
      <w:r>
        <w:rPr>
          <w:rFonts w:hint="eastAsia" w:ascii="黑体" w:hAnsi="黑体" w:eastAsia="黑体"/>
          <w:sz w:val="44"/>
          <w:szCs w:val="44"/>
        </w:rPr>
        <w:t>2026年预算</w:t>
      </w:r>
    </w:p>
    <w:p w14:paraId="1F07C9F7">
      <w:pPr>
        <w:keepNext w:val="0"/>
        <w:keepLines w:val="0"/>
        <w:pageBreakBefore w:val="0"/>
        <w:kinsoku/>
        <w:wordWrap/>
        <w:overflowPunct/>
        <w:topLinePunct w:val="0"/>
        <w:autoSpaceDE/>
        <w:autoSpaceDN/>
        <w:bidi w:val="0"/>
        <w:adjustRightInd/>
        <w:snapToGrid/>
        <w:spacing w:line="20" w:lineRule="atLeast"/>
        <w:ind w:left="0" w:leftChars="0" w:firstLine="880" w:firstLineChars="200"/>
        <w:jc w:val="center"/>
        <w:textAlignment w:val="auto"/>
        <w:rPr>
          <w:rFonts w:ascii="黑体" w:hAnsi="黑体" w:eastAsia="黑体"/>
          <w:sz w:val="44"/>
          <w:szCs w:val="44"/>
        </w:rPr>
      </w:pPr>
    </w:p>
    <w:p w14:paraId="63B0757E">
      <w:pPr>
        <w:keepNext w:val="0"/>
        <w:keepLines w:val="0"/>
        <w:pageBreakBefore w:val="0"/>
        <w:tabs>
          <w:tab w:val="left" w:pos="3240"/>
        </w:tabs>
        <w:kinsoku/>
        <w:wordWrap/>
        <w:overflowPunct/>
        <w:topLinePunct w:val="0"/>
        <w:autoSpaceDE/>
        <w:autoSpaceDN/>
        <w:bidi w:val="0"/>
        <w:adjustRightInd/>
        <w:snapToGrid/>
        <w:spacing w:line="20" w:lineRule="atLeast"/>
        <w:ind w:left="0" w:leftChars="0" w:firstLine="880" w:firstLineChars="200"/>
        <w:textAlignment w:val="auto"/>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第一部分  部门概况</w:t>
      </w:r>
    </w:p>
    <w:p w14:paraId="73DDC628">
      <w:pPr>
        <w:pStyle w:val="10"/>
        <w:keepNext w:val="0"/>
        <w:keepLines w:val="0"/>
        <w:pageBreakBefore w:val="0"/>
        <w:numPr>
          <w:ilvl w:val="0"/>
          <w:numId w:val="1"/>
        </w:numPr>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主要职能</w:t>
      </w:r>
    </w:p>
    <w:p w14:paraId="0F6E16B9">
      <w:pPr>
        <w:pStyle w:val="10"/>
        <w:keepNext w:val="0"/>
        <w:keepLines w:val="0"/>
        <w:pageBreakBefore w:val="0"/>
        <w:numPr>
          <w:ilvl w:val="0"/>
          <w:numId w:val="1"/>
        </w:numPr>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机构设置</w:t>
      </w:r>
    </w:p>
    <w:p w14:paraId="5EE08171">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第二部分  情况说明</w:t>
      </w:r>
    </w:p>
    <w:p w14:paraId="6F11FF87">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 xml:space="preserve">第三部分  名词解释 </w:t>
      </w:r>
    </w:p>
    <w:p w14:paraId="7BA36606">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第四部分  预算表格</w:t>
      </w:r>
    </w:p>
    <w:p w14:paraId="07E4B539">
      <w:pPr>
        <w:pStyle w:val="10"/>
        <w:keepNext w:val="0"/>
        <w:keepLines w:val="0"/>
        <w:pageBreakBefore w:val="0"/>
        <w:numPr>
          <w:ilvl w:val="0"/>
          <w:numId w:val="2"/>
        </w:numPr>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收支总表</w:t>
      </w:r>
    </w:p>
    <w:p w14:paraId="257AF41A">
      <w:pPr>
        <w:pStyle w:val="10"/>
        <w:keepNext w:val="0"/>
        <w:keepLines w:val="0"/>
        <w:pageBreakBefore w:val="0"/>
        <w:numPr>
          <w:ilvl w:val="0"/>
          <w:numId w:val="2"/>
        </w:numPr>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收入总表</w:t>
      </w:r>
    </w:p>
    <w:p w14:paraId="490A2BEB">
      <w:pPr>
        <w:pStyle w:val="10"/>
        <w:keepNext w:val="0"/>
        <w:keepLines w:val="0"/>
        <w:pageBreakBefore w:val="0"/>
        <w:numPr>
          <w:ilvl w:val="0"/>
          <w:numId w:val="2"/>
        </w:numPr>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支出总表</w:t>
      </w:r>
    </w:p>
    <w:p w14:paraId="5F6425A5">
      <w:pPr>
        <w:pStyle w:val="10"/>
        <w:keepNext w:val="0"/>
        <w:keepLines w:val="0"/>
        <w:pageBreakBefore w:val="0"/>
        <w:numPr>
          <w:ilvl w:val="0"/>
          <w:numId w:val="2"/>
        </w:numPr>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财政拨款收支总表</w:t>
      </w:r>
    </w:p>
    <w:p w14:paraId="5006371A">
      <w:pPr>
        <w:pStyle w:val="10"/>
        <w:keepNext w:val="0"/>
        <w:keepLines w:val="0"/>
        <w:pageBreakBefore w:val="0"/>
        <w:numPr>
          <w:ilvl w:val="0"/>
          <w:numId w:val="2"/>
        </w:numPr>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一般公共预算支出表</w:t>
      </w:r>
    </w:p>
    <w:p w14:paraId="6CBA4F02">
      <w:pPr>
        <w:pStyle w:val="10"/>
        <w:keepNext w:val="0"/>
        <w:keepLines w:val="0"/>
        <w:pageBreakBefore w:val="0"/>
        <w:numPr>
          <w:ilvl w:val="0"/>
          <w:numId w:val="2"/>
        </w:numPr>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10"/>
        <w:keepNext w:val="0"/>
        <w:keepLines w:val="0"/>
        <w:pageBreakBefore w:val="0"/>
        <w:numPr>
          <w:ilvl w:val="0"/>
          <w:numId w:val="2"/>
        </w:numPr>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一般公共预算“三公”经费支出表</w:t>
      </w:r>
    </w:p>
    <w:p w14:paraId="4685FD46">
      <w:pPr>
        <w:pStyle w:val="10"/>
        <w:keepNext w:val="0"/>
        <w:keepLines w:val="0"/>
        <w:pageBreakBefore w:val="0"/>
        <w:numPr>
          <w:ilvl w:val="0"/>
          <w:numId w:val="2"/>
        </w:numPr>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政府性基金预算支出表</w:t>
      </w:r>
    </w:p>
    <w:p w14:paraId="696DB8AF">
      <w:pPr>
        <w:pStyle w:val="10"/>
        <w:keepNext w:val="0"/>
        <w:keepLines w:val="0"/>
        <w:pageBreakBefore w:val="0"/>
        <w:numPr>
          <w:ilvl w:val="0"/>
          <w:numId w:val="2"/>
        </w:numPr>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国有资本经营预算支出表</w:t>
      </w:r>
    </w:p>
    <w:p w14:paraId="2C937F03">
      <w:pPr>
        <w:pStyle w:val="10"/>
        <w:keepNext w:val="0"/>
        <w:keepLines w:val="0"/>
        <w:pageBreakBefore w:val="0"/>
        <w:numPr>
          <w:ilvl w:val="0"/>
          <w:numId w:val="2"/>
        </w:numPr>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项目支出表</w:t>
      </w:r>
    </w:p>
    <w:p w14:paraId="3CED8429">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p>
    <w:p w14:paraId="69BD7CEA">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p>
    <w:p w14:paraId="549DAA5E">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p>
    <w:p w14:paraId="4E48F873">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ascii="黑体" w:hAnsi="黑体" w:eastAsia="黑体"/>
          <w:sz w:val="32"/>
          <w:szCs w:val="32"/>
        </w:rPr>
      </w:pPr>
      <w:r>
        <w:rPr>
          <w:rFonts w:hint="eastAsia" w:ascii="黑体" w:hAnsi="黑体" w:eastAsia="黑体"/>
          <w:sz w:val="32"/>
          <w:szCs w:val="32"/>
        </w:rPr>
        <w:t>第一部分    部门（单位）概况</w:t>
      </w:r>
    </w:p>
    <w:p w14:paraId="519B9A34">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r>
        <w:rPr>
          <w:rFonts w:hint="eastAsia" w:ascii="仿宋" w:hAnsi="仿宋" w:eastAsia="仿宋"/>
          <w:sz w:val="32"/>
          <w:szCs w:val="32"/>
        </w:rPr>
        <w:t xml:space="preserve">  </w:t>
      </w:r>
    </w:p>
    <w:p w14:paraId="66AD7C00">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r>
        <w:rPr>
          <w:rFonts w:hint="eastAsia" w:ascii="仿宋" w:hAnsi="仿宋" w:eastAsia="仿宋"/>
          <w:sz w:val="32"/>
          <w:szCs w:val="32"/>
        </w:rPr>
        <w:t xml:space="preserve"> 一、主要职能</w:t>
      </w:r>
    </w:p>
    <w:p w14:paraId="6751CB18">
      <w:pPr>
        <w:pStyle w:val="12"/>
        <w:keepNext w:val="0"/>
        <w:keepLines w:val="0"/>
        <w:pageBreakBefore w:val="0"/>
        <w:widowControl/>
        <w:kinsoku/>
        <w:wordWrap/>
        <w:overflowPunct/>
        <w:topLinePunct w:val="0"/>
        <w:autoSpaceDE/>
        <w:autoSpaceDN/>
        <w:bidi w:val="0"/>
        <w:adjustRightInd/>
        <w:snapToGrid/>
        <w:spacing w:line="20" w:lineRule="atLeast"/>
        <w:ind w:left="0" w:leftChars="0" w:firstLine="640" w:firstLineChars="200"/>
        <w:contextualSpacing/>
        <w:textAlignment w:val="auto"/>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永吉县疾病预防控制中心</w:t>
      </w:r>
    </w:p>
    <w:p w14:paraId="2EA0567E">
      <w:pPr>
        <w:pStyle w:val="12"/>
        <w:keepNext w:val="0"/>
        <w:keepLines w:val="0"/>
        <w:pageBreakBefore w:val="0"/>
        <w:widowControl/>
        <w:kinsoku/>
        <w:wordWrap/>
        <w:overflowPunct/>
        <w:topLinePunct w:val="0"/>
        <w:autoSpaceDE/>
        <w:autoSpaceDN/>
        <w:bidi w:val="0"/>
        <w:adjustRightInd/>
        <w:snapToGrid/>
        <w:spacing w:line="20" w:lineRule="atLeast"/>
        <w:ind w:left="0" w:leftChars="0" w:firstLine="640" w:firstLineChars="200"/>
        <w:contextualSpacing/>
        <w:textAlignment w:val="auto"/>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w:t>
      </w:r>
    </w:p>
    <w:p w14:paraId="5411C4D4">
      <w:pPr>
        <w:pStyle w:val="14"/>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仿宋" w:hAnsi="仿宋" w:eastAsia="仿宋"/>
          <w:kern w:val="0"/>
          <w:szCs w:val="32"/>
        </w:rPr>
      </w:pPr>
      <w:r>
        <w:rPr>
          <w:rFonts w:hint="eastAsia" w:ascii="仿宋" w:hAnsi="仿宋" w:eastAsia="仿宋"/>
          <w:kern w:val="0"/>
          <w:szCs w:val="32"/>
        </w:rPr>
        <w:t>主要职能</w:t>
      </w:r>
      <w:r>
        <w:rPr>
          <w:rFonts w:hint="eastAsia" w:ascii="仿宋" w:hAnsi="仿宋" w:eastAsia="仿宋"/>
          <w:kern w:val="0"/>
          <w:szCs w:val="32"/>
          <w:lang w:eastAsia="zh-CN"/>
        </w:rPr>
        <w:t>：</w:t>
      </w:r>
      <w:r>
        <w:rPr>
          <w:rFonts w:hint="eastAsia" w:ascii="仿宋" w:hAnsi="仿宋" w:eastAsia="仿宋"/>
          <w:kern w:val="0"/>
          <w:szCs w:val="32"/>
          <w:lang w:val="en-US" w:eastAsia="zh-CN"/>
        </w:rPr>
        <w:t>承担永吉县辖区内疾病预防与控制、突发公共卫生事件应急处置、疫情报告及健康相关因素信息管理、健康危害因素监测与干预、实验室检测检验与评价、健康教育与健康促进、技术管理与应用研究指导等公共卫生职能。</w:t>
      </w:r>
    </w:p>
    <w:p w14:paraId="5E6C5207">
      <w:pPr>
        <w:pStyle w:val="14"/>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仿宋" w:hAnsi="仿宋" w:eastAsia="仿宋"/>
          <w:kern w:val="0"/>
          <w:szCs w:val="32"/>
        </w:rPr>
      </w:pPr>
      <w:r>
        <w:rPr>
          <w:rFonts w:hint="eastAsia" w:ascii="仿宋" w:hAnsi="仿宋" w:eastAsia="仿宋"/>
          <w:kern w:val="0"/>
          <w:szCs w:val="32"/>
        </w:rPr>
        <w:t>主要业务</w:t>
      </w:r>
      <w:r>
        <w:rPr>
          <w:rFonts w:hint="eastAsia" w:ascii="仿宋" w:hAnsi="仿宋" w:eastAsia="仿宋"/>
          <w:kern w:val="0"/>
          <w:szCs w:val="32"/>
          <w:lang w:eastAsia="zh-CN"/>
        </w:rPr>
        <w:t>：</w:t>
      </w:r>
      <w:r>
        <w:rPr>
          <w:rFonts w:hint="eastAsia" w:ascii="仿宋" w:hAnsi="仿宋" w:eastAsia="仿宋"/>
          <w:kern w:val="0"/>
          <w:szCs w:val="32"/>
          <w:lang w:val="en-US" w:eastAsia="zh-CN"/>
        </w:rPr>
        <w:t>永吉县疾病预防控制中心主要开展传染病防控、免疫规划、慢病管理、突发公共卫生事件处置、健康危害因素监测、健康教育及卫生监督等公共卫生业务活动。</w:t>
      </w:r>
    </w:p>
    <w:p w14:paraId="5AD86BEC">
      <w:pPr>
        <w:pStyle w:val="14"/>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仿宋" w:hAnsi="仿宋" w:eastAsia="仿宋"/>
          <w:kern w:val="0"/>
          <w:szCs w:val="32"/>
        </w:rPr>
      </w:pPr>
      <w:r>
        <w:rPr>
          <w:rFonts w:hint="eastAsia" w:ascii="仿宋" w:hAnsi="仿宋" w:eastAsia="仿宋"/>
          <w:kern w:val="0"/>
          <w:szCs w:val="32"/>
        </w:rPr>
        <w:t>二、机构设置</w:t>
      </w:r>
    </w:p>
    <w:p w14:paraId="02BEE214">
      <w:pPr>
        <w:pStyle w:val="14"/>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仿宋" w:hAnsi="仿宋" w:eastAsia="仿宋"/>
          <w:kern w:val="0"/>
          <w:szCs w:val="32"/>
        </w:rPr>
      </w:pPr>
      <w:r>
        <w:rPr>
          <w:rFonts w:hint="eastAsia" w:ascii="仿宋" w:hAnsi="仿宋" w:eastAsia="仿宋"/>
          <w:kern w:val="0"/>
          <w:szCs w:val="32"/>
          <w:lang w:val="en-US" w:eastAsia="zh-CN"/>
        </w:rPr>
        <w:t>机构设置包括：办公室、财务科、传染病预防控制科、免疫规划科、慢性非传染性疾病预防控制科、结核病与艾滋病预防控制科、公共卫生科、职业与放射卫生科、卫生应急办公室、检验科、健康教育科、信息科。</w:t>
      </w:r>
    </w:p>
    <w:p w14:paraId="022FE967">
      <w:pPr>
        <w:pStyle w:val="14"/>
        <w:keepNext w:val="0"/>
        <w:keepLines w:val="0"/>
        <w:pageBreakBefore w:val="0"/>
        <w:kinsoku/>
        <w:wordWrap/>
        <w:overflowPunct/>
        <w:topLinePunct w:val="0"/>
        <w:autoSpaceDE/>
        <w:autoSpaceDN/>
        <w:bidi w:val="0"/>
        <w:adjustRightInd/>
        <w:snapToGrid/>
        <w:spacing w:line="20" w:lineRule="atLeast"/>
        <w:ind w:left="0" w:leftChars="0" w:firstLine="420"/>
        <w:textAlignment w:val="auto"/>
        <w:rPr>
          <w:rFonts w:ascii="仿宋" w:hAnsi="仿宋" w:eastAsia="仿宋"/>
          <w:kern w:val="0"/>
          <w:szCs w:val="32"/>
        </w:rPr>
      </w:pPr>
      <w:r>
        <w:rPr>
          <w:rFonts w:hint="eastAsia" w:ascii="仿宋" w:hAnsi="仿宋" w:eastAsia="仿宋"/>
          <w:spacing w:val="0"/>
          <w:kern w:val="0"/>
          <w:szCs w:val="32"/>
        </w:rPr>
        <w:t>人员情况：在职人员</w:t>
      </w:r>
      <w:r>
        <w:rPr>
          <w:rFonts w:hint="eastAsia" w:ascii="仿宋" w:hAnsi="仿宋" w:eastAsia="仿宋"/>
          <w:kern w:val="0"/>
          <w:szCs w:val="32"/>
          <w:lang w:val="en-US" w:eastAsia="zh-CN"/>
        </w:rPr>
        <w:t>6</w:t>
      </w:r>
      <w:r>
        <w:rPr>
          <w:rFonts w:hint="eastAsia" w:ascii="仿宋" w:hAnsi="仿宋" w:eastAsia="仿宋"/>
          <w:spacing w:val="0"/>
          <w:kern w:val="0"/>
          <w:szCs w:val="32"/>
          <w:lang w:val="en-US" w:eastAsia="zh-CN"/>
        </w:rPr>
        <w:t>6</w:t>
      </w:r>
      <w:r>
        <w:rPr>
          <w:rFonts w:hint="eastAsia" w:ascii="仿宋" w:hAnsi="仿宋" w:eastAsia="仿宋"/>
          <w:spacing w:val="0"/>
          <w:kern w:val="0"/>
          <w:szCs w:val="32"/>
        </w:rPr>
        <w:t>人，编制数</w:t>
      </w:r>
      <w:r>
        <w:rPr>
          <w:rFonts w:hint="eastAsia" w:ascii="仿宋" w:hAnsi="仿宋" w:eastAsia="仿宋"/>
          <w:kern w:val="0"/>
          <w:szCs w:val="32"/>
          <w:lang w:val="en-US" w:eastAsia="zh-CN"/>
        </w:rPr>
        <w:t>6</w:t>
      </w:r>
      <w:r>
        <w:rPr>
          <w:rFonts w:hint="eastAsia" w:ascii="仿宋" w:hAnsi="仿宋" w:eastAsia="仿宋"/>
          <w:spacing w:val="0"/>
          <w:kern w:val="0"/>
          <w:szCs w:val="32"/>
          <w:lang w:val="en-US" w:eastAsia="zh-CN"/>
        </w:rPr>
        <w:t>0</w:t>
      </w:r>
      <w:r>
        <w:rPr>
          <w:rFonts w:hint="eastAsia" w:ascii="仿宋" w:hAnsi="仿宋" w:eastAsia="仿宋"/>
          <w:spacing w:val="0"/>
          <w:kern w:val="0"/>
          <w:szCs w:val="32"/>
        </w:rPr>
        <w:t>人，领导职数</w:t>
      </w:r>
      <w:r>
        <w:rPr>
          <w:rFonts w:hint="eastAsia" w:ascii="仿宋" w:hAnsi="仿宋" w:eastAsia="仿宋"/>
          <w:kern w:val="0"/>
          <w:szCs w:val="32"/>
          <w:lang w:val="en-US" w:eastAsia="zh-CN"/>
        </w:rPr>
        <w:t>5</w:t>
      </w:r>
      <w:r>
        <w:rPr>
          <w:rFonts w:hint="eastAsia" w:ascii="仿宋" w:hAnsi="仿宋" w:eastAsia="仿宋"/>
          <w:kern w:val="0"/>
          <w:szCs w:val="32"/>
        </w:rPr>
        <w:t>个。</w:t>
      </w:r>
    </w:p>
    <w:p w14:paraId="3F194C91">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r>
        <w:rPr>
          <w:rFonts w:hint="eastAsia" w:ascii="仿宋" w:hAnsi="仿宋" w:eastAsia="仿宋"/>
          <w:sz w:val="32"/>
          <w:szCs w:val="32"/>
        </w:rPr>
        <w:t xml:space="preserve">   </w:t>
      </w:r>
    </w:p>
    <w:p w14:paraId="6731B470">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p>
    <w:p w14:paraId="2327A84A">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p>
    <w:p w14:paraId="30EC7C30">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p>
    <w:p w14:paraId="22022DA2">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p>
    <w:p w14:paraId="4494DF1B">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p>
    <w:p w14:paraId="57CB687A">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p>
    <w:p w14:paraId="00B77722">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p>
    <w:p w14:paraId="546B2C04">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ascii="黑体" w:hAnsi="黑体" w:eastAsia="黑体"/>
          <w:sz w:val="32"/>
          <w:szCs w:val="32"/>
        </w:rPr>
      </w:pPr>
    </w:p>
    <w:p w14:paraId="6FD1930E">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ascii="黑体" w:hAnsi="黑体" w:eastAsia="黑体"/>
          <w:sz w:val="32"/>
          <w:szCs w:val="32"/>
        </w:rPr>
      </w:pPr>
    </w:p>
    <w:p w14:paraId="08C38348">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ascii="黑体" w:hAnsi="黑体" w:eastAsia="黑体"/>
          <w:sz w:val="32"/>
          <w:szCs w:val="32"/>
        </w:rPr>
      </w:pPr>
    </w:p>
    <w:p w14:paraId="293C263C">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hint="eastAsia" w:ascii="黑体" w:hAnsi="黑体" w:eastAsia="黑体"/>
          <w:sz w:val="32"/>
          <w:szCs w:val="32"/>
        </w:rPr>
      </w:pPr>
    </w:p>
    <w:p w14:paraId="263B19D2">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hint="eastAsia" w:ascii="黑体" w:hAnsi="黑体" w:eastAsia="黑体"/>
          <w:sz w:val="32"/>
          <w:szCs w:val="32"/>
        </w:rPr>
      </w:pPr>
    </w:p>
    <w:p w14:paraId="5A0B15D5">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hint="eastAsia" w:ascii="黑体" w:hAnsi="黑体" w:eastAsia="黑体"/>
          <w:sz w:val="32"/>
          <w:szCs w:val="32"/>
        </w:rPr>
      </w:pPr>
    </w:p>
    <w:p w14:paraId="795456FC">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hint="eastAsia" w:ascii="黑体" w:hAnsi="黑体" w:eastAsia="黑体"/>
          <w:sz w:val="32"/>
          <w:szCs w:val="32"/>
        </w:rPr>
      </w:pPr>
    </w:p>
    <w:p w14:paraId="46317A9C">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hint="eastAsia" w:ascii="黑体" w:hAnsi="黑体" w:eastAsia="黑体"/>
          <w:sz w:val="32"/>
          <w:szCs w:val="32"/>
        </w:rPr>
      </w:pPr>
    </w:p>
    <w:p w14:paraId="1A859F17">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hint="eastAsia" w:ascii="黑体" w:hAnsi="黑体" w:eastAsia="黑体"/>
          <w:sz w:val="32"/>
          <w:szCs w:val="32"/>
        </w:rPr>
      </w:pPr>
    </w:p>
    <w:p w14:paraId="501F3E2A">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hint="eastAsia" w:ascii="黑体" w:hAnsi="黑体" w:eastAsia="黑体"/>
          <w:sz w:val="32"/>
          <w:szCs w:val="32"/>
        </w:rPr>
      </w:pPr>
    </w:p>
    <w:p w14:paraId="6518A9FC">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hint="eastAsia" w:ascii="黑体" w:hAnsi="黑体" w:eastAsia="黑体"/>
          <w:sz w:val="32"/>
          <w:szCs w:val="32"/>
        </w:rPr>
      </w:pPr>
    </w:p>
    <w:p w14:paraId="1FFABF16">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hint="eastAsia" w:ascii="黑体" w:hAnsi="黑体" w:eastAsia="黑体"/>
          <w:sz w:val="32"/>
          <w:szCs w:val="32"/>
        </w:rPr>
      </w:pPr>
    </w:p>
    <w:p w14:paraId="27E7A330">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hint="eastAsia" w:ascii="黑体" w:hAnsi="黑体" w:eastAsia="黑体"/>
          <w:sz w:val="32"/>
          <w:szCs w:val="32"/>
        </w:rPr>
      </w:pPr>
    </w:p>
    <w:p w14:paraId="2D0BDE73">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hint="eastAsia" w:ascii="黑体" w:hAnsi="黑体" w:eastAsia="黑体"/>
          <w:sz w:val="32"/>
          <w:szCs w:val="32"/>
        </w:rPr>
      </w:pPr>
    </w:p>
    <w:p w14:paraId="653D2C6B">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ascii="黑体" w:hAnsi="黑体" w:eastAsia="黑体"/>
          <w:sz w:val="32"/>
          <w:szCs w:val="32"/>
        </w:rPr>
      </w:pPr>
      <w:r>
        <w:rPr>
          <w:rFonts w:hint="eastAsia" w:ascii="黑体" w:hAnsi="黑体" w:eastAsia="黑体"/>
          <w:sz w:val="32"/>
          <w:szCs w:val="32"/>
        </w:rPr>
        <w:t>第二部分  情况说明</w:t>
      </w:r>
    </w:p>
    <w:p w14:paraId="1A612949">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r>
        <w:rPr>
          <w:rFonts w:hint="eastAsia" w:ascii="仿宋" w:hAnsi="仿宋" w:eastAsia="仿宋"/>
          <w:sz w:val="32"/>
          <w:szCs w:val="32"/>
        </w:rPr>
        <w:t xml:space="preserve"> </w:t>
      </w:r>
    </w:p>
    <w:p w14:paraId="14665F96">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3"/>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846.23万元，比 2025年预算数678.81 万元增减 </w:t>
      </w:r>
      <w:r>
        <w:rPr>
          <w:rFonts w:hint="eastAsia" w:ascii="仿宋" w:hAnsi="仿宋" w:eastAsia="仿宋"/>
          <w:sz w:val="32"/>
          <w:szCs w:val="32"/>
          <w:lang w:val="en-US" w:eastAsia="zh-CN"/>
        </w:rPr>
        <w:t>167.42</w:t>
      </w:r>
      <w:r>
        <w:rPr>
          <w:rFonts w:hint="eastAsia" w:ascii="仿宋" w:hAnsi="仿宋" w:eastAsia="仿宋"/>
          <w:sz w:val="32"/>
          <w:szCs w:val="32"/>
        </w:rPr>
        <w:t xml:space="preserve"> 万元，主要原因：根据国家及地方工资调整政策，人员基本工资、绩效工资、津贴补贴正常晋升增资，社保及公积金缴费基数相应提高，导致人员经费预算有所增长。。</w:t>
      </w:r>
    </w:p>
    <w:p w14:paraId="0594D500">
      <w:pPr>
        <w:pStyle w:val="13"/>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3"/>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r>
        <w:rPr>
          <w:rFonts w:hint="eastAsia" w:ascii="仿宋" w:hAnsi="仿宋" w:eastAsia="仿宋"/>
          <w:sz w:val="32"/>
          <w:szCs w:val="32"/>
        </w:rPr>
        <w:t>2026年本单位收入预算 846.23万元，其中：一般公共预算收入846.23万元，占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3"/>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楷体" w:hAnsi="楷体" w:eastAsia="楷体"/>
          <w:sz w:val="32"/>
          <w:szCs w:val="32"/>
        </w:rPr>
      </w:pPr>
      <w:r>
        <w:rPr>
          <w:rFonts w:hint="eastAsia" w:ascii="楷体" w:hAnsi="楷体" w:eastAsia="楷体"/>
          <w:sz w:val="32"/>
          <w:szCs w:val="32"/>
        </w:rPr>
        <w:t>三、2026年支出预算情况</w:t>
      </w:r>
    </w:p>
    <w:p w14:paraId="25859D74">
      <w:pPr>
        <w:pStyle w:val="13"/>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r>
        <w:rPr>
          <w:rFonts w:hint="eastAsia" w:ascii="仿宋" w:hAnsi="仿宋" w:eastAsia="仿宋"/>
          <w:sz w:val="32"/>
          <w:szCs w:val="32"/>
        </w:rPr>
        <w:t xml:space="preserve">2026年支出预算846.23万元，其中：基本支出 </w:t>
      </w:r>
      <w:r>
        <w:rPr>
          <w:rFonts w:hint="eastAsia" w:ascii="仿宋" w:hAnsi="仿宋" w:eastAsia="仿宋"/>
          <w:sz w:val="32"/>
          <w:szCs w:val="32"/>
          <w:lang w:val="en-US" w:eastAsia="zh-CN"/>
        </w:rPr>
        <w:t>776.78</w:t>
      </w:r>
      <w:r>
        <w:rPr>
          <w:rFonts w:hint="eastAsia" w:ascii="仿宋" w:hAnsi="仿宋" w:eastAsia="仿宋"/>
          <w:sz w:val="32"/>
          <w:szCs w:val="32"/>
        </w:rPr>
        <w:t xml:space="preserve"> 万元，占</w:t>
      </w:r>
      <w:r>
        <w:rPr>
          <w:rFonts w:hint="eastAsia" w:ascii="仿宋" w:hAnsi="仿宋" w:eastAsia="仿宋"/>
          <w:sz w:val="32"/>
          <w:szCs w:val="32"/>
          <w:lang w:val="en-US" w:eastAsia="zh-CN"/>
        </w:rPr>
        <w:t>91</w:t>
      </w:r>
      <w:r>
        <w:rPr>
          <w:rFonts w:hint="eastAsia" w:ascii="仿宋" w:hAnsi="仿宋" w:eastAsia="仿宋"/>
          <w:sz w:val="32"/>
          <w:szCs w:val="32"/>
        </w:rPr>
        <w:t>%；项目支出69.45 万元，占</w:t>
      </w:r>
      <w:r>
        <w:rPr>
          <w:rFonts w:hint="eastAsia" w:ascii="仿宋" w:hAnsi="仿宋" w:eastAsia="仿宋"/>
          <w:sz w:val="32"/>
          <w:szCs w:val="32"/>
          <w:lang w:val="en-US" w:eastAsia="zh-CN"/>
        </w:rPr>
        <w:t>9</w:t>
      </w:r>
      <w:r>
        <w:rPr>
          <w:rFonts w:hint="eastAsia" w:ascii="仿宋" w:hAnsi="仿宋" w:eastAsia="仿宋"/>
          <w:sz w:val="32"/>
          <w:szCs w:val="32"/>
        </w:rPr>
        <w:t>%。</w:t>
      </w:r>
    </w:p>
    <w:p w14:paraId="51040F2B">
      <w:pPr>
        <w:pStyle w:val="13"/>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楷体" w:hAnsi="楷体" w:eastAsia="楷体"/>
          <w:sz w:val="32"/>
          <w:szCs w:val="32"/>
        </w:rPr>
      </w:pPr>
      <w:r>
        <w:rPr>
          <w:rFonts w:hint="eastAsia" w:ascii="楷体" w:hAnsi="楷体" w:eastAsia="楷体"/>
          <w:sz w:val="32"/>
          <w:szCs w:val="32"/>
        </w:rPr>
        <w:t>四、2026年财政拨款收支预算情况</w:t>
      </w:r>
    </w:p>
    <w:p w14:paraId="3BB8E5BB">
      <w:pPr>
        <w:pStyle w:val="13"/>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仿宋" w:hAnsi="仿宋" w:eastAsia="仿宋"/>
          <w:kern w:val="0"/>
          <w:sz w:val="32"/>
          <w:szCs w:val="32"/>
        </w:rPr>
      </w:pPr>
      <w:r>
        <w:rPr>
          <w:rFonts w:hint="eastAsia" w:ascii="仿宋" w:hAnsi="仿宋" w:eastAsia="仿宋"/>
          <w:kern w:val="0"/>
          <w:sz w:val="32"/>
          <w:szCs w:val="32"/>
        </w:rPr>
        <w:t>2026 年财政拨款收支总预算846.23 万元，其中：本年收入846.23 万元。本年支出846.23 万元，支出包括：一般公共服务支出0.00 万元，社会保障和就业支出87.50 万元，卫生健康支出695.87 万元，住房保障支出62.86 万元。</w:t>
      </w:r>
    </w:p>
    <w:p w14:paraId="113EA7E6">
      <w:pPr>
        <w:pStyle w:val="13"/>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9EBBDC1">
      <w:pPr>
        <w:pStyle w:val="11"/>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仿宋" w:hAnsi="仿宋" w:eastAsia="仿宋"/>
          <w:kern w:val="0"/>
          <w:sz w:val="32"/>
          <w:szCs w:val="32"/>
        </w:rPr>
      </w:pPr>
      <w:r>
        <w:rPr>
          <w:rFonts w:hint="eastAsia" w:ascii="仿宋" w:hAnsi="仿宋" w:eastAsia="仿宋"/>
          <w:kern w:val="0"/>
          <w:sz w:val="32"/>
          <w:szCs w:val="32"/>
        </w:rPr>
        <w:t>社会保障和就业（类）支出 87.50 万元，占 10.3%，主要用于：行政事业单位养老支出，包括事业单位离退休人员费用、机关事业单位基本养老保险缴费支出等。</w:t>
      </w:r>
    </w:p>
    <w:p w14:paraId="5B903A7F">
      <w:pPr>
        <w:pStyle w:val="11"/>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仿宋" w:hAnsi="仿宋" w:eastAsia="仿宋"/>
          <w:kern w:val="0"/>
          <w:sz w:val="32"/>
          <w:szCs w:val="32"/>
        </w:rPr>
      </w:pPr>
      <w:r>
        <w:rPr>
          <w:rFonts w:hint="eastAsia" w:ascii="仿宋" w:hAnsi="仿宋" w:eastAsia="仿宋"/>
          <w:kern w:val="0"/>
          <w:sz w:val="32"/>
          <w:szCs w:val="32"/>
        </w:rPr>
        <w:t>卫生健康（类）支出 695.87 万元，占 82.2%，主要用于：公共卫生领域的疾病预防控制机构支出，保障疾控机构日常运营、业务开展及编外人员薪酬等相关开支。</w:t>
      </w:r>
    </w:p>
    <w:p w14:paraId="31776980">
      <w:pPr>
        <w:pStyle w:val="11"/>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仿宋" w:hAnsi="仿宋" w:eastAsia="仿宋"/>
          <w:kern w:val="0"/>
          <w:sz w:val="32"/>
          <w:szCs w:val="32"/>
        </w:rPr>
      </w:pPr>
      <w:r>
        <w:rPr>
          <w:rFonts w:hint="eastAsia" w:ascii="仿宋" w:hAnsi="仿宋" w:eastAsia="仿宋"/>
          <w:kern w:val="0"/>
          <w:sz w:val="32"/>
          <w:szCs w:val="32"/>
        </w:rPr>
        <w:t>住房保障（类）支出 62.86 万元，占 7.4%，主要用于：住房改革支出中的住房公积金缴纳，保障单位职工住房公积金相关待遇。</w:t>
      </w:r>
    </w:p>
    <w:p w14:paraId="1D655B29">
      <w:pPr>
        <w:pStyle w:val="11"/>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067FD75C">
      <w:pPr>
        <w:pStyle w:val="11"/>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2026 年一般公共预算基本支出 776.78 万元，</w:t>
      </w:r>
    </w:p>
    <w:p w14:paraId="0E6D954F">
      <w:pPr>
        <w:pStyle w:val="11"/>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其中：人员经费 688.88 万元，主要包括：基本工资、津贴补贴、奖金、绩效工资、机关事业单位基本养老保险缴费、职工基本医疗保险缴费、其他社会保障缴费、住房公积金、离退休费、奖励金等；</w:t>
      </w:r>
    </w:p>
    <w:p w14:paraId="22D53E77">
      <w:pPr>
        <w:pStyle w:val="11"/>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公用经费 87.89 万元，主要包括：办公费、水费、电费、邮电费、取暖费、差旅费、维修（护）费、公务接待费、工会经费、公务用车运行维护费、其他商品和服务支出等。</w:t>
      </w:r>
    </w:p>
    <w:p w14:paraId="5080A63D">
      <w:pPr>
        <w:pStyle w:val="11"/>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3ACD84D0">
      <w:pPr>
        <w:pStyle w:val="11"/>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仿宋" w:hAnsi="仿宋" w:eastAsia="仿宋"/>
          <w:sz w:val="32"/>
          <w:szCs w:val="32"/>
        </w:rPr>
      </w:pPr>
      <w:r>
        <w:rPr>
          <w:rFonts w:hint="eastAsia" w:ascii="仿宋" w:hAnsi="仿宋" w:eastAsia="仿宋"/>
          <w:sz w:val="32"/>
          <w:szCs w:val="32"/>
        </w:rPr>
        <w:t>2026 年 “三公” 经费预算数 26.40 万元，比 2025 年预算减少 0.46 万元。其中：</w:t>
      </w:r>
    </w:p>
    <w:p w14:paraId="48F3F9E6">
      <w:pPr>
        <w:pStyle w:val="11"/>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仿宋" w:hAnsi="仿宋" w:eastAsia="仿宋"/>
          <w:sz w:val="32"/>
          <w:szCs w:val="32"/>
        </w:rPr>
      </w:pPr>
      <w:r>
        <w:rPr>
          <w:rFonts w:hint="eastAsia" w:ascii="仿宋" w:hAnsi="仿宋" w:eastAsia="仿宋"/>
          <w:sz w:val="32"/>
          <w:szCs w:val="32"/>
        </w:rPr>
        <w:t>因公出国（境）费 0 万元，与 2025 年预算数相同。</w:t>
      </w:r>
    </w:p>
    <w:p w14:paraId="493E5424">
      <w:pPr>
        <w:pStyle w:val="11"/>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仿宋" w:hAnsi="仿宋" w:eastAsia="仿宋"/>
          <w:sz w:val="32"/>
          <w:szCs w:val="32"/>
        </w:rPr>
      </w:pPr>
      <w:r>
        <w:rPr>
          <w:rFonts w:hint="eastAsia" w:ascii="仿宋" w:hAnsi="仿宋" w:eastAsia="仿宋"/>
          <w:sz w:val="32"/>
          <w:szCs w:val="32"/>
        </w:rPr>
        <w:t>公务接待费 0.30 万元，比 2025 年预算数减少 0.4655 万元，主要原因是：严格执行公务接待管理规定，严控接待规模和标准，保持接待经费预算稳定。</w:t>
      </w:r>
    </w:p>
    <w:p w14:paraId="3E30ED99">
      <w:pPr>
        <w:pStyle w:val="11"/>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hint="eastAsia" w:ascii="楷体" w:hAnsi="楷体" w:eastAsia="楷体" w:cs="楷体"/>
          <w:sz w:val="32"/>
          <w:szCs w:val="32"/>
          <w:lang w:eastAsia="zh-CN"/>
        </w:rPr>
      </w:pPr>
      <w:r>
        <w:rPr>
          <w:rFonts w:hint="eastAsia" w:ascii="仿宋" w:hAnsi="仿宋" w:eastAsia="仿宋"/>
          <w:sz w:val="32"/>
          <w:szCs w:val="32"/>
        </w:rPr>
        <w:t xml:space="preserve">公务用车购置及运行费 26.10 万元，比 2025 年预算数减少 0.00 万元。其中，公务用车运行维护费 26.10 万元，比 2025 年减少 0.00 万元，主要原因是：规范公务用车使用管理，科学统筹车辆运维开支，保持运维经费预算稳定，公务用车购置 0.00 万元，比 2025 年减少 0.00 万元，主要原因是：本年度无公务用车购置计划，保持购置经费预算为零。    </w:t>
      </w:r>
      <w:r>
        <w:rPr>
          <w:rFonts w:hint="eastAsia" w:ascii="仿宋" w:hAnsi="仿宋" w:eastAsia="仿宋"/>
          <w:sz w:val="32"/>
          <w:szCs w:val="32"/>
          <w:lang w:val="en-US" w:eastAsia="zh-CN"/>
        </w:rPr>
        <w:t xml:space="preserve">   </w:t>
      </w:r>
    </w:p>
    <w:p w14:paraId="595D964A">
      <w:pPr>
        <w:pStyle w:val="11"/>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楷体" w:hAnsi="楷体" w:eastAsia="楷体" w:cs="楷体"/>
          <w:sz w:val="32"/>
          <w:szCs w:val="32"/>
        </w:rPr>
      </w:pPr>
      <w:r>
        <w:rPr>
          <w:rFonts w:hint="eastAsia" w:ascii="楷体" w:hAnsi="楷体" w:eastAsia="楷体" w:cs="楷体"/>
          <w:sz w:val="32"/>
          <w:szCs w:val="32"/>
        </w:rPr>
        <w:t>八、</w:t>
      </w:r>
      <w:r>
        <w:rPr>
          <w:rFonts w:hint="eastAsia" w:ascii="楷体" w:hAnsi="楷体" w:eastAsia="楷体" w:cs="楷体"/>
          <w:sz w:val="32"/>
          <w:szCs w:val="32"/>
          <w:lang w:eastAsia="zh-CN"/>
        </w:rPr>
        <w:t>202</w:t>
      </w:r>
      <w:r>
        <w:rPr>
          <w:rFonts w:hint="eastAsia" w:ascii="楷体" w:hAnsi="楷体" w:eastAsia="楷体" w:cs="楷体"/>
          <w:sz w:val="32"/>
          <w:szCs w:val="32"/>
          <w:lang w:val="en-US" w:eastAsia="zh-CN"/>
        </w:rPr>
        <w:t>6</w:t>
      </w:r>
      <w:r>
        <w:rPr>
          <w:rFonts w:hint="eastAsia" w:ascii="楷体" w:hAnsi="楷体" w:eastAsia="楷体" w:cs="楷体"/>
          <w:sz w:val="32"/>
          <w:szCs w:val="32"/>
          <w:lang w:eastAsia="zh-CN"/>
        </w:rPr>
        <w:t>年</w:t>
      </w:r>
      <w:r>
        <w:rPr>
          <w:rFonts w:hint="eastAsia" w:ascii="楷体" w:hAnsi="楷体" w:eastAsia="楷体" w:cs="楷体"/>
          <w:sz w:val="32"/>
          <w:szCs w:val="32"/>
        </w:rPr>
        <w:t>政府性基金预算支出情况</w:t>
      </w:r>
    </w:p>
    <w:p w14:paraId="517794C7">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2026年本单位无政府性基金预算支出</w:t>
      </w:r>
    </w:p>
    <w:p w14:paraId="51B92945">
      <w:pPr>
        <w:pStyle w:val="11"/>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楷体" w:hAnsi="楷体" w:eastAsia="楷体" w:cs="楷体"/>
          <w:sz w:val="32"/>
          <w:szCs w:val="32"/>
        </w:rPr>
      </w:pPr>
      <w:r>
        <w:rPr>
          <w:rFonts w:hint="eastAsia" w:ascii="楷体" w:hAnsi="楷体" w:eastAsia="楷体" w:cs="楷体"/>
          <w:sz w:val="32"/>
          <w:szCs w:val="32"/>
        </w:rPr>
        <w:t>九、</w:t>
      </w:r>
      <w:r>
        <w:rPr>
          <w:rFonts w:hint="eastAsia" w:ascii="楷体" w:hAnsi="楷体" w:eastAsia="楷体" w:cs="楷体"/>
          <w:sz w:val="32"/>
          <w:szCs w:val="32"/>
          <w:lang w:eastAsia="zh-CN"/>
        </w:rPr>
        <w:t>202</w:t>
      </w:r>
      <w:r>
        <w:rPr>
          <w:rFonts w:hint="eastAsia" w:ascii="楷体" w:hAnsi="楷体" w:eastAsia="楷体" w:cs="楷体"/>
          <w:sz w:val="32"/>
          <w:szCs w:val="32"/>
          <w:lang w:val="en-US" w:eastAsia="zh-CN"/>
        </w:rPr>
        <w:t>6</w:t>
      </w:r>
      <w:r>
        <w:rPr>
          <w:rFonts w:hint="eastAsia" w:ascii="楷体" w:hAnsi="楷体" w:eastAsia="楷体" w:cs="楷体"/>
          <w:sz w:val="32"/>
          <w:szCs w:val="32"/>
          <w:lang w:eastAsia="zh-CN"/>
        </w:rPr>
        <w:t>年</w:t>
      </w:r>
      <w:r>
        <w:rPr>
          <w:rFonts w:hint="eastAsia" w:ascii="楷体" w:hAnsi="楷体" w:eastAsia="楷体" w:cs="楷体"/>
          <w:sz w:val="32"/>
          <w:szCs w:val="32"/>
        </w:rPr>
        <w:t>国有资本经营预算支出情况</w:t>
      </w:r>
    </w:p>
    <w:p w14:paraId="49F465E5">
      <w:pPr>
        <w:keepNext w:val="0"/>
        <w:keepLines w:val="0"/>
        <w:pageBreakBefore w:val="0"/>
        <w:numPr>
          <w:ilvl w:val="0"/>
          <w:numId w:val="0"/>
        </w:numPr>
        <w:kinsoku/>
        <w:wordWrap/>
        <w:overflowPunct/>
        <w:topLinePunct w:val="0"/>
        <w:autoSpaceDE/>
        <w:autoSpaceDN/>
        <w:bidi w:val="0"/>
        <w:adjustRightInd/>
        <w:snapToGrid/>
        <w:spacing w:line="20" w:lineRule="atLeast"/>
        <w:ind w:left="0" w:leftChars="0" w:firstLine="640" w:firstLineChars="200"/>
        <w:jc w:val="left"/>
        <w:textAlignment w:val="auto"/>
        <w:rPr>
          <w:rFonts w:ascii="楷体" w:hAnsi="楷体" w:eastAsia="楷体" w:cs="楷体"/>
          <w:sz w:val="32"/>
          <w:szCs w:val="32"/>
        </w:rPr>
      </w:pPr>
      <w:r>
        <w:rPr>
          <w:rFonts w:hint="eastAsia" w:ascii="楷体" w:hAnsi="楷体" w:eastAsia="楷体" w:cs="楷体"/>
          <w:sz w:val="32"/>
          <w:szCs w:val="32"/>
          <w:lang w:eastAsia="zh-CN"/>
        </w:rPr>
        <w:t>十</w:t>
      </w:r>
      <w:r>
        <w:rPr>
          <w:rFonts w:hint="eastAsia" w:ascii="楷体" w:hAnsi="楷体" w:eastAsia="楷体" w:cs="楷体"/>
          <w:sz w:val="32"/>
          <w:szCs w:val="32"/>
        </w:rPr>
        <w:t>、其他重要事项的说明情况</w:t>
      </w:r>
    </w:p>
    <w:p w14:paraId="2B9D22C3">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楷体" w:hAnsi="楷体" w:eastAsia="楷体" w:cs="楷体"/>
          <w:color w:val="auto"/>
          <w:sz w:val="32"/>
          <w:szCs w:val="32"/>
        </w:rPr>
      </w:pPr>
      <w:r>
        <w:rPr>
          <w:rFonts w:hint="eastAsia" w:ascii="楷体" w:hAnsi="楷体" w:eastAsia="楷体" w:cs="楷体"/>
          <w:color w:val="auto"/>
          <w:sz w:val="32"/>
          <w:szCs w:val="32"/>
        </w:rPr>
        <w:t>（一）机关运行经费</w:t>
      </w:r>
    </w:p>
    <w:p w14:paraId="7774ABD4">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2026年我单位无机关运行经费。</w:t>
      </w:r>
    </w:p>
    <w:p w14:paraId="1943EAA7">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hint="eastAsia" w:ascii="楷体" w:hAnsi="楷体" w:eastAsia="楷体" w:cs="楷体"/>
          <w:b w:val="0"/>
          <w:bCs w:val="0"/>
          <w:kern w:val="2"/>
          <w:sz w:val="32"/>
          <w:szCs w:val="32"/>
          <w:lang w:val="en-US" w:eastAsia="zh-CN" w:bidi="ar-SA"/>
        </w:rPr>
      </w:pPr>
      <w:r>
        <w:rPr>
          <w:rFonts w:hint="eastAsia" w:ascii="楷体" w:hAnsi="楷体" w:eastAsia="楷体"/>
          <w:color w:val="auto"/>
          <w:sz w:val="32"/>
          <w:szCs w:val="32"/>
        </w:rPr>
        <w:t>（二）政府采购情况</w:t>
      </w:r>
    </w:p>
    <w:p w14:paraId="3B3D98C1">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r>
        <w:rPr>
          <w:rFonts w:ascii="仿宋" w:hAnsi="仿宋" w:eastAsia="仿宋"/>
          <w:sz w:val="32"/>
          <w:szCs w:val="32"/>
          <w:lang w:val="en-US" w:eastAsia="zh-CN"/>
        </w:rPr>
        <w:t>2026 年我单位政府采购预算 12.79 万元，其中：打印纸及打印机维修支出 1.50 万元，车辆维修保险支出 11.29 万元。政府采购预算资金均从一般公共预算拨款中安排，严格按照政府采购相关管理规定及属地集中采购目录、限额标准执行。政府采购预算资金均从</w:t>
      </w:r>
      <w:bookmarkStart w:id="0" w:name="_GoBack"/>
      <w:bookmarkEnd w:id="0"/>
      <w:r>
        <w:rPr>
          <w:rFonts w:ascii="仿宋" w:hAnsi="仿宋" w:eastAsia="仿宋"/>
          <w:sz w:val="32"/>
          <w:szCs w:val="32"/>
          <w:lang w:val="en-US" w:eastAsia="zh-CN"/>
        </w:rPr>
        <w:t>一般公共预算拨款中安排，严格按照政府采购相关管理规定及属地集中采购目录、限额标准执行。</w:t>
      </w:r>
    </w:p>
    <w:p w14:paraId="1B12DD03">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p>
    <w:p w14:paraId="1F889C75">
      <w:pPr>
        <w:keepNext w:val="0"/>
        <w:keepLines w:val="0"/>
        <w:pageBreakBefore w:val="0"/>
        <w:kinsoku/>
        <w:wordWrap/>
        <w:overflowPunct/>
        <w:topLinePunct w:val="0"/>
        <w:autoSpaceDE/>
        <w:autoSpaceDN/>
        <w:bidi w:val="0"/>
        <w:adjustRightInd/>
        <w:snapToGrid/>
        <w:spacing w:line="20" w:lineRule="atLeast"/>
        <w:jc w:val="left"/>
        <w:textAlignment w:val="auto"/>
        <w:rPr>
          <w:rFonts w:ascii="楷体" w:hAnsi="楷体" w:eastAsia="楷体"/>
          <w:color w:val="auto"/>
          <w:sz w:val="32"/>
          <w:szCs w:val="32"/>
        </w:rPr>
      </w:pPr>
      <w:r>
        <w:rPr>
          <w:rFonts w:hint="eastAsia" w:ascii="楷体" w:hAnsi="楷体" w:eastAsia="楷体"/>
          <w:color w:val="auto"/>
          <w:sz w:val="32"/>
          <w:szCs w:val="32"/>
        </w:rPr>
        <w:t>（三）国有资产占有使用情况</w:t>
      </w:r>
    </w:p>
    <w:p w14:paraId="1C7ADDF7">
      <w:pPr>
        <w:pStyle w:val="10"/>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color w:val="auto"/>
          <w:sz w:val="32"/>
          <w:szCs w:val="32"/>
        </w:rPr>
      </w:pPr>
      <w:r>
        <w:rPr>
          <w:rFonts w:hint="eastAsia" w:ascii="仿宋" w:hAnsi="仿宋" w:eastAsia="仿宋"/>
          <w:color w:val="auto"/>
          <w:sz w:val="32"/>
          <w:szCs w:val="32"/>
        </w:rPr>
        <w:t>截至</w:t>
      </w:r>
      <w:r>
        <w:rPr>
          <w:rFonts w:hint="eastAsia" w:ascii="楷体" w:hAnsi="楷体" w:eastAsia="楷体" w:cs="楷体"/>
          <w:sz w:val="32"/>
          <w:szCs w:val="32"/>
          <w:lang w:eastAsia="zh-CN"/>
        </w:rPr>
        <w:t>202</w:t>
      </w:r>
      <w:r>
        <w:rPr>
          <w:rFonts w:hint="eastAsia" w:ascii="楷体" w:hAnsi="楷体" w:eastAsia="楷体" w:cs="楷体"/>
          <w:sz w:val="32"/>
          <w:szCs w:val="32"/>
          <w:lang w:val="en-US" w:eastAsia="zh-CN"/>
        </w:rPr>
        <w:t>6</w:t>
      </w:r>
      <w:r>
        <w:rPr>
          <w:rFonts w:hint="eastAsia" w:ascii="仿宋" w:hAnsi="仿宋" w:eastAsia="仿宋"/>
          <w:color w:val="auto"/>
          <w:sz w:val="32"/>
          <w:szCs w:val="32"/>
          <w:lang w:eastAsia="zh-CN"/>
        </w:rPr>
        <w:t>年</w:t>
      </w:r>
      <w:r>
        <w:rPr>
          <w:rFonts w:hint="eastAsia" w:ascii="仿宋" w:hAnsi="仿宋" w:eastAsia="仿宋"/>
          <w:color w:val="auto"/>
          <w:sz w:val="32"/>
          <w:szCs w:val="32"/>
        </w:rPr>
        <w:t>1月，部门本级车辆</w:t>
      </w:r>
      <w:r>
        <w:rPr>
          <w:rFonts w:hint="eastAsia" w:ascii="仿宋" w:hAnsi="仿宋" w:eastAsia="仿宋"/>
          <w:color w:val="auto"/>
          <w:sz w:val="32"/>
          <w:szCs w:val="32"/>
          <w:lang w:val="en-US" w:eastAsia="zh-CN"/>
        </w:rPr>
        <w:t>10</w:t>
      </w:r>
      <w:r>
        <w:rPr>
          <w:rFonts w:hint="eastAsia" w:ascii="仿宋" w:hAnsi="仿宋" w:eastAsia="仿宋"/>
          <w:color w:val="auto"/>
          <w:sz w:val="32"/>
          <w:szCs w:val="32"/>
        </w:rPr>
        <w:t xml:space="preserve">辆，价值200万元以上大型设备 </w:t>
      </w:r>
      <w:r>
        <w:rPr>
          <w:rFonts w:ascii="仿宋" w:hAnsi="仿宋" w:eastAsia="仿宋"/>
          <w:color w:val="auto"/>
          <w:sz w:val="32"/>
          <w:szCs w:val="32"/>
        </w:rPr>
        <w:t>0</w:t>
      </w:r>
      <w:r>
        <w:rPr>
          <w:rFonts w:hint="eastAsia" w:ascii="仿宋" w:hAnsi="仿宋" w:eastAsia="仿宋"/>
          <w:color w:val="auto"/>
          <w:sz w:val="32"/>
          <w:szCs w:val="32"/>
        </w:rPr>
        <w:t xml:space="preserve">台（套）。2026年部门预算安排购置车辆及价值200万元以上大型设备 </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 xml:space="preserve"> 万元。</w:t>
      </w:r>
    </w:p>
    <w:p w14:paraId="5A5B52FF">
      <w:pPr>
        <w:keepNext w:val="0"/>
        <w:keepLines w:val="0"/>
        <w:pageBreakBefore w:val="0"/>
        <w:numPr>
          <w:ilvl w:val="0"/>
          <w:numId w:val="3"/>
        </w:numPr>
        <w:kinsoku/>
        <w:wordWrap/>
        <w:overflowPunct/>
        <w:topLinePunct w:val="0"/>
        <w:autoSpaceDE/>
        <w:autoSpaceDN/>
        <w:bidi w:val="0"/>
        <w:adjustRightInd/>
        <w:snapToGrid/>
        <w:spacing w:line="20" w:lineRule="atLeast"/>
        <w:ind w:left="0" w:leftChars="0" w:firstLine="640" w:firstLineChars="200"/>
        <w:jc w:val="both"/>
        <w:textAlignment w:val="auto"/>
        <w:rPr>
          <w:rFonts w:ascii="楷体" w:hAnsi="楷体" w:eastAsia="楷体"/>
          <w:sz w:val="32"/>
          <w:szCs w:val="32"/>
        </w:rPr>
      </w:pPr>
      <w:r>
        <w:rPr>
          <w:rFonts w:hint="eastAsia" w:ascii="楷体" w:hAnsi="楷体" w:eastAsia="楷体"/>
          <w:sz w:val="32"/>
          <w:szCs w:val="32"/>
        </w:rPr>
        <w:t>预算项目绩效目标管理情况</w:t>
      </w:r>
    </w:p>
    <w:p w14:paraId="4F29782A">
      <w:pPr>
        <w:keepNext w:val="0"/>
        <w:keepLines w:val="0"/>
        <w:pageBreakBefore w:val="0"/>
        <w:kinsoku/>
        <w:wordWrap/>
        <w:overflowPunct/>
        <w:topLinePunct w:val="0"/>
        <w:autoSpaceDE/>
        <w:autoSpaceDN/>
        <w:bidi w:val="0"/>
        <w:adjustRightInd/>
        <w:snapToGrid/>
        <w:spacing w:line="20" w:lineRule="atLeast"/>
        <w:ind w:firstLine="640" w:firstLineChars="200"/>
        <w:jc w:val="left"/>
        <w:textAlignment w:val="auto"/>
        <w:rPr>
          <w:rFonts w:ascii="仿宋" w:hAnsi="仿宋" w:eastAsia="仿宋"/>
          <w:sz w:val="32"/>
          <w:szCs w:val="32"/>
        </w:rPr>
      </w:pPr>
      <w:r>
        <w:rPr>
          <w:rFonts w:hint="eastAsia" w:ascii="仿宋" w:hAnsi="仿宋" w:eastAsia="仿宋"/>
          <w:sz w:val="32"/>
          <w:szCs w:val="32"/>
        </w:rPr>
        <w:t>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1</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，涉及金额69.45万元。</w:t>
      </w:r>
    </w:p>
    <w:p w14:paraId="29184D84">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楷体" w:hAnsi="楷体" w:eastAsia="楷体"/>
          <w:sz w:val="32"/>
          <w:szCs w:val="32"/>
        </w:rPr>
      </w:pPr>
    </w:p>
    <w:p w14:paraId="3C527A83">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ascii="仿宋" w:hAnsi="仿宋" w:eastAsia="仿宋"/>
          <w:sz w:val="32"/>
          <w:szCs w:val="32"/>
        </w:rPr>
      </w:pPr>
    </w:p>
    <w:p w14:paraId="5BEAB39C">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ascii="黑体" w:hAnsi="黑体" w:eastAsia="黑体"/>
          <w:sz w:val="32"/>
          <w:szCs w:val="32"/>
        </w:rPr>
      </w:pPr>
      <w:r>
        <w:rPr>
          <w:rFonts w:hint="eastAsia" w:ascii="黑体" w:hAnsi="黑体" w:eastAsia="黑体"/>
          <w:sz w:val="32"/>
          <w:szCs w:val="32"/>
        </w:rPr>
        <w:t>第三部分  名词解释</w:t>
      </w:r>
    </w:p>
    <w:p w14:paraId="72BA8D45">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_GB2312" w:eastAsia="仿宋_GB2312"/>
          <w:sz w:val="32"/>
          <w:szCs w:val="32"/>
        </w:rPr>
      </w:pPr>
    </w:p>
    <w:p w14:paraId="38433E3C">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r>
        <w:rPr>
          <w:rFonts w:hint="eastAsia" w:ascii="仿宋" w:hAnsi="仿宋" w:eastAsia="仿宋"/>
          <w:sz w:val="32"/>
          <w:szCs w:val="32"/>
        </w:rPr>
        <w:t xml:space="preserve"> </w:t>
      </w:r>
    </w:p>
    <w:p w14:paraId="68250850">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p>
    <w:p w14:paraId="757010AF">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p>
    <w:p w14:paraId="1B9DA4B3">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center"/>
        <w:textAlignment w:val="auto"/>
        <w:rPr>
          <w:rFonts w:ascii="仿宋" w:hAnsi="仿宋" w:eastAsia="仿宋"/>
          <w:sz w:val="32"/>
          <w:szCs w:val="32"/>
        </w:rPr>
      </w:pPr>
      <w:r>
        <w:rPr>
          <w:rFonts w:hint="eastAsia" w:ascii="仿宋" w:hAnsi="仿宋" w:eastAsia="仿宋"/>
          <w:sz w:val="32"/>
          <w:szCs w:val="32"/>
        </w:rPr>
        <w:t>第四部分  预算表格</w:t>
      </w:r>
    </w:p>
    <w:p w14:paraId="0252C055">
      <w:pPr>
        <w:keepNext w:val="0"/>
        <w:keepLines w:val="0"/>
        <w:pageBreakBefore w:val="0"/>
        <w:kinsoku/>
        <w:wordWrap/>
        <w:overflowPunct/>
        <w:topLinePunct w:val="0"/>
        <w:autoSpaceDE/>
        <w:autoSpaceDN/>
        <w:bidi w:val="0"/>
        <w:adjustRightInd/>
        <w:snapToGrid/>
        <w:spacing w:line="20" w:lineRule="atLeast"/>
        <w:ind w:left="0" w:leftChars="0" w:firstLine="640" w:firstLineChars="200"/>
        <w:jc w:val="left"/>
        <w:textAlignment w:val="auto"/>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keepNext w:val="0"/>
        <w:keepLines w:val="0"/>
        <w:pageBreakBefore w:val="0"/>
        <w:kinsoku/>
        <w:wordWrap/>
        <w:overflowPunct/>
        <w:topLinePunct w:val="0"/>
        <w:autoSpaceDE/>
        <w:autoSpaceDN/>
        <w:bidi w:val="0"/>
        <w:adjustRightInd/>
        <w:snapToGrid/>
        <w:spacing w:line="20" w:lineRule="atLeast"/>
        <w:ind w:left="0" w:leftChars="0" w:firstLine="640" w:firstLineChars="200"/>
        <w:textAlignment w:val="auto"/>
        <w:rPr>
          <w:rFonts w:ascii="仿宋" w:hAnsi="仿宋" w:eastAsia="仿宋"/>
          <w:sz w:val="32"/>
          <w:szCs w:val="32"/>
        </w:rPr>
      </w:pPr>
    </w:p>
    <w:p w14:paraId="00E3AD42">
      <w:pPr>
        <w:keepNext w:val="0"/>
        <w:keepLines w:val="0"/>
        <w:pageBreakBefore w:val="0"/>
        <w:kinsoku/>
        <w:wordWrap/>
        <w:overflowPunct/>
        <w:topLinePunct w:val="0"/>
        <w:autoSpaceDE/>
        <w:autoSpaceDN/>
        <w:bidi w:val="0"/>
        <w:adjustRightInd/>
        <w:snapToGrid/>
        <w:spacing w:line="20" w:lineRule="atLeast"/>
        <w:ind w:left="0" w:leftChars="0" w:firstLine="643" w:firstLineChars="200"/>
        <w:textAlignment w:val="auto"/>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80E559"/>
    <w:multiLevelType w:val="singleLevel"/>
    <w:tmpl w:val="2480E559"/>
    <w:lvl w:ilvl="0" w:tentative="0">
      <w:start w:val="4"/>
      <w:numFmt w:val="chineseCounting"/>
      <w:suff w:val="nothing"/>
      <w:lvlText w:val="（%1）"/>
      <w:lvlJc w:val="left"/>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23B07F0"/>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1CE357F"/>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6ED01424"/>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8556681"/>
    <w:rsid w:val="7A64282A"/>
    <w:rsid w:val="7A8D6ADA"/>
    <w:rsid w:val="7AE2097E"/>
    <w:rsid w:val="7D0048C0"/>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officialmode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2849</Words>
  <Characters>3113</Characters>
  <Lines>21</Lines>
  <Paragraphs>6</Paragraphs>
  <TotalTime>2</TotalTime>
  <ScaleCrop>false</ScaleCrop>
  <LinksUpToDate>false</LinksUpToDate>
  <CharactersWithSpaces>3238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曹慧楠</cp:lastModifiedBy>
  <dcterms:modified xsi:type="dcterms:W3CDTF">2026-03-24T01:16:36Z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490F69F4EFEB47F9B0E3EC7CA12D9BA2_13</vt:lpwstr>
  </property>
  <property fmtid="{D5CDD505-2E9C-101B-9397-08002B2CF9AE}" pid="4" name="KSOTemplateDocerSaveRecord">
    <vt:lpwstr>eyJoZGlkIjoiZTVlYWE2ODgzZDVmYmZiNWE0ZWUxOTdiYzA1MzVkZmUiLCJ1c2VySWQiOiI0MTY3OTM0MzgifQ==</vt:lpwstr>
  </property>
</Properties>
</file>