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73703324">
      <w:pPr>
        <w:pStyle w:val="style0"/>
        <w:jc w:val="center"/>
        <w:rPr>
          <w:rFonts w:ascii="黑体" w:eastAsia="黑体" w:hAnsi="黑体"/>
          <w:sz w:val="44"/>
          <w:szCs w:val="44"/>
          <w:highlight w:val="none"/>
        </w:rPr>
      </w:pPr>
    </w:p>
    <w:p w14:paraId="0722EA08">
      <w:pPr>
        <w:pStyle w:val="style0"/>
        <w:jc w:val="center"/>
        <w:rPr>
          <w:rFonts w:ascii="黑体" w:eastAsia="黑体" w:hAnsi="黑体"/>
          <w:sz w:val="44"/>
          <w:szCs w:val="44"/>
          <w:highlight w:val="none"/>
        </w:rPr>
      </w:pPr>
    </w:p>
    <w:p w14:paraId="5712AD97">
      <w:pPr>
        <w:pStyle w:val="style0"/>
        <w:jc w:val="center"/>
        <w:rPr>
          <w:rFonts w:ascii="黑体" w:eastAsia="黑体" w:hAnsi="黑体"/>
          <w:sz w:val="44"/>
          <w:szCs w:val="44"/>
          <w:highlight w:val="none"/>
        </w:rPr>
      </w:pPr>
    </w:p>
    <w:p w14:paraId="4DAE025F">
      <w:pPr>
        <w:pStyle w:val="style0"/>
        <w:jc w:val="center"/>
        <w:rPr>
          <w:rFonts w:ascii="黑体" w:eastAsia="黑体" w:hAnsi="黑体"/>
          <w:sz w:val="44"/>
          <w:szCs w:val="44"/>
          <w:highlight w:val="none"/>
        </w:rPr>
      </w:pPr>
    </w:p>
    <w:p w14:paraId="5C6FEE61">
      <w:pPr>
        <w:pStyle w:val="style0"/>
        <w:jc w:val="center"/>
        <w:rPr>
          <w:rFonts w:ascii="黑体" w:eastAsia="黑体" w:hAnsi="黑体"/>
          <w:sz w:val="44"/>
          <w:szCs w:val="44"/>
          <w:highlight w:val="none"/>
        </w:rPr>
      </w:pPr>
    </w:p>
    <w:p w14:paraId="0050A5F4">
      <w:pPr>
        <w:pStyle w:val="style0"/>
        <w:jc w:val="center"/>
        <w:rPr>
          <w:rFonts w:ascii="黑体" w:eastAsia="黑体" w:hAnsi="黑体"/>
          <w:sz w:val="52"/>
          <w:szCs w:val="52"/>
          <w:highlight w:val="none"/>
        </w:rPr>
      </w:pPr>
      <w:r>
        <w:rPr>
          <w:rFonts w:ascii="黑体" w:eastAsia="黑体" w:hAnsi="黑体" w:hint="eastAsia"/>
          <w:sz w:val="52"/>
          <w:szCs w:val="52"/>
          <w:highlight w:val="none"/>
          <w:lang w:eastAsia="zh-CN"/>
        </w:rPr>
        <w:t>永吉县医疗保障局</w:t>
      </w:r>
      <w:r>
        <w:rPr>
          <w:rFonts w:ascii="黑体" w:eastAsia="黑体" w:hAnsi="黑体" w:hint="eastAsia"/>
          <w:sz w:val="52"/>
          <w:szCs w:val="52"/>
          <w:highlight w:val="none"/>
        </w:rPr>
        <w:t>2026年部门预算</w:t>
      </w:r>
    </w:p>
    <w:p w14:paraId="5C42AB12">
      <w:pPr>
        <w:pStyle w:val="style0"/>
        <w:jc w:val="center"/>
        <w:rPr>
          <w:rFonts w:ascii="黑体" w:eastAsia="黑体" w:hAnsi="黑体"/>
          <w:sz w:val="44"/>
          <w:szCs w:val="44"/>
          <w:highlight w:val="none"/>
        </w:rPr>
      </w:pPr>
    </w:p>
    <w:p w14:paraId="5EF162CE">
      <w:pPr>
        <w:pStyle w:val="style0"/>
        <w:jc w:val="center"/>
        <w:rPr>
          <w:rFonts w:ascii="黑体" w:eastAsia="黑体" w:hAnsi="黑体"/>
          <w:sz w:val="44"/>
          <w:szCs w:val="44"/>
          <w:highlight w:val="none"/>
        </w:rPr>
      </w:pPr>
    </w:p>
    <w:p w14:paraId="6D7738A2">
      <w:pPr>
        <w:pStyle w:val="style0"/>
        <w:jc w:val="center"/>
        <w:rPr>
          <w:rFonts w:ascii="黑体" w:eastAsia="黑体" w:hAnsi="黑体"/>
          <w:sz w:val="44"/>
          <w:szCs w:val="44"/>
          <w:highlight w:val="none"/>
        </w:rPr>
      </w:pPr>
    </w:p>
    <w:p w14:paraId="1997C969">
      <w:pPr>
        <w:pStyle w:val="style0"/>
        <w:jc w:val="center"/>
        <w:rPr>
          <w:rFonts w:ascii="黑体" w:eastAsia="黑体" w:hAnsi="黑体"/>
          <w:sz w:val="44"/>
          <w:szCs w:val="44"/>
          <w:highlight w:val="none"/>
        </w:rPr>
      </w:pPr>
    </w:p>
    <w:p w14:paraId="4F4ABFCB">
      <w:pPr>
        <w:pStyle w:val="style0"/>
        <w:jc w:val="center"/>
        <w:rPr>
          <w:rFonts w:ascii="黑体" w:eastAsia="黑体" w:hAnsi="黑体"/>
          <w:sz w:val="44"/>
          <w:szCs w:val="44"/>
          <w:highlight w:val="none"/>
        </w:rPr>
      </w:pPr>
    </w:p>
    <w:p w14:paraId="6E03DA41">
      <w:pPr>
        <w:pStyle w:val="style0"/>
        <w:jc w:val="center"/>
        <w:rPr>
          <w:rFonts w:ascii="黑体" w:eastAsia="黑体" w:hAnsi="黑体"/>
          <w:sz w:val="44"/>
          <w:szCs w:val="44"/>
          <w:highlight w:val="none"/>
        </w:rPr>
      </w:pPr>
    </w:p>
    <w:p w14:paraId="34D8D65D">
      <w:pPr>
        <w:pStyle w:val="style0"/>
        <w:jc w:val="center"/>
        <w:rPr>
          <w:rFonts w:ascii="黑体" w:eastAsia="黑体" w:hAnsi="黑体"/>
          <w:sz w:val="44"/>
          <w:szCs w:val="44"/>
          <w:highlight w:val="none"/>
        </w:rPr>
      </w:pPr>
    </w:p>
    <w:p w14:paraId="01FD5D38">
      <w:pPr>
        <w:pStyle w:val="style0"/>
        <w:jc w:val="center"/>
        <w:rPr>
          <w:rFonts w:ascii="黑体" w:eastAsia="黑体" w:hAnsi="黑体"/>
          <w:sz w:val="44"/>
          <w:szCs w:val="44"/>
          <w:highlight w:val="none"/>
        </w:rPr>
      </w:pPr>
    </w:p>
    <w:p w14:paraId="380AB34E">
      <w:pPr>
        <w:pStyle w:val="style0"/>
        <w:jc w:val="center"/>
        <w:rPr>
          <w:rFonts w:ascii="黑体" w:eastAsia="黑体" w:hAnsi="黑体"/>
          <w:sz w:val="44"/>
          <w:szCs w:val="44"/>
          <w:highlight w:val="none"/>
        </w:rPr>
      </w:pPr>
    </w:p>
    <w:p w14:paraId="628D9189">
      <w:pPr>
        <w:pStyle w:val="style0"/>
        <w:jc w:val="center"/>
        <w:rPr>
          <w:rFonts w:ascii="黑体" w:eastAsia="黑体" w:hAnsi="黑体"/>
          <w:sz w:val="44"/>
          <w:szCs w:val="44"/>
          <w:highlight w:val="none"/>
        </w:rPr>
      </w:pPr>
    </w:p>
    <w:p w14:paraId="6EA5914F">
      <w:pPr>
        <w:pStyle w:val="style0"/>
        <w:jc w:val="center"/>
        <w:rPr>
          <w:rFonts w:ascii="黑体" w:eastAsia="黑体" w:hAnsi="黑体"/>
          <w:sz w:val="44"/>
          <w:szCs w:val="44"/>
          <w:highlight w:val="none"/>
        </w:rPr>
      </w:pPr>
      <w:r>
        <w:rPr>
          <w:rFonts w:ascii="黑体" w:eastAsia="黑体" w:hAnsi="黑体" w:hint="eastAsia"/>
          <w:sz w:val="44"/>
          <w:szCs w:val="44"/>
          <w:highlight w:val="none"/>
        </w:rPr>
        <w:t>二〇二六年一月四日</w:t>
      </w:r>
    </w:p>
    <w:p w14:paraId="2F1615F9">
      <w:pPr>
        <w:pStyle w:val="style0"/>
        <w:jc w:val="center"/>
        <w:rPr>
          <w:rFonts w:ascii="黑体" w:eastAsia="黑体" w:hAnsi="黑体"/>
          <w:sz w:val="44"/>
          <w:szCs w:val="44"/>
          <w:highlight w:val="none"/>
        </w:rPr>
      </w:pPr>
    </w:p>
    <w:p w14:paraId="357EC0AC">
      <w:pPr>
        <w:pStyle w:val="style0"/>
        <w:jc w:val="center"/>
        <w:rPr>
          <w:rFonts w:ascii="黑体" w:eastAsia="黑体" w:hAnsi="黑体"/>
          <w:sz w:val="44"/>
          <w:szCs w:val="44"/>
          <w:highlight w:val="none"/>
        </w:rPr>
      </w:pPr>
    </w:p>
    <w:p w14:paraId="661A2997">
      <w:pPr>
        <w:pStyle w:val="style0"/>
        <w:jc w:val="center"/>
        <w:rPr>
          <w:rFonts w:ascii="黑体" w:eastAsia="黑体" w:hAnsi="黑体"/>
          <w:sz w:val="44"/>
          <w:szCs w:val="44"/>
          <w:highlight w:val="none"/>
        </w:rPr>
      </w:pPr>
    </w:p>
    <w:p w14:paraId="60FA0F16">
      <w:pPr>
        <w:pStyle w:val="style0"/>
        <w:jc w:val="center"/>
        <w:rPr>
          <w:rFonts w:ascii="黑体" w:eastAsia="黑体" w:hAnsi="黑体"/>
          <w:sz w:val="44"/>
          <w:szCs w:val="44"/>
          <w:highlight w:val="none"/>
        </w:rPr>
      </w:pPr>
    </w:p>
    <w:p w14:paraId="74A34429">
      <w:pPr>
        <w:pStyle w:val="style0"/>
        <w:jc w:val="center"/>
        <w:rPr>
          <w:rFonts w:ascii="黑体" w:eastAsia="黑体" w:hAnsi="黑体"/>
          <w:sz w:val="44"/>
          <w:szCs w:val="44"/>
          <w:highlight w:val="none"/>
        </w:rPr>
      </w:pPr>
    </w:p>
    <w:p w14:paraId="18C3CAAE">
      <w:pPr>
        <w:pStyle w:val="style0"/>
        <w:jc w:val="center"/>
        <w:rPr>
          <w:rFonts w:ascii="黑体" w:eastAsia="黑体" w:hAnsi="黑体"/>
          <w:sz w:val="44"/>
          <w:szCs w:val="44"/>
          <w:highlight w:val="none"/>
        </w:rPr>
      </w:pPr>
    </w:p>
    <w:p w14:paraId="406F54B2">
      <w:pPr>
        <w:pStyle w:val="style0"/>
        <w:jc w:val="center"/>
        <w:rPr>
          <w:rFonts w:ascii="黑体" w:eastAsia="黑体" w:hAnsi="黑体" w:hint="eastAsia"/>
          <w:sz w:val="44"/>
          <w:szCs w:val="44"/>
          <w:highlight w:val="none"/>
        </w:rPr>
      </w:pPr>
      <w:r>
        <w:rPr>
          <w:rFonts w:ascii="黑体" w:eastAsia="黑体" w:hAnsi="黑体" w:hint="eastAsia"/>
          <w:sz w:val="44"/>
          <w:szCs w:val="44"/>
          <w:highlight w:val="none"/>
          <w:lang w:eastAsia="zh-CN"/>
        </w:rPr>
        <w:t>永吉县医疗保障局</w:t>
      </w:r>
      <w:r>
        <w:rPr>
          <w:rFonts w:ascii="黑体" w:eastAsia="黑体" w:hAnsi="黑体" w:hint="eastAsia"/>
          <w:sz w:val="44"/>
          <w:szCs w:val="44"/>
          <w:highlight w:val="none"/>
        </w:rPr>
        <w:t>2026年预算</w:t>
      </w:r>
    </w:p>
    <w:p w14:paraId="1F07C9F7">
      <w:pPr>
        <w:pStyle w:val="style0"/>
        <w:jc w:val="center"/>
        <w:rPr>
          <w:rFonts w:ascii="黑体" w:eastAsia="黑体" w:hAnsi="黑体"/>
          <w:sz w:val="44"/>
          <w:szCs w:val="44"/>
        </w:rPr>
      </w:pPr>
    </w:p>
    <w:p w14:paraId="63B0757E">
      <w:pPr>
        <w:pStyle w:val="style0"/>
        <w:tabs>
          <w:tab w:val="left" w:leader="none"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14:paraId="3BC81682">
      <w:pPr>
        <w:pStyle w:val="style0"/>
        <w:rPr>
          <w:rFonts w:ascii="仿宋" w:eastAsia="仿宋" w:hAnsi="仿宋"/>
          <w:sz w:val="32"/>
          <w:szCs w:val="32"/>
        </w:rPr>
      </w:pPr>
      <w:r>
        <w:rPr>
          <w:rFonts w:ascii="仿宋" w:eastAsia="仿宋" w:hAnsi="仿宋" w:hint="eastAsia"/>
          <w:sz w:val="32"/>
          <w:szCs w:val="32"/>
        </w:rPr>
        <w:t>第一部分  部门概况</w:t>
      </w:r>
    </w:p>
    <w:p w14:paraId="73DDC628">
      <w:pPr>
        <w:pStyle w:val="style179"/>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0F6E16B9">
      <w:pPr>
        <w:pStyle w:val="style179"/>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5EE08171">
      <w:pPr>
        <w:pStyle w:val="style0"/>
        <w:rPr>
          <w:rFonts w:ascii="仿宋" w:eastAsia="仿宋" w:hAnsi="仿宋"/>
          <w:sz w:val="32"/>
          <w:szCs w:val="32"/>
        </w:rPr>
      </w:pPr>
      <w:r>
        <w:rPr>
          <w:rFonts w:ascii="仿宋" w:eastAsia="仿宋" w:hAnsi="仿宋" w:hint="eastAsia"/>
          <w:sz w:val="32"/>
          <w:szCs w:val="32"/>
        </w:rPr>
        <w:t>第二部分  情况说明</w:t>
      </w:r>
    </w:p>
    <w:p w14:paraId="6F11FF87">
      <w:pPr>
        <w:pStyle w:val="style0"/>
        <w:rPr>
          <w:rFonts w:ascii="仿宋" w:eastAsia="仿宋" w:hAnsi="仿宋"/>
          <w:sz w:val="32"/>
          <w:szCs w:val="32"/>
        </w:rPr>
      </w:pPr>
      <w:r>
        <w:rPr>
          <w:rFonts w:ascii="仿宋" w:eastAsia="仿宋" w:hAnsi="仿宋" w:hint="eastAsia"/>
          <w:sz w:val="32"/>
          <w:szCs w:val="32"/>
        </w:rPr>
        <w:t xml:space="preserve">第三部分  名词解释 </w:t>
      </w:r>
    </w:p>
    <w:p w14:paraId="7BA36606">
      <w:pPr>
        <w:pStyle w:val="style0"/>
        <w:rPr>
          <w:rFonts w:ascii="仿宋" w:eastAsia="仿宋" w:hAnsi="仿宋"/>
          <w:sz w:val="32"/>
          <w:szCs w:val="32"/>
        </w:rPr>
      </w:pPr>
      <w:r>
        <w:rPr>
          <w:rFonts w:ascii="仿宋" w:eastAsia="仿宋" w:hAnsi="仿宋" w:hint="eastAsia"/>
          <w:sz w:val="32"/>
          <w:szCs w:val="32"/>
        </w:rPr>
        <w:t>第四部分  预算表格</w:t>
      </w:r>
    </w:p>
    <w:p w14:paraId="07E4B539">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收支总表</w:t>
      </w:r>
    </w:p>
    <w:p w14:paraId="257AF41A">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收入总表</w:t>
      </w:r>
    </w:p>
    <w:p w14:paraId="490A2BEB">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支出总表</w:t>
      </w:r>
    </w:p>
    <w:p w14:paraId="5F6425A5">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14:paraId="5006371A">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6CBA4F02">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534C5B24">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14:paraId="4685FD46">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14:paraId="696DB8AF">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2C937F03">
      <w:pPr>
        <w:pStyle w:val="style179"/>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14:paraId="3CED8429">
      <w:pPr>
        <w:pStyle w:val="style0"/>
        <w:rPr>
          <w:rFonts w:ascii="仿宋" w:eastAsia="仿宋" w:hAnsi="仿宋"/>
          <w:sz w:val="32"/>
          <w:szCs w:val="32"/>
        </w:rPr>
      </w:pPr>
    </w:p>
    <w:p w14:paraId="69BD7CEA">
      <w:pPr>
        <w:pStyle w:val="style0"/>
        <w:rPr>
          <w:rFonts w:ascii="仿宋" w:eastAsia="仿宋" w:hAnsi="仿宋"/>
          <w:sz w:val="32"/>
          <w:szCs w:val="32"/>
        </w:rPr>
      </w:pPr>
    </w:p>
    <w:p w14:paraId="549DAA5E">
      <w:pPr>
        <w:pStyle w:val="style0"/>
        <w:rPr>
          <w:rFonts w:ascii="仿宋" w:eastAsia="仿宋" w:hAnsi="仿宋"/>
          <w:sz w:val="32"/>
          <w:szCs w:val="32"/>
        </w:rPr>
      </w:pPr>
    </w:p>
    <w:p w14:paraId="4E48F873">
      <w:pPr>
        <w:pStyle w:val="style0"/>
        <w:jc w:val="center"/>
        <w:rPr>
          <w:rFonts w:ascii="黑体" w:eastAsia="黑体" w:hAnsi="黑体"/>
          <w:sz w:val="32"/>
          <w:szCs w:val="32"/>
        </w:rPr>
      </w:pPr>
      <w:r>
        <w:rPr>
          <w:rFonts w:ascii="黑体" w:eastAsia="黑体" w:hAnsi="黑体" w:hint="eastAsia"/>
          <w:sz w:val="32"/>
          <w:szCs w:val="32"/>
        </w:rPr>
        <w:t>第一部分    部门（单位）概况</w:t>
      </w:r>
    </w:p>
    <w:p w14:paraId="519B9A34">
      <w:pPr>
        <w:pStyle w:val="style0"/>
        <w:jc w:val="left"/>
        <w:rPr>
          <w:rFonts w:ascii="仿宋" w:eastAsia="仿宋" w:hAnsi="仿宋"/>
          <w:sz w:val="32"/>
          <w:szCs w:val="32"/>
        </w:rPr>
      </w:pPr>
      <w:r>
        <w:rPr>
          <w:rFonts w:ascii="仿宋" w:eastAsia="仿宋" w:hAnsi="仿宋" w:hint="eastAsia"/>
          <w:sz w:val="32"/>
          <w:szCs w:val="32"/>
        </w:rPr>
        <w:t xml:space="preserve">  </w:t>
      </w:r>
    </w:p>
    <w:p w14:paraId="6F8C03B8">
      <w:pPr>
        <w:pStyle w:val="style0"/>
        <w:jc w:val="left"/>
        <w:rPr>
          <w:rFonts w:ascii="仿宋" w:eastAsia="仿宋" w:hAnsi="仿宋"/>
          <w:sz w:val="32"/>
          <w:szCs w:val="32"/>
        </w:rPr>
      </w:pPr>
      <w:r>
        <w:rPr>
          <w:rFonts w:ascii="仿宋" w:eastAsia="仿宋" w:hAnsi="仿宋" w:hint="eastAsia"/>
          <w:sz w:val="32"/>
          <w:szCs w:val="32"/>
        </w:rPr>
        <w:t xml:space="preserve"> 一、主要职能</w:t>
      </w:r>
    </w:p>
    <w:p w14:paraId="38B0AA4D">
      <w:pPr>
        <w:pStyle w:val="style4100"/>
        <w:widowControl/>
        <w:spacing w:lineRule="exact" w:line="620"/>
        <w:ind w:firstLine="627" w:firstLineChars="196"/>
        <w:contextualSpacing/>
        <w:rPr>
          <w:rFonts w:ascii="仿宋" w:eastAsia="仿宋" w:hAnsi="仿宋" w:hint="eastAsia"/>
          <w:bCs/>
          <w:kern w:val="0"/>
          <w:sz w:val="32"/>
          <w:szCs w:val="32"/>
          <w:lang w:eastAsia="zh-CN"/>
        </w:rPr>
      </w:pPr>
      <w:r>
        <w:rPr>
          <w:rFonts w:ascii="仿宋" w:eastAsia="仿宋" w:hAnsi="仿宋" w:hint="eastAsia"/>
          <w:bCs/>
          <w:sz w:val="32"/>
          <w:szCs w:val="32"/>
        </w:rPr>
        <w:t>单位</w:t>
      </w:r>
      <w:r>
        <w:rPr>
          <w:rFonts w:ascii="仿宋" w:eastAsia="仿宋" w:hAnsi="仿宋" w:hint="eastAsia"/>
          <w:bCs/>
          <w:kern w:val="0"/>
          <w:sz w:val="32"/>
          <w:szCs w:val="32"/>
        </w:rPr>
        <w:t>名称：</w:t>
      </w:r>
      <w:r>
        <w:rPr>
          <w:rFonts w:ascii="仿宋" w:eastAsia="仿宋" w:hAnsi="仿宋" w:hint="eastAsia"/>
          <w:bCs/>
          <w:kern w:val="0"/>
          <w:sz w:val="32"/>
          <w:szCs w:val="32"/>
          <w:lang w:eastAsia="zh-CN"/>
        </w:rPr>
        <w:t>永吉县医疗保障局（本级）</w:t>
      </w:r>
    </w:p>
    <w:p w14:paraId="72BCF8C3">
      <w:pPr>
        <w:pStyle w:val="style4100"/>
        <w:widowControl/>
        <w:spacing w:lineRule="exact" w:line="620"/>
        <w:ind w:firstLine="627" w:firstLineChars="196"/>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：行政单位</w:t>
      </w:r>
    </w:p>
    <w:p w14:paraId="5ECE248B">
      <w:pPr>
        <w:pStyle w:val="style4100"/>
        <w:widowControl/>
        <w:spacing w:lineRule="exact" w:line="620"/>
        <w:ind w:firstLine="627" w:firstLineChars="196"/>
        <w:contextualSpacing/>
        <w:rPr>
          <w:rFonts w:ascii="仿宋" w:eastAsia="仿宋" w:hAnsi="仿宋" w:hint="eastAsia"/>
          <w:bCs/>
          <w:kern w:val="0"/>
          <w:sz w:val="32"/>
          <w:szCs w:val="32"/>
        </w:rPr>
      </w:pPr>
      <w:r>
        <w:rPr>
          <w:rFonts w:ascii="仿宋" w:eastAsia="仿宋" w:hAnsi="仿宋" w:hint="eastAsia"/>
          <w:bCs/>
          <w:kern w:val="0"/>
          <w:sz w:val="32"/>
          <w:szCs w:val="32"/>
        </w:rPr>
        <w:t>主要职能：</w:t>
      </w:r>
    </w:p>
    <w:p w14:paraId="06A974C0">
      <w:pPr>
        <w:pStyle w:val="style4100"/>
        <w:keepNext w:val="false"/>
        <w:keepLines w:val="false"/>
        <w:pageBreakBefore w:val="false"/>
        <w:widowControl/>
        <w:kinsoku/>
        <w:wordWrap/>
        <w:overflowPunct/>
        <w:topLinePunct w:val="false"/>
        <w:autoSpaceDE/>
        <w:autoSpaceDN/>
        <w:bidi w:val="false"/>
        <w:adjustRightInd/>
        <w:snapToGrid/>
        <w:spacing w:lineRule="exact" w:line="620"/>
        <w:ind w:firstLine="640" w:firstLineChars="200"/>
        <w:textAlignment w:val="auto"/>
        <w:contextualSpacing/>
        <w:rPr>
          <w:rFonts w:ascii="仿宋" w:eastAsia="仿宋" w:hAnsi="仿宋"/>
          <w:kern w:val="0"/>
          <w:sz w:val="32"/>
          <w:szCs w:val="32"/>
        </w:rPr>
      </w:pPr>
      <w:r>
        <w:rPr>
          <w:rFonts w:ascii="仿宋" w:eastAsia="仿宋" w:hAnsi="仿宋" w:hint="eastAsia"/>
          <w:kern w:val="0"/>
          <w:sz w:val="32"/>
          <w:szCs w:val="32"/>
        </w:rPr>
        <w:t>（1）贯彻执行国家、省、市有关医疗保险、生育保险、医疗救助等医疗保障制度的法律法规和政策规定。</w:t>
      </w:r>
    </w:p>
    <w:p w14:paraId="68EDBE1F">
      <w:pPr>
        <w:pStyle w:val="style4100"/>
        <w:keepNext w:val="false"/>
        <w:keepLines w:val="false"/>
        <w:pageBreakBefore w:val="false"/>
        <w:widowControl/>
        <w:kinsoku/>
        <w:wordWrap/>
        <w:overflowPunct/>
        <w:topLinePunct w:val="false"/>
        <w:autoSpaceDE/>
        <w:autoSpaceDN/>
        <w:bidi w:val="false"/>
        <w:adjustRightInd/>
        <w:snapToGrid/>
        <w:spacing w:lineRule="exact" w:line="620"/>
        <w:ind w:firstLine="640" w:firstLineChars="200"/>
        <w:textAlignment w:val="auto"/>
        <w:contextualSpacing/>
        <w:rPr>
          <w:rFonts w:ascii="仿宋" w:eastAsia="仿宋" w:hAnsi="仿宋"/>
          <w:kern w:val="0"/>
          <w:sz w:val="32"/>
          <w:szCs w:val="32"/>
        </w:rPr>
      </w:pPr>
      <w:r>
        <w:rPr>
          <w:rFonts w:ascii="仿宋" w:eastAsia="仿宋" w:hAnsi="仿宋" w:hint="eastAsia"/>
          <w:kern w:val="0"/>
          <w:sz w:val="32"/>
          <w:szCs w:val="32"/>
        </w:rPr>
        <w:t>（2）组织实施医疗保障基金监督管理办法、建立健全医疗保障基金安全防控机制，推进医疗保障基金支付方式改革。</w:t>
      </w:r>
    </w:p>
    <w:p w14:paraId="6B74B819">
      <w:pPr>
        <w:pStyle w:val="style4100"/>
        <w:keepNext w:val="false"/>
        <w:keepLines w:val="false"/>
        <w:pageBreakBefore w:val="false"/>
        <w:widowControl/>
        <w:kinsoku/>
        <w:wordWrap/>
        <w:overflowPunct/>
        <w:topLinePunct w:val="false"/>
        <w:autoSpaceDE/>
        <w:autoSpaceDN/>
        <w:bidi w:val="false"/>
        <w:adjustRightInd/>
        <w:snapToGrid/>
        <w:spacing w:lineRule="exact" w:line="620"/>
        <w:ind w:firstLine="640" w:firstLineChars="200"/>
        <w:textAlignment w:val="auto"/>
        <w:contextualSpacing/>
        <w:rPr>
          <w:rFonts w:ascii="仿宋" w:eastAsia="仿宋" w:hAnsi="仿宋"/>
          <w:kern w:val="0"/>
          <w:sz w:val="32"/>
          <w:szCs w:val="32"/>
        </w:rPr>
      </w:pPr>
      <w:r>
        <w:rPr>
          <w:rFonts w:ascii="仿宋" w:eastAsia="仿宋" w:hAnsi="仿宋" w:hint="eastAsia"/>
          <w:kern w:val="0"/>
          <w:sz w:val="32"/>
          <w:szCs w:val="32"/>
        </w:rPr>
        <w:t>（3）组织实施医疗保障筹资和待遇政策，落实国家长期护理保险制度改革方案并组织实施。</w:t>
      </w:r>
    </w:p>
    <w:p w14:paraId="76A40C67">
      <w:pPr>
        <w:pStyle w:val="style4100"/>
        <w:keepNext w:val="false"/>
        <w:keepLines w:val="false"/>
        <w:pageBreakBefore w:val="false"/>
        <w:widowControl/>
        <w:kinsoku/>
        <w:wordWrap/>
        <w:overflowPunct/>
        <w:topLinePunct w:val="false"/>
        <w:autoSpaceDE/>
        <w:autoSpaceDN/>
        <w:bidi w:val="false"/>
        <w:adjustRightInd/>
        <w:snapToGrid/>
        <w:spacing w:lineRule="exact" w:line="620"/>
        <w:ind w:firstLine="640" w:firstLineChars="200"/>
        <w:textAlignment w:val="auto"/>
        <w:contextualSpacing/>
        <w:rPr>
          <w:rFonts w:ascii="仿宋" w:eastAsia="仿宋" w:hAnsi="仿宋"/>
          <w:kern w:val="0"/>
          <w:sz w:val="32"/>
          <w:szCs w:val="32"/>
        </w:rPr>
      </w:pPr>
      <w:r>
        <w:rPr>
          <w:rFonts w:ascii="仿宋" w:eastAsia="仿宋" w:hAnsi="仿宋" w:hint="eastAsia"/>
          <w:kern w:val="0"/>
          <w:sz w:val="32"/>
          <w:szCs w:val="32"/>
        </w:rPr>
        <w:t>（</w:t>
      </w:r>
      <w:r>
        <w:rPr>
          <w:rFonts w:ascii="仿宋" w:eastAsia="仿宋" w:hAnsi="仿宋" w:hint="eastAsia"/>
          <w:kern w:val="0"/>
          <w:sz w:val="32"/>
          <w:szCs w:val="32"/>
          <w:lang w:val="en-US" w:eastAsia="zh-CN"/>
        </w:rPr>
        <w:t>4</w:t>
      </w:r>
      <w:r>
        <w:rPr>
          <w:rFonts w:ascii="仿宋" w:eastAsia="仿宋" w:hAnsi="仿宋" w:hint="eastAsia"/>
          <w:kern w:val="0"/>
          <w:sz w:val="32"/>
          <w:szCs w:val="32"/>
        </w:rPr>
        <w:t>）执行国家、省、市有关药品、医用耗材、医疗服务项目、医疗服务设施等医保目录的准入、收费标准、招标采购、监督管理等政策。</w:t>
      </w:r>
    </w:p>
    <w:p w14:paraId="14344453">
      <w:pPr>
        <w:pStyle w:val="style4100"/>
        <w:keepNext w:val="false"/>
        <w:keepLines w:val="false"/>
        <w:pageBreakBefore w:val="false"/>
        <w:widowControl/>
        <w:kinsoku/>
        <w:wordWrap/>
        <w:overflowPunct/>
        <w:topLinePunct w:val="false"/>
        <w:autoSpaceDE/>
        <w:autoSpaceDN/>
        <w:bidi w:val="false"/>
        <w:adjustRightInd/>
        <w:snapToGrid/>
        <w:spacing w:lineRule="exact" w:line="620"/>
        <w:ind w:firstLine="640" w:firstLineChars="200"/>
        <w:textAlignment w:val="auto"/>
        <w:contextualSpacing/>
        <w:rPr>
          <w:rFonts w:ascii="仿宋" w:eastAsia="仿宋" w:hAnsi="仿宋"/>
          <w:kern w:val="0"/>
          <w:sz w:val="32"/>
          <w:szCs w:val="32"/>
        </w:rPr>
      </w:pPr>
      <w:r>
        <w:rPr>
          <w:rFonts w:ascii="仿宋" w:eastAsia="仿宋" w:hAnsi="仿宋" w:hint="eastAsia"/>
          <w:kern w:val="0"/>
          <w:sz w:val="32"/>
          <w:szCs w:val="32"/>
        </w:rPr>
        <w:t>（</w:t>
      </w:r>
      <w:r>
        <w:rPr>
          <w:rFonts w:ascii="仿宋" w:eastAsia="仿宋" w:hAnsi="仿宋" w:hint="eastAsia"/>
          <w:kern w:val="0"/>
          <w:sz w:val="32"/>
          <w:szCs w:val="32"/>
          <w:lang w:val="en-US" w:eastAsia="zh-CN"/>
        </w:rPr>
        <w:t>5</w:t>
      </w:r>
      <w:r>
        <w:rPr>
          <w:rFonts w:ascii="仿宋" w:eastAsia="仿宋" w:hAnsi="仿宋" w:hint="eastAsia"/>
          <w:kern w:val="0"/>
          <w:sz w:val="32"/>
          <w:szCs w:val="32"/>
        </w:rPr>
        <w:t>）制定定点医药机构协议和支付管理办法并组织实施，建立健全医疗保障信用评价体系和信息披露制度,监督管理纳入医疗保障范围内的医疗服务行为和医疗费用,依法查处医疗保障领域违法违规行为。</w:t>
      </w:r>
    </w:p>
    <w:p w14:paraId="56672BE5">
      <w:pPr>
        <w:pStyle w:val="style4100"/>
        <w:keepNext w:val="false"/>
        <w:keepLines w:val="false"/>
        <w:pageBreakBefore w:val="false"/>
        <w:widowControl/>
        <w:kinsoku/>
        <w:wordWrap/>
        <w:overflowPunct/>
        <w:topLinePunct w:val="false"/>
        <w:autoSpaceDE/>
        <w:autoSpaceDN/>
        <w:bidi w:val="false"/>
        <w:adjustRightInd/>
        <w:snapToGrid/>
        <w:spacing w:lineRule="exact" w:line="620"/>
        <w:ind w:firstLine="640" w:firstLineChars="200"/>
        <w:textAlignment w:val="auto"/>
        <w:contextualSpacing/>
        <w:rPr>
          <w:rFonts w:ascii="仿宋" w:eastAsia="仿宋" w:hAnsi="仿宋"/>
          <w:kern w:val="0"/>
          <w:sz w:val="32"/>
          <w:szCs w:val="32"/>
        </w:rPr>
      </w:pPr>
      <w:r>
        <w:rPr>
          <w:rFonts w:ascii="仿宋" w:eastAsia="仿宋" w:hAnsi="仿宋" w:hint="eastAsia"/>
          <w:kern w:val="0"/>
          <w:sz w:val="32"/>
          <w:szCs w:val="32"/>
        </w:rPr>
        <w:t>（</w:t>
      </w:r>
      <w:r>
        <w:rPr>
          <w:rFonts w:ascii="仿宋" w:eastAsia="仿宋" w:hAnsi="仿宋" w:hint="eastAsia"/>
          <w:kern w:val="0"/>
          <w:sz w:val="32"/>
          <w:szCs w:val="32"/>
          <w:lang w:val="en-US" w:eastAsia="zh-CN"/>
        </w:rPr>
        <w:t>6</w:t>
      </w:r>
      <w:r>
        <w:rPr>
          <w:rFonts w:ascii="仿宋" w:eastAsia="仿宋" w:hAnsi="仿宋" w:hint="eastAsia"/>
          <w:kern w:val="0"/>
          <w:sz w:val="32"/>
          <w:szCs w:val="32"/>
        </w:rPr>
        <w:t>）负责医疗保障经办管理、公共服务体系和信息化建设。组织实施和完善异地就医管理和费用结算。建立健全医疗保障关系转移接续制度。</w:t>
      </w:r>
    </w:p>
    <w:p w14:paraId="1A7A04A6">
      <w:pPr>
        <w:pStyle w:val="style4100"/>
        <w:keepNext w:val="false"/>
        <w:keepLines w:val="false"/>
        <w:pageBreakBefore w:val="false"/>
        <w:widowControl/>
        <w:kinsoku/>
        <w:wordWrap/>
        <w:overflowPunct/>
        <w:topLinePunct w:val="false"/>
        <w:autoSpaceDE/>
        <w:autoSpaceDN/>
        <w:bidi w:val="false"/>
        <w:adjustRightInd/>
        <w:snapToGrid/>
        <w:spacing w:lineRule="exact" w:line="620"/>
        <w:ind w:firstLine="640" w:firstLineChars="200"/>
        <w:textAlignment w:val="auto"/>
        <w:contextualSpacing/>
        <w:rPr>
          <w:rFonts w:ascii="仿宋" w:eastAsia="仿宋" w:hAnsi="仿宋" w:hint="eastAsia"/>
          <w:sz w:val="32"/>
          <w:szCs w:val="32"/>
        </w:rPr>
      </w:pPr>
      <w:r>
        <w:rPr>
          <w:rFonts w:ascii="仿宋" w:eastAsia="仿宋" w:hAnsi="仿宋" w:hint="eastAsia"/>
          <w:kern w:val="0"/>
          <w:sz w:val="32"/>
          <w:szCs w:val="32"/>
        </w:rPr>
        <w:t>（</w:t>
      </w:r>
      <w:r>
        <w:rPr>
          <w:rFonts w:ascii="仿宋" w:eastAsia="仿宋" w:hAnsi="仿宋" w:hint="eastAsia"/>
          <w:kern w:val="0"/>
          <w:sz w:val="32"/>
          <w:szCs w:val="32"/>
          <w:lang w:val="en-US" w:eastAsia="zh-CN"/>
        </w:rPr>
        <w:t>7）</w:t>
      </w:r>
      <w:r>
        <w:rPr>
          <w:rFonts w:ascii="仿宋" w:eastAsia="仿宋" w:hAnsi="仿宋" w:hint="eastAsia"/>
          <w:kern w:val="0"/>
          <w:sz w:val="32"/>
          <w:szCs w:val="32"/>
        </w:rPr>
        <w:t>完善统一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负担。</w:t>
      </w:r>
    </w:p>
    <w:p w14:paraId="2A4295BB">
      <w:pPr>
        <w:pStyle w:val="style4100"/>
        <w:widowControl/>
        <w:spacing w:lineRule="exact" w:line="620"/>
        <w:ind w:firstLine="320" w:firstLineChars="100"/>
        <w:contextualSpacing/>
        <w:rPr>
          <w:rFonts w:ascii="仿宋" w:eastAsia="仿宋" w:hAnsi="仿宋"/>
          <w:sz w:val="32"/>
          <w:szCs w:val="32"/>
        </w:rPr>
      </w:pPr>
      <w:r>
        <w:rPr>
          <w:rFonts w:ascii="仿宋" w:eastAsia="仿宋" w:hAnsi="仿宋" w:hint="eastAsia"/>
          <w:sz w:val="32"/>
          <w:szCs w:val="32"/>
        </w:rPr>
        <w:t>二、机构设置</w:t>
      </w:r>
    </w:p>
    <w:p w14:paraId="71A011C1">
      <w:pPr>
        <w:pStyle w:val="style4102"/>
        <w:ind w:firstLine="627" w:firstLineChars="196"/>
        <w:rPr>
          <w:rFonts w:ascii="仿宋" w:eastAsia="仿宋" w:hAnsi="仿宋"/>
          <w:kern w:val="0"/>
          <w:szCs w:val="32"/>
        </w:rPr>
      </w:pPr>
      <w:r>
        <w:rPr>
          <w:rFonts w:ascii="仿宋" w:eastAsia="仿宋" w:hAnsi="仿宋" w:hint="eastAsia"/>
          <w:kern w:val="0"/>
          <w:szCs w:val="32"/>
        </w:rPr>
        <w:t>机构设置包括：综合科、医保科。</w:t>
      </w:r>
    </w:p>
    <w:p w14:paraId="4435C363">
      <w:pPr>
        <w:pStyle w:val="style4102"/>
        <w:ind w:firstLine="627" w:firstLineChars="196"/>
        <w:rPr>
          <w:rFonts w:ascii="仿宋" w:eastAsia="仿宋" w:hAnsi="仿宋"/>
          <w:kern w:val="0"/>
          <w:szCs w:val="32"/>
        </w:rPr>
      </w:pPr>
      <w:r>
        <w:rPr>
          <w:rFonts w:ascii="仿宋" w:eastAsia="仿宋" w:hAnsi="仿宋" w:hint="eastAsia"/>
          <w:kern w:val="0"/>
          <w:szCs w:val="32"/>
        </w:rPr>
        <w:t>人员情况：在职人员</w:t>
      </w:r>
      <w:r>
        <w:rPr>
          <w:rFonts w:ascii="仿宋" w:eastAsia="仿宋" w:hAnsi="仿宋" w:hint="eastAsia"/>
          <w:kern w:val="0"/>
          <w:szCs w:val="32"/>
          <w:lang w:val="en-US" w:eastAsia="zh-CN"/>
        </w:rPr>
        <w:t>6</w:t>
      </w:r>
      <w:r>
        <w:rPr>
          <w:rFonts w:ascii="仿宋" w:eastAsia="仿宋" w:hAnsi="仿宋" w:hint="eastAsia"/>
          <w:kern w:val="0"/>
          <w:szCs w:val="32"/>
        </w:rPr>
        <w:t>人，编制数</w:t>
      </w:r>
      <w:r>
        <w:rPr>
          <w:rFonts w:ascii="仿宋" w:eastAsia="仿宋" w:hAnsi="仿宋" w:hint="eastAsia"/>
          <w:kern w:val="0"/>
          <w:szCs w:val="32"/>
          <w:lang w:val="en-US" w:eastAsia="zh-CN"/>
        </w:rPr>
        <w:t>6</w:t>
      </w:r>
      <w:r>
        <w:rPr>
          <w:rFonts w:ascii="仿宋" w:eastAsia="仿宋" w:hAnsi="仿宋" w:hint="eastAsia"/>
          <w:kern w:val="0"/>
          <w:szCs w:val="32"/>
        </w:rPr>
        <w:t>人，领导职数</w:t>
      </w:r>
      <w:r>
        <w:rPr>
          <w:rFonts w:ascii="仿宋" w:eastAsia="仿宋" w:hAnsi="仿宋" w:hint="eastAsia"/>
          <w:kern w:val="0"/>
          <w:szCs w:val="32"/>
          <w:lang w:val="en-US" w:eastAsia="zh-CN"/>
        </w:rPr>
        <w:t>2</w:t>
      </w:r>
      <w:r>
        <w:rPr>
          <w:rFonts w:ascii="仿宋" w:eastAsia="仿宋" w:hAnsi="仿宋" w:hint="eastAsia"/>
          <w:kern w:val="0"/>
          <w:szCs w:val="32"/>
        </w:rPr>
        <w:t>个。</w:t>
      </w:r>
    </w:p>
    <w:p w14:paraId="3FC7A9E8">
      <w:pPr>
        <w:pStyle w:val="style0"/>
        <w:jc w:val="left"/>
        <w:rPr>
          <w:rFonts w:ascii="仿宋" w:eastAsia="仿宋" w:hAnsi="仿宋"/>
          <w:sz w:val="32"/>
          <w:szCs w:val="32"/>
        </w:rPr>
      </w:pPr>
    </w:p>
    <w:p w14:paraId="5A351D09">
      <w:pPr>
        <w:pStyle w:val="style0"/>
        <w:jc w:val="left"/>
        <w:rPr>
          <w:rFonts w:ascii="仿宋" w:eastAsia="仿宋" w:hAnsi="仿宋"/>
          <w:sz w:val="32"/>
          <w:szCs w:val="32"/>
        </w:rPr>
      </w:pPr>
    </w:p>
    <w:p w14:paraId="2327A84A">
      <w:pPr>
        <w:pStyle w:val="style0"/>
        <w:jc w:val="left"/>
        <w:rPr>
          <w:rFonts w:ascii="仿宋" w:eastAsia="仿宋" w:hAnsi="仿宋"/>
          <w:sz w:val="32"/>
          <w:szCs w:val="32"/>
        </w:rPr>
      </w:pPr>
    </w:p>
    <w:p w14:paraId="30EC7C30">
      <w:pPr>
        <w:pStyle w:val="style0"/>
        <w:jc w:val="left"/>
        <w:rPr>
          <w:rFonts w:ascii="仿宋" w:eastAsia="仿宋" w:hAnsi="仿宋"/>
          <w:sz w:val="32"/>
          <w:szCs w:val="32"/>
        </w:rPr>
      </w:pPr>
    </w:p>
    <w:p w14:paraId="22022DA2">
      <w:pPr>
        <w:pStyle w:val="style0"/>
        <w:jc w:val="left"/>
        <w:rPr>
          <w:rFonts w:ascii="仿宋" w:eastAsia="仿宋" w:hAnsi="仿宋"/>
          <w:sz w:val="32"/>
          <w:szCs w:val="32"/>
        </w:rPr>
      </w:pPr>
    </w:p>
    <w:p w14:paraId="4494DF1B">
      <w:pPr>
        <w:pStyle w:val="style0"/>
        <w:jc w:val="left"/>
        <w:rPr>
          <w:rFonts w:ascii="仿宋" w:eastAsia="仿宋" w:hAnsi="仿宋"/>
          <w:sz w:val="32"/>
          <w:szCs w:val="32"/>
        </w:rPr>
      </w:pPr>
    </w:p>
    <w:p w14:paraId="57CB687A">
      <w:pPr>
        <w:pStyle w:val="style0"/>
        <w:jc w:val="left"/>
        <w:rPr>
          <w:rFonts w:ascii="仿宋" w:eastAsia="仿宋" w:hAnsi="仿宋"/>
          <w:sz w:val="32"/>
          <w:szCs w:val="32"/>
        </w:rPr>
      </w:pPr>
    </w:p>
    <w:p w14:paraId="00B77722">
      <w:pPr>
        <w:pStyle w:val="style0"/>
        <w:jc w:val="left"/>
        <w:rPr>
          <w:rFonts w:ascii="仿宋" w:eastAsia="仿宋" w:hAnsi="仿宋"/>
          <w:sz w:val="32"/>
          <w:szCs w:val="32"/>
        </w:rPr>
      </w:pPr>
    </w:p>
    <w:p w14:paraId="546B2C04">
      <w:pPr>
        <w:pStyle w:val="style0"/>
        <w:jc w:val="center"/>
        <w:rPr>
          <w:rFonts w:ascii="黑体" w:eastAsia="黑体" w:hAnsi="黑体"/>
          <w:sz w:val="32"/>
          <w:szCs w:val="32"/>
        </w:rPr>
      </w:pPr>
    </w:p>
    <w:p w14:paraId="6FD1930E">
      <w:pPr>
        <w:pStyle w:val="style0"/>
        <w:jc w:val="center"/>
        <w:rPr>
          <w:rFonts w:ascii="黑体" w:eastAsia="黑体" w:hAnsi="黑体"/>
          <w:sz w:val="32"/>
          <w:szCs w:val="32"/>
        </w:rPr>
      </w:pPr>
    </w:p>
    <w:p w14:paraId="08C38348">
      <w:pPr>
        <w:pStyle w:val="style0"/>
        <w:jc w:val="center"/>
        <w:rPr>
          <w:rFonts w:ascii="黑体" w:eastAsia="黑体" w:hAnsi="黑体"/>
          <w:sz w:val="32"/>
          <w:szCs w:val="32"/>
        </w:rPr>
      </w:pPr>
    </w:p>
    <w:p w14:paraId="653D2C6B">
      <w:pPr>
        <w:pStyle w:val="style0"/>
        <w:jc w:val="center"/>
        <w:rPr>
          <w:rFonts w:ascii="黑体" w:eastAsia="黑体" w:hAnsi="黑体"/>
          <w:sz w:val="32"/>
          <w:szCs w:val="32"/>
        </w:rPr>
      </w:pPr>
      <w:r>
        <w:rPr>
          <w:rFonts w:ascii="黑体" w:eastAsia="黑体" w:hAnsi="黑体" w:hint="eastAsia"/>
          <w:sz w:val="32"/>
          <w:szCs w:val="32"/>
        </w:rPr>
        <w:t>第二部分  情况说明</w:t>
      </w:r>
    </w:p>
    <w:p w14:paraId="1A612949">
      <w:pPr>
        <w:pStyle w:val="style0"/>
        <w:jc w:val="left"/>
        <w:rPr>
          <w:rFonts w:ascii="仿宋" w:eastAsia="仿宋" w:hAnsi="仿宋"/>
          <w:sz w:val="32"/>
          <w:szCs w:val="32"/>
        </w:rPr>
      </w:pPr>
      <w:r>
        <w:rPr>
          <w:rFonts w:ascii="仿宋" w:eastAsia="仿宋" w:hAnsi="仿宋" w:hint="eastAsia"/>
          <w:sz w:val="32"/>
          <w:szCs w:val="32"/>
        </w:rPr>
        <w:t xml:space="preserve"> </w:t>
      </w:r>
    </w:p>
    <w:p w14:paraId="14665F96">
      <w:pPr>
        <w:pStyle w:val="style0"/>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一、2026年收支预算总体情况</w:t>
      </w:r>
    </w:p>
    <w:p w14:paraId="790B2477">
      <w:pPr>
        <w:pStyle w:val="style4101"/>
        <w:ind w:firstLine="640" w:firstLineChars="200"/>
        <w:jc w:val="left"/>
        <w:rPr>
          <w:rFonts w:ascii="仿宋" w:eastAsia="仿宋" w:hAnsi="仿宋"/>
          <w:sz w:val="32"/>
          <w:szCs w:val="32"/>
        </w:rPr>
      </w:pPr>
      <w:r>
        <w:rPr>
          <w:rFonts w:ascii="仿宋" w:eastAsia="仿宋" w:hAnsi="仿宋" w:hint="eastAsia"/>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ascii="仿宋" w:eastAsia="仿宋" w:hAnsi="仿宋" w:hint="eastAsia"/>
          <w:sz w:val="32"/>
          <w:szCs w:val="32"/>
          <w:lang w:val="en-US" w:eastAsia="zh-CN"/>
        </w:rPr>
        <w:t>158.94</w:t>
      </w:r>
      <w:r>
        <w:rPr>
          <w:rFonts w:ascii="仿宋" w:eastAsia="仿宋" w:hAnsi="仿宋" w:hint="eastAsia"/>
          <w:sz w:val="32"/>
          <w:szCs w:val="32"/>
        </w:rPr>
        <w:t>万元，比 2025年预算数</w:t>
      </w:r>
      <w:r>
        <w:rPr>
          <w:rFonts w:ascii="仿宋" w:eastAsia="仿宋" w:hAnsi="仿宋" w:hint="eastAsia"/>
          <w:sz w:val="32"/>
          <w:szCs w:val="32"/>
          <w:lang w:val="en-US" w:eastAsia="zh-CN"/>
        </w:rPr>
        <w:t>84.09</w:t>
      </w:r>
      <w:r>
        <w:rPr>
          <w:rFonts w:ascii="仿宋" w:eastAsia="仿宋" w:hAnsi="仿宋" w:hint="eastAsia"/>
          <w:sz w:val="32"/>
          <w:szCs w:val="32"/>
        </w:rPr>
        <w:t>万元增</w:t>
      </w:r>
      <w:r>
        <w:rPr>
          <w:rFonts w:ascii="仿宋" w:eastAsia="仿宋" w:hAnsi="仿宋" w:hint="eastAsia"/>
          <w:sz w:val="32"/>
          <w:szCs w:val="32"/>
          <w:lang w:eastAsia="zh-CN"/>
        </w:rPr>
        <w:t>加</w:t>
      </w:r>
      <w:r>
        <w:rPr>
          <w:rFonts w:ascii="仿宋" w:eastAsia="仿宋" w:hAnsi="仿宋" w:hint="eastAsia"/>
          <w:sz w:val="32"/>
          <w:szCs w:val="32"/>
          <w:lang w:val="en-US" w:eastAsia="zh-CN"/>
        </w:rPr>
        <w:t>74.85</w:t>
      </w:r>
      <w:r>
        <w:rPr>
          <w:rFonts w:ascii="仿宋" w:eastAsia="仿宋" w:hAnsi="仿宋" w:hint="eastAsia"/>
          <w:sz w:val="32"/>
          <w:szCs w:val="32"/>
        </w:rPr>
        <w:t>万元，主要原因：</w:t>
      </w:r>
      <w:r>
        <w:rPr>
          <w:rFonts w:ascii="仿宋" w:eastAsia="仿宋" w:hAnsi="仿宋" w:hint="eastAsia"/>
          <w:sz w:val="32"/>
          <w:szCs w:val="32"/>
          <w:lang w:eastAsia="zh-CN"/>
        </w:rPr>
        <w:t>增加了中央医疗服务与保障能力提升补助资金（医疗保障服务能力建设部分）项目支出</w:t>
      </w:r>
      <w:r>
        <w:rPr>
          <w:rFonts w:ascii="仿宋" w:eastAsia="仿宋" w:hAnsi="仿宋" w:hint="eastAsia"/>
          <w:sz w:val="32"/>
          <w:szCs w:val="32"/>
        </w:rPr>
        <w:t>。</w:t>
      </w:r>
    </w:p>
    <w:p w14:paraId="0594D500">
      <w:pPr>
        <w:pStyle w:val="style4101"/>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二、2026年收入预算情况</w:t>
      </w:r>
    </w:p>
    <w:p w14:paraId="5BB9355F">
      <w:pPr>
        <w:pStyle w:val="style4101"/>
        <w:ind w:left="319" w:leftChars="152" w:firstLine="320" w:firstLineChars="100"/>
        <w:jc w:val="left"/>
        <w:rPr>
          <w:rFonts w:ascii="仿宋" w:eastAsia="仿宋" w:hAnsi="仿宋"/>
          <w:sz w:val="32"/>
          <w:szCs w:val="32"/>
        </w:rPr>
      </w:pPr>
      <w:r>
        <w:rPr>
          <w:rFonts w:ascii="仿宋" w:eastAsia="仿宋" w:hAnsi="仿宋" w:hint="eastAsia"/>
          <w:sz w:val="32"/>
          <w:szCs w:val="32"/>
        </w:rPr>
        <w:t>2026年本单位收入预算</w:t>
      </w:r>
      <w:r>
        <w:rPr>
          <w:rFonts w:ascii="仿宋" w:eastAsia="仿宋" w:hAnsi="仿宋" w:hint="eastAsia"/>
          <w:sz w:val="32"/>
          <w:szCs w:val="32"/>
          <w:lang w:val="en-US" w:eastAsia="zh-CN"/>
        </w:rPr>
        <w:t>158.94</w:t>
      </w:r>
      <w:r>
        <w:rPr>
          <w:rFonts w:ascii="仿宋" w:eastAsia="仿宋" w:hAnsi="仿宋" w:hint="eastAsia"/>
          <w:sz w:val="32"/>
          <w:szCs w:val="32"/>
        </w:rPr>
        <w:t>元，其中：一般公共预算收入</w:t>
      </w:r>
      <w:r>
        <w:rPr>
          <w:rFonts w:ascii="仿宋" w:eastAsia="仿宋" w:hAnsi="仿宋" w:hint="eastAsia"/>
          <w:sz w:val="32"/>
          <w:szCs w:val="32"/>
          <w:lang w:val="en-US" w:eastAsia="zh-CN"/>
        </w:rPr>
        <w:t>158.94</w:t>
      </w:r>
      <w:r>
        <w:rPr>
          <w:rFonts w:ascii="仿宋" w:eastAsia="仿宋" w:hAnsi="仿宋" w:hint="eastAsia"/>
          <w:sz w:val="32"/>
          <w:szCs w:val="32"/>
        </w:rPr>
        <w:t>万元，占</w:t>
      </w:r>
      <w:r>
        <w:rPr>
          <w:rFonts w:ascii="仿宋" w:eastAsia="仿宋" w:hAnsi="仿宋" w:hint="eastAsia"/>
          <w:sz w:val="32"/>
          <w:szCs w:val="32"/>
          <w:lang w:val="en-US" w:eastAsia="zh-CN"/>
        </w:rPr>
        <w:t>100</w:t>
      </w:r>
      <w:r>
        <w:rPr>
          <w:rFonts w:ascii="仿宋" w:eastAsia="仿宋" w:hAnsi="仿宋" w:hint="eastAsia"/>
          <w:sz w:val="32"/>
          <w:szCs w:val="32"/>
        </w:rPr>
        <w:t>%%。</w:t>
      </w:r>
    </w:p>
    <w:p w14:paraId="262A2F8F">
      <w:pPr>
        <w:pStyle w:val="style4101"/>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三、2026年支出预算情况</w:t>
      </w:r>
    </w:p>
    <w:p w14:paraId="25859D74">
      <w:pPr>
        <w:pStyle w:val="style4101"/>
        <w:ind w:firstLine="640" w:firstLineChars="200"/>
        <w:rPr>
          <w:rFonts w:ascii="仿宋" w:eastAsia="仿宋" w:hAnsi="仿宋"/>
          <w:sz w:val="32"/>
          <w:szCs w:val="32"/>
        </w:rPr>
      </w:pPr>
      <w:r>
        <w:rPr>
          <w:rFonts w:ascii="仿宋" w:eastAsia="仿宋" w:hAnsi="仿宋" w:hint="eastAsia"/>
          <w:sz w:val="32"/>
          <w:szCs w:val="32"/>
        </w:rPr>
        <w:t>2026年支出预算</w:t>
      </w:r>
      <w:r>
        <w:rPr>
          <w:rFonts w:ascii="仿宋" w:eastAsia="仿宋" w:hAnsi="仿宋" w:hint="eastAsia"/>
          <w:sz w:val="32"/>
          <w:szCs w:val="32"/>
          <w:lang w:val="en-US" w:eastAsia="zh-CN"/>
        </w:rPr>
        <w:t>158.94</w:t>
      </w:r>
      <w:r>
        <w:rPr>
          <w:rFonts w:ascii="仿宋" w:eastAsia="仿宋" w:hAnsi="仿宋" w:hint="eastAsia"/>
          <w:sz w:val="32"/>
          <w:szCs w:val="32"/>
        </w:rPr>
        <w:t>万元，其中：基本支出</w:t>
      </w:r>
      <w:r>
        <w:rPr>
          <w:rFonts w:ascii="仿宋" w:eastAsia="仿宋" w:hAnsi="仿宋" w:hint="eastAsia"/>
          <w:sz w:val="32"/>
          <w:szCs w:val="32"/>
          <w:lang w:val="en-US" w:eastAsia="zh-CN"/>
        </w:rPr>
        <w:t>86.48</w:t>
      </w:r>
      <w:r>
        <w:rPr>
          <w:rFonts w:ascii="仿宋" w:eastAsia="仿宋" w:hAnsi="仿宋" w:hint="eastAsia"/>
          <w:sz w:val="32"/>
          <w:szCs w:val="32"/>
        </w:rPr>
        <w:t>万元，占</w:t>
      </w:r>
      <w:r>
        <w:rPr>
          <w:rFonts w:ascii="仿宋" w:eastAsia="仿宋" w:hAnsi="仿宋" w:hint="eastAsia"/>
          <w:sz w:val="32"/>
          <w:szCs w:val="32"/>
          <w:lang w:val="en-US" w:eastAsia="zh-CN"/>
        </w:rPr>
        <w:t>54.41</w:t>
      </w:r>
      <w:r>
        <w:rPr>
          <w:rFonts w:ascii="仿宋" w:eastAsia="仿宋" w:hAnsi="仿宋" w:hint="eastAsia"/>
          <w:sz w:val="32"/>
          <w:szCs w:val="32"/>
        </w:rPr>
        <w:t>%；项目支出</w:t>
      </w:r>
      <w:r>
        <w:rPr>
          <w:rFonts w:ascii="仿宋" w:eastAsia="仿宋" w:hAnsi="仿宋" w:hint="eastAsia"/>
          <w:sz w:val="32"/>
          <w:szCs w:val="32"/>
          <w:lang w:val="en-US" w:eastAsia="zh-CN"/>
        </w:rPr>
        <w:t>72.46</w:t>
      </w:r>
      <w:r>
        <w:rPr>
          <w:rFonts w:ascii="仿宋" w:eastAsia="仿宋" w:hAnsi="仿宋" w:hint="eastAsia"/>
          <w:sz w:val="32"/>
          <w:szCs w:val="32"/>
        </w:rPr>
        <w:t>万元，占</w:t>
      </w:r>
      <w:r>
        <w:rPr>
          <w:rFonts w:ascii="仿宋" w:eastAsia="仿宋" w:hAnsi="仿宋" w:hint="eastAsia"/>
          <w:sz w:val="32"/>
          <w:szCs w:val="32"/>
          <w:lang w:val="en-US" w:eastAsia="zh-CN"/>
        </w:rPr>
        <w:t>45.59%</w:t>
      </w:r>
      <w:r>
        <w:rPr>
          <w:rFonts w:ascii="仿宋" w:eastAsia="仿宋" w:hAnsi="仿宋" w:hint="eastAsia"/>
          <w:sz w:val="32"/>
          <w:szCs w:val="32"/>
        </w:rPr>
        <w:t>。</w:t>
      </w:r>
    </w:p>
    <w:p w14:paraId="51040F2B">
      <w:pPr>
        <w:pStyle w:val="style4101"/>
        <w:ind w:firstLine="640" w:firstLineChars="200"/>
        <w:jc w:val="left"/>
        <w:rPr>
          <w:rFonts w:ascii="楷体" w:eastAsia="楷体" w:hAnsi="楷体"/>
          <w:sz w:val="32"/>
          <w:szCs w:val="32"/>
        </w:rPr>
      </w:pPr>
      <w:r>
        <w:rPr>
          <w:rFonts w:ascii="楷体" w:eastAsia="楷体" w:hAnsi="楷体" w:hint="eastAsia"/>
          <w:sz w:val="32"/>
          <w:szCs w:val="32"/>
        </w:rPr>
        <w:t>四、2026年财政拨款收支预算情况</w:t>
      </w:r>
    </w:p>
    <w:p w14:paraId="032F5B2D">
      <w:pPr>
        <w:pStyle w:val="style4101"/>
        <w:ind w:firstLine="640" w:firstLineChars="200"/>
        <w:rPr>
          <w:rFonts w:ascii="仿宋" w:eastAsia="仿宋" w:hAnsi="仿宋" w:hint="eastAsia"/>
          <w:sz w:val="32"/>
          <w:szCs w:val="32"/>
          <w:lang w:val="en-US" w:eastAsia="zh-CN"/>
        </w:rPr>
      </w:pPr>
      <w:r>
        <w:rPr>
          <w:rFonts w:ascii="仿宋" w:eastAsia="仿宋" w:hAnsi="仿宋" w:hint="eastAsia"/>
          <w:sz w:val="32"/>
          <w:szCs w:val="32"/>
        </w:rPr>
        <w:t>2026年财政拨款收支总预</w:t>
      </w:r>
      <w:r>
        <w:rPr>
          <w:rFonts w:ascii="仿宋" w:eastAsia="仿宋" w:hAnsi="仿宋" w:hint="eastAsia"/>
          <w:sz w:val="32"/>
          <w:szCs w:val="32"/>
          <w:lang w:val="en-US" w:eastAsia="zh-CN"/>
        </w:rPr>
        <w:t>158.94</w:t>
      </w:r>
      <w:r>
        <w:rPr>
          <w:rFonts w:ascii="仿宋" w:eastAsia="仿宋" w:hAnsi="仿宋" w:hint="eastAsia"/>
          <w:sz w:val="32"/>
          <w:szCs w:val="32"/>
        </w:rPr>
        <w:t>万元，其中：本年收入</w:t>
      </w:r>
      <w:r>
        <w:rPr>
          <w:rFonts w:ascii="仿宋" w:eastAsia="仿宋" w:hAnsi="仿宋" w:hint="eastAsia"/>
          <w:sz w:val="32"/>
          <w:szCs w:val="32"/>
          <w:lang w:val="en-US" w:eastAsia="zh-CN"/>
        </w:rPr>
        <w:t>158.94</w:t>
      </w:r>
      <w:r>
        <w:rPr>
          <w:rFonts w:ascii="仿宋" w:eastAsia="仿宋" w:hAnsi="仿宋" w:hint="eastAsia"/>
          <w:sz w:val="32"/>
          <w:szCs w:val="32"/>
        </w:rPr>
        <w:t>万元。本年支出</w:t>
      </w:r>
      <w:r>
        <w:rPr>
          <w:rFonts w:ascii="仿宋" w:eastAsia="仿宋" w:hAnsi="仿宋" w:hint="eastAsia"/>
          <w:sz w:val="32"/>
          <w:szCs w:val="32"/>
          <w:lang w:val="en-US" w:eastAsia="zh-CN"/>
        </w:rPr>
        <w:t>158.94</w:t>
      </w:r>
      <w:r>
        <w:rPr>
          <w:rFonts w:ascii="仿宋" w:eastAsia="仿宋" w:hAnsi="仿宋" w:hint="eastAsia"/>
          <w:sz w:val="32"/>
          <w:szCs w:val="32"/>
        </w:rPr>
        <w:t>万元，支出包括：社会保障和就业支出</w:t>
      </w:r>
      <w:r>
        <w:rPr>
          <w:rFonts w:ascii="仿宋" w:eastAsia="仿宋" w:hAnsi="仿宋" w:hint="eastAsia"/>
          <w:sz w:val="32"/>
          <w:szCs w:val="32"/>
          <w:lang w:val="en-US" w:eastAsia="zh-CN"/>
        </w:rPr>
        <w:t>8.32</w:t>
      </w:r>
      <w:r>
        <w:rPr>
          <w:rFonts w:ascii="仿宋" w:eastAsia="仿宋" w:hAnsi="仿宋" w:hint="eastAsia"/>
          <w:sz w:val="32"/>
          <w:szCs w:val="32"/>
        </w:rPr>
        <w:t>万元，卫生健康支出</w:t>
      </w:r>
      <w:r>
        <w:rPr>
          <w:rFonts w:ascii="仿宋" w:eastAsia="仿宋" w:hAnsi="仿宋" w:hint="eastAsia"/>
          <w:sz w:val="32"/>
          <w:szCs w:val="32"/>
          <w:lang w:val="en-US" w:eastAsia="zh-CN"/>
        </w:rPr>
        <w:t>144.01</w:t>
      </w:r>
      <w:r>
        <w:rPr>
          <w:rFonts w:ascii="仿宋" w:eastAsia="仿宋" w:hAnsi="仿宋" w:hint="eastAsia"/>
          <w:sz w:val="32"/>
          <w:szCs w:val="32"/>
        </w:rPr>
        <w:t>万元，住房保障支出</w:t>
      </w:r>
      <w:r>
        <w:rPr>
          <w:rFonts w:ascii="仿宋" w:eastAsia="仿宋" w:hAnsi="仿宋" w:hint="eastAsia"/>
          <w:sz w:val="32"/>
          <w:szCs w:val="32"/>
          <w:lang w:val="en-US" w:eastAsia="zh-CN"/>
        </w:rPr>
        <w:t>6.61</w:t>
      </w:r>
      <w:r>
        <w:rPr>
          <w:rFonts w:ascii="仿宋" w:eastAsia="仿宋" w:hAnsi="仿宋" w:hint="eastAsia"/>
          <w:sz w:val="32"/>
          <w:szCs w:val="32"/>
        </w:rPr>
        <w:t>元</w:t>
      </w:r>
      <w:r>
        <w:rPr>
          <w:rFonts w:ascii="仿宋" w:eastAsia="仿宋" w:hAnsi="仿宋" w:hint="eastAsia"/>
          <w:sz w:val="32"/>
          <w:szCs w:val="32"/>
          <w:lang w:val="en-US" w:eastAsia="zh-CN"/>
        </w:rPr>
        <w:t>.</w:t>
      </w:r>
    </w:p>
    <w:p w14:paraId="113EA7E6">
      <w:pPr>
        <w:pStyle w:val="style4101"/>
        <w:rPr>
          <w:rFonts w:ascii="楷体" w:eastAsia="楷体" w:hAnsi="楷体"/>
          <w:sz w:val="32"/>
          <w:szCs w:val="32"/>
        </w:rPr>
      </w:pPr>
      <w:r>
        <w:rPr>
          <w:rFonts w:ascii="仿宋" w:eastAsia="仿宋" w:hAnsi="仿宋" w:hint="eastAsia"/>
          <w:kern w:val="0"/>
          <w:sz w:val="32"/>
          <w:szCs w:val="32"/>
        </w:rPr>
        <w:t xml:space="preserve">    </w:t>
      </w:r>
      <w:r>
        <w:rPr>
          <w:rFonts w:ascii="楷体" w:cs="楷体" w:eastAsia="楷体" w:hAnsi="楷体" w:hint="eastAsia"/>
          <w:kern w:val="0"/>
          <w:sz w:val="32"/>
          <w:szCs w:val="32"/>
        </w:rPr>
        <w:t>五、2026</w:t>
      </w:r>
      <w:r>
        <w:rPr>
          <w:rFonts w:ascii="楷体" w:eastAsia="楷体" w:hAnsi="楷体" w:hint="eastAsia"/>
          <w:kern w:val="0"/>
          <w:sz w:val="32"/>
          <w:szCs w:val="32"/>
        </w:rPr>
        <w:t>年一般公共预算支出情况</w:t>
      </w:r>
    </w:p>
    <w:p w14:paraId="362C178E">
      <w:pPr>
        <w:pStyle w:val="style0"/>
        <w:ind w:firstLine="640" w:firstLineChars="200"/>
        <w:rPr>
          <w:rFonts w:ascii="仿宋" w:eastAsia="仿宋" w:hAnsi="仿宋"/>
          <w:sz w:val="32"/>
          <w:szCs w:val="32"/>
        </w:rPr>
      </w:pPr>
      <w:r>
        <w:rPr>
          <w:rFonts w:ascii="仿宋" w:eastAsia="仿宋" w:hAnsi="仿宋" w:hint="eastAsia"/>
          <w:sz w:val="32"/>
          <w:szCs w:val="32"/>
        </w:rPr>
        <w:t>2026年一般公共预算当年拨款</w:t>
      </w:r>
      <w:r>
        <w:rPr>
          <w:rFonts w:ascii="仿宋" w:eastAsia="仿宋" w:hAnsi="仿宋" w:hint="eastAsia"/>
          <w:sz w:val="32"/>
          <w:szCs w:val="32"/>
          <w:lang w:val="en-US" w:eastAsia="zh-CN"/>
        </w:rPr>
        <w:t>158.94</w:t>
      </w:r>
      <w:r>
        <w:rPr>
          <w:rFonts w:ascii="仿宋" w:eastAsia="仿宋" w:hAnsi="仿宋" w:hint="eastAsia"/>
          <w:sz w:val="32"/>
          <w:szCs w:val="32"/>
        </w:rPr>
        <w:t>万元，其中：基本支出</w:t>
      </w:r>
      <w:r>
        <w:rPr>
          <w:rFonts w:ascii="仿宋" w:eastAsia="仿宋" w:hAnsi="仿宋" w:hint="eastAsia"/>
          <w:sz w:val="32"/>
          <w:szCs w:val="32"/>
          <w:lang w:val="en-US" w:eastAsia="zh-CN"/>
        </w:rPr>
        <w:t>86.48</w:t>
      </w:r>
      <w:r>
        <w:rPr>
          <w:rFonts w:ascii="仿宋" w:eastAsia="仿宋" w:hAnsi="仿宋" w:hint="eastAsia"/>
          <w:sz w:val="32"/>
          <w:szCs w:val="32"/>
        </w:rPr>
        <w:t>万元，占</w:t>
      </w:r>
      <w:r>
        <w:rPr>
          <w:rFonts w:ascii="仿宋" w:eastAsia="仿宋" w:hAnsi="仿宋" w:hint="eastAsia"/>
          <w:sz w:val="32"/>
          <w:szCs w:val="32"/>
          <w:lang w:val="en-US" w:eastAsia="zh-CN"/>
        </w:rPr>
        <w:t>54.41</w:t>
      </w:r>
      <w:r>
        <w:rPr>
          <w:rFonts w:ascii="仿宋" w:eastAsia="仿宋" w:hAnsi="仿宋" w:hint="eastAsia"/>
          <w:sz w:val="32"/>
          <w:szCs w:val="32"/>
        </w:rPr>
        <w:t>%；项目支出</w:t>
      </w:r>
      <w:r>
        <w:rPr>
          <w:rFonts w:ascii="仿宋" w:eastAsia="仿宋" w:hAnsi="仿宋" w:hint="eastAsia"/>
          <w:sz w:val="32"/>
          <w:szCs w:val="32"/>
          <w:lang w:val="en-US" w:eastAsia="zh-CN"/>
        </w:rPr>
        <w:t>72.46</w:t>
      </w:r>
      <w:r>
        <w:rPr>
          <w:rFonts w:ascii="仿宋" w:eastAsia="仿宋" w:hAnsi="仿宋" w:hint="eastAsia"/>
          <w:sz w:val="32"/>
          <w:szCs w:val="32"/>
        </w:rPr>
        <w:t>万元，占</w:t>
      </w:r>
      <w:r>
        <w:rPr>
          <w:rFonts w:ascii="仿宋" w:eastAsia="仿宋" w:hAnsi="仿宋" w:hint="eastAsia"/>
          <w:sz w:val="32"/>
          <w:szCs w:val="32"/>
          <w:lang w:val="en-US" w:eastAsia="zh-CN"/>
        </w:rPr>
        <w:t>45.59%</w:t>
      </w:r>
      <w:r>
        <w:rPr>
          <w:rFonts w:ascii="仿宋" w:eastAsia="仿宋" w:hAnsi="仿宋" w:hint="eastAsia"/>
          <w:sz w:val="32"/>
          <w:szCs w:val="32"/>
        </w:rPr>
        <w:t>。基本支出中，人员经费</w:t>
      </w:r>
      <w:r>
        <w:rPr>
          <w:rFonts w:ascii="仿宋" w:eastAsia="仿宋" w:hAnsi="仿宋" w:hint="eastAsia"/>
          <w:sz w:val="32"/>
          <w:szCs w:val="32"/>
          <w:lang w:val="en-US" w:eastAsia="zh-CN"/>
        </w:rPr>
        <w:t>72.22</w:t>
      </w:r>
      <w:r>
        <w:rPr>
          <w:rFonts w:ascii="仿宋" w:eastAsia="仿宋" w:hAnsi="仿宋" w:hint="eastAsia"/>
          <w:sz w:val="32"/>
          <w:szCs w:val="32"/>
        </w:rPr>
        <w:t>万元，占</w:t>
      </w:r>
      <w:r>
        <w:rPr>
          <w:rFonts w:ascii="仿宋" w:eastAsia="仿宋" w:hAnsi="仿宋" w:hint="eastAsia"/>
          <w:sz w:val="32"/>
          <w:szCs w:val="32"/>
          <w:lang w:val="en-US" w:eastAsia="zh-CN"/>
        </w:rPr>
        <w:t>83.51</w:t>
      </w:r>
      <w:r>
        <w:rPr>
          <w:rFonts w:ascii="仿宋" w:eastAsia="仿宋" w:hAnsi="仿宋" w:hint="eastAsia"/>
          <w:sz w:val="32"/>
          <w:szCs w:val="32"/>
        </w:rPr>
        <w:t>%；公用经费</w:t>
      </w:r>
      <w:r>
        <w:rPr>
          <w:rFonts w:ascii="仿宋" w:eastAsia="仿宋" w:hAnsi="仿宋" w:hint="eastAsia"/>
          <w:sz w:val="32"/>
          <w:szCs w:val="32"/>
          <w:lang w:val="en-US" w:eastAsia="zh-CN"/>
        </w:rPr>
        <w:t>14.26</w:t>
      </w:r>
      <w:r>
        <w:rPr>
          <w:rFonts w:ascii="仿宋" w:eastAsia="仿宋" w:hAnsi="仿宋" w:hint="eastAsia"/>
          <w:sz w:val="32"/>
          <w:szCs w:val="32"/>
        </w:rPr>
        <w:t>万元，占</w:t>
      </w:r>
      <w:r>
        <w:rPr>
          <w:rFonts w:ascii="仿宋" w:eastAsia="仿宋" w:hAnsi="仿宋" w:hint="eastAsia"/>
          <w:sz w:val="32"/>
          <w:szCs w:val="32"/>
          <w:lang w:val="en-US" w:eastAsia="zh-CN"/>
        </w:rPr>
        <w:t>16.49</w:t>
      </w:r>
      <w:r>
        <w:rPr>
          <w:rFonts w:ascii="仿宋" w:eastAsia="仿宋" w:hAnsi="仿宋" w:hint="eastAsia"/>
          <w:sz w:val="32"/>
          <w:szCs w:val="32"/>
        </w:rPr>
        <w:t>%。</w:t>
      </w:r>
    </w:p>
    <w:p w14:paraId="002A6DA2">
      <w:pPr>
        <w:pStyle w:val="style0"/>
        <w:ind w:firstLine="640" w:firstLineChars="200"/>
        <w:rPr>
          <w:rFonts w:ascii="仿宋" w:eastAsia="仿宋" w:hAnsi="仿宋" w:hint="eastAsia"/>
          <w:sz w:val="32"/>
          <w:szCs w:val="32"/>
        </w:rPr>
      </w:pPr>
      <w:r>
        <w:rPr>
          <w:rFonts w:ascii="仿宋" w:eastAsia="仿宋" w:hAnsi="仿宋" w:hint="eastAsia"/>
          <w:sz w:val="32"/>
          <w:szCs w:val="32"/>
        </w:rPr>
        <w:t>社会保障和就业（类）支出</w:t>
      </w:r>
      <w:r>
        <w:rPr>
          <w:rFonts w:ascii="仿宋" w:eastAsia="仿宋" w:hAnsi="仿宋" w:hint="eastAsia"/>
          <w:sz w:val="32"/>
          <w:szCs w:val="32"/>
          <w:lang w:val="en-US" w:eastAsia="zh-CN"/>
        </w:rPr>
        <w:t>8.32</w:t>
      </w:r>
      <w:r>
        <w:rPr>
          <w:rFonts w:ascii="仿宋" w:eastAsia="仿宋" w:hAnsi="仿宋" w:hint="eastAsia"/>
          <w:sz w:val="32"/>
          <w:szCs w:val="32"/>
        </w:rPr>
        <w:t>万元，占</w:t>
      </w:r>
      <w:r>
        <w:rPr>
          <w:rFonts w:ascii="仿宋" w:eastAsia="仿宋" w:hAnsi="仿宋" w:hint="eastAsia"/>
          <w:sz w:val="32"/>
          <w:szCs w:val="32"/>
          <w:lang w:val="en-US" w:eastAsia="zh-CN"/>
        </w:rPr>
        <w:t>5.23</w:t>
      </w:r>
      <w:r>
        <w:rPr>
          <w:rFonts w:ascii="仿宋" w:eastAsia="仿宋" w:hAnsi="仿宋" w:hint="default"/>
          <w:sz w:val="32"/>
          <w:szCs w:val="32"/>
          <w:lang w:val="en-US" w:eastAsia="zh-CN"/>
        </w:rPr>
        <w:t>％</w:t>
      </w:r>
      <w:r>
        <w:rPr>
          <w:rFonts w:ascii="仿宋" w:eastAsia="仿宋" w:hAnsi="仿宋" w:hint="eastAsia"/>
          <w:sz w:val="32"/>
          <w:szCs w:val="32"/>
        </w:rPr>
        <w:t>，主要用于：</w:t>
      </w:r>
      <w:r>
        <w:rPr>
          <w:rFonts w:ascii="仿宋" w:eastAsia="仿宋" w:hAnsi="仿宋" w:hint="eastAsia"/>
          <w:sz w:val="32"/>
          <w:szCs w:val="32"/>
          <w:lang w:eastAsia="zh-CN"/>
        </w:rPr>
        <w:t>支</w:t>
      </w:r>
      <w:r>
        <w:rPr>
          <w:rFonts w:ascii="仿宋" w:eastAsia="仿宋" w:hAnsi="仿宋" w:hint="eastAsia"/>
          <w:sz w:val="32"/>
          <w:szCs w:val="32"/>
        </w:rPr>
        <w:t>付养老保险。</w:t>
      </w:r>
    </w:p>
    <w:p w14:paraId="393E3DBC">
      <w:pPr>
        <w:pStyle w:val="style4101"/>
        <w:ind w:firstLine="640" w:firstLineChars="200"/>
        <w:jc w:val="left"/>
        <w:rPr>
          <w:rFonts w:ascii="仿宋" w:eastAsia="仿宋" w:hAnsi="仿宋" w:hint="eastAsia"/>
          <w:sz w:val="32"/>
          <w:szCs w:val="32"/>
          <w:lang w:eastAsia="zh-CN"/>
        </w:rPr>
      </w:pPr>
      <w:r>
        <w:rPr>
          <w:rFonts w:ascii="仿宋" w:eastAsia="仿宋" w:hAnsi="仿宋" w:hint="eastAsia"/>
          <w:sz w:val="32"/>
          <w:szCs w:val="32"/>
        </w:rPr>
        <w:t>卫生健康（类）支出</w:t>
      </w:r>
      <w:r>
        <w:rPr>
          <w:rFonts w:ascii="仿宋" w:eastAsia="仿宋" w:hAnsi="仿宋" w:hint="eastAsia"/>
          <w:sz w:val="32"/>
          <w:szCs w:val="32"/>
          <w:lang w:val="en-US" w:eastAsia="zh-CN"/>
        </w:rPr>
        <w:t>144.01</w:t>
      </w:r>
      <w:r>
        <w:rPr>
          <w:rFonts w:ascii="仿宋" w:eastAsia="仿宋" w:hAnsi="仿宋" w:hint="eastAsia"/>
          <w:sz w:val="32"/>
          <w:szCs w:val="32"/>
        </w:rPr>
        <w:t>万元，占</w:t>
      </w:r>
      <w:r>
        <w:rPr>
          <w:rFonts w:ascii="仿宋" w:eastAsia="仿宋" w:hAnsi="仿宋" w:hint="eastAsia"/>
          <w:sz w:val="32"/>
          <w:szCs w:val="32"/>
          <w:lang w:val="en-US" w:eastAsia="zh-CN"/>
        </w:rPr>
        <w:t>90.61</w:t>
      </w:r>
      <w:r>
        <w:rPr>
          <w:rFonts w:ascii="仿宋" w:eastAsia="仿宋" w:hAnsi="仿宋" w:hint="eastAsia"/>
          <w:sz w:val="32"/>
          <w:szCs w:val="32"/>
        </w:rPr>
        <w:t>%，主要用于：发放工资和日常办公经费支出</w:t>
      </w:r>
      <w:r>
        <w:rPr>
          <w:rFonts w:ascii="仿宋" w:eastAsia="仿宋" w:hAnsi="仿宋" w:hint="eastAsia"/>
          <w:sz w:val="32"/>
          <w:szCs w:val="32"/>
          <w:lang w:eastAsia="zh-CN"/>
        </w:rPr>
        <w:t>以及用于中央医疗服务与保障能力提升补助资金（医疗保障服务能力建设部分）项目支出</w:t>
      </w:r>
      <w:r>
        <w:rPr>
          <w:rFonts w:ascii="仿宋" w:eastAsia="仿宋" w:hAnsi="仿宋" w:hint="eastAsia"/>
          <w:sz w:val="32"/>
          <w:szCs w:val="32"/>
        </w:rPr>
        <w:t>。</w:t>
      </w:r>
    </w:p>
    <w:p w14:paraId="55FEE9D0">
      <w:pPr>
        <w:pStyle w:val="style0"/>
        <w:ind w:firstLine="640" w:firstLineChars="200"/>
        <w:rPr>
          <w:rFonts w:ascii="仿宋" w:eastAsia="仿宋" w:hAnsi="仿宋"/>
          <w:sz w:val="32"/>
          <w:szCs w:val="32"/>
        </w:rPr>
      </w:pPr>
      <w:r>
        <w:rPr>
          <w:rFonts w:ascii="仿宋" w:eastAsia="仿宋" w:hAnsi="仿宋" w:hint="eastAsia"/>
          <w:sz w:val="32"/>
          <w:szCs w:val="32"/>
        </w:rPr>
        <w:t>住房保障（类）支出</w:t>
      </w:r>
      <w:r>
        <w:rPr>
          <w:rFonts w:ascii="仿宋" w:eastAsia="仿宋" w:hAnsi="仿宋" w:hint="eastAsia"/>
          <w:sz w:val="32"/>
          <w:szCs w:val="32"/>
          <w:lang w:val="en-US" w:eastAsia="zh-CN"/>
        </w:rPr>
        <w:t>6.61</w:t>
      </w:r>
      <w:r>
        <w:rPr>
          <w:rFonts w:ascii="仿宋" w:eastAsia="仿宋" w:hAnsi="仿宋" w:hint="eastAsia"/>
          <w:sz w:val="32"/>
          <w:szCs w:val="32"/>
        </w:rPr>
        <w:t>万元，占</w:t>
      </w:r>
      <w:r>
        <w:rPr>
          <w:rFonts w:ascii="仿宋" w:eastAsia="仿宋" w:hAnsi="仿宋" w:hint="eastAsia"/>
          <w:sz w:val="32"/>
          <w:szCs w:val="32"/>
          <w:lang w:val="en-US" w:eastAsia="zh-CN"/>
        </w:rPr>
        <w:t>4.16</w:t>
      </w:r>
      <w:r>
        <w:rPr>
          <w:rFonts w:ascii="仿宋" w:eastAsia="仿宋" w:hAnsi="仿宋" w:hint="eastAsia"/>
          <w:sz w:val="32"/>
          <w:szCs w:val="32"/>
        </w:rPr>
        <w:t>%，主要用于：支付住房公积金。</w:t>
      </w:r>
    </w:p>
    <w:p w14:paraId="1D655B29">
      <w:pPr>
        <w:pStyle w:val="style4099"/>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六、2026年一般公共预算基本支出情况</w:t>
      </w:r>
    </w:p>
    <w:p w14:paraId="28556014">
      <w:pPr>
        <w:pStyle w:val="style0"/>
        <w:ind w:firstLine="640" w:firstLineChars="200"/>
        <w:rPr>
          <w:rFonts w:ascii="仿宋" w:eastAsia="仿宋" w:hAnsi="仿宋"/>
          <w:sz w:val="32"/>
          <w:szCs w:val="32"/>
        </w:rPr>
      </w:pPr>
      <w:r>
        <w:rPr>
          <w:rFonts w:ascii="仿宋" w:eastAsia="仿宋" w:hAnsi="仿宋" w:hint="eastAsia"/>
          <w:sz w:val="32"/>
          <w:szCs w:val="32"/>
        </w:rPr>
        <w:t>2026年一般公共预算基本支出</w:t>
      </w:r>
      <w:r>
        <w:rPr>
          <w:rFonts w:ascii="仿宋" w:eastAsia="仿宋" w:hAnsi="仿宋" w:hint="eastAsia"/>
          <w:sz w:val="32"/>
          <w:szCs w:val="32"/>
          <w:lang w:val="en-US" w:eastAsia="zh-CN"/>
        </w:rPr>
        <w:t>86.48</w:t>
      </w:r>
      <w:r>
        <w:rPr>
          <w:rFonts w:ascii="仿宋" w:eastAsia="仿宋" w:hAnsi="仿宋" w:hint="eastAsia"/>
          <w:sz w:val="32"/>
          <w:szCs w:val="32"/>
        </w:rPr>
        <w:t>万元，其中：</w:t>
      </w:r>
    </w:p>
    <w:p w14:paraId="4A0CEF2E">
      <w:pPr>
        <w:pStyle w:val="style0"/>
        <w:ind w:firstLine="640" w:firstLineChars="200"/>
        <w:rPr>
          <w:rFonts w:ascii="仿宋" w:eastAsia="仿宋" w:hAnsi="仿宋"/>
          <w:sz w:val="32"/>
          <w:szCs w:val="32"/>
        </w:rPr>
      </w:pPr>
      <w:r>
        <w:rPr>
          <w:rFonts w:ascii="仿宋" w:eastAsia="仿宋" w:hAnsi="仿宋" w:hint="eastAsia"/>
          <w:sz w:val="32"/>
          <w:szCs w:val="32"/>
        </w:rPr>
        <w:t>人员经费</w:t>
      </w:r>
      <w:r>
        <w:rPr>
          <w:rFonts w:ascii="仿宋" w:eastAsia="仿宋" w:hAnsi="仿宋" w:hint="eastAsia"/>
          <w:sz w:val="32"/>
          <w:szCs w:val="32"/>
          <w:lang w:val="en-US" w:eastAsia="zh-CN"/>
        </w:rPr>
        <w:t>72.22</w:t>
      </w:r>
      <w:r>
        <w:rPr>
          <w:rFonts w:ascii="仿宋" w:eastAsia="仿宋" w:hAnsi="仿宋" w:hint="eastAsia"/>
          <w:sz w:val="32"/>
          <w:szCs w:val="32"/>
        </w:rPr>
        <w:t>万元，主要包括：基本工资、津贴补贴、奖金、机关事业单位基本养老保险缴费、职工基本医疗保险缴费、其他社会保障缴费、住房公积金；</w:t>
      </w:r>
    </w:p>
    <w:p w14:paraId="2D483926">
      <w:pPr>
        <w:pStyle w:val="style4099"/>
        <w:ind w:firstLine="627" w:firstLineChars="196"/>
        <w:rPr>
          <w:rFonts w:ascii="仿宋" w:eastAsia="仿宋" w:hAnsi="仿宋"/>
          <w:kern w:val="0"/>
          <w:sz w:val="32"/>
          <w:szCs w:val="32"/>
        </w:rPr>
      </w:pPr>
      <w:r>
        <w:rPr>
          <w:rFonts w:ascii="仿宋" w:eastAsia="仿宋" w:hAnsi="仿宋" w:hint="eastAsia"/>
          <w:sz w:val="32"/>
          <w:szCs w:val="32"/>
        </w:rPr>
        <w:t>公用经费</w:t>
      </w:r>
      <w:r>
        <w:rPr>
          <w:rFonts w:ascii="仿宋" w:eastAsia="仿宋" w:hAnsi="仿宋" w:hint="eastAsia"/>
          <w:sz w:val="32"/>
          <w:szCs w:val="32"/>
          <w:lang w:val="en-US" w:eastAsia="zh-CN"/>
        </w:rPr>
        <w:t>14.26</w:t>
      </w:r>
      <w:r>
        <w:rPr>
          <w:rFonts w:ascii="仿宋" w:eastAsia="仿宋" w:hAnsi="仿宋" w:hint="eastAsia"/>
          <w:sz w:val="32"/>
          <w:szCs w:val="32"/>
        </w:rPr>
        <w:t>万元，主要包括：办公费、手续费、邮电费、差旅费、维修（护）费、</w:t>
      </w:r>
      <w:r>
        <w:rPr>
          <w:rFonts w:ascii="仿宋" w:eastAsia="仿宋" w:hAnsi="仿宋" w:hint="eastAsia"/>
          <w:sz w:val="32"/>
          <w:szCs w:val="32"/>
          <w:lang w:eastAsia="zh-CN"/>
        </w:rPr>
        <w:t>租赁费、</w:t>
      </w:r>
      <w:r>
        <w:rPr>
          <w:rFonts w:ascii="仿宋" w:eastAsia="仿宋" w:hAnsi="仿宋" w:hint="eastAsia"/>
          <w:sz w:val="32"/>
          <w:szCs w:val="32"/>
        </w:rPr>
        <w:t>公务接待费、工会经费、其他交通费用等。</w:t>
      </w:r>
    </w:p>
    <w:p w14:paraId="5080A63D">
      <w:pPr>
        <w:pStyle w:val="style4099"/>
        <w:ind w:firstLine="640" w:firstLineChars="200"/>
        <w:rPr>
          <w:rFonts w:ascii="楷体" w:eastAsia="楷体" w:hAnsi="楷体"/>
          <w:kern w:val="0"/>
          <w:sz w:val="32"/>
          <w:szCs w:val="32"/>
        </w:rPr>
      </w:pPr>
      <w:r>
        <w:rPr>
          <w:rFonts w:ascii="楷体" w:eastAsia="楷体" w:hAnsi="楷体" w:hint="eastAsia"/>
          <w:kern w:val="0"/>
          <w:sz w:val="32"/>
          <w:szCs w:val="32"/>
        </w:rPr>
        <w:t>七、2026年一般公共预算财政拨款“三公经费”情况</w:t>
      </w:r>
    </w:p>
    <w:p w14:paraId="2ABE82ED">
      <w:pPr>
        <w:pStyle w:val="style4099"/>
        <w:ind w:firstLine="627" w:firstLineChars="196"/>
        <w:rPr>
          <w:rFonts w:ascii="仿宋" w:eastAsia="仿宋" w:hAnsi="仿宋"/>
          <w:kern w:val="0"/>
          <w:sz w:val="32"/>
          <w:szCs w:val="32"/>
        </w:rPr>
      </w:pPr>
      <w:r>
        <w:rPr>
          <w:rFonts w:ascii="仿宋" w:eastAsia="仿宋" w:hAnsi="仿宋" w:hint="eastAsia"/>
          <w:kern w:val="0"/>
          <w:sz w:val="32"/>
          <w:szCs w:val="32"/>
        </w:rPr>
        <w:t>2026年“三公”经费预算数</w:t>
      </w:r>
      <w:r>
        <w:rPr>
          <w:rFonts w:ascii="仿宋" w:eastAsia="仿宋" w:hAnsi="仿宋" w:hint="eastAsia"/>
          <w:kern w:val="0"/>
          <w:sz w:val="32"/>
          <w:szCs w:val="32"/>
          <w:lang w:val="en-US" w:eastAsia="zh-CN"/>
        </w:rPr>
        <w:t>0.53</w:t>
      </w:r>
      <w:r>
        <w:rPr>
          <w:rFonts w:ascii="仿宋" w:eastAsia="仿宋" w:hAnsi="仿宋" w:hint="eastAsia"/>
          <w:kern w:val="0"/>
          <w:sz w:val="32"/>
          <w:szCs w:val="32"/>
        </w:rPr>
        <w:t>万元，比2025年预算减少</w:t>
      </w:r>
      <w:r>
        <w:rPr>
          <w:rFonts w:ascii="仿宋" w:eastAsia="仿宋" w:hAnsi="仿宋" w:hint="eastAsia"/>
          <w:kern w:val="0"/>
          <w:sz w:val="32"/>
          <w:szCs w:val="32"/>
          <w:lang w:val="en-US" w:eastAsia="zh-CN"/>
        </w:rPr>
        <w:t>0.06</w:t>
      </w:r>
      <w:r>
        <w:rPr>
          <w:rFonts w:ascii="仿宋" w:eastAsia="仿宋" w:hAnsi="仿宋" w:hint="eastAsia"/>
          <w:kern w:val="0"/>
          <w:sz w:val="32"/>
          <w:szCs w:val="32"/>
        </w:rPr>
        <w:t>万元。其中：</w:t>
      </w:r>
    </w:p>
    <w:p w14:paraId="529C34D3">
      <w:pPr>
        <w:pStyle w:val="style4099"/>
        <w:numPr>
          <w:ilvl w:val="0"/>
          <w:numId w:val="0"/>
        </w:numPr>
        <w:ind w:firstLine="627" w:firstLineChars="196"/>
        <w:rPr>
          <w:rFonts w:ascii="仿宋" w:eastAsia="仿宋" w:hAnsi="仿宋" w:hint="eastAsia"/>
          <w:kern w:val="0"/>
          <w:sz w:val="32"/>
          <w:szCs w:val="32"/>
        </w:rPr>
      </w:pPr>
      <w:r>
        <w:rPr>
          <w:rFonts w:ascii="仿宋" w:cs="Times New Roman" w:eastAsia="仿宋" w:hAnsi="仿宋" w:hint="eastAsia"/>
          <w:kern w:val="0"/>
          <w:sz w:val="32"/>
          <w:szCs w:val="32"/>
          <w:lang w:val="en-US" w:bidi="ar-SA" w:eastAsia="zh-CN"/>
        </w:rPr>
        <w:t>1.</w:t>
      </w:r>
      <w:r>
        <w:rPr>
          <w:rFonts w:ascii="仿宋" w:eastAsia="仿宋" w:hAnsi="仿宋" w:hint="eastAsia"/>
          <w:kern w:val="0"/>
          <w:sz w:val="32"/>
          <w:szCs w:val="32"/>
        </w:rPr>
        <w:t>公务接待费</w:t>
      </w:r>
      <w:r>
        <w:rPr>
          <w:rFonts w:ascii="仿宋" w:eastAsia="仿宋" w:hAnsi="仿宋" w:hint="eastAsia"/>
          <w:kern w:val="0"/>
          <w:sz w:val="32"/>
          <w:szCs w:val="32"/>
          <w:lang w:val="en-US" w:eastAsia="zh-CN"/>
        </w:rPr>
        <w:t>0.53</w:t>
      </w:r>
      <w:r>
        <w:rPr>
          <w:rFonts w:ascii="仿宋" w:eastAsia="仿宋" w:hAnsi="仿宋" w:hint="eastAsia"/>
          <w:kern w:val="0"/>
          <w:sz w:val="32"/>
          <w:szCs w:val="32"/>
        </w:rPr>
        <w:t>万元，比202</w:t>
      </w:r>
      <w:r>
        <w:rPr>
          <w:rFonts w:ascii="仿宋" w:eastAsia="仿宋" w:hAnsi="仿宋" w:hint="default"/>
          <w:kern w:val="0"/>
          <w:sz w:val="32"/>
          <w:szCs w:val="32"/>
          <w:lang w:val="en-US"/>
        </w:rPr>
        <w:t>5</w:t>
      </w:r>
      <w:r>
        <w:rPr>
          <w:rFonts w:ascii="仿宋" w:eastAsia="仿宋" w:hAnsi="仿宋" w:hint="eastAsia"/>
          <w:kern w:val="0"/>
          <w:sz w:val="32"/>
          <w:szCs w:val="32"/>
        </w:rPr>
        <w:t>年预算数减少</w:t>
      </w:r>
      <w:r>
        <w:rPr>
          <w:rFonts w:ascii="仿宋" w:eastAsia="仿宋" w:hAnsi="仿宋" w:hint="eastAsia"/>
          <w:kern w:val="0"/>
          <w:sz w:val="32"/>
          <w:szCs w:val="32"/>
          <w:lang w:val="en-US" w:eastAsia="zh-CN"/>
        </w:rPr>
        <w:t>0.06</w:t>
      </w:r>
      <w:r>
        <w:rPr>
          <w:rFonts w:ascii="仿宋" w:eastAsia="仿宋" w:hAnsi="仿宋" w:hint="eastAsia"/>
          <w:kern w:val="0"/>
          <w:sz w:val="32"/>
          <w:szCs w:val="32"/>
        </w:rPr>
        <w:t>万元，主要原因是主要原因是按财政要求缩减支出。</w:t>
      </w:r>
    </w:p>
    <w:p w14:paraId="60353E9A">
      <w:pPr>
        <w:pStyle w:val="style4099"/>
        <w:rPr>
          <w:rFonts w:ascii="楷体" w:cs="楷体" w:eastAsia="楷体" w:hAnsi="楷体"/>
          <w:sz w:val="32"/>
          <w:szCs w:val="32"/>
        </w:rPr>
      </w:pPr>
      <w:r>
        <w:rPr>
          <w:rFonts w:ascii="仿宋" w:eastAsia="仿宋" w:hAnsi="仿宋" w:hint="eastAsia"/>
          <w:sz w:val="32"/>
          <w:szCs w:val="32"/>
        </w:rPr>
        <w:t xml:space="preserve">    </w:t>
      </w:r>
      <w:r>
        <w:rPr>
          <w:rFonts w:ascii="楷体" w:cs="楷体" w:eastAsia="楷体" w:hAnsi="楷体" w:hint="eastAsia"/>
          <w:sz w:val="32"/>
          <w:szCs w:val="32"/>
        </w:rPr>
        <w:t>八、2026年政府性基金预算支出情况</w:t>
      </w:r>
    </w:p>
    <w:p w14:paraId="6CFED0B9">
      <w:pPr>
        <w:pStyle w:val="style0"/>
        <w:ind w:firstLine="640" w:firstLineChars="200"/>
        <w:jc w:val="left"/>
        <w:rPr>
          <w:rFonts w:ascii="仿宋" w:eastAsia="仿宋" w:hAnsi="仿宋"/>
          <w:sz w:val="32"/>
          <w:szCs w:val="32"/>
        </w:rPr>
      </w:pPr>
      <w:r>
        <w:rPr>
          <w:rFonts w:ascii="仿宋" w:eastAsia="仿宋" w:hAnsi="仿宋" w:hint="eastAsia"/>
          <w:sz w:val="32"/>
          <w:szCs w:val="32"/>
        </w:rPr>
        <w:t>2026年本单位无政府性基金预算支出</w:t>
      </w:r>
    </w:p>
    <w:p w14:paraId="39906816">
      <w:pPr>
        <w:pStyle w:val="style4099"/>
        <w:ind w:firstLine="640"/>
        <w:rPr>
          <w:rFonts w:ascii="楷体" w:cs="楷体" w:eastAsia="楷体" w:hAnsi="楷体"/>
          <w:sz w:val="32"/>
          <w:szCs w:val="32"/>
        </w:rPr>
      </w:pPr>
      <w:r>
        <w:rPr>
          <w:rFonts w:ascii="楷体" w:cs="楷体" w:eastAsia="楷体" w:hAnsi="楷体" w:hint="eastAsia"/>
          <w:sz w:val="32"/>
          <w:szCs w:val="32"/>
        </w:rPr>
        <w:t>九、2026年国有资本经营预算支出情况</w:t>
      </w:r>
    </w:p>
    <w:p w14:paraId="78271549">
      <w:pPr>
        <w:pStyle w:val="style0"/>
        <w:ind w:firstLine="640" w:firstLineChars="200"/>
        <w:jc w:val="left"/>
        <w:rPr>
          <w:rFonts w:ascii="仿宋" w:eastAsia="仿宋" w:hAnsi="仿宋"/>
          <w:sz w:val="32"/>
          <w:szCs w:val="32"/>
        </w:rPr>
      </w:pPr>
      <w:r>
        <w:rPr>
          <w:rFonts w:ascii="仿宋" w:eastAsia="仿宋" w:hAnsi="仿宋" w:hint="eastAsia"/>
          <w:sz w:val="32"/>
          <w:szCs w:val="32"/>
        </w:rPr>
        <w:t>2026年本单位无国有资本经营预算支出。</w:t>
      </w:r>
    </w:p>
    <w:p w14:paraId="028EDDC6">
      <w:pPr>
        <w:pStyle w:val="style0"/>
        <w:numPr>
          <w:ilvl w:val="0"/>
          <w:numId w:val="3"/>
        </w:numPr>
        <w:jc w:val="left"/>
        <w:rPr>
          <w:rFonts w:ascii="楷体" w:cs="楷体" w:eastAsia="楷体" w:hAnsi="楷体"/>
          <w:sz w:val="32"/>
          <w:szCs w:val="32"/>
        </w:rPr>
      </w:pPr>
      <w:r>
        <w:rPr>
          <w:rFonts w:ascii="楷体" w:cs="楷体" w:eastAsia="楷体" w:hAnsi="楷体" w:hint="eastAsia"/>
          <w:sz w:val="32"/>
          <w:szCs w:val="32"/>
        </w:rPr>
        <w:t>其他重要事项的说明情况</w:t>
      </w:r>
    </w:p>
    <w:p w14:paraId="4DBB8460">
      <w:pPr>
        <w:pStyle w:val="style0"/>
        <w:ind w:firstLine="640" w:firstLineChars="200"/>
        <w:jc w:val="left"/>
        <w:rPr>
          <w:rFonts w:ascii="楷体" w:cs="楷体" w:eastAsia="楷体" w:hAnsi="楷体"/>
          <w:sz w:val="32"/>
          <w:szCs w:val="32"/>
        </w:rPr>
      </w:pPr>
      <w:r>
        <w:rPr>
          <w:rFonts w:ascii="楷体" w:cs="楷体" w:eastAsia="楷体" w:hAnsi="楷体" w:hint="eastAsia"/>
          <w:sz w:val="32"/>
          <w:szCs w:val="32"/>
        </w:rPr>
        <w:t>（一）机关运行经费</w:t>
      </w:r>
    </w:p>
    <w:p w14:paraId="33FE9514">
      <w:pPr>
        <w:pStyle w:val="style179"/>
        <w:ind w:firstLine="640"/>
        <w:rPr>
          <w:rFonts w:ascii="仿宋" w:eastAsia="仿宋" w:hAnsi="仿宋" w:hint="eastAsia"/>
          <w:sz w:val="32"/>
          <w:szCs w:val="32"/>
          <w:lang w:eastAsia="zh-CN"/>
        </w:rPr>
      </w:pPr>
      <w:r>
        <w:rPr>
          <w:rFonts w:ascii="仿宋" w:eastAsia="仿宋" w:hAnsi="仿宋" w:hint="eastAsia"/>
          <w:sz w:val="32"/>
          <w:szCs w:val="32"/>
        </w:rPr>
        <w:t>2026年本单位机关运行经费财政拨款预算</w:t>
      </w:r>
      <w:r>
        <w:rPr>
          <w:rFonts w:ascii="仿宋" w:eastAsia="仿宋" w:hAnsi="仿宋" w:hint="eastAsia"/>
          <w:sz w:val="32"/>
          <w:szCs w:val="32"/>
          <w:lang w:val="en-US" w:eastAsia="zh-CN"/>
        </w:rPr>
        <w:t>14.26</w:t>
      </w:r>
      <w:r>
        <w:rPr>
          <w:rFonts w:ascii="仿宋" w:eastAsia="仿宋" w:hAnsi="仿宋" w:hint="eastAsia"/>
          <w:sz w:val="32"/>
          <w:szCs w:val="32"/>
        </w:rPr>
        <w:t>万元，比 2025年预算增加</w:t>
      </w:r>
      <w:r>
        <w:rPr>
          <w:rFonts w:ascii="仿宋" w:eastAsia="仿宋" w:hAnsi="仿宋" w:hint="eastAsia"/>
          <w:sz w:val="32"/>
          <w:szCs w:val="32"/>
          <w:lang w:val="en-US" w:eastAsia="zh-CN"/>
        </w:rPr>
        <w:t>0.86</w:t>
      </w:r>
      <w:r>
        <w:rPr>
          <w:rFonts w:ascii="仿宋" w:eastAsia="仿宋" w:hAnsi="仿宋" w:hint="eastAsia"/>
          <w:sz w:val="32"/>
          <w:szCs w:val="32"/>
        </w:rPr>
        <w:t>万元，增长</w:t>
      </w:r>
      <w:r>
        <w:rPr>
          <w:rFonts w:ascii="仿宋" w:eastAsia="仿宋" w:hAnsi="仿宋" w:hint="eastAsia"/>
          <w:sz w:val="32"/>
          <w:szCs w:val="32"/>
          <w:lang w:val="en-US" w:eastAsia="zh-CN"/>
        </w:rPr>
        <w:t>6.42</w:t>
      </w:r>
      <w:r>
        <w:rPr>
          <w:rFonts w:ascii="仿宋" w:eastAsia="仿宋" w:hAnsi="仿宋" w:hint="eastAsia"/>
          <w:sz w:val="32"/>
          <w:szCs w:val="32"/>
        </w:rPr>
        <w:t>%，主要原因</w:t>
      </w:r>
      <w:r>
        <w:rPr>
          <w:rFonts w:ascii="仿宋" w:eastAsia="仿宋" w:hAnsi="仿宋" w:hint="eastAsia"/>
          <w:sz w:val="32"/>
          <w:szCs w:val="32"/>
          <w:lang w:eastAsia="zh-CN"/>
        </w:rPr>
        <w:t>在编人员增加，工会经费提高。</w:t>
      </w:r>
      <w:bookmarkStart w:id="0" w:name="_GoBack"/>
      <w:bookmarkEnd w:id="0"/>
    </w:p>
    <w:p w14:paraId="7FE862CD">
      <w:pPr>
        <w:pStyle w:val="style0"/>
        <w:ind w:firstLine="640" w:firstLineChars="200"/>
        <w:jc w:val="left"/>
        <w:rPr>
          <w:rFonts w:ascii="楷体" w:eastAsia="楷体" w:hAnsi="楷体"/>
          <w:sz w:val="32"/>
          <w:szCs w:val="32"/>
        </w:rPr>
      </w:pPr>
      <w:r>
        <w:rPr>
          <w:rFonts w:ascii="楷体" w:eastAsia="楷体" w:hAnsi="楷体" w:hint="eastAsia"/>
          <w:sz w:val="32"/>
          <w:szCs w:val="32"/>
        </w:rPr>
        <w:t>（二）政府采购情况</w:t>
      </w:r>
    </w:p>
    <w:p w14:paraId="5A3C74E3">
      <w:pPr>
        <w:pStyle w:val="style0"/>
        <w:ind w:firstLine="640" w:firstLineChars="200"/>
        <w:jc w:val="left"/>
        <w:rPr>
          <w:rFonts w:ascii="仿宋" w:eastAsia="仿宋" w:hAnsi="仿宋"/>
          <w:sz w:val="32"/>
          <w:szCs w:val="32"/>
        </w:rPr>
      </w:pPr>
      <w:r>
        <w:rPr>
          <w:rFonts w:ascii="仿宋" w:eastAsia="仿宋" w:hAnsi="仿宋" w:hint="eastAsia"/>
          <w:sz w:val="32"/>
          <w:szCs w:val="32"/>
        </w:rPr>
        <w:t>202</w:t>
      </w:r>
      <w:r>
        <w:rPr>
          <w:rFonts w:ascii="仿宋" w:eastAsia="仿宋" w:hAnsi="仿宋" w:hint="eastAsia"/>
          <w:sz w:val="32"/>
          <w:szCs w:val="32"/>
          <w:lang w:val="en-US" w:eastAsia="zh-CN"/>
        </w:rPr>
        <w:t>4</w:t>
      </w:r>
      <w:r>
        <w:rPr>
          <w:rFonts w:ascii="仿宋" w:eastAsia="仿宋" w:hAnsi="仿宋" w:hint="eastAsia"/>
          <w:sz w:val="32"/>
          <w:szCs w:val="32"/>
        </w:rPr>
        <w:t>年本单位无政府采购出。</w:t>
      </w:r>
    </w:p>
    <w:p w14:paraId="0023FF94">
      <w:pPr>
        <w:pStyle w:val="style0"/>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2285354F">
      <w:pPr>
        <w:pStyle w:val="style179"/>
        <w:ind w:firstLine="0" w:firstLineChars="0"/>
        <w:jc w:val="left"/>
        <w:rPr>
          <w:rFonts w:ascii="仿宋" w:eastAsia="仿宋" w:hAnsi="仿宋"/>
          <w:sz w:val="32"/>
          <w:szCs w:val="32"/>
        </w:rPr>
      </w:pPr>
      <w:r>
        <w:rPr>
          <w:rFonts w:ascii="仿宋" w:eastAsia="仿宋" w:hAnsi="仿宋" w:hint="eastAsia"/>
          <w:sz w:val="32"/>
          <w:szCs w:val="32"/>
        </w:rPr>
        <w:t xml:space="preserve">    202</w:t>
      </w:r>
      <w:r>
        <w:rPr>
          <w:rFonts w:ascii="仿宋" w:eastAsia="仿宋" w:hAnsi="仿宋" w:hint="eastAsia"/>
          <w:sz w:val="32"/>
          <w:szCs w:val="32"/>
          <w:lang w:val="en-US" w:eastAsia="zh-CN"/>
        </w:rPr>
        <w:t>4</w:t>
      </w:r>
      <w:r>
        <w:rPr>
          <w:rFonts w:ascii="仿宋" w:eastAsia="仿宋" w:hAnsi="仿宋" w:hint="eastAsia"/>
          <w:sz w:val="32"/>
          <w:szCs w:val="32"/>
        </w:rPr>
        <w:t>年本单位无国有资产。</w:t>
      </w:r>
    </w:p>
    <w:p w14:paraId="6C4F4062">
      <w:pPr>
        <w:pStyle w:val="style0"/>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14:paraId="2A5558C3">
      <w:pPr>
        <w:pStyle w:val="style0"/>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按照全面实施预算绩效管理的要求，结合本部门职能和重点工作，2026年将</w:t>
      </w:r>
      <w:r>
        <w:rPr>
          <w:rFonts w:ascii="仿宋" w:eastAsia="仿宋" w:hAnsi="仿宋" w:hint="eastAsia"/>
          <w:sz w:val="32"/>
          <w:szCs w:val="32"/>
          <w:lang w:val="en-US" w:eastAsia="zh-CN"/>
        </w:rPr>
        <w:t>0</w:t>
      </w:r>
      <w:r>
        <w:rPr>
          <w:rFonts w:ascii="仿宋" w:eastAsia="仿宋" w:hAnsi="仿宋" w:hint="eastAsia"/>
          <w:sz w:val="32"/>
          <w:szCs w:val="32"/>
        </w:rPr>
        <w:t>个项目支出的绩效目标和指标向社会公开，涉及金额</w:t>
      </w:r>
      <w:r>
        <w:rPr>
          <w:rFonts w:ascii="仿宋" w:eastAsia="仿宋" w:hAnsi="仿宋" w:hint="eastAsia"/>
          <w:sz w:val="32"/>
          <w:szCs w:val="32"/>
          <w:lang w:val="en-US" w:eastAsia="zh-CN"/>
        </w:rPr>
        <w:t>0</w:t>
      </w:r>
      <w:r>
        <w:rPr>
          <w:rFonts w:ascii="仿宋" w:eastAsia="仿宋" w:hAnsi="仿宋" w:hint="eastAsia"/>
          <w:sz w:val="32"/>
          <w:szCs w:val="32"/>
        </w:rPr>
        <w:t>万元。</w:t>
      </w:r>
    </w:p>
    <w:p w14:paraId="3C527A83">
      <w:pPr>
        <w:pStyle w:val="style0"/>
        <w:jc w:val="center"/>
        <w:rPr>
          <w:rFonts w:ascii="仿宋" w:eastAsia="仿宋" w:hAnsi="仿宋"/>
          <w:sz w:val="32"/>
          <w:szCs w:val="32"/>
        </w:rPr>
      </w:pPr>
    </w:p>
    <w:p w14:paraId="6F78AF56">
      <w:pPr>
        <w:pStyle w:val="style0"/>
        <w:jc w:val="center"/>
        <w:rPr>
          <w:rFonts w:ascii="仿宋" w:eastAsia="仿宋" w:hAnsi="仿宋"/>
          <w:sz w:val="32"/>
          <w:szCs w:val="32"/>
        </w:rPr>
      </w:pPr>
    </w:p>
    <w:p w14:paraId="5616634D">
      <w:pPr>
        <w:pStyle w:val="style0"/>
        <w:jc w:val="center"/>
        <w:rPr>
          <w:rFonts w:ascii="仿宋" w:eastAsia="仿宋" w:hAnsi="仿宋"/>
          <w:sz w:val="32"/>
          <w:szCs w:val="32"/>
        </w:rPr>
      </w:pPr>
    </w:p>
    <w:p w14:paraId="338B0C35">
      <w:pPr>
        <w:pStyle w:val="style0"/>
        <w:jc w:val="center"/>
        <w:rPr>
          <w:rFonts w:ascii="仿宋" w:eastAsia="仿宋" w:hAnsi="仿宋"/>
          <w:sz w:val="32"/>
          <w:szCs w:val="32"/>
        </w:rPr>
      </w:pPr>
    </w:p>
    <w:p w14:paraId="5BEAB39C">
      <w:pPr>
        <w:pStyle w:val="style0"/>
        <w:jc w:val="center"/>
        <w:rPr>
          <w:rFonts w:ascii="黑体" w:eastAsia="黑体" w:hAnsi="黑体"/>
          <w:sz w:val="32"/>
          <w:szCs w:val="32"/>
        </w:rPr>
      </w:pPr>
      <w:r>
        <w:rPr>
          <w:rFonts w:ascii="黑体" w:eastAsia="黑体" w:hAnsi="黑体" w:hint="eastAsia"/>
          <w:sz w:val="32"/>
          <w:szCs w:val="32"/>
        </w:rPr>
        <w:t>第三部分  名词解释</w:t>
      </w:r>
    </w:p>
    <w:p w14:paraId="72BA8D45">
      <w:pPr>
        <w:pStyle w:val="style0"/>
        <w:ind w:firstLine="640" w:firstLineChars="20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2B7CFECE">
      <w:pPr>
        <w:pStyle w:val="style0"/>
        <w:ind w:firstLine="640" w:firstLineChars="20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19E1AEFC">
      <w:pPr>
        <w:pStyle w:val="style0"/>
        <w:ind w:firstLine="640" w:firstLineChars="20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253786D9">
      <w:pPr>
        <w:pStyle w:val="style0"/>
        <w:ind w:firstLine="640" w:firstLineChars="20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14:paraId="2EE06A32">
      <w:pPr>
        <w:pStyle w:val="style0"/>
        <w:ind w:firstLine="640" w:firstLineChars="20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3E01DA3E">
      <w:pPr>
        <w:pStyle w:val="style0"/>
        <w:ind w:firstLine="640" w:firstLineChars="20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14:paraId="0FD705C5">
      <w:pPr>
        <w:pStyle w:val="style0"/>
        <w:ind w:firstLine="640" w:firstLineChars="20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45ECA056">
      <w:pPr>
        <w:pStyle w:val="style0"/>
        <w:ind w:firstLine="640" w:firstLineChars="20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14:paraId="57DA4EF3">
      <w:pPr>
        <w:pStyle w:val="style0"/>
        <w:ind w:firstLine="640" w:firstLineChars="20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pStyle w:val="style0"/>
        <w:ind w:firstLine="640" w:firstLineChars="20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pStyle w:val="style0"/>
        <w:ind w:firstLine="640" w:firstLineChars="20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7751B935">
      <w:pPr>
        <w:pStyle w:val="style0"/>
        <w:ind w:firstLine="640" w:firstLineChars="200"/>
        <w:jc w:val="left"/>
        <w:rPr>
          <w:rFonts w:ascii="仿宋_GB2312" w:cs="Times New Roman" w:eastAsia="仿宋_GB2312" w:hAnsi="仿宋_GB2312"/>
          <w:kern w:val="0"/>
          <w:sz w:val="32"/>
          <w:szCs w:val="32"/>
        </w:rPr>
      </w:pPr>
      <w:r>
        <w:rPr>
          <w:rFonts w:ascii="仿宋_GB2312" w:eastAsia="仿宋_GB2312" w:hint="eastAsia"/>
          <w:sz w:val="32"/>
          <w:szCs w:val="32"/>
        </w:rPr>
        <w:t>十二、项目支出绩效目标：</w:t>
      </w:r>
      <w:r>
        <w:rPr>
          <w:rFonts w:ascii="仿宋_GB2312" w:cs="Times New Roman" w:eastAsia="仿宋_GB2312" w:hAnsi="仿宋_GB2312"/>
          <w:kern w:val="0"/>
          <w:sz w:val="32"/>
          <w:szCs w:val="32"/>
        </w:rPr>
        <w:t>是以项目支出为对象，以项目实施所带来的产出和结果为主要内容，</w:t>
      </w:r>
      <w:r>
        <w:rPr>
          <w:rFonts w:ascii="仿宋_GB2312" w:cs="Times New Roman" w:eastAsia="仿宋_GB2312" w:hAnsi="仿宋_GB2312" w:hint="eastAsia"/>
          <w:kern w:val="0"/>
          <w:sz w:val="32"/>
          <w:szCs w:val="32"/>
        </w:rPr>
        <w:t>为</w:t>
      </w:r>
      <w:r>
        <w:rPr>
          <w:rFonts w:ascii="仿宋_GB2312" w:cs="Times New Roman" w:eastAsia="仿宋_GB2312" w:hAnsi="仿宋_GB2312"/>
          <w:kern w:val="0"/>
          <w:sz w:val="32"/>
          <w:szCs w:val="32"/>
        </w:rPr>
        <w:t>促进预算单位完成特定工作任务或事业发展</w:t>
      </w:r>
      <w:r>
        <w:rPr>
          <w:rFonts w:ascii="仿宋_GB2312" w:cs="Times New Roman" w:eastAsia="仿宋_GB2312" w:hAnsi="仿宋_GB2312" w:hint="eastAsia"/>
          <w:kern w:val="0"/>
          <w:sz w:val="32"/>
          <w:szCs w:val="32"/>
        </w:rPr>
        <w:t>所制定的</w:t>
      </w:r>
      <w:r>
        <w:rPr>
          <w:rFonts w:ascii="仿宋_GB2312" w:cs="Times New Roman" w:eastAsia="仿宋_GB2312" w:hAnsi="仿宋_GB2312"/>
          <w:kern w:val="0"/>
          <w:sz w:val="32"/>
          <w:szCs w:val="32"/>
        </w:rPr>
        <w:t>目标</w:t>
      </w:r>
      <w:r>
        <w:rPr>
          <w:rFonts w:ascii="仿宋_GB2312" w:cs="Times New Roman" w:eastAsia="仿宋_GB2312" w:hAnsi="仿宋_GB2312" w:hint="eastAsia"/>
          <w:kern w:val="0"/>
          <w:sz w:val="32"/>
          <w:szCs w:val="32"/>
        </w:rPr>
        <w:t>。</w:t>
      </w:r>
    </w:p>
    <w:p w14:paraId="4CFE9CC6">
      <w:pPr>
        <w:pStyle w:val="style0"/>
        <w:ind w:firstLine="640" w:firstLineChars="200"/>
        <w:rPr>
          <w:rFonts w:ascii="仿宋_GB2312" w:eastAsia="仿宋_GB2312"/>
          <w:sz w:val="32"/>
          <w:szCs w:val="32"/>
        </w:rPr>
      </w:pPr>
    </w:p>
    <w:p w14:paraId="38433E3C">
      <w:pPr>
        <w:pStyle w:val="style0"/>
        <w:jc w:val="left"/>
        <w:rPr>
          <w:rFonts w:ascii="仿宋" w:eastAsia="仿宋" w:hAnsi="仿宋"/>
          <w:sz w:val="32"/>
          <w:szCs w:val="32"/>
        </w:rPr>
      </w:pPr>
      <w:r>
        <w:rPr>
          <w:rFonts w:ascii="仿宋" w:eastAsia="仿宋" w:hAnsi="仿宋" w:hint="eastAsia"/>
          <w:sz w:val="32"/>
          <w:szCs w:val="32"/>
        </w:rPr>
        <w:t xml:space="preserve"> </w:t>
      </w:r>
    </w:p>
    <w:p w14:paraId="68250850">
      <w:pPr>
        <w:pStyle w:val="style0"/>
        <w:jc w:val="left"/>
        <w:rPr>
          <w:rFonts w:ascii="仿宋" w:eastAsia="仿宋" w:hAnsi="仿宋"/>
          <w:sz w:val="32"/>
          <w:szCs w:val="32"/>
        </w:rPr>
      </w:pPr>
    </w:p>
    <w:p w14:paraId="757010AF">
      <w:pPr>
        <w:pStyle w:val="style0"/>
        <w:jc w:val="left"/>
        <w:rPr>
          <w:rFonts w:ascii="仿宋" w:eastAsia="仿宋" w:hAnsi="仿宋"/>
          <w:sz w:val="32"/>
          <w:szCs w:val="32"/>
        </w:rPr>
      </w:pPr>
    </w:p>
    <w:p w14:paraId="1B9DA4B3">
      <w:pPr>
        <w:pStyle w:val="style0"/>
        <w:jc w:val="center"/>
        <w:rPr>
          <w:rFonts w:ascii="仿宋" w:eastAsia="仿宋" w:hAnsi="仿宋"/>
          <w:sz w:val="32"/>
          <w:szCs w:val="32"/>
        </w:rPr>
      </w:pPr>
      <w:r>
        <w:rPr>
          <w:rFonts w:ascii="仿宋" w:eastAsia="仿宋" w:hAnsi="仿宋" w:hint="eastAsia"/>
          <w:sz w:val="32"/>
          <w:szCs w:val="32"/>
        </w:rPr>
        <w:t>第四部分  预算表格</w:t>
      </w:r>
    </w:p>
    <w:p w14:paraId="0252C055">
      <w:pPr>
        <w:pStyle w:val="style0"/>
        <w:jc w:val="left"/>
        <w:rPr>
          <w:rFonts w:ascii="仿宋" w:eastAsia="仿宋" w:hAnsi="仿宋"/>
          <w:sz w:val="32"/>
          <w:szCs w:val="32"/>
        </w:rPr>
      </w:pPr>
      <w:r>
        <w:rPr>
          <w:rFonts w:ascii="仿宋" w:eastAsia="仿宋" w:hAnsi="仿宋" w:hint="eastAsia"/>
          <w:sz w:val="32"/>
          <w:szCs w:val="32"/>
        </w:rPr>
        <w:t>2026年部门预算表套表（预算一体化-“预算编制”模块-预算编制帆软报表查询中提取相应数据）。</w:t>
      </w:r>
    </w:p>
    <w:p w14:paraId="2FFB2AE9">
      <w:pPr>
        <w:pStyle w:val="style0"/>
        <w:rPr>
          <w:rFonts w:ascii="仿宋" w:eastAsia="仿宋" w:hAnsi="仿宋"/>
          <w:sz w:val="32"/>
          <w:szCs w:val="32"/>
        </w:rPr>
      </w:pPr>
    </w:p>
    <w:p w14:paraId="00E3AD42">
      <w:pPr>
        <w:pStyle w:val="style0"/>
        <w:rPr>
          <w:rFonts w:ascii="仿宋" w:eastAsia="仿宋" w:hAnsi="仿宋"/>
          <w:b/>
          <w:sz w:val="32"/>
          <w:szCs w:val="32"/>
        </w:rPr>
      </w:pPr>
      <w:r>
        <w:rPr>
          <w:rFonts w:ascii="仿宋" w:eastAsia="仿宋" w:hAnsi="仿宋" w:hint="eastAsia"/>
          <w:b/>
          <w:sz w:val="32"/>
          <w:szCs w:val="32"/>
          <w:highlight w:val="yellow"/>
        </w:rPr>
        <w:t>注意：请勿删减文字部分内容，表格中如果是空表也需要保留。</w:t>
      </w:r>
    </w:p>
    <w:sectPr>
      <w:pgSz w:w="11906" w:h="16838" w:orient="portrait"/>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2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4002EFF" w:usb1="C000247B" w:usb2="00000009" w:usb3="00000000" w:csb0="200001FF" w:csb1="00000000"/>
  </w:font>
  <w:font w:name="仿宋_GB2312">
    <w:altName w:val="仿宋_GB2312"/>
    <w:panose1 w:val="02010609030001010101"/>
    <w:charset w:val="86"/>
    <w:family w:val="modern"/>
    <w:pitch w:val="default"/>
    <w:sig w:usb0="00000001" w:usb1="080E0000" w:usb2="00000000" w:usb3="00000000" w:csb0="00040000" w:csb1="00000000"/>
  </w:font>
  <w:font w:name="仿宋">
    <w:altName w:val="仿宋"/>
    <w:panose1 w:val="02010609060001010101"/>
    <w:charset w:val="86"/>
    <w:family w:val="modern"/>
    <w:pitch w:val="default"/>
    <w:sig w:usb0="800002BF" w:usb1="38CF7CFA" w:usb2="00000016" w:usb3="00000000" w:csb0="00040001" w:csb1="00000000"/>
  </w:font>
  <w:font w:name="楷体">
    <w:altName w:val="楷体"/>
    <w:panose1 w:val="020106090600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00000001"/>
    <w:multiLevelType w:val="singleLevel"/>
    <w:tmpl w:val="2480E559"/>
    <w:lvl w:ilvl="0">
      <w:start w:val="4"/>
      <w:numFmt w:val="chineseCounting"/>
      <w:suff w:val="nothing"/>
      <w:lvlText w:val="（%1）"/>
      <w:lvlJc w:val="left"/>
      <w:pPr/>
      <w:rPr>
        <w:rFonts w:hint="eastAsia"/>
      </w:rPr>
    </w:lvl>
  </w:abstractNum>
  <w:abstractNum w:abstractNumId="2">
    <w:nsid w:val="00000002"/>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00000003"/>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2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2"/>
      <w:lang w:val="en-US" w:bidi="ar-SA" w:eastAsia="zh-CN"/>
    </w:rPr>
  </w:style>
  <w:style w:type="character" w:default="1" w:styleId="style65">
    <w:name w:val="Default Paragraph Font"/>
    <w:next w:val="style65"/>
    <w:qFormat/>
    <w:uiPriority w:val="1"/>
  </w:style>
  <w:style w:type="table" w:default="1" w:styleId="style105">
    <w:name w:val="Normal Table"/>
    <w:next w:val="style105"/>
    <w:qFormat/>
    <w:uiPriority w:val="99"/>
    <w:pPr/>
    <w:rPr/>
    <w:tblPr>
      <w:tblCellMar>
        <w:top w:w="0" w:type="dxa"/>
        <w:left w:w="108" w:type="dxa"/>
        <w:bottom w:w="0" w:type="dxa"/>
        <w:right w:w="108" w:type="dxa"/>
      </w:tblCellMar>
    </w:tblPr>
    <w:tcPr>
      <w:tcBorders/>
    </w:tcPr>
  </w:style>
  <w:style w:type="paragraph" w:styleId="style32">
    <w:name w:val="footer"/>
    <w:basedOn w:val="style0"/>
    <w:next w:val="style32"/>
    <w:link w:val="style4098"/>
    <w:qFormat/>
    <w:uiPriority w:val="99"/>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7"/>
    <w:qFormat/>
    <w:uiPriority w:val="99"/>
    <w:pPr>
      <w:pBdr>
        <w:bottom w:val="single" w:sz="6" w:space="1" w:color="auto"/>
      </w:pBdr>
      <w:tabs>
        <w:tab w:val="center" w:leader="none" w:pos="4153"/>
        <w:tab w:val="right" w:leader="none" w:pos="8306"/>
      </w:tabs>
      <w:snapToGrid w:val="false"/>
      <w:jc w:val="center"/>
    </w:pPr>
    <w:rPr>
      <w:sz w:val="18"/>
      <w:szCs w:val="18"/>
    </w:rPr>
  </w:style>
  <w:style w:type="character" w:customStyle="1" w:styleId="style4097">
    <w:name w:val="页眉 Char"/>
    <w:basedOn w:val="style65"/>
    <w:next w:val="style4097"/>
    <w:link w:val="style31"/>
    <w:qFormat/>
    <w:uiPriority w:val="99"/>
    <w:rPr>
      <w:sz w:val="18"/>
      <w:szCs w:val="18"/>
    </w:rPr>
  </w:style>
  <w:style w:type="character" w:customStyle="1" w:styleId="style4098">
    <w:name w:val="页脚 Char"/>
    <w:basedOn w:val="style65"/>
    <w:next w:val="style4098"/>
    <w:link w:val="style32"/>
    <w:qFormat/>
    <w:uiPriority w:val="99"/>
    <w:rPr>
      <w:sz w:val="18"/>
      <w:szCs w:val="18"/>
    </w:rPr>
  </w:style>
  <w:style w:type="paragraph" w:styleId="style179">
    <w:name w:val="List Paragraph"/>
    <w:basedOn w:val="style0"/>
    <w:next w:val="style179"/>
    <w:qFormat/>
    <w:uiPriority w:val="34"/>
    <w:pPr>
      <w:ind w:firstLine="420" w:firstLineChars="200"/>
    </w:pPr>
    <w:rPr/>
  </w:style>
  <w:style w:type="paragraph" w:customStyle="1" w:styleId="style4099">
    <w:name w:val="正文 New New New New"/>
    <w:next w:val="style4099"/>
    <w:qFormat/>
    <w:uiPriority w:val="0"/>
    <w:pPr>
      <w:widowControl w:val="false"/>
      <w:jc w:val="both"/>
    </w:pPr>
    <w:rPr>
      <w:rFonts w:ascii="Times New Roman" w:cs="Times New Roman" w:eastAsia="宋体" w:hAnsi="Times New Roman"/>
      <w:kern w:val="2"/>
      <w:sz w:val="21"/>
      <w:szCs w:val="24"/>
      <w:lang w:val="en-US" w:bidi="ar-SA" w:eastAsia="zh-CN"/>
    </w:rPr>
  </w:style>
  <w:style w:type="paragraph" w:customStyle="1" w:styleId="style4100">
    <w:name w:val="正文 New"/>
    <w:next w:val="style4100"/>
    <w:qFormat/>
    <w:uiPriority w:val="0"/>
    <w:pPr>
      <w:widowControl w:val="false"/>
      <w:jc w:val="both"/>
    </w:pPr>
    <w:rPr>
      <w:rFonts w:ascii="Times New Roman" w:cs="Times New Roman" w:eastAsia="宋体" w:hAnsi="Times New Roman"/>
      <w:kern w:val="2"/>
      <w:sz w:val="21"/>
      <w:szCs w:val="24"/>
      <w:lang w:val="en-US" w:bidi="ar-SA" w:eastAsia="zh-CN"/>
    </w:rPr>
  </w:style>
  <w:style w:type="paragraph" w:customStyle="1" w:styleId="style4101">
    <w:name w:val="正文 New New New"/>
    <w:next w:val="style4101"/>
    <w:qFormat/>
    <w:uiPriority w:val="0"/>
    <w:pPr>
      <w:widowControl w:val="false"/>
      <w:jc w:val="both"/>
    </w:pPr>
    <w:rPr>
      <w:rFonts w:ascii="Times New Roman" w:cs="Times New Roman" w:eastAsia="宋体" w:hAnsi="Times New Roman"/>
      <w:kern w:val="2"/>
      <w:sz w:val="21"/>
      <w:szCs w:val="24"/>
      <w:lang w:val="en-US" w:bidi="ar-SA" w:eastAsia="zh-CN"/>
    </w:rPr>
  </w:style>
  <w:style w:type="paragraph" w:customStyle="1" w:styleId="style4102">
    <w:name w:val="正文 New New"/>
    <w:next w:val="style4102"/>
    <w:qFormat/>
    <w:uiPriority w:val="0"/>
    <w:pPr>
      <w:widowControl w:val="false"/>
      <w:jc w:val="both"/>
    </w:pPr>
    <w:rPr>
      <w:rFonts w:ascii="Calibri" w:cs="Times New Roman" w:eastAsia="仿宋_GB2312" w:hAnsi="Calibri"/>
      <w:kern w:val="2"/>
      <w:sz w:val="32"/>
      <w:szCs w:val="24"/>
      <w:lang w:val="en-US" w:bidi="ar-SA" w:eastAsia="zh-CN"/>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Words>2726</Words>
  <Pages>10</Pages>
  <Characters>2989</Characters>
  <Application>WPS Office</Application>
  <DocSecurity>0</DocSecurity>
  <Paragraphs>132</Paragraphs>
  <ScaleCrop>false</ScaleCrop>
  <Company>Microsoft</Company>
  <LinksUpToDate>false</LinksUpToDate>
  <CharactersWithSpaces>3053</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2018-01-03T01:07:00Z</dcterms:created>
  <dc:creator>lenovo</dc:creator>
  <lastModifiedBy>LRA-AN00</lastModifiedBy>
  <dcterms:modified xsi:type="dcterms:W3CDTF">2026-03-25T06:32:52Z</dcterms:modified>
  <revision>70</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eyJoZGlkIjoiMzE3ZWQ3ZmFlODMzNjNlYzI0YjhmMDNkNzk5NTMwYzIiLCJ1c2VySWQiOiIzNTgzNTcxNzMifQ==</vt:lpwstr>
  </property>
</Properties>
</file>