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color w:val="auto"/>
          <w:sz w:val="44"/>
          <w:szCs w:val="44"/>
        </w:rPr>
      </w:pPr>
    </w:p>
    <w:p w14:paraId="0722EA08">
      <w:pPr>
        <w:jc w:val="center"/>
        <w:rPr>
          <w:rFonts w:ascii="黑体" w:hAnsi="黑体" w:eastAsia="黑体"/>
          <w:color w:val="auto"/>
          <w:sz w:val="44"/>
          <w:szCs w:val="44"/>
        </w:rPr>
      </w:pPr>
    </w:p>
    <w:p w14:paraId="5712AD97">
      <w:pPr>
        <w:jc w:val="center"/>
        <w:rPr>
          <w:rFonts w:ascii="黑体" w:hAnsi="黑体" w:eastAsia="黑体"/>
          <w:color w:val="auto"/>
          <w:sz w:val="44"/>
          <w:szCs w:val="44"/>
        </w:rPr>
      </w:pPr>
    </w:p>
    <w:p w14:paraId="4DAE025F">
      <w:pPr>
        <w:jc w:val="center"/>
        <w:rPr>
          <w:rFonts w:ascii="黑体" w:hAnsi="黑体" w:eastAsia="黑体"/>
          <w:color w:val="auto"/>
          <w:sz w:val="44"/>
          <w:szCs w:val="44"/>
        </w:rPr>
      </w:pPr>
    </w:p>
    <w:p w14:paraId="39BB1BF7">
      <w:pPr>
        <w:pStyle w:val="4"/>
        <w:keepNext w:val="0"/>
        <w:keepLines w:val="0"/>
        <w:widowControl/>
        <w:suppressLineNumbers w:val="0"/>
        <w:spacing w:before="0" w:beforeAutospacing="0" w:after="120" w:afterAutospacing="0" w:line="360" w:lineRule="auto"/>
        <w:ind w:right="0"/>
        <w:jc w:val="center"/>
        <w:rPr>
          <w:rFonts w:hint="eastAsia" w:ascii="黑体" w:hAnsi="黑体" w:eastAsia="黑体" w:cstheme="minorBidi"/>
          <w:color w:val="auto"/>
          <w:kern w:val="2"/>
          <w:sz w:val="52"/>
          <w:szCs w:val="52"/>
          <w:lang w:val="en-US" w:eastAsia="zh-CN" w:bidi="ar-SA"/>
        </w:rPr>
      </w:pPr>
      <w:r>
        <w:rPr>
          <w:rFonts w:hint="eastAsia" w:ascii="黑体" w:hAnsi="黑体" w:eastAsia="黑体" w:cstheme="minorBidi"/>
          <w:color w:val="auto"/>
          <w:kern w:val="2"/>
          <w:sz w:val="52"/>
          <w:szCs w:val="52"/>
          <w:lang w:val="en-US" w:eastAsia="zh-CN" w:bidi="ar-SA"/>
        </w:rPr>
        <w:t>中共永吉县委社会工作部</w:t>
      </w:r>
    </w:p>
    <w:p w14:paraId="0050A5F4">
      <w:pPr>
        <w:pStyle w:val="4"/>
        <w:keepNext w:val="0"/>
        <w:keepLines w:val="0"/>
        <w:widowControl/>
        <w:suppressLineNumbers w:val="0"/>
        <w:spacing w:before="0" w:beforeAutospacing="0" w:after="120" w:afterAutospacing="0" w:line="360" w:lineRule="auto"/>
        <w:ind w:right="0"/>
        <w:jc w:val="center"/>
        <w:rPr>
          <w:rFonts w:ascii="黑体" w:hAnsi="黑体" w:eastAsia="黑体"/>
          <w:color w:val="auto"/>
          <w:sz w:val="52"/>
          <w:szCs w:val="52"/>
        </w:rPr>
      </w:pPr>
      <w:r>
        <w:rPr>
          <w:rFonts w:hint="eastAsia" w:ascii="黑体" w:hAnsi="黑体" w:eastAsia="黑体"/>
          <w:color w:val="auto"/>
          <w:sz w:val="52"/>
          <w:szCs w:val="52"/>
        </w:rPr>
        <w:t>2026年部门预算</w:t>
      </w:r>
    </w:p>
    <w:p w14:paraId="5C42AB12">
      <w:pPr>
        <w:jc w:val="center"/>
        <w:rPr>
          <w:rFonts w:ascii="黑体" w:hAnsi="黑体" w:eastAsia="黑体"/>
          <w:color w:val="auto"/>
          <w:sz w:val="44"/>
          <w:szCs w:val="44"/>
        </w:rPr>
      </w:pPr>
    </w:p>
    <w:p w14:paraId="5EF162CE">
      <w:pPr>
        <w:jc w:val="center"/>
        <w:rPr>
          <w:rFonts w:ascii="黑体" w:hAnsi="黑体" w:eastAsia="黑体"/>
          <w:color w:val="auto"/>
          <w:sz w:val="44"/>
          <w:szCs w:val="44"/>
        </w:rPr>
      </w:pPr>
    </w:p>
    <w:p w14:paraId="6D7738A2">
      <w:pPr>
        <w:jc w:val="center"/>
        <w:rPr>
          <w:rFonts w:ascii="黑体" w:hAnsi="黑体" w:eastAsia="黑体"/>
          <w:color w:val="auto"/>
          <w:sz w:val="44"/>
          <w:szCs w:val="44"/>
        </w:rPr>
      </w:pPr>
    </w:p>
    <w:p w14:paraId="1997C969">
      <w:pPr>
        <w:jc w:val="center"/>
        <w:rPr>
          <w:rFonts w:ascii="黑体" w:hAnsi="黑体" w:eastAsia="黑体"/>
          <w:color w:val="auto"/>
          <w:sz w:val="44"/>
          <w:szCs w:val="44"/>
        </w:rPr>
      </w:pPr>
    </w:p>
    <w:p w14:paraId="4F4ABFCB">
      <w:pPr>
        <w:jc w:val="center"/>
        <w:rPr>
          <w:rFonts w:ascii="黑体" w:hAnsi="黑体" w:eastAsia="黑体"/>
          <w:color w:val="auto"/>
          <w:sz w:val="44"/>
          <w:szCs w:val="44"/>
        </w:rPr>
      </w:pPr>
    </w:p>
    <w:p w14:paraId="6E03DA41">
      <w:pPr>
        <w:jc w:val="center"/>
        <w:rPr>
          <w:rFonts w:ascii="黑体" w:hAnsi="黑体" w:eastAsia="黑体"/>
          <w:color w:val="auto"/>
          <w:sz w:val="44"/>
          <w:szCs w:val="44"/>
        </w:rPr>
      </w:pPr>
    </w:p>
    <w:p w14:paraId="34D8D65D">
      <w:pPr>
        <w:jc w:val="center"/>
        <w:rPr>
          <w:rFonts w:ascii="黑体" w:hAnsi="黑体" w:eastAsia="黑体"/>
          <w:color w:val="auto"/>
          <w:sz w:val="44"/>
          <w:szCs w:val="44"/>
        </w:rPr>
      </w:pPr>
    </w:p>
    <w:p w14:paraId="01FD5D38">
      <w:pPr>
        <w:jc w:val="center"/>
        <w:rPr>
          <w:rFonts w:ascii="黑体" w:hAnsi="黑体" w:eastAsia="黑体"/>
          <w:color w:val="auto"/>
          <w:sz w:val="44"/>
          <w:szCs w:val="44"/>
        </w:rPr>
      </w:pPr>
    </w:p>
    <w:p w14:paraId="380AB34E">
      <w:pPr>
        <w:jc w:val="center"/>
        <w:rPr>
          <w:rFonts w:ascii="黑体" w:hAnsi="黑体" w:eastAsia="黑体"/>
          <w:color w:val="auto"/>
          <w:sz w:val="44"/>
          <w:szCs w:val="44"/>
        </w:rPr>
      </w:pPr>
    </w:p>
    <w:p w14:paraId="628D9189">
      <w:pPr>
        <w:jc w:val="center"/>
        <w:rPr>
          <w:rFonts w:ascii="黑体" w:hAnsi="黑体" w:eastAsia="黑体"/>
          <w:color w:val="auto"/>
          <w:sz w:val="44"/>
          <w:szCs w:val="44"/>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二〇二六年一月四日</w:t>
      </w:r>
    </w:p>
    <w:p w14:paraId="2F1615F9">
      <w:pPr>
        <w:jc w:val="center"/>
        <w:rPr>
          <w:rFonts w:ascii="黑体" w:hAnsi="黑体" w:eastAsia="黑体"/>
          <w:color w:val="auto"/>
          <w:sz w:val="44"/>
          <w:szCs w:val="44"/>
        </w:rPr>
      </w:pPr>
    </w:p>
    <w:p w14:paraId="357EC0AC">
      <w:pPr>
        <w:jc w:val="center"/>
        <w:rPr>
          <w:rFonts w:ascii="黑体" w:hAnsi="黑体" w:eastAsia="黑体"/>
          <w:color w:val="auto"/>
          <w:sz w:val="44"/>
          <w:szCs w:val="44"/>
        </w:rPr>
      </w:pPr>
    </w:p>
    <w:p w14:paraId="661A2997">
      <w:pPr>
        <w:jc w:val="center"/>
        <w:rPr>
          <w:rFonts w:ascii="黑体" w:hAnsi="黑体" w:eastAsia="黑体"/>
          <w:color w:val="auto"/>
          <w:sz w:val="44"/>
          <w:szCs w:val="44"/>
        </w:rPr>
      </w:pPr>
    </w:p>
    <w:p w14:paraId="60FA0F16">
      <w:pPr>
        <w:jc w:val="center"/>
        <w:rPr>
          <w:rFonts w:ascii="黑体" w:hAnsi="黑体" w:eastAsia="黑体"/>
          <w:color w:val="auto"/>
          <w:sz w:val="44"/>
          <w:szCs w:val="44"/>
        </w:rPr>
      </w:pPr>
    </w:p>
    <w:p w14:paraId="74A34429">
      <w:pPr>
        <w:jc w:val="center"/>
        <w:rPr>
          <w:rFonts w:ascii="黑体" w:hAnsi="黑体" w:eastAsia="黑体"/>
          <w:color w:val="auto"/>
          <w:sz w:val="44"/>
          <w:szCs w:val="44"/>
        </w:rPr>
      </w:pPr>
    </w:p>
    <w:p w14:paraId="18C3CAAE">
      <w:pPr>
        <w:jc w:val="center"/>
        <w:rPr>
          <w:rFonts w:ascii="黑体" w:hAnsi="黑体" w:eastAsia="黑体"/>
          <w:color w:val="auto"/>
          <w:sz w:val="44"/>
          <w:szCs w:val="44"/>
        </w:rPr>
      </w:pPr>
    </w:p>
    <w:p w14:paraId="226EB58D">
      <w:pPr>
        <w:pStyle w:val="4"/>
        <w:keepNext w:val="0"/>
        <w:keepLines w:val="0"/>
        <w:widowControl/>
        <w:suppressLineNumbers w:val="0"/>
        <w:spacing w:before="0" w:beforeAutospacing="0" w:after="120" w:afterAutospacing="0" w:line="360" w:lineRule="auto"/>
        <w:ind w:right="0"/>
        <w:jc w:val="center"/>
        <w:rPr>
          <w:rFonts w:hint="eastAsia" w:ascii="黑体" w:hAnsi="黑体" w:eastAsia="黑体" w:cstheme="minorBidi"/>
          <w:color w:val="auto"/>
          <w:kern w:val="2"/>
          <w:sz w:val="52"/>
          <w:szCs w:val="52"/>
          <w:lang w:val="en-US" w:eastAsia="zh-CN" w:bidi="ar-SA"/>
        </w:rPr>
      </w:pPr>
      <w:r>
        <w:rPr>
          <w:rFonts w:hint="eastAsia" w:ascii="黑体" w:hAnsi="黑体" w:eastAsia="黑体" w:cstheme="minorBidi"/>
          <w:color w:val="auto"/>
          <w:kern w:val="2"/>
          <w:sz w:val="52"/>
          <w:szCs w:val="52"/>
          <w:lang w:val="en-US" w:eastAsia="zh-CN" w:bidi="ar-SA"/>
        </w:rPr>
        <w:t>中共永吉县委社会工作部</w:t>
      </w:r>
    </w:p>
    <w:p w14:paraId="406F54B2">
      <w:pPr>
        <w:jc w:val="center"/>
        <w:rPr>
          <w:rFonts w:hint="eastAsia" w:ascii="黑体" w:hAnsi="黑体" w:eastAsia="黑体"/>
          <w:color w:val="auto"/>
          <w:sz w:val="44"/>
          <w:szCs w:val="44"/>
        </w:rPr>
      </w:pPr>
      <w:r>
        <w:rPr>
          <w:rFonts w:hint="eastAsia" w:ascii="黑体" w:hAnsi="黑体" w:eastAsia="黑体"/>
          <w:color w:val="auto"/>
          <w:sz w:val="44"/>
          <w:szCs w:val="44"/>
        </w:rPr>
        <w:t>2026年预算</w:t>
      </w:r>
    </w:p>
    <w:p w14:paraId="1F07C9F7">
      <w:pPr>
        <w:jc w:val="center"/>
        <w:rPr>
          <w:rFonts w:ascii="黑体" w:hAnsi="黑体" w:eastAsia="黑体"/>
          <w:color w:val="auto"/>
          <w:sz w:val="44"/>
          <w:szCs w:val="44"/>
        </w:rPr>
      </w:pPr>
    </w:p>
    <w:p w14:paraId="63B0757E">
      <w:pPr>
        <w:tabs>
          <w:tab w:val="left" w:pos="3240"/>
        </w:tabs>
        <w:rPr>
          <w:rFonts w:ascii="黑体" w:hAnsi="黑体" w:eastAsia="黑体"/>
          <w:color w:val="auto"/>
          <w:sz w:val="44"/>
          <w:szCs w:val="44"/>
        </w:rPr>
      </w:pPr>
      <w:r>
        <w:rPr>
          <w:rFonts w:ascii="黑体" w:hAnsi="黑体" w:eastAsia="黑体"/>
          <w:color w:val="auto"/>
          <w:sz w:val="44"/>
          <w:szCs w:val="44"/>
        </w:rPr>
        <w:tab/>
      </w:r>
      <w:r>
        <w:rPr>
          <w:rFonts w:hint="eastAsia" w:ascii="黑体" w:hAnsi="黑体" w:eastAsia="黑体"/>
          <w:color w:val="auto"/>
          <w:sz w:val="44"/>
          <w:szCs w:val="44"/>
        </w:rPr>
        <w:t>目  录</w:t>
      </w:r>
    </w:p>
    <w:p w14:paraId="3BC81682">
      <w:pPr>
        <w:rPr>
          <w:rFonts w:ascii="仿宋" w:hAnsi="仿宋" w:eastAsia="仿宋"/>
          <w:color w:val="auto"/>
          <w:sz w:val="32"/>
          <w:szCs w:val="32"/>
        </w:rPr>
      </w:pPr>
      <w:r>
        <w:rPr>
          <w:rFonts w:hint="eastAsia" w:ascii="仿宋" w:hAnsi="仿宋" w:eastAsia="仿宋"/>
          <w:color w:val="auto"/>
          <w:sz w:val="32"/>
          <w:szCs w:val="32"/>
        </w:rPr>
        <w:t>第一部分  部门概况</w:t>
      </w:r>
    </w:p>
    <w:p w14:paraId="73DDC628">
      <w:pPr>
        <w:pStyle w:val="9"/>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主要职能</w:t>
      </w:r>
    </w:p>
    <w:p w14:paraId="0F6E16B9">
      <w:pPr>
        <w:pStyle w:val="9"/>
        <w:numPr>
          <w:ilvl w:val="0"/>
          <w:numId w:val="1"/>
        </w:numPr>
        <w:ind w:firstLineChars="0"/>
        <w:rPr>
          <w:rFonts w:ascii="仿宋" w:hAnsi="仿宋" w:eastAsia="仿宋"/>
          <w:color w:val="auto"/>
          <w:sz w:val="32"/>
          <w:szCs w:val="32"/>
        </w:rPr>
      </w:pPr>
      <w:r>
        <w:rPr>
          <w:rFonts w:hint="eastAsia" w:ascii="仿宋" w:hAnsi="仿宋" w:eastAsia="仿宋"/>
          <w:color w:val="auto"/>
          <w:sz w:val="32"/>
          <w:szCs w:val="32"/>
        </w:rPr>
        <w:t>机构设置</w:t>
      </w:r>
    </w:p>
    <w:p w14:paraId="5EE08171">
      <w:pPr>
        <w:rPr>
          <w:rFonts w:ascii="仿宋" w:hAnsi="仿宋" w:eastAsia="仿宋"/>
          <w:color w:val="auto"/>
          <w:sz w:val="32"/>
          <w:szCs w:val="32"/>
        </w:rPr>
      </w:pPr>
      <w:r>
        <w:rPr>
          <w:rFonts w:hint="eastAsia" w:ascii="仿宋" w:hAnsi="仿宋" w:eastAsia="仿宋"/>
          <w:color w:val="auto"/>
          <w:sz w:val="32"/>
          <w:szCs w:val="32"/>
        </w:rPr>
        <w:t>第二部分  情况说明</w:t>
      </w:r>
    </w:p>
    <w:p w14:paraId="6F11FF87">
      <w:pPr>
        <w:rPr>
          <w:rFonts w:ascii="仿宋" w:hAnsi="仿宋" w:eastAsia="仿宋"/>
          <w:color w:val="auto"/>
          <w:sz w:val="32"/>
          <w:szCs w:val="32"/>
        </w:rPr>
      </w:pPr>
      <w:r>
        <w:rPr>
          <w:rFonts w:hint="eastAsia" w:ascii="仿宋" w:hAnsi="仿宋" w:eastAsia="仿宋"/>
          <w:color w:val="auto"/>
          <w:sz w:val="32"/>
          <w:szCs w:val="32"/>
        </w:rPr>
        <w:t xml:space="preserve">第三部分  名词解释 </w:t>
      </w:r>
    </w:p>
    <w:p w14:paraId="7BA36606">
      <w:pPr>
        <w:rPr>
          <w:rFonts w:ascii="仿宋" w:hAnsi="仿宋" w:eastAsia="仿宋"/>
          <w:color w:val="auto"/>
          <w:sz w:val="32"/>
          <w:szCs w:val="32"/>
        </w:rPr>
      </w:pPr>
      <w:r>
        <w:rPr>
          <w:rFonts w:hint="eastAsia" w:ascii="仿宋" w:hAnsi="仿宋" w:eastAsia="仿宋"/>
          <w:color w:val="auto"/>
          <w:sz w:val="32"/>
          <w:szCs w:val="32"/>
        </w:rPr>
        <w:t>第四部分  预算表格</w:t>
      </w:r>
    </w:p>
    <w:p w14:paraId="07E4B539">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收支总表</w:t>
      </w:r>
    </w:p>
    <w:p w14:paraId="257AF41A">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收入总表</w:t>
      </w:r>
    </w:p>
    <w:p w14:paraId="490A2BEB">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支出总表</w:t>
      </w:r>
    </w:p>
    <w:p w14:paraId="5F6425A5">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财政拨款收支总表</w:t>
      </w:r>
    </w:p>
    <w:p w14:paraId="5006371A">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一般公共预算支出表</w:t>
      </w:r>
    </w:p>
    <w:p w14:paraId="6CBA4F02">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一般公共预算财政拨款基本支出预算表</w:t>
      </w:r>
    </w:p>
    <w:p w14:paraId="534C5B24">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一般公共预算“三公”经费支出表</w:t>
      </w:r>
    </w:p>
    <w:p w14:paraId="4685FD46">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政府性基金预算支出表</w:t>
      </w:r>
    </w:p>
    <w:p w14:paraId="696DB8AF">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国有资本经营预算支出表</w:t>
      </w:r>
    </w:p>
    <w:p w14:paraId="2C937F03">
      <w:pPr>
        <w:pStyle w:val="9"/>
        <w:numPr>
          <w:ilvl w:val="0"/>
          <w:numId w:val="2"/>
        </w:numPr>
        <w:ind w:firstLineChars="0"/>
        <w:rPr>
          <w:rFonts w:ascii="仿宋" w:hAnsi="仿宋" w:eastAsia="仿宋"/>
          <w:color w:val="auto"/>
          <w:sz w:val="32"/>
          <w:szCs w:val="32"/>
        </w:rPr>
      </w:pPr>
      <w:r>
        <w:rPr>
          <w:rFonts w:hint="eastAsia" w:ascii="仿宋" w:hAnsi="仿宋" w:eastAsia="仿宋"/>
          <w:color w:val="auto"/>
          <w:sz w:val="32"/>
          <w:szCs w:val="32"/>
        </w:rPr>
        <w:t>项目支出表</w:t>
      </w:r>
    </w:p>
    <w:p w14:paraId="36BC5A17">
      <w:pPr>
        <w:rPr>
          <w:rFonts w:ascii="仿宋" w:hAnsi="仿宋" w:eastAsia="仿宋"/>
          <w:color w:val="auto"/>
          <w:sz w:val="32"/>
          <w:szCs w:val="32"/>
        </w:rPr>
      </w:pPr>
    </w:p>
    <w:p w14:paraId="4E48F873">
      <w:pPr>
        <w:jc w:val="center"/>
        <w:rPr>
          <w:rFonts w:ascii="黑体" w:hAnsi="黑体" w:eastAsia="黑体"/>
          <w:color w:val="auto"/>
          <w:sz w:val="32"/>
          <w:szCs w:val="32"/>
        </w:rPr>
      </w:pPr>
      <w:r>
        <w:rPr>
          <w:rFonts w:hint="eastAsia" w:ascii="黑体" w:hAnsi="黑体" w:eastAsia="黑体"/>
          <w:color w:val="auto"/>
          <w:sz w:val="32"/>
          <w:szCs w:val="32"/>
        </w:rPr>
        <w:t>第一部分    部门（单位）概况</w:t>
      </w:r>
    </w:p>
    <w:p w14:paraId="519B9A34">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6AD7C00">
      <w:pPr>
        <w:jc w:val="left"/>
        <w:rPr>
          <w:rFonts w:ascii="仿宋" w:hAnsi="仿宋" w:eastAsia="仿宋"/>
          <w:color w:val="auto"/>
          <w:sz w:val="32"/>
          <w:szCs w:val="32"/>
        </w:rPr>
      </w:pPr>
      <w:r>
        <w:rPr>
          <w:rFonts w:hint="eastAsia" w:ascii="仿宋" w:hAnsi="仿宋" w:eastAsia="仿宋"/>
          <w:color w:val="auto"/>
          <w:sz w:val="32"/>
          <w:szCs w:val="32"/>
        </w:rPr>
        <w:t xml:space="preserve"> 一、主要职能</w:t>
      </w:r>
    </w:p>
    <w:p w14:paraId="3B82E8C1">
      <w:pPr>
        <w:pStyle w:val="11"/>
        <w:widowControl/>
        <w:spacing w:line="620" w:lineRule="exact"/>
        <w:ind w:firstLine="627" w:firstLineChars="196"/>
        <w:contextualSpacing/>
        <w:rPr>
          <w:rFonts w:hint="default" w:ascii="仿宋" w:hAnsi="仿宋" w:eastAsia="仿宋"/>
          <w:bCs/>
          <w:color w:val="auto"/>
          <w:kern w:val="0"/>
          <w:sz w:val="32"/>
          <w:szCs w:val="32"/>
          <w:lang w:val="en-US" w:eastAsia="zh-CN"/>
        </w:rPr>
      </w:pPr>
      <w:r>
        <w:rPr>
          <w:rFonts w:hint="eastAsia" w:ascii="仿宋" w:hAnsi="仿宋" w:eastAsia="仿宋"/>
          <w:bCs/>
          <w:color w:val="auto"/>
          <w:sz w:val="32"/>
          <w:szCs w:val="32"/>
        </w:rPr>
        <w:t>单位</w:t>
      </w:r>
      <w:r>
        <w:rPr>
          <w:rFonts w:hint="eastAsia" w:ascii="仿宋" w:hAnsi="仿宋" w:eastAsia="仿宋"/>
          <w:bCs/>
          <w:color w:val="auto"/>
          <w:kern w:val="0"/>
          <w:sz w:val="32"/>
          <w:szCs w:val="32"/>
        </w:rPr>
        <w:t>名称：</w:t>
      </w:r>
      <w:r>
        <w:rPr>
          <w:rFonts w:hint="eastAsia" w:ascii="仿宋" w:hAnsi="仿宋" w:eastAsia="仿宋"/>
          <w:bCs/>
          <w:color w:val="auto"/>
          <w:kern w:val="0"/>
          <w:sz w:val="32"/>
          <w:szCs w:val="32"/>
          <w:lang w:val="en-US" w:eastAsia="zh-CN"/>
        </w:rPr>
        <w:t>中共永吉县委社会工作部</w:t>
      </w:r>
    </w:p>
    <w:p w14:paraId="09235EBC">
      <w:pPr>
        <w:pStyle w:val="11"/>
        <w:widowControl/>
        <w:spacing w:line="620" w:lineRule="exact"/>
        <w:ind w:firstLine="627" w:firstLineChars="196"/>
        <w:contextualSpacing/>
        <w:rPr>
          <w:rFonts w:hint="default" w:ascii="仿宋" w:hAnsi="仿宋" w:eastAsia="仿宋"/>
          <w:color w:val="auto"/>
          <w:kern w:val="0"/>
          <w:sz w:val="32"/>
          <w:szCs w:val="32"/>
          <w:lang w:val="en-US" w:eastAsia="zh-CN"/>
        </w:rPr>
      </w:pPr>
      <w:r>
        <w:rPr>
          <w:rFonts w:hint="eastAsia" w:ascii="仿宋" w:hAnsi="仿宋" w:eastAsia="仿宋"/>
          <w:bCs/>
          <w:color w:val="auto"/>
          <w:kern w:val="0"/>
          <w:sz w:val="32"/>
          <w:szCs w:val="32"/>
        </w:rPr>
        <w:t>单位性质</w:t>
      </w:r>
      <w:r>
        <w:rPr>
          <w:rFonts w:hint="eastAsia" w:ascii="仿宋" w:hAnsi="仿宋" w:eastAsia="仿宋"/>
          <w:color w:val="auto"/>
          <w:kern w:val="0"/>
          <w:sz w:val="32"/>
          <w:szCs w:val="32"/>
        </w:rPr>
        <w:t>：</w:t>
      </w:r>
      <w:r>
        <w:rPr>
          <w:rFonts w:hint="eastAsia" w:ascii="仿宋" w:hAnsi="仿宋" w:eastAsia="仿宋"/>
          <w:color w:val="auto"/>
          <w:kern w:val="0"/>
          <w:sz w:val="32"/>
          <w:szCs w:val="32"/>
          <w:lang w:val="en-US" w:eastAsia="zh-CN"/>
        </w:rPr>
        <w:t>党政机关</w:t>
      </w:r>
    </w:p>
    <w:p w14:paraId="6E6C5762">
      <w:pPr>
        <w:pStyle w:val="11"/>
        <w:widowControl/>
        <w:spacing w:line="620" w:lineRule="exact"/>
        <w:ind w:firstLine="627" w:firstLineChars="196"/>
        <w:contextualSpacing/>
        <w:rPr>
          <w:rFonts w:hint="eastAsia" w:ascii="仿宋" w:hAnsi="仿宋" w:eastAsia="仿宋"/>
          <w:bCs/>
          <w:color w:val="auto"/>
          <w:kern w:val="0"/>
          <w:sz w:val="32"/>
          <w:szCs w:val="32"/>
        </w:rPr>
      </w:pPr>
      <w:r>
        <w:rPr>
          <w:rFonts w:hint="eastAsia" w:ascii="仿宋" w:hAnsi="仿宋" w:eastAsia="仿宋"/>
          <w:bCs/>
          <w:color w:val="auto"/>
          <w:kern w:val="0"/>
          <w:sz w:val="32"/>
          <w:szCs w:val="32"/>
        </w:rPr>
        <w:t>主要职能：</w:t>
      </w:r>
    </w:p>
    <w:p w14:paraId="6C36B037">
      <w:pPr>
        <w:pStyle w:val="11"/>
        <w:widowControl/>
        <w:spacing w:line="620" w:lineRule="exact"/>
        <w:ind w:firstLine="627" w:firstLineChars="196"/>
        <w:contextualSpacing/>
        <w:rPr>
          <w:rFonts w:hint="eastAsia" w:ascii="仿宋" w:hAnsi="仿宋" w:eastAsia="仿宋"/>
          <w:color w:val="auto"/>
          <w:kern w:val="0"/>
          <w:sz w:val="32"/>
          <w:szCs w:val="32"/>
        </w:rPr>
      </w:pPr>
      <w:r>
        <w:rPr>
          <w:rFonts w:hint="eastAsia" w:ascii="仿宋" w:hAnsi="仿宋" w:eastAsia="仿宋"/>
          <w:color w:val="auto"/>
          <w:kern w:val="0"/>
          <w:sz w:val="32"/>
          <w:szCs w:val="32"/>
        </w:rPr>
        <w:t>（一）研究相关理论、政策和规划，拟订相关规范性文件草案及有关文件并组织实施。深入调查研究，及时向县委报告工作情况并提出建议。指导各乡镇（区）开展工作。</w:t>
      </w:r>
    </w:p>
    <w:p w14:paraId="5EA0FF21">
      <w:pPr>
        <w:pStyle w:val="11"/>
        <w:widowControl/>
        <w:spacing w:line="620" w:lineRule="exact"/>
        <w:ind w:firstLine="627" w:firstLineChars="196"/>
        <w:contextualSpacing/>
        <w:rPr>
          <w:rFonts w:hint="eastAsia" w:ascii="仿宋" w:hAnsi="仿宋" w:eastAsia="仿宋"/>
          <w:color w:val="auto"/>
          <w:kern w:val="0"/>
          <w:sz w:val="32"/>
          <w:szCs w:val="32"/>
        </w:rPr>
      </w:pPr>
      <w:r>
        <w:rPr>
          <w:rFonts w:hint="eastAsia" w:ascii="仿宋" w:hAnsi="仿宋" w:eastAsia="仿宋"/>
          <w:color w:val="auto"/>
          <w:kern w:val="0"/>
          <w:sz w:val="32"/>
          <w:szCs w:val="32"/>
        </w:rPr>
        <w:t>（二）统筹指导群众利益协调、诉求表达、矛盾调处、权益保障等人民信访工作，协调解决人民群众急难愁盼的重大问题。指导人民建议征集工作，负责征集、办理公民、法人和其他组织提出的意见建议，向县委、县政府及时反映公民、法人和其他组织对全县事业发展提出的重要意见建议。</w:t>
      </w:r>
    </w:p>
    <w:p w14:paraId="5775D6E8">
      <w:pPr>
        <w:pStyle w:val="11"/>
        <w:widowControl/>
        <w:spacing w:line="620" w:lineRule="exact"/>
        <w:ind w:firstLine="627" w:firstLineChars="196"/>
        <w:contextualSpacing/>
        <w:rPr>
          <w:rFonts w:hint="eastAsia" w:ascii="仿宋" w:hAnsi="仿宋" w:eastAsia="仿宋"/>
          <w:color w:val="auto"/>
          <w:kern w:val="0"/>
          <w:sz w:val="32"/>
          <w:szCs w:val="32"/>
        </w:rPr>
      </w:pPr>
      <w:r>
        <w:rPr>
          <w:rFonts w:hint="eastAsia" w:ascii="仿宋" w:hAnsi="仿宋" w:eastAsia="仿宋"/>
          <w:color w:val="auto"/>
          <w:kern w:val="0"/>
          <w:sz w:val="32"/>
          <w:szCs w:val="32"/>
        </w:rPr>
        <w:t>（三）统筹推进党建引领基层治理和基层政权建设，协调推进城乡社区治理体系和治理能力建设，推动基层民主政治建设，指导监督基层群众自治制度的有效实施，健全基层群众自治机制。</w:t>
      </w:r>
    </w:p>
    <w:p w14:paraId="41FCE9E4">
      <w:pPr>
        <w:pStyle w:val="11"/>
        <w:widowControl/>
        <w:spacing w:line="620" w:lineRule="exact"/>
        <w:ind w:firstLine="640" w:firstLineChars="200"/>
        <w:contextualSpacing/>
        <w:rPr>
          <w:rFonts w:hint="eastAsia" w:ascii="仿宋" w:hAnsi="仿宋" w:eastAsia="仿宋"/>
          <w:color w:val="auto"/>
          <w:kern w:val="0"/>
          <w:sz w:val="32"/>
          <w:szCs w:val="32"/>
        </w:rPr>
      </w:pPr>
      <w:bookmarkStart w:id="0" w:name="_GoBack"/>
      <w:bookmarkEnd w:id="0"/>
      <w:r>
        <w:rPr>
          <w:rFonts w:hint="eastAsia" w:ascii="仿宋" w:hAnsi="仿宋" w:eastAsia="仿宋"/>
          <w:color w:val="auto"/>
          <w:kern w:val="0"/>
          <w:sz w:val="32"/>
          <w:szCs w:val="32"/>
        </w:rPr>
        <w:t>（四）指导全县性社会组织党建工作，统一领导全县性行业协会商会党的工作，协调推动行业协会商会深化改革和转型发展。</w:t>
      </w:r>
    </w:p>
    <w:p w14:paraId="4E777A6C">
      <w:pPr>
        <w:pStyle w:val="11"/>
        <w:widowControl/>
        <w:spacing w:line="620" w:lineRule="exact"/>
        <w:ind w:firstLine="627" w:firstLineChars="196"/>
        <w:contextualSpacing/>
        <w:rPr>
          <w:rFonts w:hint="eastAsia" w:ascii="仿宋" w:hAnsi="仿宋" w:eastAsia="仿宋"/>
          <w:color w:val="auto"/>
          <w:kern w:val="0"/>
          <w:sz w:val="32"/>
          <w:szCs w:val="32"/>
        </w:rPr>
      </w:pPr>
      <w:r>
        <w:rPr>
          <w:rFonts w:hint="eastAsia" w:ascii="仿宋" w:hAnsi="仿宋" w:eastAsia="仿宋"/>
          <w:color w:val="auto"/>
          <w:kern w:val="0"/>
          <w:sz w:val="32"/>
          <w:szCs w:val="32"/>
        </w:rPr>
        <w:t>（五）指导混合所有制企业、非公有制企业和新经济组织、新社会组织、新就业群体党建工作，指导协调相关企业单位、社会组织、就业群体中党员的教育、管理、监督和服务工作，研究完善相关领域群众利益协调机制。</w:t>
      </w:r>
    </w:p>
    <w:p w14:paraId="183DA62E">
      <w:pPr>
        <w:pStyle w:val="11"/>
        <w:widowControl/>
        <w:spacing w:line="620" w:lineRule="exact"/>
        <w:ind w:firstLine="627" w:firstLineChars="196"/>
        <w:contextualSpacing/>
        <w:rPr>
          <w:rFonts w:hint="eastAsia" w:ascii="仿宋" w:hAnsi="仿宋" w:eastAsia="仿宋"/>
          <w:color w:val="auto"/>
          <w:kern w:val="0"/>
          <w:sz w:val="32"/>
          <w:szCs w:val="32"/>
        </w:rPr>
      </w:pPr>
      <w:r>
        <w:rPr>
          <w:rFonts w:hint="eastAsia" w:ascii="仿宋" w:hAnsi="仿宋" w:eastAsia="仿宋"/>
          <w:color w:val="auto"/>
          <w:kern w:val="0"/>
          <w:sz w:val="32"/>
          <w:szCs w:val="32"/>
        </w:rPr>
        <w:t>（六）负责全县志愿服务工作的统筹规划、协调指导、督促检查和经验推广。指导社会工作人才队伍建设。</w:t>
      </w:r>
    </w:p>
    <w:p w14:paraId="6DA78F3D">
      <w:pPr>
        <w:pStyle w:val="11"/>
        <w:widowControl/>
        <w:spacing w:line="620" w:lineRule="exact"/>
        <w:ind w:firstLine="627" w:firstLineChars="196"/>
        <w:contextualSpacing/>
        <w:rPr>
          <w:rFonts w:ascii="仿宋" w:hAnsi="仿宋" w:eastAsia="仿宋"/>
          <w:bCs/>
          <w:color w:val="auto"/>
          <w:kern w:val="0"/>
          <w:sz w:val="32"/>
          <w:szCs w:val="32"/>
        </w:rPr>
      </w:pPr>
      <w:r>
        <w:rPr>
          <w:rFonts w:hint="eastAsia" w:ascii="仿宋" w:hAnsi="仿宋" w:eastAsia="仿宋"/>
          <w:color w:val="auto"/>
          <w:kern w:val="0"/>
          <w:sz w:val="32"/>
          <w:szCs w:val="32"/>
        </w:rPr>
        <w:t>（七）完成县委交办的其他任务。</w:t>
      </w:r>
    </w:p>
    <w:p w14:paraId="5757AED3">
      <w:pPr>
        <w:pStyle w:val="11"/>
        <w:widowControl/>
        <w:spacing w:line="620" w:lineRule="exact"/>
        <w:ind w:firstLine="627" w:firstLineChars="196"/>
        <w:contextualSpacing/>
        <w:rPr>
          <w:rFonts w:hint="default" w:ascii="仿宋" w:hAnsi="仿宋" w:eastAsia="仿宋"/>
          <w:color w:val="auto"/>
          <w:kern w:val="0"/>
          <w:sz w:val="32"/>
          <w:szCs w:val="32"/>
          <w:lang w:val="en-US" w:eastAsia="zh-CN"/>
        </w:rPr>
      </w:pPr>
      <w:r>
        <w:rPr>
          <w:rFonts w:hint="eastAsia" w:ascii="仿宋" w:hAnsi="仿宋" w:eastAsia="仿宋"/>
          <w:bCs/>
          <w:color w:val="auto"/>
          <w:kern w:val="0"/>
          <w:sz w:val="32"/>
          <w:szCs w:val="32"/>
        </w:rPr>
        <w:t>主要业务：</w:t>
      </w:r>
      <w:r>
        <w:rPr>
          <w:rFonts w:hint="eastAsia" w:ascii="仿宋" w:hAnsi="仿宋" w:eastAsia="仿宋"/>
          <w:color w:val="auto"/>
          <w:kern w:val="0"/>
          <w:sz w:val="32"/>
          <w:szCs w:val="32"/>
          <w:lang w:val="en-US" w:eastAsia="zh-CN"/>
        </w:rPr>
        <w:t>党政引领基层治理基层政权、志愿服务人才队伍建设，指导全县非公有制企业和社会组织党建工作。</w:t>
      </w:r>
    </w:p>
    <w:p w14:paraId="6D752CA2">
      <w:pPr>
        <w:pStyle w:val="11"/>
        <w:widowControl/>
        <w:spacing w:line="620" w:lineRule="exact"/>
        <w:ind w:firstLine="640" w:firstLineChars="200"/>
        <w:contextualSpacing/>
        <w:rPr>
          <w:rFonts w:ascii="仿宋" w:hAnsi="仿宋" w:eastAsia="仿宋"/>
          <w:color w:val="auto"/>
          <w:sz w:val="32"/>
          <w:szCs w:val="32"/>
        </w:rPr>
      </w:pPr>
      <w:r>
        <w:rPr>
          <w:rFonts w:hint="eastAsia" w:ascii="仿宋" w:hAnsi="仿宋" w:eastAsia="仿宋"/>
          <w:color w:val="auto"/>
          <w:sz w:val="32"/>
          <w:szCs w:val="32"/>
        </w:rPr>
        <w:t>二、机构设置</w:t>
      </w:r>
    </w:p>
    <w:p w14:paraId="7D763970">
      <w:pPr>
        <w:pStyle w:val="13"/>
        <w:ind w:firstLine="627" w:firstLineChars="196"/>
        <w:rPr>
          <w:rFonts w:ascii="仿宋" w:hAnsi="仿宋" w:eastAsia="仿宋"/>
          <w:color w:val="auto"/>
          <w:kern w:val="0"/>
          <w:szCs w:val="32"/>
        </w:rPr>
      </w:pPr>
      <w:r>
        <w:rPr>
          <w:rFonts w:hint="eastAsia" w:ascii="仿宋" w:hAnsi="仿宋" w:eastAsia="仿宋"/>
          <w:color w:val="auto"/>
          <w:kern w:val="0"/>
          <w:szCs w:val="32"/>
        </w:rPr>
        <w:t>机构设置包括：</w:t>
      </w:r>
      <w:r>
        <w:rPr>
          <w:rFonts w:hint="eastAsia" w:ascii="仿宋" w:hAnsi="仿宋" w:eastAsia="仿宋"/>
          <w:color w:val="auto"/>
          <w:kern w:val="0"/>
          <w:szCs w:val="32"/>
          <w:lang w:val="en-US" w:eastAsia="zh-CN"/>
        </w:rPr>
        <w:t>基层治理科（党政综合办公室）</w:t>
      </w:r>
      <w:r>
        <w:rPr>
          <w:rFonts w:hint="eastAsia" w:ascii="仿宋" w:hAnsi="仿宋" w:eastAsia="仿宋"/>
          <w:color w:val="auto"/>
          <w:kern w:val="0"/>
          <w:szCs w:val="32"/>
        </w:rPr>
        <w:t>、非公有制企业和社会组织党工委办公室、</w:t>
      </w:r>
      <w:r>
        <w:rPr>
          <w:rFonts w:hint="eastAsia" w:ascii="仿宋" w:hAnsi="仿宋" w:eastAsia="仿宋"/>
          <w:color w:val="auto"/>
          <w:kern w:val="0"/>
          <w:szCs w:val="32"/>
          <w:lang w:val="en-US" w:eastAsia="zh-CN"/>
        </w:rPr>
        <w:t>永吉县社会工作促进中心。</w:t>
      </w:r>
    </w:p>
    <w:p w14:paraId="022FE967">
      <w:pPr>
        <w:pStyle w:val="13"/>
        <w:ind w:firstLine="627" w:firstLineChars="196"/>
        <w:rPr>
          <w:rFonts w:ascii="仿宋" w:hAnsi="仿宋" w:eastAsia="仿宋"/>
          <w:color w:val="auto"/>
          <w:kern w:val="0"/>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14</w:t>
      </w:r>
      <w:r>
        <w:rPr>
          <w:rFonts w:hint="eastAsia" w:ascii="仿宋" w:hAnsi="仿宋" w:eastAsia="仿宋"/>
          <w:color w:val="auto"/>
          <w:kern w:val="0"/>
          <w:szCs w:val="32"/>
        </w:rPr>
        <w:t>人，编制数</w:t>
      </w:r>
      <w:r>
        <w:rPr>
          <w:rFonts w:hint="eastAsia" w:ascii="仿宋" w:hAnsi="仿宋" w:eastAsia="仿宋"/>
          <w:color w:val="auto"/>
          <w:kern w:val="0"/>
          <w:szCs w:val="32"/>
          <w:lang w:val="en-US" w:eastAsia="zh-CN"/>
        </w:rPr>
        <w:t>15</w:t>
      </w:r>
      <w:r>
        <w:rPr>
          <w:rFonts w:hint="eastAsia" w:ascii="仿宋" w:hAnsi="仿宋" w:eastAsia="仿宋"/>
          <w:color w:val="auto"/>
          <w:kern w:val="0"/>
          <w:szCs w:val="32"/>
        </w:rPr>
        <w:t>人，领导职数</w:t>
      </w:r>
      <w:r>
        <w:rPr>
          <w:rFonts w:hint="eastAsia" w:ascii="仿宋" w:hAnsi="仿宋" w:eastAsia="仿宋"/>
          <w:color w:val="auto"/>
          <w:kern w:val="0"/>
          <w:szCs w:val="32"/>
          <w:lang w:val="en-US" w:eastAsia="zh-CN"/>
        </w:rPr>
        <w:t>3</w:t>
      </w:r>
      <w:r>
        <w:rPr>
          <w:rFonts w:hint="eastAsia" w:ascii="仿宋" w:hAnsi="仿宋" w:eastAsia="仿宋"/>
          <w:color w:val="auto"/>
          <w:kern w:val="0"/>
          <w:szCs w:val="32"/>
        </w:rPr>
        <w:t>个。</w:t>
      </w:r>
    </w:p>
    <w:p w14:paraId="3F194C91">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6731B470">
      <w:pPr>
        <w:jc w:val="left"/>
        <w:rPr>
          <w:rFonts w:ascii="仿宋" w:hAnsi="仿宋" w:eastAsia="仿宋"/>
          <w:color w:val="auto"/>
          <w:sz w:val="32"/>
          <w:szCs w:val="32"/>
        </w:rPr>
      </w:pPr>
    </w:p>
    <w:p w14:paraId="2327A84A">
      <w:pPr>
        <w:jc w:val="left"/>
        <w:rPr>
          <w:rFonts w:ascii="仿宋" w:hAnsi="仿宋" w:eastAsia="仿宋"/>
          <w:color w:val="auto"/>
          <w:sz w:val="32"/>
          <w:szCs w:val="32"/>
        </w:rPr>
      </w:pPr>
    </w:p>
    <w:p w14:paraId="30EC7C30">
      <w:pPr>
        <w:jc w:val="left"/>
        <w:rPr>
          <w:rFonts w:ascii="仿宋" w:hAnsi="仿宋" w:eastAsia="仿宋"/>
          <w:color w:val="auto"/>
          <w:sz w:val="32"/>
          <w:szCs w:val="32"/>
        </w:rPr>
      </w:pPr>
    </w:p>
    <w:p w14:paraId="22022DA2">
      <w:pPr>
        <w:jc w:val="left"/>
        <w:rPr>
          <w:rFonts w:ascii="仿宋" w:hAnsi="仿宋" w:eastAsia="仿宋"/>
          <w:color w:val="auto"/>
          <w:sz w:val="32"/>
          <w:szCs w:val="32"/>
        </w:rPr>
      </w:pPr>
    </w:p>
    <w:p w14:paraId="4494DF1B">
      <w:pPr>
        <w:jc w:val="left"/>
        <w:rPr>
          <w:rFonts w:ascii="仿宋" w:hAnsi="仿宋" w:eastAsia="仿宋"/>
          <w:color w:val="auto"/>
          <w:sz w:val="32"/>
          <w:szCs w:val="32"/>
        </w:rPr>
      </w:pPr>
    </w:p>
    <w:p w14:paraId="57CB687A">
      <w:pPr>
        <w:jc w:val="left"/>
        <w:rPr>
          <w:rFonts w:ascii="仿宋" w:hAnsi="仿宋" w:eastAsia="仿宋"/>
          <w:color w:val="auto"/>
          <w:sz w:val="32"/>
          <w:szCs w:val="32"/>
        </w:rPr>
      </w:pPr>
    </w:p>
    <w:p w14:paraId="08C38348">
      <w:pPr>
        <w:jc w:val="both"/>
        <w:rPr>
          <w:rFonts w:ascii="黑体" w:hAnsi="黑体" w:eastAsia="黑体"/>
          <w:color w:val="auto"/>
          <w:sz w:val="32"/>
          <w:szCs w:val="32"/>
        </w:rPr>
      </w:pPr>
    </w:p>
    <w:p w14:paraId="653D2C6B">
      <w:pPr>
        <w:jc w:val="center"/>
        <w:rPr>
          <w:rFonts w:ascii="黑体" w:hAnsi="黑体" w:eastAsia="黑体"/>
          <w:color w:val="auto"/>
          <w:sz w:val="32"/>
          <w:szCs w:val="32"/>
        </w:rPr>
      </w:pPr>
      <w:r>
        <w:rPr>
          <w:rFonts w:hint="eastAsia" w:ascii="黑体" w:hAnsi="黑体" w:eastAsia="黑体"/>
          <w:color w:val="auto"/>
          <w:sz w:val="32"/>
          <w:szCs w:val="32"/>
        </w:rPr>
        <w:t>第二部分  情况说明</w:t>
      </w:r>
    </w:p>
    <w:p w14:paraId="1A612949">
      <w:pPr>
        <w:jc w:val="left"/>
        <w:rPr>
          <w:rFonts w:ascii="仿宋" w:hAnsi="仿宋" w:eastAsia="仿宋"/>
          <w:color w:val="auto"/>
          <w:sz w:val="32"/>
          <w:szCs w:val="32"/>
        </w:rPr>
      </w:pPr>
      <w:r>
        <w:rPr>
          <w:rFonts w:hint="eastAsia" w:ascii="仿宋" w:hAnsi="仿宋" w:eastAsia="仿宋"/>
          <w:color w:val="auto"/>
          <w:sz w:val="32"/>
          <w:szCs w:val="32"/>
        </w:rPr>
        <w:t xml:space="preserve"> </w:t>
      </w:r>
    </w:p>
    <w:p w14:paraId="14665F96">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一、2026年收支预算总体情况</w:t>
      </w:r>
    </w:p>
    <w:p w14:paraId="790B2477">
      <w:pPr>
        <w:pStyle w:val="12"/>
        <w:ind w:firstLine="640" w:firstLineChars="200"/>
        <w:jc w:val="left"/>
        <w:rPr>
          <w:rFonts w:ascii="仿宋" w:hAnsi="仿宋" w:eastAsia="仿宋"/>
          <w:color w:val="auto"/>
          <w:sz w:val="32"/>
          <w:szCs w:val="32"/>
        </w:rPr>
      </w:pPr>
      <w:r>
        <w:rPr>
          <w:rFonts w:hint="eastAsia" w:ascii="仿宋" w:hAnsi="仿宋" w:eastAsia="仿宋"/>
          <w:color w:val="auto"/>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万元，比 2025年预算数</w:t>
      </w:r>
      <w:r>
        <w:rPr>
          <w:rFonts w:hint="eastAsia" w:ascii="仿宋" w:hAnsi="仿宋" w:eastAsia="仿宋"/>
          <w:color w:val="auto"/>
          <w:sz w:val="32"/>
          <w:szCs w:val="32"/>
          <w:lang w:val="en-US" w:eastAsia="zh-CN"/>
        </w:rPr>
        <w:t>127.35</w:t>
      </w:r>
      <w:r>
        <w:rPr>
          <w:rFonts w:hint="eastAsia" w:ascii="仿宋" w:hAnsi="仿宋" w:eastAsia="仿宋"/>
          <w:color w:val="auto"/>
          <w:sz w:val="32"/>
          <w:szCs w:val="32"/>
        </w:rPr>
        <w:t>万元增减</w:t>
      </w:r>
      <w:r>
        <w:rPr>
          <w:rFonts w:hint="eastAsia" w:ascii="仿宋" w:hAnsi="仿宋" w:eastAsia="仿宋"/>
          <w:color w:val="auto"/>
          <w:sz w:val="32"/>
          <w:szCs w:val="32"/>
          <w:lang w:val="en-US" w:eastAsia="zh-CN"/>
        </w:rPr>
        <w:t>38.65</w:t>
      </w:r>
      <w:r>
        <w:rPr>
          <w:rFonts w:hint="eastAsia" w:ascii="仿宋" w:hAnsi="仿宋" w:eastAsia="仿宋"/>
          <w:color w:val="auto"/>
          <w:sz w:val="32"/>
          <w:szCs w:val="32"/>
        </w:rPr>
        <w:t>万元，主要原因：</w:t>
      </w:r>
      <w:r>
        <w:rPr>
          <w:rFonts w:hint="eastAsia" w:ascii="仿宋" w:hAnsi="仿宋" w:eastAsia="仿宋"/>
          <w:color w:val="auto"/>
          <w:sz w:val="32"/>
          <w:szCs w:val="32"/>
          <w:lang w:val="en-US" w:eastAsia="zh-CN"/>
        </w:rPr>
        <w:t>新录用2名工作人员，及全体干部工资浮动等</w:t>
      </w:r>
      <w:r>
        <w:rPr>
          <w:rFonts w:hint="eastAsia" w:ascii="仿宋" w:hAnsi="仿宋" w:eastAsia="仿宋"/>
          <w:color w:val="auto"/>
          <w:sz w:val="32"/>
          <w:szCs w:val="32"/>
        </w:rPr>
        <w:t>。</w:t>
      </w:r>
    </w:p>
    <w:p w14:paraId="0594D500">
      <w:pPr>
        <w:pStyle w:val="12"/>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二、2026年收入预算情况</w:t>
      </w:r>
    </w:p>
    <w:p w14:paraId="5BB9355F">
      <w:pPr>
        <w:pStyle w:val="12"/>
        <w:ind w:left="319" w:leftChars="152" w:firstLine="320" w:firstLineChars="100"/>
        <w:jc w:val="left"/>
        <w:rPr>
          <w:rFonts w:ascii="仿宋" w:hAnsi="仿宋" w:eastAsia="仿宋"/>
          <w:color w:val="auto"/>
          <w:sz w:val="32"/>
          <w:szCs w:val="32"/>
        </w:rPr>
      </w:pPr>
      <w:r>
        <w:rPr>
          <w:rFonts w:hint="eastAsia" w:ascii="仿宋" w:hAnsi="仿宋" w:eastAsia="仿宋"/>
          <w:color w:val="auto"/>
          <w:sz w:val="32"/>
          <w:szCs w:val="32"/>
        </w:rPr>
        <w:t>2026年本单位收入预算</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万元，其中：一般公共预算收入</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%；政府性基金收入</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w:t>
      </w:r>
    </w:p>
    <w:p w14:paraId="262A2F8F">
      <w:pPr>
        <w:pStyle w:val="12"/>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 xml:space="preserve"> 三、2026年支出预算情况</w:t>
      </w:r>
    </w:p>
    <w:p w14:paraId="25859D74">
      <w:pPr>
        <w:pStyle w:val="12"/>
        <w:ind w:firstLine="640" w:firstLineChars="200"/>
        <w:rPr>
          <w:rFonts w:ascii="仿宋" w:hAnsi="仿宋" w:eastAsia="仿宋"/>
          <w:color w:val="auto"/>
          <w:sz w:val="32"/>
          <w:szCs w:val="32"/>
        </w:rPr>
      </w:pPr>
      <w:r>
        <w:rPr>
          <w:rFonts w:hint="eastAsia" w:ascii="仿宋" w:hAnsi="仿宋" w:eastAsia="仿宋"/>
          <w:color w:val="auto"/>
          <w:sz w:val="32"/>
          <w:szCs w:val="32"/>
        </w:rPr>
        <w:t>2026年支出预算</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162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97.59</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2.41</w:t>
      </w:r>
      <w:r>
        <w:rPr>
          <w:rFonts w:hint="eastAsia" w:ascii="仿宋" w:hAnsi="仿宋" w:eastAsia="仿宋"/>
          <w:color w:val="auto"/>
          <w:sz w:val="32"/>
          <w:szCs w:val="32"/>
        </w:rPr>
        <w:t>%。</w:t>
      </w:r>
    </w:p>
    <w:p w14:paraId="51040F2B">
      <w:pPr>
        <w:pStyle w:val="12"/>
        <w:ind w:firstLine="640" w:firstLineChars="200"/>
        <w:jc w:val="left"/>
        <w:rPr>
          <w:rFonts w:ascii="楷体" w:hAnsi="楷体" w:eastAsia="楷体"/>
          <w:color w:val="auto"/>
          <w:sz w:val="32"/>
          <w:szCs w:val="32"/>
        </w:rPr>
      </w:pPr>
      <w:r>
        <w:rPr>
          <w:rFonts w:hint="eastAsia" w:ascii="楷体" w:hAnsi="楷体" w:eastAsia="楷体"/>
          <w:color w:val="auto"/>
          <w:sz w:val="32"/>
          <w:szCs w:val="32"/>
        </w:rPr>
        <w:t>四、2026年财政拨款收支预算情况</w:t>
      </w:r>
    </w:p>
    <w:p w14:paraId="032F5B2D">
      <w:pPr>
        <w:pStyle w:val="12"/>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rPr>
        <w:t>2026年财政拨款收支总预算</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万元，其中：本年收入</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万元。本年支出</w:t>
      </w:r>
      <w:r>
        <w:rPr>
          <w:rFonts w:hint="eastAsia" w:ascii="仿宋" w:hAnsi="仿宋" w:eastAsia="仿宋"/>
          <w:color w:val="auto"/>
          <w:sz w:val="32"/>
          <w:szCs w:val="32"/>
          <w:lang w:val="en-US" w:eastAsia="zh-CN"/>
        </w:rPr>
        <w:t>166</w:t>
      </w:r>
      <w:r>
        <w:rPr>
          <w:rFonts w:hint="eastAsia" w:ascii="仿宋" w:hAnsi="仿宋" w:eastAsia="仿宋"/>
          <w:color w:val="auto"/>
          <w:sz w:val="32"/>
          <w:szCs w:val="32"/>
        </w:rPr>
        <w:t>万元，支出包括：一般公共服务支出</w:t>
      </w:r>
      <w:r>
        <w:rPr>
          <w:rFonts w:hint="eastAsia" w:ascii="仿宋" w:hAnsi="仿宋" w:eastAsia="仿宋"/>
          <w:color w:val="auto"/>
          <w:sz w:val="32"/>
          <w:szCs w:val="32"/>
          <w:lang w:val="en-US" w:eastAsia="zh-CN"/>
        </w:rPr>
        <w:t>135.47</w:t>
      </w:r>
      <w:r>
        <w:rPr>
          <w:rFonts w:hint="eastAsia" w:ascii="仿宋" w:hAnsi="仿宋" w:eastAsia="仿宋"/>
          <w:color w:val="auto"/>
          <w:sz w:val="32"/>
          <w:szCs w:val="32"/>
        </w:rPr>
        <w:t>万元，社会保障和就业支出</w:t>
      </w:r>
      <w:r>
        <w:rPr>
          <w:rFonts w:hint="eastAsia" w:ascii="仿宋" w:hAnsi="仿宋" w:eastAsia="仿宋"/>
          <w:color w:val="auto"/>
          <w:sz w:val="32"/>
          <w:szCs w:val="32"/>
          <w:lang w:val="en-US" w:eastAsia="zh-CN"/>
        </w:rPr>
        <w:t>17.14</w:t>
      </w:r>
      <w:r>
        <w:rPr>
          <w:rFonts w:hint="eastAsia" w:ascii="仿宋" w:hAnsi="仿宋" w:eastAsia="仿宋"/>
          <w:color w:val="auto"/>
          <w:sz w:val="32"/>
          <w:szCs w:val="32"/>
        </w:rPr>
        <w:t>万元，住房保障支出</w:t>
      </w:r>
      <w:r>
        <w:rPr>
          <w:rFonts w:hint="eastAsia" w:ascii="仿宋" w:hAnsi="仿宋" w:eastAsia="仿宋"/>
          <w:color w:val="auto"/>
          <w:sz w:val="32"/>
          <w:szCs w:val="32"/>
          <w:lang w:val="en-US" w:eastAsia="zh-CN"/>
        </w:rPr>
        <w:t>13.39</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p>
    <w:p w14:paraId="113EA7E6">
      <w:pPr>
        <w:pStyle w:val="12"/>
        <w:rPr>
          <w:rFonts w:ascii="楷体" w:hAnsi="楷体" w:eastAsia="楷体"/>
          <w:color w:val="auto"/>
          <w:sz w:val="32"/>
          <w:szCs w:val="32"/>
        </w:rPr>
      </w:pPr>
      <w:r>
        <w:rPr>
          <w:rFonts w:hint="eastAsia" w:ascii="仿宋" w:hAnsi="仿宋" w:eastAsia="仿宋"/>
          <w:color w:val="auto"/>
          <w:kern w:val="0"/>
          <w:sz w:val="32"/>
          <w:szCs w:val="32"/>
        </w:rPr>
        <w:t xml:space="preserve">    </w:t>
      </w:r>
      <w:r>
        <w:rPr>
          <w:rFonts w:hint="eastAsia" w:ascii="楷体" w:hAnsi="楷体" w:eastAsia="楷体" w:cs="楷体"/>
          <w:color w:val="auto"/>
          <w:kern w:val="0"/>
          <w:sz w:val="32"/>
          <w:szCs w:val="32"/>
        </w:rPr>
        <w:t>五、2026</w:t>
      </w:r>
      <w:r>
        <w:rPr>
          <w:rFonts w:hint="eastAsia" w:ascii="楷体" w:hAnsi="楷体" w:eastAsia="楷体"/>
          <w:color w:val="auto"/>
          <w:kern w:val="0"/>
          <w:sz w:val="32"/>
          <w:szCs w:val="32"/>
        </w:rPr>
        <w:t>年一般公共预算支出情况</w:t>
      </w:r>
    </w:p>
    <w:p w14:paraId="362C178E">
      <w:pPr>
        <w:ind w:firstLine="640" w:firstLineChars="200"/>
        <w:rPr>
          <w:rFonts w:ascii="仿宋" w:hAnsi="仿宋" w:eastAsia="仿宋"/>
          <w:color w:val="auto"/>
          <w:sz w:val="32"/>
          <w:szCs w:val="32"/>
        </w:rPr>
      </w:pPr>
      <w:r>
        <w:rPr>
          <w:rFonts w:hint="eastAsia" w:ascii="仿宋" w:hAnsi="仿宋" w:eastAsia="仿宋"/>
          <w:color w:val="auto"/>
          <w:sz w:val="32"/>
          <w:szCs w:val="32"/>
        </w:rPr>
        <w:t>2026年一般公共预算当年拨款</w:t>
      </w:r>
      <w:r>
        <w:rPr>
          <w:rFonts w:hint="eastAsia" w:ascii="仿宋" w:hAnsi="仿宋" w:eastAsia="仿宋"/>
          <w:color w:val="auto"/>
          <w:sz w:val="32"/>
          <w:szCs w:val="32"/>
          <w:lang w:val="en-US" w:eastAsia="zh-CN"/>
        </w:rPr>
        <w:t>135.47</w:t>
      </w:r>
      <w:r>
        <w:rPr>
          <w:rFonts w:hint="eastAsia" w:ascii="仿宋" w:hAnsi="仿宋" w:eastAsia="仿宋"/>
          <w:color w:val="auto"/>
          <w:sz w:val="32"/>
          <w:szCs w:val="32"/>
        </w:rPr>
        <w:t>万元，其中：基本支出</w:t>
      </w:r>
      <w:r>
        <w:rPr>
          <w:rFonts w:hint="eastAsia" w:ascii="仿宋" w:hAnsi="仿宋" w:eastAsia="仿宋"/>
          <w:color w:val="auto"/>
          <w:sz w:val="32"/>
          <w:szCs w:val="32"/>
          <w:lang w:val="en-US" w:eastAsia="zh-CN"/>
        </w:rPr>
        <w:t>131.47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97.05</w:t>
      </w:r>
      <w:r>
        <w:rPr>
          <w:rFonts w:hint="eastAsia" w:ascii="仿宋" w:hAnsi="仿宋" w:eastAsia="仿宋"/>
          <w:color w:val="auto"/>
          <w:sz w:val="32"/>
          <w:szCs w:val="32"/>
        </w:rPr>
        <w:t>%；项目支出</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2.95</w:t>
      </w:r>
      <w:r>
        <w:rPr>
          <w:rFonts w:hint="eastAsia" w:ascii="仿宋" w:hAnsi="仿宋" w:eastAsia="仿宋"/>
          <w:color w:val="auto"/>
          <w:sz w:val="32"/>
          <w:szCs w:val="32"/>
        </w:rPr>
        <w:t>%。基本支出中，人员经费</w:t>
      </w:r>
      <w:r>
        <w:rPr>
          <w:rFonts w:hint="eastAsia" w:ascii="仿宋" w:hAnsi="仿宋" w:eastAsia="仿宋"/>
          <w:color w:val="auto"/>
          <w:sz w:val="32"/>
          <w:szCs w:val="32"/>
          <w:lang w:val="en-US" w:eastAsia="zh-CN"/>
        </w:rPr>
        <w:t>118.23</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89.93</w:t>
      </w:r>
      <w:r>
        <w:rPr>
          <w:rFonts w:hint="eastAsia" w:ascii="仿宋" w:hAnsi="仿宋" w:eastAsia="仿宋"/>
          <w:color w:val="auto"/>
          <w:sz w:val="32"/>
          <w:szCs w:val="32"/>
        </w:rPr>
        <w:t>%；公用经费</w:t>
      </w:r>
      <w:r>
        <w:rPr>
          <w:rFonts w:hint="eastAsia" w:ascii="仿宋" w:hAnsi="仿宋" w:eastAsia="仿宋"/>
          <w:color w:val="auto"/>
          <w:sz w:val="32"/>
          <w:szCs w:val="32"/>
          <w:lang w:val="en-US" w:eastAsia="zh-CN"/>
        </w:rPr>
        <w:t>13.24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10.07</w:t>
      </w:r>
      <w:r>
        <w:rPr>
          <w:rFonts w:hint="eastAsia" w:ascii="仿宋" w:hAnsi="仿宋" w:eastAsia="仿宋"/>
          <w:color w:val="auto"/>
          <w:sz w:val="32"/>
          <w:szCs w:val="32"/>
        </w:rPr>
        <w:t>%。</w:t>
      </w:r>
    </w:p>
    <w:p w14:paraId="7AE3769D">
      <w:pPr>
        <w:ind w:firstLine="640" w:firstLineChars="200"/>
        <w:rPr>
          <w:rFonts w:ascii="仿宋" w:hAnsi="仿宋" w:eastAsia="仿宋"/>
          <w:color w:val="auto"/>
          <w:sz w:val="32"/>
          <w:szCs w:val="32"/>
        </w:rPr>
      </w:pPr>
      <w:r>
        <w:rPr>
          <w:rFonts w:hint="eastAsia" w:ascii="仿宋" w:hAnsi="仿宋" w:eastAsia="仿宋"/>
          <w:color w:val="auto"/>
          <w:sz w:val="32"/>
          <w:szCs w:val="32"/>
        </w:rPr>
        <w:t>一般公共服务（类）支出</w:t>
      </w:r>
      <w:r>
        <w:rPr>
          <w:rFonts w:hint="eastAsia" w:ascii="仿宋" w:hAnsi="仿宋" w:eastAsia="仿宋"/>
          <w:color w:val="auto"/>
          <w:sz w:val="32"/>
          <w:szCs w:val="32"/>
          <w:lang w:val="en-US" w:eastAsia="zh-CN"/>
        </w:rPr>
        <w:t>135.47</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100</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人员经费和办公经费</w:t>
      </w:r>
      <w:r>
        <w:rPr>
          <w:rFonts w:hint="eastAsia" w:ascii="仿宋" w:hAnsi="仿宋" w:eastAsia="仿宋"/>
          <w:color w:val="auto"/>
          <w:sz w:val="32"/>
          <w:szCs w:val="32"/>
        </w:rPr>
        <w:t>。</w:t>
      </w:r>
    </w:p>
    <w:p w14:paraId="59F47C99">
      <w:pPr>
        <w:ind w:firstLine="640" w:firstLineChars="200"/>
        <w:rPr>
          <w:rFonts w:ascii="仿宋" w:hAnsi="仿宋" w:eastAsia="仿宋"/>
          <w:color w:val="auto"/>
          <w:sz w:val="32"/>
          <w:szCs w:val="32"/>
        </w:rPr>
      </w:pPr>
      <w:r>
        <w:rPr>
          <w:rFonts w:hint="eastAsia" w:ascii="仿宋" w:hAnsi="仿宋" w:eastAsia="仿宋"/>
          <w:color w:val="auto"/>
          <w:sz w:val="32"/>
          <w:szCs w:val="32"/>
        </w:rPr>
        <w:t>社会保障和就业（类）支出</w:t>
      </w:r>
      <w:r>
        <w:rPr>
          <w:rFonts w:hint="eastAsia" w:ascii="仿宋" w:hAnsi="仿宋" w:eastAsia="仿宋"/>
          <w:color w:val="auto"/>
          <w:sz w:val="32"/>
          <w:szCs w:val="32"/>
          <w:lang w:val="en-US" w:eastAsia="zh-CN"/>
        </w:rPr>
        <w:t>17.14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12.6</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%，主要用于：</w:t>
      </w:r>
      <w:r>
        <w:rPr>
          <w:rFonts w:hint="eastAsia" w:ascii="仿宋" w:hAnsi="仿宋" w:eastAsia="仿宋"/>
          <w:color w:val="auto"/>
          <w:sz w:val="32"/>
          <w:szCs w:val="32"/>
          <w:lang w:val="en-US" w:eastAsia="zh-CN"/>
        </w:rPr>
        <w:t>机关事业养老保险缴费支出</w:t>
      </w:r>
      <w:r>
        <w:rPr>
          <w:rFonts w:hint="eastAsia" w:ascii="仿宋" w:hAnsi="仿宋" w:eastAsia="仿宋"/>
          <w:color w:val="auto"/>
          <w:sz w:val="32"/>
          <w:szCs w:val="32"/>
        </w:rPr>
        <w:t>。</w:t>
      </w:r>
    </w:p>
    <w:p w14:paraId="752A0F73">
      <w:pPr>
        <w:ind w:firstLine="640" w:firstLineChars="200"/>
        <w:rPr>
          <w:rFonts w:ascii="仿宋" w:hAnsi="仿宋" w:eastAsia="仿宋"/>
          <w:color w:val="auto"/>
          <w:sz w:val="32"/>
          <w:szCs w:val="32"/>
        </w:rPr>
      </w:pPr>
      <w:r>
        <w:rPr>
          <w:rFonts w:hint="eastAsia" w:ascii="仿宋" w:hAnsi="仿宋" w:eastAsia="仿宋"/>
          <w:color w:val="auto"/>
          <w:sz w:val="32"/>
          <w:szCs w:val="32"/>
        </w:rPr>
        <w:t>住房保障（类）支出</w:t>
      </w:r>
      <w:r>
        <w:rPr>
          <w:rFonts w:hint="eastAsia" w:ascii="仿宋" w:hAnsi="仿宋" w:eastAsia="仿宋"/>
          <w:color w:val="auto"/>
          <w:sz w:val="32"/>
          <w:szCs w:val="32"/>
          <w:lang w:val="en-US" w:eastAsia="zh-CN"/>
        </w:rPr>
        <w:t>13.39</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9.88</w:t>
      </w:r>
      <w:r>
        <w:rPr>
          <w:rFonts w:hint="eastAsia" w:ascii="仿宋" w:hAnsi="仿宋" w:eastAsia="仿宋"/>
          <w:color w:val="auto"/>
          <w:sz w:val="32"/>
          <w:szCs w:val="32"/>
        </w:rPr>
        <w:t>%，主要用于</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住房公积金缴费支出</w:t>
      </w:r>
      <w:r>
        <w:rPr>
          <w:rFonts w:hint="eastAsia" w:ascii="仿宋" w:hAnsi="仿宋" w:eastAsia="仿宋"/>
          <w:color w:val="auto"/>
          <w:sz w:val="32"/>
          <w:szCs w:val="32"/>
        </w:rPr>
        <w:t>。</w:t>
      </w:r>
    </w:p>
    <w:p w14:paraId="1D655B29">
      <w:pPr>
        <w:ind w:firstLine="640" w:firstLineChars="200"/>
        <w:rPr>
          <w:rFonts w:ascii="楷体" w:hAnsi="楷体" w:eastAsia="楷体"/>
          <w:color w:val="auto"/>
          <w:kern w:val="0"/>
          <w:sz w:val="32"/>
          <w:szCs w:val="32"/>
        </w:rPr>
      </w:pPr>
      <w:r>
        <w:rPr>
          <w:rFonts w:hint="eastAsia" w:ascii="楷体" w:hAnsi="楷体" w:eastAsia="楷体"/>
          <w:color w:val="auto"/>
          <w:kern w:val="0"/>
          <w:sz w:val="32"/>
          <w:szCs w:val="32"/>
        </w:rPr>
        <w:t>六、2026年一般公共预算基本支出情况</w:t>
      </w:r>
    </w:p>
    <w:p w14:paraId="28556014">
      <w:pPr>
        <w:ind w:firstLine="640" w:firstLineChars="200"/>
        <w:rPr>
          <w:rFonts w:ascii="仿宋" w:hAnsi="仿宋" w:eastAsia="仿宋"/>
          <w:color w:val="auto"/>
          <w:sz w:val="32"/>
          <w:szCs w:val="32"/>
        </w:rPr>
      </w:pPr>
      <w:r>
        <w:rPr>
          <w:rFonts w:hint="eastAsia" w:ascii="仿宋" w:hAnsi="仿宋" w:eastAsia="仿宋"/>
          <w:color w:val="auto"/>
          <w:sz w:val="32"/>
          <w:szCs w:val="32"/>
        </w:rPr>
        <w:t>2026年一般公共预算基本支出</w:t>
      </w:r>
      <w:r>
        <w:rPr>
          <w:rFonts w:hint="eastAsia" w:ascii="仿宋" w:hAnsi="仿宋" w:eastAsia="仿宋"/>
          <w:color w:val="auto"/>
          <w:sz w:val="32"/>
          <w:szCs w:val="32"/>
          <w:lang w:val="en-US" w:eastAsia="zh-CN"/>
        </w:rPr>
        <w:t>131.47</w:t>
      </w:r>
      <w:r>
        <w:rPr>
          <w:rFonts w:hint="eastAsia" w:ascii="仿宋" w:hAnsi="仿宋" w:eastAsia="仿宋"/>
          <w:color w:val="auto"/>
          <w:sz w:val="32"/>
          <w:szCs w:val="32"/>
        </w:rPr>
        <w:t>万元，其中：</w:t>
      </w:r>
    </w:p>
    <w:p w14:paraId="03F48596">
      <w:pPr>
        <w:ind w:firstLine="640" w:firstLineChars="200"/>
        <w:rPr>
          <w:rFonts w:ascii="仿宋" w:hAnsi="仿宋" w:eastAsia="仿宋"/>
          <w:color w:val="auto"/>
          <w:sz w:val="32"/>
          <w:szCs w:val="32"/>
        </w:rPr>
      </w:pPr>
      <w:r>
        <w:rPr>
          <w:rFonts w:hint="eastAsia" w:ascii="仿宋" w:hAnsi="仿宋" w:eastAsia="仿宋"/>
          <w:color w:val="auto"/>
          <w:sz w:val="32"/>
          <w:szCs w:val="32"/>
        </w:rPr>
        <w:t>人员经费118.23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10"/>
        <w:ind w:firstLine="627" w:firstLineChars="196"/>
        <w:rPr>
          <w:rFonts w:ascii="仿宋" w:hAnsi="仿宋" w:eastAsia="仿宋"/>
          <w:color w:val="auto"/>
          <w:kern w:val="0"/>
          <w:sz w:val="32"/>
          <w:szCs w:val="32"/>
        </w:rPr>
      </w:pPr>
      <w:r>
        <w:rPr>
          <w:rFonts w:hint="eastAsia" w:ascii="仿宋" w:hAnsi="仿宋" w:eastAsia="仿宋"/>
          <w:color w:val="auto"/>
          <w:sz w:val="32"/>
          <w:szCs w:val="32"/>
        </w:rPr>
        <w:t>公用经费13.24万元，主要包括：办公费、印刷费、邮电费、差旅费、工会经费等。</w:t>
      </w:r>
    </w:p>
    <w:p w14:paraId="5080A63D">
      <w:pPr>
        <w:pStyle w:val="10"/>
        <w:ind w:firstLine="640" w:firstLineChars="200"/>
        <w:rPr>
          <w:rFonts w:ascii="楷体" w:hAnsi="楷体" w:eastAsia="楷体"/>
          <w:color w:val="auto"/>
          <w:kern w:val="0"/>
          <w:sz w:val="32"/>
          <w:szCs w:val="32"/>
        </w:rPr>
      </w:pPr>
      <w:r>
        <w:rPr>
          <w:rFonts w:hint="eastAsia" w:ascii="楷体" w:hAnsi="楷体" w:eastAsia="楷体"/>
          <w:color w:val="auto"/>
          <w:kern w:val="0"/>
          <w:sz w:val="32"/>
          <w:szCs w:val="32"/>
        </w:rPr>
        <w:t>七、2026年一般公共预算财政拨款“三公经费”情况</w:t>
      </w:r>
    </w:p>
    <w:p w14:paraId="2ABE82ED">
      <w:pPr>
        <w:pStyle w:val="10"/>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2026年“三公”经费预算数</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 xml:space="preserve">万元，比2025年预算减少 </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万元。其中：</w:t>
      </w:r>
    </w:p>
    <w:p w14:paraId="1319EA80">
      <w:pPr>
        <w:pStyle w:val="10"/>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1.因公出国（境）费0万元，与</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2025年预算数相同。</w:t>
      </w:r>
    </w:p>
    <w:p w14:paraId="5B2D5F87">
      <w:pPr>
        <w:pStyle w:val="10"/>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2.公务接待费</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万元，比 2025年预算数减少</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万元，主要原因是</w:t>
      </w:r>
      <w:r>
        <w:rPr>
          <w:rFonts w:hint="eastAsia" w:ascii="仿宋" w:hAnsi="仿宋" w:eastAsia="仿宋"/>
          <w:color w:val="auto"/>
          <w:kern w:val="0"/>
          <w:sz w:val="32"/>
          <w:szCs w:val="32"/>
          <w:lang w:val="en-US" w:eastAsia="zh-CN"/>
        </w:rPr>
        <w:t>无</w:t>
      </w:r>
      <w:r>
        <w:rPr>
          <w:rFonts w:hint="eastAsia" w:ascii="仿宋" w:hAnsi="仿宋" w:eastAsia="仿宋"/>
          <w:color w:val="auto"/>
          <w:kern w:val="0"/>
          <w:sz w:val="32"/>
          <w:szCs w:val="32"/>
        </w:rPr>
        <w:t>公务接待费。</w:t>
      </w:r>
    </w:p>
    <w:p w14:paraId="372830BC">
      <w:pPr>
        <w:pStyle w:val="10"/>
        <w:ind w:firstLine="627" w:firstLineChars="196"/>
        <w:rPr>
          <w:rFonts w:ascii="仿宋" w:hAnsi="仿宋" w:eastAsia="仿宋"/>
          <w:color w:val="auto"/>
          <w:kern w:val="0"/>
          <w:sz w:val="32"/>
          <w:szCs w:val="32"/>
        </w:rPr>
      </w:pPr>
      <w:r>
        <w:rPr>
          <w:rFonts w:hint="eastAsia" w:ascii="仿宋" w:hAnsi="仿宋" w:eastAsia="仿宋"/>
          <w:color w:val="auto"/>
          <w:kern w:val="0"/>
          <w:sz w:val="32"/>
          <w:szCs w:val="32"/>
        </w:rPr>
        <w:t>3.公务用车购置及运行费</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万元，比2025年预算数减</w:t>
      </w:r>
    </w:p>
    <w:p w14:paraId="7288DF6E">
      <w:pPr>
        <w:pStyle w:val="10"/>
        <w:rPr>
          <w:rFonts w:ascii="仿宋" w:hAnsi="仿宋" w:eastAsia="仿宋"/>
          <w:color w:val="auto"/>
          <w:kern w:val="0"/>
          <w:sz w:val="32"/>
          <w:szCs w:val="32"/>
        </w:rPr>
      </w:pPr>
      <w:r>
        <w:rPr>
          <w:rFonts w:hint="eastAsia" w:ascii="仿宋" w:hAnsi="仿宋" w:eastAsia="仿宋"/>
          <w:color w:val="auto"/>
          <w:kern w:val="0"/>
          <w:sz w:val="32"/>
          <w:szCs w:val="32"/>
        </w:rPr>
        <w:t>少</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万元。其中，公务用车运行维护费</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万元，比2025年减少</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万元，主要原因是</w:t>
      </w:r>
      <w:r>
        <w:rPr>
          <w:rFonts w:hint="eastAsia" w:ascii="仿宋" w:hAnsi="仿宋" w:eastAsia="仿宋"/>
          <w:color w:val="auto"/>
          <w:kern w:val="0"/>
          <w:sz w:val="32"/>
          <w:szCs w:val="32"/>
          <w:lang w:val="en-US" w:eastAsia="zh-CN"/>
        </w:rPr>
        <w:t>无</w:t>
      </w:r>
      <w:r>
        <w:rPr>
          <w:rFonts w:hint="eastAsia" w:ascii="仿宋" w:hAnsi="仿宋" w:eastAsia="仿宋"/>
          <w:color w:val="auto"/>
          <w:kern w:val="0"/>
          <w:sz w:val="32"/>
          <w:szCs w:val="32"/>
        </w:rPr>
        <w:t>公务用车运行维护费，公务用车购置</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万元，比2025年减少</w:t>
      </w:r>
      <w:r>
        <w:rPr>
          <w:rFonts w:hint="eastAsia" w:ascii="仿宋" w:hAnsi="仿宋" w:eastAsia="仿宋"/>
          <w:color w:val="auto"/>
          <w:kern w:val="0"/>
          <w:sz w:val="32"/>
          <w:szCs w:val="32"/>
          <w:lang w:val="en-US" w:eastAsia="zh-CN"/>
        </w:rPr>
        <w:t>0</w:t>
      </w:r>
      <w:r>
        <w:rPr>
          <w:rFonts w:hint="eastAsia" w:ascii="仿宋" w:hAnsi="仿宋" w:eastAsia="仿宋"/>
          <w:color w:val="auto"/>
          <w:kern w:val="0"/>
          <w:sz w:val="32"/>
          <w:szCs w:val="32"/>
        </w:rPr>
        <w:t>万元，主要原因是</w:t>
      </w:r>
      <w:r>
        <w:rPr>
          <w:rFonts w:hint="eastAsia" w:ascii="仿宋" w:hAnsi="仿宋" w:eastAsia="仿宋"/>
          <w:color w:val="auto"/>
          <w:kern w:val="0"/>
          <w:sz w:val="32"/>
          <w:szCs w:val="32"/>
          <w:lang w:val="en-US" w:eastAsia="zh-CN"/>
        </w:rPr>
        <w:t>无</w:t>
      </w:r>
      <w:r>
        <w:rPr>
          <w:rFonts w:hint="eastAsia" w:ascii="仿宋" w:hAnsi="仿宋" w:eastAsia="仿宋"/>
          <w:color w:val="auto"/>
          <w:kern w:val="0"/>
          <w:sz w:val="32"/>
          <w:szCs w:val="32"/>
        </w:rPr>
        <w:t>公务用车运行维护费。</w:t>
      </w:r>
    </w:p>
    <w:p w14:paraId="60353E9A">
      <w:pPr>
        <w:pStyle w:val="10"/>
        <w:rPr>
          <w:rFonts w:ascii="楷体" w:hAnsi="楷体" w:eastAsia="楷体" w:cs="楷体"/>
          <w:color w:val="auto"/>
          <w:sz w:val="32"/>
          <w:szCs w:val="32"/>
        </w:rPr>
      </w:pPr>
      <w:r>
        <w:rPr>
          <w:rFonts w:hint="eastAsia" w:ascii="仿宋" w:hAnsi="仿宋" w:eastAsia="仿宋"/>
          <w:color w:val="auto"/>
          <w:sz w:val="32"/>
          <w:szCs w:val="32"/>
        </w:rPr>
        <w:t xml:space="preserve">    </w:t>
      </w:r>
      <w:r>
        <w:rPr>
          <w:rFonts w:hint="eastAsia" w:ascii="楷体" w:hAnsi="楷体" w:eastAsia="楷体" w:cs="楷体"/>
          <w:color w:val="auto"/>
          <w:sz w:val="32"/>
          <w:szCs w:val="32"/>
        </w:rPr>
        <w:t>八、2026年政府性基金预算支出情况</w:t>
      </w:r>
    </w:p>
    <w:p w14:paraId="6CFED0B9">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2026年本单位无政府性基金预算支出</w:t>
      </w:r>
    </w:p>
    <w:p w14:paraId="39906816">
      <w:pPr>
        <w:pStyle w:val="10"/>
        <w:ind w:firstLine="640"/>
        <w:rPr>
          <w:rFonts w:ascii="楷体" w:hAnsi="楷体" w:eastAsia="楷体" w:cs="楷体"/>
          <w:color w:val="auto"/>
          <w:sz w:val="32"/>
          <w:szCs w:val="32"/>
        </w:rPr>
      </w:pPr>
      <w:r>
        <w:rPr>
          <w:rFonts w:hint="eastAsia" w:ascii="楷体" w:hAnsi="楷体" w:eastAsia="楷体" w:cs="楷体"/>
          <w:color w:val="auto"/>
          <w:sz w:val="32"/>
          <w:szCs w:val="32"/>
        </w:rPr>
        <w:t>九、2026年国有资本经营预算支出情况</w:t>
      </w:r>
    </w:p>
    <w:p w14:paraId="78271549">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2026年本单位无国有资本经营预算支出。</w:t>
      </w:r>
    </w:p>
    <w:p w14:paraId="028EDDC6">
      <w:pPr>
        <w:numPr>
          <w:ilvl w:val="0"/>
          <w:numId w:val="3"/>
        </w:numPr>
        <w:jc w:val="left"/>
        <w:rPr>
          <w:rFonts w:ascii="楷体" w:hAnsi="楷体" w:eastAsia="楷体" w:cs="楷体"/>
          <w:color w:val="auto"/>
          <w:sz w:val="32"/>
          <w:szCs w:val="32"/>
        </w:rPr>
      </w:pPr>
      <w:r>
        <w:rPr>
          <w:rFonts w:hint="eastAsia" w:ascii="楷体" w:hAnsi="楷体" w:eastAsia="楷体" w:cs="楷体"/>
          <w:color w:val="auto"/>
          <w:sz w:val="32"/>
          <w:szCs w:val="32"/>
        </w:rPr>
        <w:t>其他重要事项的说明情况</w:t>
      </w:r>
    </w:p>
    <w:p w14:paraId="4DBB8460">
      <w:pPr>
        <w:ind w:firstLine="640" w:firstLineChars="200"/>
        <w:jc w:val="left"/>
        <w:rPr>
          <w:rFonts w:ascii="楷体" w:hAnsi="楷体" w:eastAsia="楷体" w:cs="楷体"/>
          <w:color w:val="auto"/>
          <w:sz w:val="32"/>
          <w:szCs w:val="32"/>
        </w:rPr>
      </w:pPr>
      <w:r>
        <w:rPr>
          <w:rFonts w:hint="eastAsia" w:ascii="楷体" w:hAnsi="楷体" w:eastAsia="楷体" w:cs="楷体"/>
          <w:color w:val="auto"/>
          <w:sz w:val="32"/>
          <w:szCs w:val="32"/>
        </w:rPr>
        <w:t>（一）机关运行经费</w:t>
      </w:r>
    </w:p>
    <w:p w14:paraId="33FE9514">
      <w:pPr>
        <w:pStyle w:val="9"/>
        <w:ind w:firstLine="640"/>
        <w:rPr>
          <w:rFonts w:ascii="仿宋" w:hAnsi="仿宋" w:eastAsia="仿宋"/>
          <w:color w:val="auto"/>
          <w:sz w:val="32"/>
          <w:szCs w:val="32"/>
        </w:rPr>
      </w:pPr>
      <w:r>
        <w:rPr>
          <w:rFonts w:hint="eastAsia" w:ascii="仿宋" w:hAnsi="仿宋" w:eastAsia="仿宋"/>
          <w:color w:val="auto"/>
          <w:sz w:val="32"/>
          <w:szCs w:val="32"/>
        </w:rPr>
        <w:t>2026年本单位机关运行经费财政拨款预算</w:t>
      </w:r>
      <w:r>
        <w:rPr>
          <w:rFonts w:hint="eastAsia" w:ascii="仿宋" w:hAnsi="仿宋" w:eastAsia="仿宋"/>
          <w:color w:val="auto"/>
          <w:sz w:val="32"/>
          <w:szCs w:val="32"/>
          <w:lang w:val="en-US" w:eastAsia="zh-CN"/>
        </w:rPr>
        <w:t>3.95</w:t>
      </w:r>
      <w:r>
        <w:rPr>
          <w:rFonts w:hint="eastAsia" w:ascii="仿宋" w:hAnsi="仿宋" w:eastAsia="仿宋"/>
          <w:color w:val="auto"/>
          <w:sz w:val="32"/>
          <w:szCs w:val="32"/>
        </w:rPr>
        <w:t>万元，比 2025年预算增加</w:t>
      </w:r>
      <w:r>
        <w:rPr>
          <w:rFonts w:hint="eastAsia" w:ascii="仿宋" w:hAnsi="仿宋" w:eastAsia="仿宋"/>
          <w:color w:val="auto"/>
          <w:sz w:val="32"/>
          <w:szCs w:val="32"/>
          <w:lang w:val="en-US" w:eastAsia="zh-CN"/>
        </w:rPr>
        <w:t>0.53</w:t>
      </w:r>
      <w:r>
        <w:rPr>
          <w:rFonts w:hint="eastAsia" w:ascii="仿宋" w:hAnsi="仿宋" w:eastAsia="仿宋"/>
          <w:color w:val="auto"/>
          <w:sz w:val="32"/>
          <w:szCs w:val="32"/>
        </w:rPr>
        <w:t>万元，增长</w:t>
      </w:r>
      <w:r>
        <w:rPr>
          <w:rFonts w:hint="eastAsia" w:ascii="仿宋" w:hAnsi="仿宋" w:eastAsia="仿宋"/>
          <w:color w:val="auto"/>
          <w:sz w:val="32"/>
          <w:szCs w:val="32"/>
          <w:lang w:val="en-US" w:eastAsia="zh-CN"/>
        </w:rPr>
        <w:t>15.50</w:t>
      </w:r>
      <w:r>
        <w:rPr>
          <w:rFonts w:hint="eastAsia" w:ascii="仿宋" w:hAnsi="仿宋" w:eastAsia="仿宋"/>
          <w:color w:val="auto"/>
          <w:sz w:val="32"/>
          <w:szCs w:val="32"/>
        </w:rPr>
        <w:t>%，主要原因是</w:t>
      </w:r>
      <w:r>
        <w:rPr>
          <w:rFonts w:hint="eastAsia" w:ascii="仿宋" w:hAnsi="仿宋" w:eastAsia="仿宋"/>
          <w:color w:val="auto"/>
          <w:sz w:val="32"/>
          <w:szCs w:val="32"/>
          <w:lang w:val="en-US" w:eastAsia="zh-CN"/>
        </w:rPr>
        <w:t>新录用2名工作人员</w:t>
      </w:r>
      <w:r>
        <w:rPr>
          <w:rFonts w:hint="eastAsia" w:ascii="仿宋" w:hAnsi="仿宋" w:eastAsia="仿宋"/>
          <w:color w:val="auto"/>
          <w:sz w:val="32"/>
          <w:szCs w:val="32"/>
        </w:rPr>
        <w:t>。</w:t>
      </w:r>
    </w:p>
    <w:p w14:paraId="3C4DC5AB">
      <w:pPr>
        <w:ind w:firstLine="640" w:firstLineChars="200"/>
        <w:jc w:val="left"/>
        <w:rPr>
          <w:rFonts w:ascii="楷体" w:hAnsi="楷体" w:eastAsia="楷体"/>
          <w:color w:val="auto"/>
          <w:sz w:val="32"/>
          <w:szCs w:val="32"/>
        </w:rPr>
      </w:pPr>
      <w:r>
        <w:rPr>
          <w:rFonts w:hint="eastAsia" w:ascii="楷体" w:hAnsi="楷体" w:eastAsia="楷体"/>
          <w:color w:val="auto"/>
          <w:sz w:val="32"/>
          <w:szCs w:val="32"/>
        </w:rPr>
        <w:t>（二）政府采购情况</w:t>
      </w:r>
    </w:p>
    <w:p w14:paraId="5E4EE068">
      <w:pPr>
        <w:ind w:firstLine="640" w:firstLineChars="200"/>
        <w:jc w:val="left"/>
        <w:rPr>
          <w:rFonts w:ascii="仿宋" w:hAnsi="仿宋" w:eastAsia="仿宋"/>
          <w:color w:val="auto"/>
          <w:sz w:val="32"/>
          <w:szCs w:val="32"/>
        </w:rPr>
      </w:pPr>
      <w:r>
        <w:rPr>
          <w:rFonts w:hint="eastAsia" w:ascii="仿宋" w:hAnsi="仿宋" w:eastAsia="仿宋"/>
          <w:color w:val="auto"/>
          <w:sz w:val="32"/>
          <w:szCs w:val="32"/>
        </w:rPr>
        <w:t>2026年政府采购预算总额</w:t>
      </w:r>
      <w:r>
        <w:rPr>
          <w:rFonts w:hint="eastAsia" w:ascii="仿宋" w:hAnsi="仿宋" w:eastAsia="仿宋"/>
          <w:color w:val="auto"/>
          <w:sz w:val="32"/>
          <w:szCs w:val="32"/>
          <w:lang w:val="en-US" w:eastAsia="zh-CN"/>
        </w:rPr>
        <w:t>3.95</w:t>
      </w:r>
      <w:r>
        <w:rPr>
          <w:rFonts w:hint="eastAsia" w:ascii="仿宋" w:hAnsi="仿宋" w:eastAsia="仿宋"/>
          <w:color w:val="auto"/>
          <w:sz w:val="32"/>
          <w:szCs w:val="32"/>
        </w:rPr>
        <w:t>万元，其中：政府采购办公设备和其他设备预算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万元，政府采购工程预算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万元，政府采购服务预算</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14:paraId="32E1CB5D">
      <w:pPr>
        <w:jc w:val="left"/>
        <w:rPr>
          <w:rFonts w:ascii="楷体" w:hAnsi="楷体" w:eastAsia="楷体"/>
          <w:color w:val="auto"/>
          <w:sz w:val="32"/>
          <w:szCs w:val="32"/>
        </w:rPr>
      </w:pPr>
      <w:r>
        <w:rPr>
          <w:rFonts w:hint="eastAsia" w:ascii="仿宋" w:hAnsi="仿宋" w:eastAsia="仿宋"/>
          <w:color w:val="auto"/>
          <w:sz w:val="32"/>
          <w:szCs w:val="32"/>
        </w:rPr>
        <w:t xml:space="preserve">    </w:t>
      </w:r>
      <w:r>
        <w:rPr>
          <w:rFonts w:hint="eastAsia" w:ascii="楷体" w:hAnsi="楷体" w:eastAsia="楷体"/>
          <w:color w:val="auto"/>
          <w:sz w:val="32"/>
          <w:szCs w:val="32"/>
        </w:rPr>
        <w:t>（三）国有资产占有使用情况</w:t>
      </w:r>
    </w:p>
    <w:p w14:paraId="6E80D1C3">
      <w:pPr>
        <w:pStyle w:val="9"/>
        <w:ind w:firstLine="0" w:firstLineChars="0"/>
        <w:jc w:val="left"/>
        <w:rPr>
          <w:rFonts w:ascii="仿宋" w:hAnsi="仿宋" w:eastAsia="仿宋"/>
          <w:color w:val="auto"/>
          <w:sz w:val="32"/>
          <w:szCs w:val="32"/>
        </w:rPr>
      </w:pPr>
      <w:r>
        <w:rPr>
          <w:rFonts w:hint="eastAsia" w:ascii="仿宋" w:hAnsi="仿宋" w:eastAsia="仿宋"/>
          <w:color w:val="auto"/>
          <w:sz w:val="32"/>
          <w:szCs w:val="32"/>
        </w:rPr>
        <w:t xml:space="preserve">    截至2026年1月，部门本级和所属各预算单位共有车辆</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辆，其中，领导干部用车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辆、一般公务用车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辆,一般执法执勤用车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辆、特种专业技术用车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辆、其他用车</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辆，价值200万元以上大型设备</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台（套）。</w:t>
      </w:r>
    </w:p>
    <w:p w14:paraId="7CFB465B">
      <w:pPr>
        <w:pStyle w:val="9"/>
        <w:ind w:firstLine="640"/>
        <w:jc w:val="left"/>
        <w:rPr>
          <w:rFonts w:ascii="仿宋" w:hAnsi="仿宋" w:eastAsia="仿宋"/>
          <w:color w:val="auto"/>
          <w:sz w:val="32"/>
          <w:szCs w:val="32"/>
        </w:rPr>
      </w:pPr>
      <w:r>
        <w:rPr>
          <w:rFonts w:hint="eastAsia" w:ascii="仿宋" w:hAnsi="仿宋" w:eastAsia="仿宋"/>
          <w:color w:val="auto"/>
          <w:sz w:val="32"/>
          <w:szCs w:val="32"/>
        </w:rPr>
        <w:t>2026年部门预算安排购置车辆及价值200万元以上大型设备</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万元，其中</w:t>
      </w:r>
      <w:r>
        <w:rPr>
          <w:rFonts w:hint="eastAsia" w:ascii="仿宋" w:hAnsi="仿宋" w:eastAsia="仿宋"/>
          <w:color w:val="auto"/>
          <w:sz w:val="32"/>
          <w:szCs w:val="32"/>
          <w:lang w:val="en-US" w:eastAsia="zh-CN"/>
        </w:rPr>
        <w:t>本单位无公车</w:t>
      </w:r>
      <w:r>
        <w:rPr>
          <w:rFonts w:hint="eastAsia" w:ascii="仿宋" w:hAnsi="仿宋" w:eastAsia="仿宋"/>
          <w:color w:val="auto"/>
          <w:sz w:val="32"/>
          <w:szCs w:val="32"/>
        </w:rPr>
        <w:t>。</w:t>
      </w:r>
    </w:p>
    <w:p w14:paraId="6C4F4062">
      <w:pPr>
        <w:numPr>
          <w:ilvl w:val="0"/>
          <w:numId w:val="4"/>
        </w:numPr>
        <w:ind w:firstLine="640"/>
        <w:jc w:val="left"/>
        <w:rPr>
          <w:rFonts w:ascii="楷体" w:hAnsi="楷体" w:eastAsia="楷体"/>
          <w:color w:val="auto"/>
          <w:sz w:val="32"/>
          <w:szCs w:val="32"/>
        </w:rPr>
      </w:pPr>
      <w:r>
        <w:rPr>
          <w:rFonts w:hint="eastAsia" w:ascii="楷体" w:hAnsi="楷体" w:eastAsia="楷体"/>
          <w:color w:val="auto"/>
          <w:sz w:val="32"/>
          <w:szCs w:val="32"/>
        </w:rPr>
        <w:t>预算项目绩效目标管理情况</w:t>
      </w:r>
    </w:p>
    <w:p w14:paraId="2A5558C3">
      <w:pPr>
        <w:jc w:val="left"/>
        <w:rPr>
          <w:rFonts w:ascii="仿宋" w:hAnsi="仿宋" w:eastAsia="仿宋"/>
          <w:color w:val="auto"/>
          <w:sz w:val="32"/>
          <w:szCs w:val="32"/>
        </w:rPr>
      </w:pPr>
      <w:r>
        <w:rPr>
          <w:rFonts w:hint="eastAsia" w:ascii="仿宋" w:hAnsi="仿宋" w:eastAsia="仿宋"/>
          <w:color w:val="auto"/>
          <w:sz w:val="32"/>
          <w:szCs w:val="32"/>
        </w:rPr>
        <w:t xml:space="preserve">    按照全面实施预算绩效管理的要求，结合本部门职能和重点工作，2026年将</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个项目支出的绩效目标和指标向社会公开，涉及金额</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w:t>
      </w:r>
    </w:p>
    <w:p w14:paraId="3C527A83">
      <w:pPr>
        <w:jc w:val="center"/>
        <w:rPr>
          <w:rFonts w:ascii="仿宋" w:hAnsi="仿宋" w:eastAsia="仿宋"/>
          <w:color w:val="auto"/>
          <w:sz w:val="32"/>
          <w:szCs w:val="32"/>
        </w:rPr>
      </w:pPr>
    </w:p>
    <w:p w14:paraId="5BEAB39C">
      <w:pPr>
        <w:numPr>
          <w:ilvl w:val="0"/>
          <w:numId w:val="5"/>
        </w:numPr>
        <w:jc w:val="center"/>
        <w:rPr>
          <w:rFonts w:hint="eastAsia" w:ascii="黑体" w:hAnsi="黑体" w:eastAsia="黑体"/>
          <w:color w:val="auto"/>
          <w:sz w:val="32"/>
          <w:szCs w:val="32"/>
        </w:rPr>
      </w:pPr>
      <w:r>
        <w:rPr>
          <w:rFonts w:hint="eastAsia" w:ascii="黑体" w:hAnsi="黑体" w:eastAsia="黑体"/>
          <w:color w:val="auto"/>
          <w:sz w:val="32"/>
          <w:szCs w:val="32"/>
        </w:rPr>
        <w:t xml:space="preserve"> 名词解释</w:t>
      </w:r>
    </w:p>
    <w:p w14:paraId="35785182">
      <w:pPr>
        <w:numPr>
          <w:numId w:val="0"/>
        </w:numPr>
        <w:jc w:val="both"/>
        <w:rPr>
          <w:rFonts w:hint="eastAsia" w:ascii="黑体" w:hAnsi="黑体" w:eastAsia="黑体"/>
          <w:color w:val="auto"/>
          <w:sz w:val="32"/>
          <w:szCs w:val="32"/>
        </w:rPr>
      </w:pPr>
    </w:p>
    <w:p w14:paraId="72BA8D45">
      <w:pPr>
        <w:jc w:val="left"/>
        <w:rPr>
          <w:rFonts w:hint="eastAsia" w:ascii="仿宋" w:hAnsi="仿宋" w:eastAsia="仿宋"/>
          <w:color w:val="auto"/>
          <w:sz w:val="32"/>
          <w:szCs w:val="32"/>
        </w:rPr>
      </w:pPr>
      <w:r>
        <w:rPr>
          <w:rFonts w:hint="eastAsia" w:ascii="仿宋" w:hAnsi="仿宋" w:eastAsia="仿宋"/>
          <w:color w:val="auto"/>
          <w:sz w:val="32"/>
          <w:szCs w:val="32"/>
        </w:rPr>
        <w:t>一、一般公共预算拨款收入：指本级财政通过当年一般公共预算拨付的资金。</w:t>
      </w:r>
    </w:p>
    <w:p w14:paraId="2B7CFECE">
      <w:pPr>
        <w:jc w:val="left"/>
        <w:rPr>
          <w:rFonts w:hint="eastAsia" w:ascii="仿宋" w:hAnsi="仿宋" w:eastAsia="仿宋"/>
          <w:color w:val="auto"/>
          <w:sz w:val="32"/>
          <w:szCs w:val="32"/>
        </w:rPr>
      </w:pPr>
      <w:r>
        <w:rPr>
          <w:rFonts w:hint="eastAsia" w:ascii="仿宋" w:hAnsi="仿宋" w:eastAsia="仿宋"/>
          <w:color w:val="auto"/>
          <w:sz w:val="32"/>
          <w:szCs w:val="32"/>
        </w:rPr>
        <w:t>二、政府性基金预算拨款收入：指本级财政通过当年政府性基金预算拨付的资金。</w:t>
      </w:r>
    </w:p>
    <w:p w14:paraId="19E1AEFC">
      <w:pPr>
        <w:jc w:val="left"/>
        <w:rPr>
          <w:rFonts w:hint="eastAsia" w:ascii="仿宋" w:hAnsi="仿宋" w:eastAsia="仿宋"/>
          <w:color w:val="auto"/>
          <w:sz w:val="32"/>
          <w:szCs w:val="32"/>
        </w:rPr>
      </w:pPr>
      <w:r>
        <w:rPr>
          <w:rFonts w:hint="eastAsia" w:ascii="仿宋" w:hAnsi="仿宋" w:eastAsia="仿宋"/>
          <w:color w:val="auto"/>
          <w:sz w:val="32"/>
          <w:szCs w:val="32"/>
        </w:rPr>
        <w:t>三、国有资本经营预算拨款收入：指本级财政通过当年国有资本经营预算拨付的资金。</w:t>
      </w:r>
    </w:p>
    <w:p w14:paraId="253786D9">
      <w:pPr>
        <w:jc w:val="left"/>
        <w:rPr>
          <w:rFonts w:hint="eastAsia" w:ascii="仿宋" w:hAnsi="仿宋" w:eastAsia="仿宋"/>
          <w:color w:val="auto"/>
          <w:sz w:val="32"/>
          <w:szCs w:val="32"/>
        </w:rPr>
      </w:pPr>
      <w:r>
        <w:rPr>
          <w:rFonts w:hint="eastAsia" w:ascii="仿宋" w:hAnsi="仿宋" w:eastAsia="仿宋"/>
          <w:color w:val="auto"/>
          <w:sz w:val="32"/>
          <w:szCs w:val="32"/>
        </w:rPr>
        <w:t>四、其他收入：指除上述收入以外的各项收入。包括银行存款利息收入。</w:t>
      </w:r>
    </w:p>
    <w:p w14:paraId="2EE06A32">
      <w:pPr>
        <w:jc w:val="left"/>
        <w:rPr>
          <w:rFonts w:hint="eastAsia" w:ascii="仿宋" w:hAnsi="仿宋" w:eastAsia="仿宋"/>
          <w:color w:val="auto"/>
          <w:sz w:val="32"/>
          <w:szCs w:val="32"/>
        </w:rPr>
      </w:pPr>
      <w:r>
        <w:rPr>
          <w:rFonts w:hint="eastAsia" w:ascii="仿宋" w:hAnsi="仿宋" w:eastAsia="仿宋"/>
          <w:color w:val="auto"/>
          <w:sz w:val="32"/>
          <w:szCs w:val="32"/>
        </w:rPr>
        <w:t>五、基本支出：指为保障机构正常运转、完成日常工作任务而发生的人员支出和公用支出等各项支出。</w:t>
      </w:r>
    </w:p>
    <w:p w14:paraId="3E01DA3E">
      <w:pPr>
        <w:jc w:val="left"/>
        <w:rPr>
          <w:rFonts w:hint="eastAsia" w:ascii="仿宋" w:hAnsi="仿宋" w:eastAsia="仿宋"/>
          <w:color w:val="auto"/>
          <w:sz w:val="32"/>
          <w:szCs w:val="32"/>
        </w:rPr>
      </w:pPr>
      <w:r>
        <w:rPr>
          <w:rFonts w:hint="eastAsia" w:ascii="仿宋" w:hAnsi="仿宋" w:eastAsia="仿宋"/>
          <w:color w:val="auto"/>
          <w:sz w:val="32"/>
          <w:szCs w:val="32"/>
        </w:rPr>
        <w:t>六、项目支出：指在基本支出之外为完成特定行政工作任务和事业发展目标所发生的各项支出。</w:t>
      </w:r>
    </w:p>
    <w:p w14:paraId="0FD705C5">
      <w:pPr>
        <w:jc w:val="left"/>
        <w:rPr>
          <w:rFonts w:hint="eastAsia" w:ascii="仿宋" w:hAnsi="仿宋" w:eastAsia="仿宋"/>
          <w:color w:val="auto"/>
          <w:sz w:val="32"/>
          <w:szCs w:val="32"/>
        </w:rPr>
      </w:pPr>
      <w:r>
        <w:rPr>
          <w:rFonts w:hint="eastAsia" w:ascii="仿宋" w:hAnsi="仿宋" w:eastAsia="仿宋"/>
          <w:color w:val="auto"/>
          <w:sz w:val="32"/>
          <w:szCs w:val="32"/>
        </w:rPr>
        <w:t>七、年初结转和结余：指以前年度尚未完成、结转到本年仍按原规定用途继续使用的资金，或项目已完成等产生的结余资金。</w:t>
      </w:r>
    </w:p>
    <w:p w14:paraId="45ECA056">
      <w:pPr>
        <w:jc w:val="left"/>
        <w:rPr>
          <w:rFonts w:hint="eastAsia" w:ascii="仿宋" w:hAnsi="仿宋" w:eastAsia="仿宋"/>
          <w:color w:val="auto"/>
          <w:sz w:val="32"/>
          <w:szCs w:val="32"/>
        </w:rPr>
      </w:pPr>
      <w:r>
        <w:rPr>
          <w:rFonts w:hint="eastAsia" w:ascii="仿宋" w:hAnsi="仿宋" w:eastAsia="仿宋"/>
          <w:color w:val="auto"/>
          <w:sz w:val="32"/>
          <w:szCs w:val="32"/>
        </w:rPr>
        <w:t>八、年末结转和结余：指事业单位按有关规定结转到下年或以后年度继续使用的资金，或项目已完成等产生的结余资金。</w:t>
      </w:r>
    </w:p>
    <w:p w14:paraId="57DA4EF3">
      <w:pPr>
        <w:jc w:val="left"/>
        <w:rPr>
          <w:rFonts w:hint="eastAsia" w:ascii="仿宋" w:hAnsi="仿宋" w:eastAsia="仿宋"/>
          <w:color w:val="auto"/>
          <w:sz w:val="32"/>
          <w:szCs w:val="32"/>
        </w:rPr>
      </w:pPr>
      <w:r>
        <w:rPr>
          <w:rFonts w:hint="eastAsia" w:ascii="仿宋" w:hAnsi="仿宋" w:eastAsia="仿宋"/>
          <w:color w:val="auto"/>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jc w:val="left"/>
        <w:rPr>
          <w:rFonts w:hint="eastAsia" w:ascii="仿宋" w:hAnsi="仿宋" w:eastAsia="仿宋"/>
          <w:color w:val="auto"/>
          <w:sz w:val="32"/>
          <w:szCs w:val="32"/>
        </w:rPr>
      </w:pPr>
      <w:r>
        <w:rPr>
          <w:rFonts w:hint="eastAsia" w:ascii="仿宋" w:hAnsi="仿宋" w:eastAsia="仿宋"/>
          <w:color w:val="auto"/>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jc w:val="left"/>
        <w:rPr>
          <w:rFonts w:hint="eastAsia" w:ascii="仿宋" w:hAnsi="仿宋" w:eastAsia="仿宋"/>
          <w:color w:val="auto"/>
          <w:sz w:val="32"/>
          <w:szCs w:val="32"/>
        </w:rPr>
      </w:pPr>
      <w:r>
        <w:rPr>
          <w:rFonts w:hint="eastAsia" w:ascii="仿宋" w:hAnsi="仿宋" w:eastAsia="仿宋"/>
          <w:color w:val="auto"/>
          <w:sz w:val="32"/>
          <w:szCs w:val="32"/>
        </w:rPr>
        <w:t>十一、住房公积金支出：指行政事业单位按人力资源和社会保障部、财政部规定的基本工资和津贴补贴以及规定比例为职工缴纳的住房公积金支出。</w:t>
      </w:r>
    </w:p>
    <w:p w14:paraId="7751B935">
      <w:pPr>
        <w:jc w:val="left"/>
        <w:rPr>
          <w:rFonts w:hint="eastAsia" w:ascii="仿宋" w:hAnsi="仿宋" w:eastAsia="仿宋"/>
          <w:color w:val="auto"/>
          <w:sz w:val="32"/>
          <w:szCs w:val="32"/>
        </w:rPr>
      </w:pPr>
      <w:r>
        <w:rPr>
          <w:rFonts w:hint="eastAsia" w:ascii="仿宋" w:hAnsi="仿宋" w:eastAsia="仿宋"/>
          <w:color w:val="auto"/>
          <w:sz w:val="32"/>
          <w:szCs w:val="32"/>
        </w:rPr>
        <w:t>十二、项目支出绩效目标：是以项目支出为对象，以项目实施所带来的产出和结果为主要内容，为促进预算单位完成特定工作任务或事业发展所制定的目标。</w:t>
      </w:r>
    </w:p>
    <w:p w14:paraId="00E3AD42">
      <w:pPr>
        <w:jc w:val="left"/>
        <w:rPr>
          <w:rFonts w:ascii="仿宋" w:hAnsi="仿宋" w:eastAsia="仿宋"/>
          <w:b/>
          <w:color w:val="auto"/>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2735CC4A"/>
    <w:multiLevelType w:val="singleLevel"/>
    <w:tmpl w:val="2735CC4A"/>
    <w:lvl w:ilvl="0" w:tentative="0">
      <w:start w:val="3"/>
      <w:numFmt w:val="chineseCounting"/>
      <w:suff w:val="space"/>
      <w:lvlText w:val="第%1部分"/>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B15A98"/>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BC24FE4"/>
    <w:rsid w:val="6C626D3D"/>
    <w:rsid w:val="6DF0400D"/>
    <w:rsid w:val="6E5B22F8"/>
    <w:rsid w:val="700E2DC7"/>
    <w:rsid w:val="701F58F4"/>
    <w:rsid w:val="70EF2762"/>
    <w:rsid w:val="71201EF9"/>
    <w:rsid w:val="716F5053"/>
    <w:rsid w:val="729E55FD"/>
    <w:rsid w:val="73D62900"/>
    <w:rsid w:val="73FA7C77"/>
    <w:rsid w:val="744E2CC6"/>
    <w:rsid w:val="744F0BEE"/>
    <w:rsid w:val="746E51AC"/>
    <w:rsid w:val="74A55A8E"/>
    <w:rsid w:val="7539654A"/>
    <w:rsid w:val="75836739"/>
    <w:rsid w:val="76C753DE"/>
    <w:rsid w:val="76C775D8"/>
    <w:rsid w:val="77FC6956"/>
    <w:rsid w:val="7A64282A"/>
    <w:rsid w:val="7A8D6ADA"/>
    <w:rsid w:val="7AE2097E"/>
    <w:rsid w:val="7C4E2736"/>
    <w:rsid w:val="7DB366E4"/>
    <w:rsid w:val="7E3B2C6B"/>
    <w:rsid w:val="7E492DA2"/>
    <w:rsid w:val="7E6E62E2"/>
    <w:rsid w:val="7F654D11"/>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3106</Words>
  <Characters>3360</Characters>
  <Lines>21</Lines>
  <Paragraphs>6</Paragraphs>
  <TotalTime>47</TotalTime>
  <ScaleCrop>false</ScaleCrop>
  <LinksUpToDate>false</LinksUpToDate>
  <CharactersWithSpaces>3426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你是年少的欢喜</cp:lastModifiedBy>
  <dcterms:modified xsi:type="dcterms:W3CDTF">2026-03-24T06:40:36Z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FE64CB46D1C54928A6131E760F58E9FA_13</vt:lpwstr>
  </property>
  <property fmtid="{D5CDD505-2E9C-101B-9397-08002B2CF9AE}" pid="4" name="KSOTemplateDocerSaveRecord">
    <vt:lpwstr>eyJoZGlkIjoiNTM4ZTlhMGJjYmZmNTkwNjI0MjQ3NGE1MjBkMTc0ODYiLCJ1c2VySWQiOiIzNzUxNDIxOTcifQ==</vt:lpwstr>
  </property>
</Properties>
</file>