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highlight w:val="none"/>
        </w:rPr>
      </w:pPr>
    </w:p>
    <w:p w14:paraId="0722EA08">
      <w:pPr>
        <w:jc w:val="center"/>
        <w:rPr>
          <w:rFonts w:ascii="黑体" w:hAnsi="黑体" w:eastAsia="黑体"/>
          <w:sz w:val="44"/>
          <w:szCs w:val="44"/>
          <w:highlight w:val="none"/>
        </w:rPr>
      </w:pPr>
    </w:p>
    <w:p w14:paraId="5712AD97">
      <w:pPr>
        <w:jc w:val="center"/>
        <w:rPr>
          <w:rFonts w:ascii="黑体" w:hAnsi="黑体" w:eastAsia="黑体"/>
          <w:sz w:val="44"/>
          <w:szCs w:val="44"/>
          <w:highlight w:val="none"/>
        </w:rPr>
      </w:pPr>
    </w:p>
    <w:p w14:paraId="4DAE025F">
      <w:pPr>
        <w:jc w:val="center"/>
        <w:rPr>
          <w:rFonts w:ascii="黑体" w:hAnsi="黑体" w:eastAsia="黑体"/>
          <w:sz w:val="44"/>
          <w:szCs w:val="44"/>
          <w:highlight w:val="none"/>
        </w:rPr>
      </w:pPr>
    </w:p>
    <w:p w14:paraId="5C6FEE61">
      <w:pPr>
        <w:jc w:val="center"/>
        <w:rPr>
          <w:rFonts w:ascii="黑体" w:hAnsi="黑体" w:eastAsia="黑体"/>
          <w:sz w:val="44"/>
          <w:szCs w:val="44"/>
          <w:highlight w:val="none"/>
        </w:rPr>
      </w:pPr>
    </w:p>
    <w:p w14:paraId="0050A5F4">
      <w:pPr>
        <w:jc w:val="center"/>
        <w:rPr>
          <w:rFonts w:ascii="黑体" w:hAnsi="黑体" w:eastAsia="黑体"/>
          <w:sz w:val="52"/>
          <w:szCs w:val="52"/>
          <w:highlight w:val="none"/>
        </w:rPr>
      </w:pPr>
      <w:r>
        <w:rPr>
          <w:rFonts w:hint="eastAsia" w:ascii="黑体" w:hAnsi="黑体" w:eastAsia="黑体"/>
          <w:sz w:val="52"/>
          <w:szCs w:val="52"/>
          <w:highlight w:val="none"/>
          <w:lang w:val="en-US" w:eastAsia="zh-CN"/>
        </w:rPr>
        <w:t>北大湖镇中心学校</w:t>
      </w:r>
      <w:r>
        <w:rPr>
          <w:rFonts w:hint="eastAsia" w:ascii="黑体" w:hAnsi="黑体" w:eastAsia="黑体"/>
          <w:sz w:val="52"/>
          <w:szCs w:val="52"/>
          <w:highlight w:val="none"/>
        </w:rPr>
        <w:t>2026年部门预算</w:t>
      </w:r>
    </w:p>
    <w:p w14:paraId="5C42AB12">
      <w:pPr>
        <w:jc w:val="center"/>
        <w:rPr>
          <w:rFonts w:ascii="黑体" w:hAnsi="黑体" w:eastAsia="黑体"/>
          <w:sz w:val="44"/>
          <w:szCs w:val="44"/>
          <w:highlight w:val="none"/>
        </w:rPr>
      </w:pPr>
    </w:p>
    <w:p w14:paraId="5EF162CE">
      <w:pPr>
        <w:jc w:val="center"/>
        <w:rPr>
          <w:rFonts w:ascii="黑体" w:hAnsi="黑体" w:eastAsia="黑体"/>
          <w:sz w:val="44"/>
          <w:szCs w:val="44"/>
          <w:highlight w:val="none"/>
        </w:rPr>
      </w:pPr>
    </w:p>
    <w:p w14:paraId="6D7738A2">
      <w:pPr>
        <w:jc w:val="center"/>
        <w:rPr>
          <w:rFonts w:ascii="黑体" w:hAnsi="黑体" w:eastAsia="黑体"/>
          <w:sz w:val="44"/>
          <w:szCs w:val="44"/>
          <w:highlight w:val="none"/>
        </w:rPr>
      </w:pPr>
    </w:p>
    <w:p w14:paraId="1997C969">
      <w:pPr>
        <w:jc w:val="center"/>
        <w:rPr>
          <w:rFonts w:ascii="黑体" w:hAnsi="黑体" w:eastAsia="黑体"/>
          <w:sz w:val="44"/>
          <w:szCs w:val="44"/>
          <w:highlight w:val="none"/>
        </w:rPr>
      </w:pPr>
    </w:p>
    <w:p w14:paraId="4F4ABFCB">
      <w:pPr>
        <w:jc w:val="center"/>
        <w:rPr>
          <w:rFonts w:ascii="黑体" w:hAnsi="黑体" w:eastAsia="黑体"/>
          <w:sz w:val="44"/>
          <w:szCs w:val="44"/>
          <w:highlight w:val="none"/>
        </w:rPr>
      </w:pPr>
    </w:p>
    <w:p w14:paraId="6E03DA41">
      <w:pPr>
        <w:jc w:val="center"/>
        <w:rPr>
          <w:rFonts w:ascii="黑体" w:hAnsi="黑体" w:eastAsia="黑体"/>
          <w:sz w:val="44"/>
          <w:szCs w:val="44"/>
          <w:highlight w:val="none"/>
        </w:rPr>
      </w:pPr>
    </w:p>
    <w:p w14:paraId="34D8D65D">
      <w:pPr>
        <w:jc w:val="center"/>
        <w:rPr>
          <w:rFonts w:ascii="黑体" w:hAnsi="黑体" w:eastAsia="黑体"/>
          <w:sz w:val="44"/>
          <w:szCs w:val="44"/>
          <w:highlight w:val="none"/>
        </w:rPr>
      </w:pPr>
    </w:p>
    <w:p w14:paraId="01FD5D38">
      <w:pPr>
        <w:jc w:val="center"/>
        <w:rPr>
          <w:rFonts w:ascii="黑体" w:hAnsi="黑体" w:eastAsia="黑体"/>
          <w:sz w:val="44"/>
          <w:szCs w:val="44"/>
          <w:highlight w:val="none"/>
        </w:rPr>
      </w:pPr>
    </w:p>
    <w:p w14:paraId="380AB34E">
      <w:pPr>
        <w:jc w:val="center"/>
        <w:rPr>
          <w:rFonts w:ascii="黑体" w:hAnsi="黑体" w:eastAsia="黑体"/>
          <w:sz w:val="44"/>
          <w:szCs w:val="44"/>
          <w:highlight w:val="none"/>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highlight w:val="none"/>
        </w:rPr>
      </w:pPr>
    </w:p>
    <w:p w14:paraId="357EC0AC">
      <w:pPr>
        <w:jc w:val="center"/>
        <w:rPr>
          <w:rFonts w:ascii="黑体" w:hAnsi="黑体" w:eastAsia="黑体"/>
          <w:sz w:val="44"/>
          <w:szCs w:val="44"/>
          <w:highlight w:val="none"/>
        </w:rPr>
      </w:pPr>
    </w:p>
    <w:p w14:paraId="661A2997">
      <w:pPr>
        <w:jc w:val="center"/>
        <w:rPr>
          <w:rFonts w:ascii="黑体" w:hAnsi="黑体" w:eastAsia="黑体"/>
          <w:sz w:val="44"/>
          <w:szCs w:val="44"/>
          <w:highlight w:val="none"/>
        </w:rPr>
      </w:pPr>
    </w:p>
    <w:p w14:paraId="60FA0F16">
      <w:pPr>
        <w:jc w:val="center"/>
        <w:rPr>
          <w:rFonts w:ascii="黑体" w:hAnsi="黑体" w:eastAsia="黑体"/>
          <w:sz w:val="44"/>
          <w:szCs w:val="44"/>
          <w:highlight w:val="none"/>
        </w:rPr>
      </w:pPr>
    </w:p>
    <w:p w14:paraId="74A34429">
      <w:pPr>
        <w:jc w:val="center"/>
        <w:rPr>
          <w:rFonts w:ascii="黑体" w:hAnsi="黑体" w:eastAsia="黑体"/>
          <w:sz w:val="44"/>
          <w:szCs w:val="44"/>
          <w:highlight w:val="none"/>
        </w:rPr>
      </w:pPr>
    </w:p>
    <w:p w14:paraId="18C3CAAE">
      <w:pPr>
        <w:jc w:val="center"/>
        <w:rPr>
          <w:rFonts w:ascii="黑体" w:hAnsi="黑体" w:eastAsia="黑体"/>
          <w:sz w:val="44"/>
          <w:szCs w:val="44"/>
          <w:highlight w:val="none"/>
        </w:rPr>
      </w:pPr>
    </w:p>
    <w:p w14:paraId="406F54B2">
      <w:pPr>
        <w:jc w:val="center"/>
        <w:rPr>
          <w:rFonts w:hint="eastAsia" w:ascii="黑体" w:hAnsi="黑体" w:eastAsia="黑体"/>
          <w:sz w:val="44"/>
          <w:szCs w:val="44"/>
          <w:highlight w:val="none"/>
        </w:rPr>
      </w:pPr>
      <w:r>
        <w:rPr>
          <w:rFonts w:hint="eastAsia" w:ascii="黑体" w:hAnsi="黑体" w:eastAsia="黑体"/>
          <w:sz w:val="44"/>
          <w:szCs w:val="44"/>
          <w:highlight w:val="none"/>
          <w:lang w:val="en-US" w:eastAsia="zh-CN"/>
        </w:rPr>
        <w:t>北大湖镇中心学校</w:t>
      </w:r>
      <w:r>
        <w:rPr>
          <w:rFonts w:hint="eastAsia" w:ascii="黑体" w:hAnsi="黑体" w:eastAsia="黑体"/>
          <w:sz w:val="44"/>
          <w:szCs w:val="44"/>
          <w:highlight w:val="none"/>
        </w:rPr>
        <w:t>2026年预算</w:t>
      </w:r>
    </w:p>
    <w:p w14:paraId="1F07C9F7">
      <w:pPr>
        <w:jc w:val="center"/>
        <w:rPr>
          <w:rFonts w:ascii="黑体" w:hAnsi="黑体" w:eastAsia="黑体"/>
          <w:sz w:val="44"/>
          <w:szCs w:val="44"/>
          <w:highlight w:val="none"/>
        </w:rPr>
      </w:pPr>
    </w:p>
    <w:p w14:paraId="63B0757E">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3BC81682">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73DDC628">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F6E16B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5EE08171">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6F11FF87">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7BA36606">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7E4B53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收支总表</w:t>
      </w:r>
    </w:p>
    <w:p w14:paraId="257AF4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收入总表</w:t>
      </w:r>
    </w:p>
    <w:p w14:paraId="490A2BE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支出总表</w:t>
      </w:r>
    </w:p>
    <w:p w14:paraId="5F6425A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财政拨款收支总表</w:t>
      </w:r>
    </w:p>
    <w:p w14:paraId="500637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6CBA4F0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534C5B2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一般公共预算“三公”经费支出表</w:t>
      </w:r>
    </w:p>
    <w:p w14:paraId="4685FD4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政府性基金预算支出表</w:t>
      </w:r>
    </w:p>
    <w:p w14:paraId="696DB8A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国有资本经营预算支出表</w:t>
      </w:r>
    </w:p>
    <w:p w14:paraId="2C937F0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项目支出表</w:t>
      </w:r>
    </w:p>
    <w:p w14:paraId="3CED8429">
      <w:pPr>
        <w:rPr>
          <w:rFonts w:ascii="仿宋" w:hAnsi="仿宋" w:eastAsia="仿宋"/>
          <w:sz w:val="32"/>
          <w:szCs w:val="32"/>
          <w:highlight w:val="none"/>
        </w:rPr>
      </w:pPr>
    </w:p>
    <w:p w14:paraId="69BD7CEA">
      <w:pPr>
        <w:rPr>
          <w:rFonts w:ascii="仿宋" w:hAnsi="仿宋" w:eastAsia="仿宋"/>
          <w:sz w:val="32"/>
          <w:szCs w:val="32"/>
          <w:highlight w:val="none"/>
        </w:rPr>
      </w:pPr>
    </w:p>
    <w:p w14:paraId="549DAA5E">
      <w:pPr>
        <w:rPr>
          <w:rFonts w:ascii="仿宋" w:hAnsi="仿宋" w:eastAsia="仿宋"/>
          <w:sz w:val="32"/>
          <w:szCs w:val="32"/>
          <w:highlight w:val="none"/>
        </w:rPr>
      </w:pPr>
    </w:p>
    <w:p w14:paraId="519B9A34">
      <w:pPr>
        <w:jc w:val="center"/>
        <w:rPr>
          <w:rFonts w:ascii="仿宋" w:hAnsi="仿宋" w:eastAsia="仿宋"/>
          <w:sz w:val="32"/>
          <w:szCs w:val="32"/>
          <w:highlight w:val="none"/>
        </w:rPr>
      </w:pPr>
      <w:r>
        <w:rPr>
          <w:rFonts w:hint="eastAsia" w:ascii="黑体" w:hAnsi="黑体" w:eastAsia="黑体"/>
          <w:sz w:val="32"/>
          <w:szCs w:val="32"/>
          <w:highlight w:val="none"/>
        </w:rPr>
        <w:t>第一部分    部门（单位）概况</w:t>
      </w:r>
    </w:p>
    <w:p w14:paraId="66AD7C00">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4BB46E0D">
      <w:pPr>
        <w:pStyle w:val="10"/>
        <w:widowControl/>
        <w:spacing w:line="620" w:lineRule="exact"/>
        <w:ind w:firstLine="627" w:firstLineChars="196"/>
        <w:contextualSpacing/>
        <w:rPr>
          <w:rFonts w:hint="eastAsia" w:ascii="仿宋" w:hAnsi="仿宋" w:eastAsia="仿宋"/>
          <w:kern w:val="0"/>
          <w:sz w:val="32"/>
          <w:szCs w:val="32"/>
          <w:highlight w:val="none"/>
          <w:lang w:val="en-US"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公益一类事业单位</w:t>
      </w:r>
    </w:p>
    <w:p w14:paraId="6DA78F3D">
      <w:pPr>
        <w:pStyle w:val="10"/>
        <w:widowControl/>
        <w:spacing w:line="620" w:lineRule="exact"/>
        <w:ind w:firstLine="627" w:firstLineChars="196"/>
        <w:contextualSpacing/>
        <w:rPr>
          <w:rFonts w:hint="eastAsia" w:ascii="仿宋" w:hAnsi="仿宋" w:eastAsia="仿宋"/>
          <w:bCs/>
          <w:kern w:val="0"/>
          <w:sz w:val="32"/>
          <w:szCs w:val="32"/>
          <w:highlight w:val="none"/>
          <w:lang w:eastAsia="zh-CN"/>
        </w:rPr>
      </w:pPr>
      <w:r>
        <w:rPr>
          <w:rFonts w:hint="eastAsia" w:ascii="仿宋" w:hAnsi="仿宋" w:eastAsia="仿宋"/>
          <w:bCs/>
          <w:kern w:val="0"/>
          <w:sz w:val="32"/>
          <w:szCs w:val="32"/>
          <w:highlight w:val="none"/>
        </w:rPr>
        <w:t>主要职能：</w:t>
      </w:r>
      <w:r>
        <w:rPr>
          <w:rFonts w:hint="eastAsia" w:ascii="仿宋" w:hAnsi="仿宋" w:eastAsia="仿宋"/>
          <w:kern w:val="0"/>
          <w:sz w:val="32"/>
          <w:szCs w:val="32"/>
          <w:highlight w:val="none"/>
          <w:lang w:val="en-US" w:eastAsia="zh-CN"/>
        </w:rPr>
        <w:t>教学</w:t>
      </w:r>
    </w:p>
    <w:p w14:paraId="5757AED3">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kern w:val="0"/>
          <w:sz w:val="32"/>
          <w:szCs w:val="32"/>
          <w:highlight w:val="none"/>
          <w:lang w:val="en-US" w:eastAsia="zh-CN"/>
        </w:rPr>
        <w:t>实施小学义务教育，促进基础教育发展。小学学历教育相关服务。</w:t>
      </w:r>
    </w:p>
    <w:p w14:paraId="6D752CA2">
      <w:pPr>
        <w:pStyle w:val="10"/>
        <w:widowControl/>
        <w:spacing w:line="620" w:lineRule="exact"/>
        <w:ind w:firstLine="320" w:firstLineChars="100"/>
        <w:contextualSpacing/>
        <w:rPr>
          <w:rFonts w:ascii="仿宋" w:hAnsi="仿宋" w:eastAsia="仿宋"/>
          <w:sz w:val="32"/>
          <w:szCs w:val="32"/>
          <w:highlight w:val="none"/>
        </w:rPr>
      </w:pPr>
      <w:r>
        <w:rPr>
          <w:rFonts w:hint="eastAsia" w:ascii="仿宋" w:hAnsi="仿宋" w:eastAsia="仿宋"/>
          <w:sz w:val="32"/>
          <w:szCs w:val="32"/>
          <w:highlight w:val="none"/>
        </w:rPr>
        <w:t>二、机构设置</w:t>
      </w:r>
    </w:p>
    <w:p w14:paraId="7D763970">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val="en-US" w:eastAsia="zh-CN"/>
        </w:rPr>
        <w:t>本部门内设机构（二级单位）3个</w:t>
      </w:r>
    </w:p>
    <w:p w14:paraId="022FE967">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66</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96</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个。</w:t>
      </w:r>
    </w:p>
    <w:p w14:paraId="3F194C91">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731B470">
      <w:pPr>
        <w:jc w:val="left"/>
        <w:rPr>
          <w:rFonts w:ascii="仿宋" w:hAnsi="仿宋" w:eastAsia="仿宋"/>
          <w:sz w:val="32"/>
          <w:szCs w:val="32"/>
          <w:highlight w:val="none"/>
        </w:rPr>
      </w:pPr>
    </w:p>
    <w:p w14:paraId="2327A84A">
      <w:pPr>
        <w:jc w:val="left"/>
        <w:rPr>
          <w:rFonts w:ascii="仿宋" w:hAnsi="仿宋" w:eastAsia="仿宋"/>
          <w:sz w:val="32"/>
          <w:szCs w:val="32"/>
          <w:highlight w:val="none"/>
        </w:rPr>
      </w:pPr>
    </w:p>
    <w:p w14:paraId="30EC7C30">
      <w:pPr>
        <w:jc w:val="left"/>
        <w:rPr>
          <w:rFonts w:ascii="仿宋" w:hAnsi="仿宋" w:eastAsia="仿宋"/>
          <w:sz w:val="32"/>
          <w:szCs w:val="32"/>
          <w:highlight w:val="none"/>
        </w:rPr>
      </w:pPr>
    </w:p>
    <w:p w14:paraId="22022DA2">
      <w:pPr>
        <w:jc w:val="left"/>
        <w:rPr>
          <w:rFonts w:ascii="仿宋" w:hAnsi="仿宋" w:eastAsia="仿宋"/>
          <w:sz w:val="32"/>
          <w:szCs w:val="32"/>
          <w:highlight w:val="none"/>
        </w:rPr>
      </w:pPr>
    </w:p>
    <w:p w14:paraId="4494DF1B">
      <w:pPr>
        <w:jc w:val="left"/>
        <w:rPr>
          <w:rFonts w:ascii="仿宋" w:hAnsi="仿宋" w:eastAsia="仿宋"/>
          <w:sz w:val="32"/>
          <w:szCs w:val="32"/>
          <w:highlight w:val="none"/>
        </w:rPr>
      </w:pPr>
    </w:p>
    <w:p w14:paraId="57CB687A">
      <w:pPr>
        <w:jc w:val="left"/>
        <w:rPr>
          <w:rFonts w:ascii="仿宋" w:hAnsi="仿宋" w:eastAsia="仿宋"/>
          <w:sz w:val="32"/>
          <w:szCs w:val="32"/>
          <w:highlight w:val="none"/>
        </w:rPr>
      </w:pPr>
    </w:p>
    <w:p w14:paraId="00B77722">
      <w:pPr>
        <w:jc w:val="left"/>
        <w:rPr>
          <w:rFonts w:ascii="仿宋" w:hAnsi="仿宋" w:eastAsia="仿宋"/>
          <w:sz w:val="32"/>
          <w:szCs w:val="32"/>
          <w:highlight w:val="none"/>
        </w:rPr>
      </w:pPr>
    </w:p>
    <w:p w14:paraId="546B2C04">
      <w:pPr>
        <w:jc w:val="center"/>
        <w:rPr>
          <w:rFonts w:ascii="黑体" w:hAnsi="黑体" w:eastAsia="黑体"/>
          <w:sz w:val="32"/>
          <w:szCs w:val="32"/>
          <w:highlight w:val="none"/>
        </w:rPr>
      </w:pPr>
    </w:p>
    <w:p w14:paraId="6FD1930E">
      <w:pPr>
        <w:jc w:val="center"/>
        <w:rPr>
          <w:rFonts w:ascii="黑体" w:hAnsi="黑体" w:eastAsia="黑体"/>
          <w:sz w:val="32"/>
          <w:szCs w:val="32"/>
          <w:highlight w:val="none"/>
        </w:rPr>
      </w:pPr>
    </w:p>
    <w:p w14:paraId="08C38348">
      <w:pPr>
        <w:jc w:val="center"/>
        <w:rPr>
          <w:rFonts w:ascii="黑体" w:hAnsi="黑体" w:eastAsia="黑体"/>
          <w:sz w:val="32"/>
          <w:szCs w:val="32"/>
          <w:highlight w:val="none"/>
        </w:rPr>
      </w:pPr>
    </w:p>
    <w:p w14:paraId="653D2C6B">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A61294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4665F96">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一、2026年收支预算总体情况</w:t>
      </w:r>
    </w:p>
    <w:p w14:paraId="790B2477">
      <w:pPr>
        <w:pStyle w:val="11"/>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highlight w:val="none"/>
          <w:lang w:val="en-US" w:eastAsia="zh-CN"/>
        </w:rPr>
        <w:t>908.27</w:t>
      </w:r>
      <w:r>
        <w:rPr>
          <w:rFonts w:hint="eastAsia" w:ascii="仿宋" w:hAnsi="仿宋" w:eastAsia="仿宋"/>
          <w:sz w:val="32"/>
          <w:szCs w:val="32"/>
          <w:highlight w:val="none"/>
        </w:rPr>
        <w:t xml:space="preserve">万元，比 2025年预算数 </w:t>
      </w:r>
      <w:r>
        <w:rPr>
          <w:rFonts w:hint="eastAsia" w:ascii="仿宋" w:hAnsi="仿宋" w:eastAsia="仿宋"/>
          <w:sz w:val="32"/>
          <w:szCs w:val="32"/>
          <w:highlight w:val="none"/>
          <w:lang w:val="en-US" w:eastAsia="zh-CN"/>
        </w:rPr>
        <w:t>959.95</w:t>
      </w:r>
      <w:r>
        <w:rPr>
          <w:rFonts w:hint="eastAsia" w:ascii="仿宋" w:hAnsi="仿宋" w:eastAsia="仿宋"/>
          <w:sz w:val="32"/>
          <w:szCs w:val="32"/>
          <w:highlight w:val="none"/>
        </w:rPr>
        <w:t xml:space="preserve"> 万元减 </w:t>
      </w:r>
      <w:r>
        <w:rPr>
          <w:rFonts w:hint="eastAsia" w:ascii="仿宋" w:hAnsi="仿宋" w:eastAsia="仿宋"/>
          <w:sz w:val="32"/>
          <w:szCs w:val="32"/>
          <w:highlight w:val="none"/>
          <w:lang w:val="en-US" w:eastAsia="zh-CN"/>
        </w:rPr>
        <w:t>51.68</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老教师退休</w:t>
      </w:r>
      <w:bookmarkStart w:id="0" w:name="_GoBack"/>
      <w:bookmarkEnd w:id="0"/>
      <w:r>
        <w:rPr>
          <w:rFonts w:hint="eastAsia" w:ascii="仿宋" w:hAnsi="仿宋" w:eastAsia="仿宋"/>
          <w:sz w:val="32"/>
          <w:szCs w:val="32"/>
          <w:highlight w:val="none"/>
          <w:lang w:val="en-US" w:eastAsia="zh-CN"/>
        </w:rPr>
        <w:t>和人员调出</w:t>
      </w:r>
      <w:r>
        <w:rPr>
          <w:rFonts w:hint="eastAsia" w:ascii="仿宋" w:hAnsi="仿宋" w:eastAsia="仿宋"/>
          <w:sz w:val="32"/>
          <w:szCs w:val="32"/>
          <w:highlight w:val="none"/>
        </w:rPr>
        <w:t>。</w:t>
      </w:r>
    </w:p>
    <w:p w14:paraId="0594D50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二、2026年收入预算情况</w:t>
      </w:r>
    </w:p>
    <w:p w14:paraId="5BB9355F">
      <w:pPr>
        <w:pStyle w:val="11"/>
        <w:ind w:left="319" w:leftChars="152" w:firstLine="320" w:firstLineChars="100"/>
        <w:jc w:val="left"/>
        <w:rPr>
          <w:rFonts w:ascii="仿宋" w:hAnsi="仿宋" w:eastAsia="仿宋"/>
          <w:sz w:val="32"/>
          <w:szCs w:val="32"/>
          <w:highlight w:val="none"/>
        </w:rPr>
      </w:pPr>
      <w:r>
        <w:rPr>
          <w:rFonts w:hint="eastAsia" w:ascii="仿宋" w:hAnsi="仿宋" w:eastAsia="仿宋"/>
          <w:sz w:val="32"/>
          <w:szCs w:val="32"/>
          <w:highlight w:val="none"/>
        </w:rPr>
        <w:t xml:space="preserve">2026年本单位收入预算 </w:t>
      </w:r>
      <w:r>
        <w:rPr>
          <w:rFonts w:hint="eastAsia" w:ascii="仿宋" w:hAnsi="仿宋" w:eastAsia="仿宋"/>
          <w:sz w:val="32"/>
          <w:szCs w:val="32"/>
          <w:highlight w:val="none"/>
          <w:lang w:val="en-US" w:eastAsia="zh-CN"/>
        </w:rPr>
        <w:t>908.27</w:t>
      </w:r>
      <w:r>
        <w:rPr>
          <w:rFonts w:hint="eastAsia" w:ascii="仿宋" w:hAnsi="仿宋" w:eastAsia="仿宋"/>
          <w:sz w:val="32"/>
          <w:szCs w:val="32"/>
          <w:highlight w:val="none"/>
        </w:rPr>
        <w:t xml:space="preserve">万元，其中：一般公共预算收入 </w:t>
      </w:r>
      <w:r>
        <w:rPr>
          <w:rFonts w:hint="eastAsia" w:ascii="仿宋" w:hAnsi="仿宋" w:eastAsia="仿宋"/>
          <w:sz w:val="32"/>
          <w:szCs w:val="32"/>
          <w:highlight w:val="none"/>
          <w:lang w:val="en-US" w:eastAsia="zh-CN"/>
        </w:rPr>
        <w:t>908.27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w:t>
      </w:r>
    </w:p>
    <w:p w14:paraId="262A2F8F">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三、2026年支出预算情况</w:t>
      </w:r>
    </w:p>
    <w:p w14:paraId="25859D7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rPr>
        <w:t>2026年支出预算</w:t>
      </w:r>
      <w:r>
        <w:rPr>
          <w:rFonts w:hint="eastAsia" w:ascii="仿宋" w:hAnsi="仿宋" w:eastAsia="仿宋"/>
          <w:sz w:val="32"/>
          <w:szCs w:val="32"/>
          <w:highlight w:val="none"/>
          <w:lang w:val="en-US" w:eastAsia="zh-CN"/>
        </w:rPr>
        <w:t>908.27</w:t>
      </w:r>
      <w:r>
        <w:rPr>
          <w:rFonts w:hint="eastAsia" w:ascii="仿宋" w:hAnsi="仿宋" w:eastAsia="仿宋"/>
          <w:sz w:val="32"/>
          <w:szCs w:val="32"/>
          <w:highlight w:val="none"/>
        </w:rPr>
        <w:t xml:space="preserve">万元，其中：基本支出 </w:t>
      </w:r>
      <w:r>
        <w:rPr>
          <w:rFonts w:hint="eastAsia" w:ascii="仿宋" w:hAnsi="仿宋" w:eastAsia="仿宋"/>
          <w:sz w:val="32"/>
          <w:szCs w:val="32"/>
          <w:highlight w:val="none"/>
          <w:lang w:val="en-US" w:eastAsia="zh-CN"/>
        </w:rPr>
        <w:t>886.61</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97.6</w:t>
      </w:r>
      <w:r>
        <w:rPr>
          <w:rFonts w:hint="eastAsia" w:ascii="仿宋" w:hAnsi="仿宋" w:eastAsia="仿宋"/>
          <w:sz w:val="32"/>
          <w:szCs w:val="32"/>
          <w:highlight w:val="none"/>
        </w:rPr>
        <w:t xml:space="preserve">%；项目支出 </w:t>
      </w:r>
      <w:r>
        <w:rPr>
          <w:rFonts w:hint="eastAsia" w:ascii="仿宋" w:hAnsi="仿宋" w:eastAsia="仿宋"/>
          <w:sz w:val="32"/>
          <w:szCs w:val="32"/>
          <w:highlight w:val="none"/>
          <w:lang w:val="en-US" w:eastAsia="zh-CN"/>
        </w:rPr>
        <w:t>21.66</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2.4</w:t>
      </w:r>
      <w:r>
        <w:rPr>
          <w:rFonts w:hint="eastAsia" w:ascii="仿宋" w:hAnsi="仿宋" w:eastAsia="仿宋"/>
          <w:sz w:val="32"/>
          <w:szCs w:val="32"/>
          <w:highlight w:val="none"/>
        </w:rPr>
        <w:t>%。</w:t>
      </w:r>
    </w:p>
    <w:p w14:paraId="51040F2B">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四、2026年财政拨款收支预算情况</w:t>
      </w:r>
    </w:p>
    <w:p w14:paraId="032F5B2D">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rPr>
        <w:t>2026年财政拨款收支总预算</w:t>
      </w:r>
      <w:r>
        <w:rPr>
          <w:rFonts w:hint="eastAsia" w:ascii="仿宋" w:hAnsi="仿宋" w:eastAsia="仿宋"/>
          <w:sz w:val="32"/>
          <w:szCs w:val="32"/>
          <w:highlight w:val="none"/>
          <w:lang w:val="en-US" w:eastAsia="zh-CN"/>
        </w:rPr>
        <w:t>908.27</w:t>
      </w:r>
      <w:r>
        <w:rPr>
          <w:rFonts w:hint="eastAsia" w:ascii="仿宋" w:hAnsi="仿宋" w:eastAsia="仿宋"/>
          <w:sz w:val="32"/>
          <w:szCs w:val="32"/>
          <w:highlight w:val="none"/>
        </w:rPr>
        <w:t xml:space="preserve">万元，其中：本年收入 </w:t>
      </w:r>
      <w:r>
        <w:rPr>
          <w:rFonts w:hint="eastAsia" w:ascii="仿宋" w:hAnsi="仿宋" w:eastAsia="仿宋"/>
          <w:sz w:val="32"/>
          <w:szCs w:val="32"/>
          <w:highlight w:val="none"/>
          <w:lang w:val="en-US" w:eastAsia="zh-CN"/>
        </w:rPr>
        <w:t>908.27</w:t>
      </w:r>
      <w:r>
        <w:rPr>
          <w:rFonts w:hint="eastAsia" w:ascii="仿宋" w:hAnsi="仿宋" w:eastAsia="仿宋"/>
          <w:sz w:val="32"/>
          <w:szCs w:val="32"/>
          <w:highlight w:val="none"/>
        </w:rPr>
        <w:t>万元。本年支出</w:t>
      </w:r>
      <w:r>
        <w:rPr>
          <w:rFonts w:hint="eastAsia" w:ascii="仿宋" w:hAnsi="仿宋" w:eastAsia="仿宋"/>
          <w:sz w:val="32"/>
          <w:szCs w:val="32"/>
          <w:highlight w:val="none"/>
          <w:lang w:val="en-US" w:eastAsia="zh-CN"/>
        </w:rPr>
        <w:t>908.27</w:t>
      </w:r>
      <w:r>
        <w:rPr>
          <w:rFonts w:hint="eastAsia" w:ascii="仿宋" w:hAnsi="仿宋" w:eastAsia="仿宋"/>
          <w:sz w:val="32"/>
          <w:szCs w:val="32"/>
          <w:highlight w:val="none"/>
        </w:rPr>
        <w:t>万元，支出包括：支出包括：</w:t>
      </w:r>
      <w:r>
        <w:rPr>
          <w:rFonts w:hint="eastAsia" w:ascii="仿宋" w:hAnsi="仿宋" w:eastAsia="仿宋"/>
          <w:sz w:val="32"/>
          <w:szCs w:val="32"/>
          <w:highlight w:val="none"/>
          <w:lang w:val="en-US" w:eastAsia="zh-CN"/>
        </w:rPr>
        <w:t>教育支出742.36万元，</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94.03</w:t>
      </w:r>
      <w:r>
        <w:rPr>
          <w:rFonts w:hint="eastAsia" w:ascii="仿宋" w:hAnsi="仿宋" w:eastAsia="仿宋"/>
          <w:sz w:val="32"/>
          <w:szCs w:val="32"/>
          <w:highlight w:val="none"/>
        </w:rPr>
        <w:t>万元，卫生健康支出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71.89</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w:t>
      </w:r>
    </w:p>
    <w:p w14:paraId="113EA7E6">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rPr>
        <w:t>五、2026</w:t>
      </w:r>
      <w:r>
        <w:rPr>
          <w:rFonts w:hint="eastAsia" w:ascii="楷体" w:hAnsi="楷体" w:eastAsia="楷体"/>
          <w:kern w:val="0"/>
          <w:sz w:val="32"/>
          <w:szCs w:val="32"/>
          <w:highlight w:val="none"/>
        </w:rPr>
        <w:t>年一般公共预算支出情况</w:t>
      </w:r>
    </w:p>
    <w:p w14:paraId="362C178E">
      <w:pPr>
        <w:ind w:firstLine="640" w:firstLineChars="200"/>
        <w:rPr>
          <w:rFonts w:ascii="仿宋" w:hAnsi="仿宋" w:eastAsia="仿宋"/>
          <w:sz w:val="32"/>
          <w:szCs w:val="32"/>
          <w:highlight w:val="none"/>
        </w:rPr>
      </w:pPr>
      <w:r>
        <w:rPr>
          <w:rFonts w:hint="eastAsia" w:ascii="仿宋" w:hAnsi="仿宋" w:eastAsia="仿宋"/>
          <w:sz w:val="32"/>
          <w:szCs w:val="32"/>
          <w:highlight w:val="none"/>
        </w:rPr>
        <w:t>2026年一般公共预算当年拨款</w:t>
      </w:r>
      <w:r>
        <w:rPr>
          <w:rFonts w:hint="eastAsia" w:ascii="仿宋" w:hAnsi="仿宋" w:eastAsia="仿宋"/>
          <w:sz w:val="32"/>
          <w:szCs w:val="32"/>
          <w:highlight w:val="none"/>
          <w:lang w:val="en-US" w:eastAsia="zh-CN"/>
        </w:rPr>
        <w:t>908.27</w:t>
      </w:r>
      <w:r>
        <w:rPr>
          <w:rFonts w:hint="eastAsia" w:ascii="仿宋" w:hAnsi="仿宋" w:eastAsia="仿宋"/>
          <w:sz w:val="32"/>
          <w:szCs w:val="32"/>
          <w:highlight w:val="none"/>
        </w:rPr>
        <w:t>万元，其中：基本支出</w:t>
      </w:r>
      <w:r>
        <w:rPr>
          <w:rFonts w:hint="eastAsia" w:ascii="仿宋" w:hAnsi="仿宋" w:eastAsia="仿宋"/>
          <w:sz w:val="32"/>
          <w:szCs w:val="32"/>
          <w:highlight w:val="none"/>
          <w:lang w:val="en-US" w:eastAsia="zh-CN"/>
        </w:rPr>
        <w:t>886.61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97.6</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21.66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2.4</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865.24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97.5</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21.37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2.5</w:t>
      </w:r>
      <w:r>
        <w:rPr>
          <w:rFonts w:hint="eastAsia" w:ascii="仿宋" w:hAnsi="仿宋" w:eastAsia="仿宋"/>
          <w:sz w:val="32"/>
          <w:szCs w:val="32"/>
          <w:highlight w:val="none"/>
        </w:rPr>
        <w:t>%。</w:t>
      </w:r>
    </w:p>
    <w:p w14:paraId="6D5F7479">
      <w:pPr>
        <w:ind w:firstLine="640" w:firstLineChars="200"/>
        <w:rPr>
          <w:rFonts w:ascii="仿宋" w:hAnsi="仿宋" w:eastAsia="仿宋"/>
          <w:sz w:val="32"/>
          <w:szCs w:val="32"/>
          <w:highlight w:val="none"/>
        </w:rPr>
      </w:pPr>
      <w:r>
        <w:rPr>
          <w:rFonts w:hint="eastAsia" w:ascii="仿宋" w:hAnsi="仿宋" w:eastAsia="仿宋"/>
          <w:sz w:val="32"/>
          <w:szCs w:val="32"/>
          <w:highlight w:val="none"/>
        </w:rPr>
        <w:t>教育支出</w:t>
      </w:r>
      <w:r>
        <w:rPr>
          <w:rFonts w:hint="eastAsia" w:ascii="仿宋" w:hAnsi="仿宋" w:eastAsia="仿宋"/>
          <w:sz w:val="32"/>
          <w:szCs w:val="32"/>
          <w:highlight w:val="none"/>
          <w:lang w:val="en-US" w:eastAsia="zh-CN"/>
        </w:rPr>
        <w:t>742.36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81.7</w:t>
      </w:r>
      <w:r>
        <w:rPr>
          <w:rFonts w:hint="eastAsia" w:ascii="仿宋" w:hAnsi="仿宋" w:eastAsia="仿宋"/>
          <w:sz w:val="32"/>
          <w:szCs w:val="32"/>
          <w:highlight w:val="none"/>
        </w:rPr>
        <w:t>%，主要用于：员工资福利支出、医保缴费支出、其他社会保障缴费、生活补助及商品服务支出等。</w:t>
      </w:r>
    </w:p>
    <w:p w14:paraId="6EDA1CDB">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社会保障和就业（类）支出 </w:t>
      </w:r>
      <w:r>
        <w:rPr>
          <w:rFonts w:hint="eastAsia" w:ascii="仿宋" w:hAnsi="仿宋" w:eastAsia="仿宋"/>
          <w:sz w:val="32"/>
          <w:szCs w:val="32"/>
          <w:highlight w:val="none"/>
          <w:lang w:val="en-US" w:eastAsia="zh-CN"/>
        </w:rPr>
        <w:t>94.03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10.4</w:t>
      </w:r>
      <w:r>
        <w:rPr>
          <w:rFonts w:hint="eastAsia" w:ascii="仿宋" w:hAnsi="仿宋" w:eastAsia="仿宋"/>
          <w:sz w:val="32"/>
          <w:szCs w:val="32"/>
          <w:highlight w:val="none"/>
        </w:rPr>
        <w:t>%，主要用于：养老保险缴费支出和职业年金缴费支出。</w:t>
      </w:r>
    </w:p>
    <w:p w14:paraId="7CA72680">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住房保障（类）支出 </w:t>
      </w:r>
      <w:r>
        <w:rPr>
          <w:rFonts w:hint="eastAsia" w:ascii="仿宋" w:hAnsi="仿宋" w:eastAsia="仿宋"/>
          <w:sz w:val="32"/>
          <w:szCs w:val="32"/>
          <w:highlight w:val="none"/>
          <w:lang w:val="en-US" w:eastAsia="zh-CN"/>
        </w:rPr>
        <w:t>71.89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7.9</w:t>
      </w:r>
      <w:r>
        <w:rPr>
          <w:rFonts w:hint="eastAsia" w:ascii="仿宋" w:hAnsi="仿宋" w:eastAsia="仿宋"/>
          <w:sz w:val="32"/>
          <w:szCs w:val="32"/>
          <w:highlight w:val="none"/>
        </w:rPr>
        <w:t>%，主要用于：住房公积金缴费支出。</w:t>
      </w:r>
    </w:p>
    <w:p w14:paraId="1D655B29">
      <w:pPr>
        <w:pStyle w:val="9"/>
        <w:rPr>
          <w:rFonts w:ascii="楷体" w:hAnsi="楷体" w:eastAsia="楷体"/>
          <w:kern w:val="0"/>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rPr>
        <w:t>六、2026年一般公共预算基本支出情况</w:t>
      </w:r>
    </w:p>
    <w:p w14:paraId="28556014">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2026年一般公共预算基本支出 </w:t>
      </w:r>
      <w:r>
        <w:rPr>
          <w:rFonts w:hint="eastAsia" w:ascii="仿宋" w:hAnsi="仿宋" w:eastAsia="仿宋"/>
          <w:sz w:val="32"/>
          <w:szCs w:val="32"/>
          <w:highlight w:val="none"/>
          <w:lang w:val="en-US" w:eastAsia="zh-CN"/>
        </w:rPr>
        <w:t>886.61</w:t>
      </w:r>
      <w:r>
        <w:rPr>
          <w:rFonts w:hint="eastAsia" w:ascii="仿宋" w:hAnsi="仿宋" w:eastAsia="仿宋"/>
          <w:sz w:val="32"/>
          <w:szCs w:val="32"/>
          <w:highlight w:val="none"/>
        </w:rPr>
        <w:t>万元，其中：</w:t>
      </w:r>
    </w:p>
    <w:p w14:paraId="03F4859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865.24</w:t>
      </w:r>
      <w:r>
        <w:rPr>
          <w:rFonts w:hint="eastAsia" w:ascii="仿宋" w:hAnsi="仿宋" w:eastAsia="仿宋"/>
          <w:sz w:val="32"/>
          <w:szCs w:val="32"/>
          <w:highlight w:val="none"/>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21.37</w:t>
      </w:r>
      <w:r>
        <w:rPr>
          <w:rFonts w:hint="eastAsia" w:ascii="仿宋" w:hAnsi="仿宋" w:eastAsia="仿宋"/>
          <w:sz w:val="32"/>
          <w:szCs w:val="32"/>
          <w:highlight w:val="none"/>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rPr>
        <w:t>七、2026年一般公共预算财政拨款“三公经费”情况</w:t>
      </w:r>
    </w:p>
    <w:p w14:paraId="409FEEA9">
      <w:pPr>
        <w:pStyle w:val="9"/>
        <w:ind w:firstLine="640" w:firstLineChars="200"/>
        <w:rPr>
          <w:rFonts w:hint="eastAsia" w:ascii="仿宋" w:hAnsi="仿宋" w:eastAsia="仿宋"/>
          <w:sz w:val="32"/>
          <w:szCs w:val="32"/>
          <w:highlight w:val="none"/>
        </w:rPr>
      </w:pPr>
      <w:r>
        <w:rPr>
          <w:rFonts w:hint="eastAsia" w:ascii="仿宋" w:hAnsi="仿宋" w:eastAsia="仿宋"/>
          <w:kern w:val="0"/>
          <w:sz w:val="32"/>
          <w:szCs w:val="32"/>
          <w:highlight w:val="none"/>
        </w:rPr>
        <w:t>202</w:t>
      </w:r>
      <w:r>
        <w:rPr>
          <w:rFonts w:hint="eastAsia" w:ascii="仿宋" w:hAnsi="仿宋" w:eastAsia="仿宋"/>
          <w:kern w:val="0"/>
          <w:sz w:val="32"/>
          <w:szCs w:val="32"/>
          <w:highlight w:val="none"/>
          <w:lang w:val="en-US" w:eastAsia="zh-CN"/>
        </w:rPr>
        <w:t>6</w:t>
      </w:r>
      <w:r>
        <w:rPr>
          <w:rFonts w:hint="eastAsia" w:ascii="仿宋" w:hAnsi="仿宋" w:eastAsia="仿宋"/>
          <w:kern w:val="0"/>
          <w:sz w:val="32"/>
          <w:szCs w:val="32"/>
          <w:highlight w:val="none"/>
        </w:rPr>
        <w:t>年我单位无“三公经费”预算支出</w:t>
      </w:r>
      <w:r>
        <w:rPr>
          <w:rFonts w:hint="eastAsia" w:ascii="仿宋" w:hAnsi="仿宋" w:eastAsia="仿宋"/>
          <w:sz w:val="32"/>
          <w:szCs w:val="32"/>
          <w:highlight w:val="none"/>
        </w:rPr>
        <w:t xml:space="preserve">  </w:t>
      </w:r>
    </w:p>
    <w:p w14:paraId="5D5E3290">
      <w:pPr>
        <w:pStyle w:val="9"/>
        <w:ind w:firstLine="320" w:firstLineChars="100"/>
        <w:rPr>
          <w:rFonts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rPr>
        <w:t>八、202</w:t>
      </w:r>
      <w:r>
        <w:rPr>
          <w:rFonts w:hint="eastAsia" w:ascii="楷体" w:hAnsi="楷体" w:eastAsia="楷体" w:cs="楷体"/>
          <w:sz w:val="32"/>
          <w:szCs w:val="32"/>
          <w:highlight w:val="none"/>
          <w:lang w:val="en-US" w:eastAsia="zh-CN"/>
        </w:rPr>
        <w:t>6</w:t>
      </w:r>
      <w:r>
        <w:rPr>
          <w:rFonts w:hint="eastAsia" w:ascii="楷体" w:hAnsi="楷体" w:eastAsia="楷体" w:cs="楷体"/>
          <w:sz w:val="32"/>
          <w:szCs w:val="32"/>
          <w:highlight w:val="none"/>
        </w:rPr>
        <w:t>年政府性基金预算支出情况</w:t>
      </w:r>
    </w:p>
    <w:p w14:paraId="35F6DD8F">
      <w:pPr>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2026</w:t>
      </w:r>
      <w:r>
        <w:rPr>
          <w:rFonts w:hint="eastAsia" w:ascii="仿宋" w:hAnsi="仿宋" w:eastAsia="仿宋"/>
          <w:sz w:val="32"/>
          <w:szCs w:val="32"/>
          <w:highlight w:val="none"/>
        </w:rPr>
        <w:t>年本单位无政府性基金预算支出</w:t>
      </w:r>
    </w:p>
    <w:p w14:paraId="138199BC">
      <w:pPr>
        <w:pStyle w:val="9"/>
        <w:ind w:firstLine="640"/>
        <w:rPr>
          <w:rFonts w:ascii="楷体" w:hAnsi="楷体" w:eastAsia="楷体" w:cs="楷体"/>
          <w:sz w:val="32"/>
          <w:szCs w:val="32"/>
          <w:highlight w:val="none"/>
        </w:rPr>
      </w:pPr>
      <w:r>
        <w:rPr>
          <w:rFonts w:hint="eastAsia" w:ascii="楷体" w:hAnsi="楷体" w:eastAsia="楷体" w:cs="楷体"/>
          <w:sz w:val="32"/>
          <w:szCs w:val="32"/>
          <w:highlight w:val="none"/>
        </w:rPr>
        <w:t>九、202</w:t>
      </w:r>
      <w:r>
        <w:rPr>
          <w:rFonts w:hint="eastAsia" w:ascii="楷体" w:hAnsi="楷体" w:eastAsia="楷体" w:cs="楷体"/>
          <w:sz w:val="32"/>
          <w:szCs w:val="32"/>
          <w:highlight w:val="none"/>
          <w:lang w:val="en-US" w:eastAsia="zh-CN"/>
        </w:rPr>
        <w:t>6</w:t>
      </w:r>
      <w:r>
        <w:rPr>
          <w:rFonts w:hint="eastAsia" w:ascii="楷体" w:hAnsi="楷体" w:eastAsia="楷体" w:cs="楷体"/>
          <w:sz w:val="32"/>
          <w:szCs w:val="32"/>
          <w:highlight w:val="none"/>
        </w:rPr>
        <w:t>年国有资本经营预算支出情况</w:t>
      </w:r>
    </w:p>
    <w:p w14:paraId="7827154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val="en-US" w:eastAsia="zh-CN"/>
        </w:rPr>
        <w:t>2026年</w:t>
      </w:r>
      <w:r>
        <w:rPr>
          <w:rFonts w:hint="eastAsia" w:ascii="仿宋" w:hAnsi="仿宋" w:eastAsia="仿宋"/>
          <w:sz w:val="32"/>
          <w:szCs w:val="32"/>
          <w:highlight w:val="none"/>
        </w:rPr>
        <w:t>本单位无国有资本经营预算支出。</w:t>
      </w:r>
    </w:p>
    <w:p w14:paraId="028EDDC6">
      <w:pPr>
        <w:numPr>
          <w:ilvl w:val="0"/>
          <w:numId w:val="3"/>
        </w:numPr>
        <w:jc w:val="left"/>
        <w:rPr>
          <w:rFonts w:ascii="楷体" w:hAnsi="楷体" w:eastAsia="楷体" w:cs="楷体"/>
          <w:sz w:val="32"/>
          <w:szCs w:val="32"/>
          <w:highlight w:val="none"/>
        </w:rPr>
      </w:pPr>
      <w:r>
        <w:rPr>
          <w:rFonts w:hint="eastAsia" w:ascii="楷体" w:hAnsi="楷体" w:eastAsia="楷体" w:cs="楷体"/>
          <w:sz w:val="32"/>
          <w:szCs w:val="32"/>
          <w:highlight w:val="none"/>
        </w:rPr>
        <w:t>其他重要事项的说明情况</w:t>
      </w:r>
    </w:p>
    <w:p w14:paraId="4DBB8460">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rPr>
        <w:t>2026年本单位</w:t>
      </w:r>
      <w:r>
        <w:rPr>
          <w:rFonts w:hint="eastAsia" w:ascii="仿宋" w:hAnsi="仿宋" w:eastAsia="仿宋"/>
          <w:sz w:val="32"/>
          <w:szCs w:val="32"/>
          <w:highlight w:val="none"/>
          <w:lang w:val="en-US" w:eastAsia="zh-CN"/>
        </w:rPr>
        <w:t>无</w:t>
      </w:r>
      <w:r>
        <w:rPr>
          <w:rFonts w:hint="eastAsia" w:ascii="仿宋" w:hAnsi="仿宋" w:eastAsia="仿宋"/>
          <w:sz w:val="32"/>
          <w:szCs w:val="32"/>
          <w:highlight w:val="none"/>
        </w:rPr>
        <w:t>机关运行经费财政拨款预算</w:t>
      </w:r>
    </w:p>
    <w:p w14:paraId="3C4DC5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（二）政府采购情况</w:t>
      </w:r>
    </w:p>
    <w:p w14:paraId="5E4EE068">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年无政府采购预算。</w:t>
      </w:r>
    </w:p>
    <w:p w14:paraId="32E1CB5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（三）国有资产占有使用情况</w:t>
      </w:r>
    </w:p>
    <w:p w14:paraId="0E2E3BB7">
      <w:pPr>
        <w:pStyle w:val="8"/>
        <w:ind w:firstLine="640"/>
        <w:jc w:val="left"/>
        <w:rPr>
          <w:rFonts w:ascii="仿宋" w:hAnsi="仿宋" w:eastAsia="仿宋"/>
          <w:sz w:val="32"/>
          <w:szCs w:val="32"/>
          <w:highlight w:val="none"/>
        </w:rPr>
      </w:pPr>
      <w:r>
        <w:rPr>
          <w:rFonts w:hint="eastAsia" w:ascii="仿宋" w:hAnsi="仿宋" w:eastAsia="仿宋"/>
          <w:sz w:val="32"/>
          <w:szCs w:val="32"/>
          <w:highlight w:val="none"/>
        </w:rPr>
        <w:t xml:space="preserve">    至202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年1月，我单位共有车辆0 辆，价值200万元以上大型设备 0台（套）。</w:t>
      </w:r>
    </w:p>
    <w:p w14:paraId="6C4F4062">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预算项目绩效目标管理情况</w:t>
      </w:r>
    </w:p>
    <w:p w14:paraId="2A5558C3">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将</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个项目</w:t>
      </w:r>
      <w:r>
        <w:rPr>
          <w:rFonts w:hint="eastAsia" w:ascii="仿宋" w:hAnsi="仿宋" w:eastAsia="仿宋"/>
          <w:sz w:val="32"/>
          <w:szCs w:val="32"/>
          <w:highlight w:val="none"/>
          <w:lang w:eastAsia="zh-CN"/>
        </w:rPr>
        <w:t>支出的绩效目标和指标向社会公开</w:t>
      </w:r>
      <w:r>
        <w:rPr>
          <w:rFonts w:hint="eastAsia" w:ascii="仿宋" w:hAnsi="仿宋" w:eastAsia="仿宋"/>
          <w:sz w:val="32"/>
          <w:szCs w:val="32"/>
          <w:highlight w:val="none"/>
        </w:rPr>
        <w:t xml:space="preserve">，涉及金额 </w:t>
      </w:r>
      <w:r>
        <w:rPr>
          <w:rFonts w:hint="eastAsia" w:ascii="仿宋" w:hAnsi="仿宋" w:eastAsia="仿宋"/>
          <w:sz w:val="32"/>
          <w:szCs w:val="32"/>
          <w:highlight w:val="none"/>
          <w:lang w:val="en-US" w:eastAsia="zh-CN"/>
        </w:rPr>
        <w:t>21.66</w:t>
      </w:r>
      <w:r>
        <w:rPr>
          <w:rFonts w:hint="eastAsia" w:ascii="仿宋" w:hAnsi="仿宋" w:eastAsia="仿宋"/>
          <w:sz w:val="32"/>
          <w:szCs w:val="32"/>
          <w:highlight w:val="none"/>
        </w:rPr>
        <w:t>万元。</w:t>
      </w:r>
    </w:p>
    <w:p w14:paraId="5E6C6AA0">
      <w:pPr>
        <w:jc w:val="left"/>
        <w:rPr>
          <w:rFonts w:ascii="仿宋" w:hAnsi="仿宋" w:eastAsia="仿宋"/>
          <w:sz w:val="32"/>
          <w:szCs w:val="32"/>
          <w:highlight w:val="none"/>
        </w:rPr>
      </w:pPr>
    </w:p>
    <w:p w14:paraId="3C527A83">
      <w:pPr>
        <w:jc w:val="center"/>
        <w:rPr>
          <w:rFonts w:ascii="仿宋" w:hAnsi="仿宋" w:eastAsia="仿宋"/>
          <w:sz w:val="32"/>
          <w:szCs w:val="32"/>
          <w:highlight w:val="none"/>
        </w:rPr>
      </w:pPr>
    </w:p>
    <w:p w14:paraId="5BEAB39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2BA8D4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一、一般公共预算拨款收入：指本级财政通过当年一般公共预算拨付的资金。</w:t>
      </w:r>
    </w:p>
    <w:p w14:paraId="2B7CFECE">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二、政府性基金预算拨款收入：指本级财政通过当年政府性基金预算拨付的资金。</w:t>
      </w:r>
    </w:p>
    <w:p w14:paraId="19E1AEFC">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三、国有资本经营预算拨款收入：指本级财政通过当年国有资本经营预算拨付的资金。</w:t>
      </w:r>
    </w:p>
    <w:p w14:paraId="253786D9">
      <w:pPr>
        <w:ind w:firstLine="640" w:firstLineChars="200"/>
        <w:rPr>
          <w:rFonts w:ascii="仿宋_GB2312" w:eastAsia="仿宋_GB2312"/>
          <w:sz w:val="32"/>
          <w:szCs w:val="32"/>
          <w:highlight w:val="none"/>
        </w:rPr>
      </w:pPr>
      <w:r>
        <w:rPr>
          <w:rFonts w:hint="eastAsia" w:ascii="仿宋_GB2312" w:eastAsia="仿宋_GB2312"/>
          <w:sz w:val="32"/>
          <w:szCs w:val="32"/>
          <w:highlight w:val="none"/>
        </w:rPr>
        <w:t>四、其他收入：指除上述收入以外的各项收入。包括银行存款利息收入。</w:t>
      </w:r>
    </w:p>
    <w:p w14:paraId="2EE06A32">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六、项目支出：指在基本支出之外为完成特定行政工作任务和事业发展目标所发生的各项支出。</w:t>
      </w:r>
    </w:p>
    <w:p w14:paraId="0FD705C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十二、项目支出绩效目标：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E9CC6">
      <w:pPr>
        <w:ind w:firstLine="640" w:firstLineChars="200"/>
        <w:rPr>
          <w:rFonts w:ascii="仿宋_GB2312" w:eastAsia="仿宋_GB2312"/>
          <w:sz w:val="32"/>
          <w:szCs w:val="32"/>
          <w:highlight w:val="none"/>
        </w:rPr>
      </w:pPr>
    </w:p>
    <w:p w14:paraId="38433E3C">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8250850">
      <w:pPr>
        <w:jc w:val="left"/>
        <w:rPr>
          <w:rFonts w:ascii="仿宋" w:hAnsi="仿宋" w:eastAsia="仿宋"/>
          <w:sz w:val="32"/>
          <w:szCs w:val="32"/>
          <w:highlight w:val="none"/>
        </w:rPr>
      </w:pPr>
    </w:p>
    <w:p w14:paraId="757010AF">
      <w:pPr>
        <w:jc w:val="left"/>
        <w:rPr>
          <w:rFonts w:ascii="仿宋" w:hAnsi="仿宋" w:eastAsia="仿宋"/>
          <w:sz w:val="32"/>
          <w:szCs w:val="32"/>
          <w:highlight w:val="none"/>
        </w:rPr>
      </w:pPr>
    </w:p>
    <w:p w14:paraId="1B9DA4B3">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252C055">
      <w:pPr>
        <w:jc w:val="left"/>
        <w:rPr>
          <w:rFonts w:ascii="仿宋" w:hAnsi="仿宋" w:eastAsia="仿宋"/>
          <w:sz w:val="32"/>
          <w:szCs w:val="32"/>
          <w:highlight w:val="none"/>
        </w:rPr>
      </w:pPr>
      <w:r>
        <w:rPr>
          <w:rFonts w:hint="eastAsia" w:ascii="仿宋" w:hAnsi="仿宋" w:eastAsia="仿宋"/>
          <w:sz w:val="32"/>
          <w:szCs w:val="32"/>
          <w:highlight w:val="none"/>
        </w:rPr>
        <w:t>2026年部门预算表套表（预算一体化-“预算编制”模块-预算编制帆软报表查询中提取相应数据）。</w:t>
      </w:r>
    </w:p>
    <w:p w14:paraId="2FFB2AE9">
      <w:pPr>
        <w:rPr>
          <w:rFonts w:ascii="仿宋" w:hAnsi="仿宋" w:eastAsia="仿宋"/>
          <w:sz w:val="32"/>
          <w:szCs w:val="32"/>
          <w:highlight w:val="none"/>
        </w:rPr>
      </w:pPr>
    </w:p>
    <w:p w14:paraId="00E3AD42">
      <w:pPr>
        <w:rPr>
          <w:rFonts w:ascii="仿宋" w:hAnsi="仿宋" w:eastAsia="仿宋"/>
          <w:b/>
          <w:sz w:val="32"/>
          <w:szCs w:val="32"/>
          <w:highlight w:val="none"/>
        </w:rPr>
      </w:pPr>
      <w:r>
        <w:rPr>
          <w:rFonts w:hint="eastAsia" w:ascii="仿宋" w:hAnsi="仿宋" w:eastAsia="仿宋"/>
          <w:b/>
          <w:sz w:val="32"/>
          <w:szCs w:val="32"/>
          <w:highlight w:val="none"/>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4A13846"/>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7FF3108"/>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334975"/>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827150"/>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2246</Words>
  <Characters>2485</Characters>
  <Lines>21</Lines>
  <Paragraphs>6</Paragraphs>
  <TotalTime>8</TotalTime>
  <ScaleCrop>false</ScaleCrop>
  <LinksUpToDate>false</LinksUpToDate>
  <CharactersWithSpaces>2567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李晨爽</cp:lastModifiedBy>
  <dcterms:modified xsi:type="dcterms:W3CDTF">2026-03-24T05:48:19Z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3EA7D85E255746B19BBFC88EA3B8E6AB_13</vt:lpwstr>
  </property>
  <property fmtid="{D5CDD505-2E9C-101B-9397-08002B2CF9AE}" pid="4" name="KSOTemplateDocerSaveRecord">
    <vt:lpwstr>eyJoZGlkIjoiMzI0NDcyMjBkY2MzMTVlNzE3NThlM2NhZDc2N2ZkZTIiLCJ1c2VySWQiOiI1OTMyMjA5MzcifQ==</vt:lpwstr>
  </property>
</Properties>
</file>