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rPr>
        <w:t>永吉县人力资源和社会保障局（本级）</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both"/>
        <w:rPr>
          <w:rFonts w:ascii="黑体" w:hAnsi="黑体" w:eastAsia="黑体"/>
          <w:sz w:val="44"/>
          <w:szCs w:val="44"/>
        </w:rPr>
      </w:pPr>
    </w:p>
    <w:p w14:paraId="3AC9B228">
      <w:pPr>
        <w:jc w:val="center"/>
        <w:rPr>
          <w:rFonts w:hint="eastAsia" w:ascii="黑体" w:hAnsi="黑体" w:eastAsia="黑体"/>
          <w:sz w:val="44"/>
          <w:szCs w:val="44"/>
          <w:highlight w:val="none"/>
        </w:rPr>
      </w:pPr>
      <w:r>
        <w:rPr>
          <w:rFonts w:hint="eastAsia" w:ascii="黑体" w:hAnsi="黑体" w:eastAsia="黑体"/>
          <w:sz w:val="44"/>
          <w:szCs w:val="44"/>
          <w:highlight w:val="none"/>
        </w:rPr>
        <w:t>永吉县人力资源和社会保障局（本级）</w:t>
      </w:r>
    </w:p>
    <w:p w14:paraId="406F54B2">
      <w:pPr>
        <w:jc w:val="center"/>
        <w:rPr>
          <w:rFonts w:hint="eastAsia" w:ascii="黑体" w:hAnsi="黑体" w:eastAsia="黑体"/>
          <w:sz w:val="44"/>
          <w:szCs w:val="44"/>
        </w:rPr>
      </w:pP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2CD4B41E">
      <w:pPr>
        <w:jc w:val="left"/>
        <w:rPr>
          <w:rFonts w:ascii="仿宋" w:hAnsi="仿宋" w:eastAsia="仿宋"/>
          <w:sz w:val="32"/>
          <w:szCs w:val="32"/>
        </w:rPr>
      </w:pPr>
      <w:r>
        <w:rPr>
          <w:rFonts w:hint="eastAsia" w:ascii="仿宋" w:hAnsi="仿宋" w:eastAsia="仿宋"/>
          <w:sz w:val="32"/>
          <w:szCs w:val="32"/>
        </w:rPr>
        <w:t xml:space="preserve"> 一、主要职能</w:t>
      </w:r>
    </w:p>
    <w:p w14:paraId="0F6AE33D">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名称：永吉县人力资源和社会保障局（本级）</w:t>
      </w:r>
    </w:p>
    <w:p w14:paraId="6DB3823F">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：行政单位</w:t>
      </w:r>
    </w:p>
    <w:p w14:paraId="468CF2C4">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1、贯彻执行国家、省、市人力资源和社会保障事业发展规划、政策；根据相关政策，制订措施和办法，并组织实施和检查；2、拟订并组织实施全县人力资源市场发展规划和人力资源流动政策，加强人力资源市场开发建设，促进就业工作；3、贯彻和落实事业单位人员工资收入分配制度改革实施意见，并组织实施；4、会同有关部门指导事业单位人事制度改革，拟订事业单位人员和机关工勤人员管理办法；5、贯彻落实农民工工作综合性政策和规划；6、统筹实施劳动、人事争议调解仲裁制度，受理劳动、人事信访事项；7、承办县政府交办的其他事项。</w:t>
      </w:r>
    </w:p>
    <w:p w14:paraId="4CC5A64D">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劳动关系、社会保障、就业创业、人事人才。</w:t>
      </w:r>
    </w:p>
    <w:p w14:paraId="1F8D1115">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A926DD1">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永吉县人力资源和社会保障局内设综合科（安全生产监督管理科）、人才开发与事业单位人事管理科、就业促进科、行政审批与法制监察科（调解仲裁委员会办公室）、工资福利科（政府部门绩效管理考核办公室）、社会保险与劳动关系科，共6个机构，包括人才服务中心、劳动人事争议仲裁院、职业技能鉴定中心、信息中心4个事业单位。</w:t>
      </w:r>
    </w:p>
    <w:p w14:paraId="69ADAFB9">
      <w:pPr>
        <w:pStyle w:val="12"/>
        <w:ind w:firstLine="627" w:firstLineChars="196"/>
        <w:rPr>
          <w:rFonts w:ascii="仿宋" w:hAnsi="仿宋" w:eastAsia="仿宋"/>
          <w:kern w:val="0"/>
          <w:szCs w:val="32"/>
        </w:rPr>
      </w:pPr>
      <w:r>
        <w:rPr>
          <w:rFonts w:hint="eastAsia" w:ascii="仿宋" w:hAnsi="仿宋" w:eastAsia="仿宋"/>
          <w:kern w:val="0"/>
          <w:szCs w:val="32"/>
        </w:rPr>
        <w:t>人员情况：截止202</w:t>
      </w:r>
      <w:r>
        <w:rPr>
          <w:rFonts w:hint="eastAsia" w:ascii="仿宋" w:hAnsi="仿宋" w:eastAsia="仿宋"/>
          <w:kern w:val="0"/>
          <w:szCs w:val="32"/>
          <w:lang w:val="en-US" w:eastAsia="zh-CN"/>
        </w:rPr>
        <w:t>5</w:t>
      </w:r>
      <w:r>
        <w:rPr>
          <w:rFonts w:hint="eastAsia" w:ascii="仿宋" w:hAnsi="仿宋" w:eastAsia="仿宋"/>
          <w:kern w:val="0"/>
          <w:szCs w:val="32"/>
        </w:rPr>
        <w:t>年年末，共有在编在岗职工37人，其中公务员</w:t>
      </w:r>
      <w:r>
        <w:rPr>
          <w:rFonts w:hint="eastAsia" w:ascii="仿宋" w:hAnsi="仿宋" w:eastAsia="仿宋"/>
          <w:kern w:val="0"/>
          <w:szCs w:val="32"/>
          <w:lang w:val="en-US" w:eastAsia="zh-CN"/>
        </w:rPr>
        <w:t>15</w:t>
      </w:r>
      <w:r>
        <w:rPr>
          <w:rFonts w:hint="eastAsia" w:ascii="仿宋" w:hAnsi="仿宋" w:eastAsia="仿宋"/>
          <w:kern w:val="0"/>
          <w:szCs w:val="32"/>
        </w:rPr>
        <w:t>人，事业编</w:t>
      </w:r>
      <w:r>
        <w:rPr>
          <w:rFonts w:hint="eastAsia" w:ascii="仿宋" w:hAnsi="仿宋" w:eastAsia="仿宋"/>
          <w:kern w:val="0"/>
          <w:szCs w:val="32"/>
          <w:lang w:val="en-US" w:eastAsia="zh-CN"/>
        </w:rPr>
        <w:t>22</w:t>
      </w:r>
      <w:r>
        <w:rPr>
          <w:rFonts w:hint="eastAsia" w:ascii="仿宋" w:hAnsi="仿宋" w:eastAsia="仿宋"/>
          <w:kern w:val="0"/>
          <w:szCs w:val="32"/>
        </w:rPr>
        <w:t>人；共有编制数</w:t>
      </w:r>
      <w:r>
        <w:rPr>
          <w:rFonts w:hint="eastAsia" w:ascii="仿宋" w:hAnsi="仿宋" w:eastAsia="仿宋"/>
          <w:kern w:val="0"/>
          <w:szCs w:val="32"/>
          <w:lang w:val="en-US" w:eastAsia="zh-CN"/>
        </w:rPr>
        <w:t>39</w:t>
      </w:r>
      <w:r>
        <w:rPr>
          <w:rFonts w:hint="eastAsia" w:ascii="仿宋" w:hAnsi="仿宋" w:eastAsia="仿宋"/>
          <w:kern w:val="0"/>
          <w:szCs w:val="32"/>
        </w:rPr>
        <w:t>人，其中行政编制15人，事业编制</w:t>
      </w:r>
      <w:r>
        <w:rPr>
          <w:rFonts w:hint="eastAsia" w:ascii="仿宋" w:hAnsi="仿宋" w:eastAsia="仿宋"/>
          <w:kern w:val="0"/>
          <w:szCs w:val="32"/>
          <w:lang w:val="en-US" w:eastAsia="zh-CN"/>
        </w:rPr>
        <w:t>24</w:t>
      </w:r>
      <w:r>
        <w:rPr>
          <w:rFonts w:hint="eastAsia" w:ascii="仿宋" w:hAnsi="仿宋" w:eastAsia="仿宋"/>
          <w:kern w:val="0"/>
          <w:szCs w:val="32"/>
        </w:rPr>
        <w:t>人，领导职数</w:t>
      </w:r>
      <w:r>
        <w:rPr>
          <w:rFonts w:hint="eastAsia" w:ascii="仿宋" w:hAnsi="仿宋" w:eastAsia="仿宋"/>
          <w:kern w:val="0"/>
          <w:szCs w:val="32"/>
          <w:lang w:val="en-US" w:eastAsia="zh-CN"/>
        </w:rPr>
        <w:t>6</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3A67A386">
      <w:pPr>
        <w:jc w:val="center"/>
        <w:rPr>
          <w:rFonts w:ascii="黑体" w:hAnsi="黑体" w:eastAsia="黑体"/>
          <w:sz w:val="32"/>
          <w:szCs w:val="32"/>
        </w:rPr>
      </w:pPr>
    </w:p>
    <w:p w14:paraId="202B4B2A">
      <w:pPr>
        <w:jc w:val="center"/>
        <w:rPr>
          <w:rFonts w:ascii="黑体" w:hAnsi="黑体" w:eastAsia="黑体"/>
          <w:sz w:val="32"/>
          <w:szCs w:val="32"/>
        </w:rPr>
      </w:pPr>
    </w:p>
    <w:p w14:paraId="6BBA5A44">
      <w:pPr>
        <w:jc w:val="center"/>
        <w:rPr>
          <w:rFonts w:ascii="黑体" w:hAnsi="黑体" w:eastAsia="黑体"/>
          <w:sz w:val="32"/>
          <w:szCs w:val="32"/>
        </w:rPr>
      </w:pPr>
    </w:p>
    <w:p w14:paraId="48E2A388">
      <w:pPr>
        <w:jc w:val="center"/>
        <w:rPr>
          <w:rFonts w:ascii="黑体" w:hAnsi="黑体" w:eastAsia="黑体"/>
          <w:sz w:val="32"/>
          <w:szCs w:val="32"/>
        </w:rPr>
      </w:pPr>
    </w:p>
    <w:p w14:paraId="076CEC11">
      <w:pPr>
        <w:jc w:val="center"/>
        <w:rPr>
          <w:rFonts w:ascii="黑体" w:hAnsi="黑体" w:eastAsia="黑体"/>
          <w:sz w:val="32"/>
          <w:szCs w:val="32"/>
        </w:rPr>
      </w:pPr>
    </w:p>
    <w:p w14:paraId="592379FC">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636.70</w:t>
      </w:r>
      <w:r>
        <w:rPr>
          <w:rFonts w:hint="eastAsia" w:ascii="仿宋" w:hAnsi="仿宋" w:eastAsia="仿宋"/>
          <w:sz w:val="32"/>
          <w:szCs w:val="32"/>
        </w:rPr>
        <w:t>万元，比 2025年预算数</w:t>
      </w:r>
      <w:r>
        <w:rPr>
          <w:rFonts w:hint="eastAsia" w:ascii="仿宋" w:hAnsi="仿宋" w:eastAsia="仿宋"/>
          <w:sz w:val="32"/>
          <w:szCs w:val="32"/>
          <w:lang w:val="en-US" w:eastAsia="zh-CN"/>
        </w:rPr>
        <w:t>456.31</w:t>
      </w:r>
      <w:r>
        <w:rPr>
          <w:rFonts w:hint="eastAsia" w:ascii="仿宋" w:hAnsi="仿宋" w:eastAsia="仿宋"/>
          <w:sz w:val="32"/>
          <w:szCs w:val="32"/>
        </w:rPr>
        <w:t>万元增</w:t>
      </w:r>
      <w:r>
        <w:rPr>
          <w:rFonts w:hint="eastAsia" w:ascii="仿宋" w:hAnsi="仿宋" w:eastAsia="仿宋"/>
          <w:sz w:val="32"/>
          <w:szCs w:val="32"/>
          <w:lang w:val="en-US" w:eastAsia="zh-CN"/>
        </w:rPr>
        <w:t>加180.39</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职工普调增资、预算项目增加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636.70</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636.70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0.00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636.70</w:t>
      </w:r>
      <w:r>
        <w:rPr>
          <w:rFonts w:hint="eastAsia" w:ascii="仿宋" w:hAnsi="仿宋" w:eastAsia="仿宋"/>
          <w:sz w:val="32"/>
          <w:szCs w:val="32"/>
        </w:rPr>
        <w:t>万元，其中：基本支出</w:t>
      </w:r>
      <w:r>
        <w:rPr>
          <w:rFonts w:hint="eastAsia" w:ascii="仿宋" w:hAnsi="仿宋" w:eastAsia="仿宋"/>
          <w:sz w:val="32"/>
          <w:szCs w:val="32"/>
          <w:lang w:val="en-US" w:eastAsia="zh-CN"/>
        </w:rPr>
        <w:t>487.62</w:t>
      </w:r>
      <w:r>
        <w:rPr>
          <w:rFonts w:hint="eastAsia" w:ascii="仿宋" w:hAnsi="仿宋" w:eastAsia="仿宋"/>
          <w:sz w:val="32"/>
          <w:szCs w:val="32"/>
        </w:rPr>
        <w:t>万元，占</w:t>
      </w:r>
      <w:r>
        <w:rPr>
          <w:rFonts w:hint="eastAsia" w:ascii="仿宋" w:hAnsi="仿宋" w:eastAsia="仿宋"/>
          <w:sz w:val="32"/>
          <w:szCs w:val="32"/>
          <w:lang w:val="en-US" w:eastAsia="zh-CN"/>
        </w:rPr>
        <w:t>76.59</w:t>
      </w:r>
      <w:r>
        <w:rPr>
          <w:rFonts w:hint="eastAsia" w:ascii="仿宋" w:hAnsi="仿宋" w:eastAsia="仿宋"/>
          <w:sz w:val="32"/>
          <w:szCs w:val="32"/>
        </w:rPr>
        <w:t>%；项目支出</w:t>
      </w:r>
      <w:r>
        <w:rPr>
          <w:rFonts w:hint="eastAsia" w:ascii="仿宋" w:hAnsi="仿宋" w:eastAsia="仿宋"/>
          <w:sz w:val="32"/>
          <w:szCs w:val="32"/>
          <w:lang w:val="en-US" w:eastAsia="zh-CN"/>
        </w:rPr>
        <w:t>149.08</w:t>
      </w:r>
      <w:r>
        <w:rPr>
          <w:rFonts w:hint="eastAsia" w:ascii="仿宋" w:hAnsi="仿宋" w:eastAsia="仿宋"/>
          <w:sz w:val="32"/>
          <w:szCs w:val="32"/>
        </w:rPr>
        <w:t>万元，占</w:t>
      </w:r>
      <w:r>
        <w:rPr>
          <w:rFonts w:hint="eastAsia" w:ascii="仿宋" w:hAnsi="仿宋" w:eastAsia="仿宋"/>
          <w:sz w:val="32"/>
          <w:szCs w:val="32"/>
          <w:lang w:val="en-US" w:eastAsia="zh-CN"/>
        </w:rPr>
        <w:t>23.41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636.70</w:t>
      </w:r>
      <w:r>
        <w:rPr>
          <w:rFonts w:hint="eastAsia" w:ascii="仿宋" w:hAnsi="仿宋" w:eastAsia="仿宋"/>
          <w:sz w:val="32"/>
          <w:szCs w:val="32"/>
        </w:rPr>
        <w:t>万元，其中：本年收入</w:t>
      </w:r>
      <w:r>
        <w:rPr>
          <w:rFonts w:hint="eastAsia" w:ascii="仿宋" w:hAnsi="仿宋" w:eastAsia="仿宋"/>
          <w:sz w:val="32"/>
          <w:szCs w:val="32"/>
          <w:lang w:val="en-US" w:eastAsia="zh-CN"/>
        </w:rPr>
        <w:t>636.70</w:t>
      </w:r>
      <w:r>
        <w:rPr>
          <w:rFonts w:hint="eastAsia" w:ascii="仿宋" w:hAnsi="仿宋" w:eastAsia="仿宋"/>
          <w:sz w:val="32"/>
          <w:szCs w:val="32"/>
        </w:rPr>
        <w:t>万元。本年支出</w:t>
      </w:r>
      <w:r>
        <w:rPr>
          <w:rFonts w:hint="eastAsia" w:ascii="仿宋" w:hAnsi="仿宋" w:eastAsia="仿宋"/>
          <w:sz w:val="32"/>
          <w:szCs w:val="32"/>
          <w:lang w:val="en-US" w:eastAsia="zh-CN"/>
        </w:rPr>
        <w:t>636.70</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596.59</w:t>
      </w:r>
      <w:r>
        <w:rPr>
          <w:rFonts w:hint="eastAsia" w:ascii="仿宋" w:hAnsi="仿宋" w:eastAsia="仿宋"/>
          <w:sz w:val="32"/>
          <w:szCs w:val="32"/>
        </w:rPr>
        <w:t>万元，住房保障支出</w:t>
      </w:r>
      <w:r>
        <w:rPr>
          <w:rFonts w:hint="eastAsia" w:ascii="仿宋" w:hAnsi="仿宋" w:eastAsia="仿宋"/>
          <w:sz w:val="32"/>
          <w:szCs w:val="32"/>
          <w:lang w:val="en-US" w:eastAsia="zh-CN"/>
        </w:rPr>
        <w:t>40.11</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7AE3769D">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636.70</w:t>
      </w:r>
      <w:r>
        <w:rPr>
          <w:rFonts w:hint="eastAsia" w:ascii="仿宋" w:hAnsi="仿宋" w:eastAsia="仿宋"/>
          <w:sz w:val="32"/>
          <w:szCs w:val="32"/>
        </w:rPr>
        <w:t>万元，其中：基本支出</w:t>
      </w:r>
      <w:r>
        <w:rPr>
          <w:rFonts w:hint="eastAsia" w:ascii="仿宋" w:hAnsi="仿宋" w:eastAsia="仿宋"/>
          <w:sz w:val="32"/>
          <w:szCs w:val="32"/>
          <w:lang w:val="en-US" w:eastAsia="zh-CN"/>
        </w:rPr>
        <w:t>487.62</w:t>
      </w:r>
      <w:r>
        <w:rPr>
          <w:rFonts w:hint="eastAsia" w:ascii="仿宋" w:hAnsi="仿宋" w:eastAsia="仿宋"/>
          <w:sz w:val="32"/>
          <w:szCs w:val="32"/>
        </w:rPr>
        <w:t>万元，占</w:t>
      </w:r>
      <w:r>
        <w:rPr>
          <w:rFonts w:hint="eastAsia" w:ascii="仿宋" w:hAnsi="仿宋" w:eastAsia="仿宋"/>
          <w:sz w:val="32"/>
          <w:szCs w:val="32"/>
          <w:lang w:val="en-US" w:eastAsia="zh-CN"/>
        </w:rPr>
        <w:t>76.59</w:t>
      </w:r>
      <w:r>
        <w:rPr>
          <w:rFonts w:hint="eastAsia" w:ascii="仿宋" w:hAnsi="仿宋" w:eastAsia="仿宋"/>
          <w:sz w:val="32"/>
          <w:szCs w:val="32"/>
        </w:rPr>
        <w:t>%；项目支出</w:t>
      </w:r>
      <w:r>
        <w:rPr>
          <w:rFonts w:hint="eastAsia" w:ascii="仿宋" w:hAnsi="仿宋" w:eastAsia="仿宋"/>
          <w:sz w:val="32"/>
          <w:szCs w:val="32"/>
          <w:lang w:val="en-US" w:eastAsia="zh-CN"/>
        </w:rPr>
        <w:t>149.08</w:t>
      </w:r>
      <w:r>
        <w:rPr>
          <w:rFonts w:hint="eastAsia" w:ascii="仿宋" w:hAnsi="仿宋" w:eastAsia="仿宋"/>
          <w:sz w:val="32"/>
          <w:szCs w:val="32"/>
        </w:rPr>
        <w:t>万元，占</w:t>
      </w:r>
      <w:r>
        <w:rPr>
          <w:rFonts w:hint="eastAsia" w:ascii="仿宋" w:hAnsi="仿宋" w:eastAsia="仿宋"/>
          <w:sz w:val="32"/>
          <w:szCs w:val="32"/>
          <w:lang w:val="en-US" w:eastAsia="zh-CN"/>
        </w:rPr>
        <w:t>23.41</w:t>
      </w:r>
      <w:r>
        <w:rPr>
          <w:rFonts w:hint="eastAsia" w:ascii="仿宋" w:hAnsi="仿宋" w:eastAsia="仿宋"/>
          <w:sz w:val="32"/>
          <w:szCs w:val="32"/>
        </w:rPr>
        <w:t>%。基本支出中，人员经费</w:t>
      </w:r>
      <w:r>
        <w:rPr>
          <w:rFonts w:hint="eastAsia" w:ascii="仿宋" w:hAnsi="仿宋" w:eastAsia="仿宋"/>
          <w:sz w:val="32"/>
          <w:szCs w:val="32"/>
          <w:lang w:val="en-US" w:eastAsia="zh-CN"/>
        </w:rPr>
        <w:t>448.39</w:t>
      </w:r>
      <w:r>
        <w:rPr>
          <w:rFonts w:hint="eastAsia" w:ascii="仿宋" w:hAnsi="仿宋" w:eastAsia="仿宋"/>
          <w:sz w:val="32"/>
          <w:szCs w:val="32"/>
        </w:rPr>
        <w:t>万元，占</w:t>
      </w:r>
      <w:r>
        <w:rPr>
          <w:rFonts w:hint="eastAsia" w:ascii="仿宋" w:hAnsi="仿宋" w:eastAsia="仿宋"/>
          <w:sz w:val="32"/>
          <w:szCs w:val="32"/>
          <w:lang w:val="en-US" w:eastAsia="zh-CN"/>
        </w:rPr>
        <w:t>91.95</w:t>
      </w:r>
      <w:r>
        <w:rPr>
          <w:rFonts w:hint="eastAsia" w:ascii="仿宋" w:hAnsi="仿宋" w:eastAsia="仿宋"/>
          <w:sz w:val="32"/>
          <w:szCs w:val="32"/>
        </w:rPr>
        <w:t>%；公用经费</w:t>
      </w:r>
      <w:r>
        <w:rPr>
          <w:rFonts w:hint="eastAsia" w:ascii="仿宋" w:hAnsi="仿宋" w:eastAsia="仿宋"/>
          <w:sz w:val="32"/>
          <w:szCs w:val="32"/>
          <w:lang w:val="en-US" w:eastAsia="zh-CN"/>
        </w:rPr>
        <w:t>39.22</w:t>
      </w:r>
      <w:r>
        <w:rPr>
          <w:rFonts w:hint="eastAsia" w:ascii="仿宋" w:hAnsi="仿宋" w:eastAsia="仿宋"/>
          <w:sz w:val="32"/>
          <w:szCs w:val="32"/>
        </w:rPr>
        <w:t>万元，占</w:t>
      </w:r>
      <w:r>
        <w:rPr>
          <w:rFonts w:hint="eastAsia" w:ascii="仿宋" w:hAnsi="仿宋" w:eastAsia="仿宋"/>
          <w:sz w:val="32"/>
          <w:szCs w:val="32"/>
          <w:lang w:val="en-US" w:eastAsia="zh-CN"/>
        </w:rPr>
        <w:t>8.04</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596.59</w:t>
      </w:r>
      <w:r>
        <w:rPr>
          <w:rFonts w:hint="eastAsia" w:ascii="仿宋" w:hAnsi="仿宋" w:eastAsia="仿宋"/>
          <w:sz w:val="32"/>
          <w:szCs w:val="32"/>
        </w:rPr>
        <w:t>万元，占</w:t>
      </w:r>
      <w:r>
        <w:rPr>
          <w:rFonts w:hint="eastAsia" w:ascii="仿宋" w:hAnsi="仿宋" w:eastAsia="仿宋"/>
          <w:sz w:val="32"/>
          <w:szCs w:val="32"/>
          <w:lang w:val="en-US" w:eastAsia="zh-CN"/>
        </w:rPr>
        <w:t>93.70</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主要用于：</w:t>
      </w:r>
      <w:r>
        <w:rPr>
          <w:rFonts w:hint="eastAsia" w:ascii="仿宋" w:hAnsi="仿宋" w:eastAsia="仿宋"/>
          <w:sz w:val="32"/>
          <w:szCs w:val="32"/>
          <w:lang w:val="en-US" w:eastAsia="zh-CN"/>
        </w:rPr>
        <w:t>各项人员经费、公用经费及项目支出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40.11</w:t>
      </w:r>
      <w:r>
        <w:rPr>
          <w:rFonts w:hint="eastAsia" w:ascii="仿宋" w:hAnsi="仿宋" w:eastAsia="仿宋"/>
          <w:sz w:val="32"/>
          <w:szCs w:val="32"/>
        </w:rPr>
        <w:t>万元，占</w:t>
      </w:r>
      <w:r>
        <w:rPr>
          <w:rFonts w:hint="eastAsia" w:ascii="仿宋" w:hAnsi="仿宋" w:eastAsia="仿宋"/>
          <w:sz w:val="32"/>
          <w:szCs w:val="32"/>
          <w:lang w:val="en-US" w:eastAsia="zh-CN"/>
        </w:rPr>
        <w:t>6.30</w:t>
      </w:r>
      <w:r>
        <w:rPr>
          <w:rFonts w:hint="eastAsia" w:ascii="仿宋" w:hAnsi="仿宋" w:eastAsia="仿宋"/>
          <w:sz w:val="32"/>
          <w:szCs w:val="32"/>
        </w:rPr>
        <w:t>%，主要用于：在职人员住房公积金补助支出。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487.62</w:t>
      </w:r>
      <w:r>
        <w:rPr>
          <w:rFonts w:hint="eastAsia" w:ascii="仿宋" w:hAnsi="仿宋" w:eastAsia="仿宋"/>
          <w:sz w:val="32"/>
          <w:szCs w:val="32"/>
        </w:rPr>
        <w:t>万元，其中：</w:t>
      </w:r>
    </w:p>
    <w:p w14:paraId="03F48596">
      <w:pPr>
        <w:ind w:firstLine="640" w:firstLineChars="200"/>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448.39</w:t>
      </w:r>
      <w:r>
        <w:rPr>
          <w:rFonts w:hint="eastAsia" w:ascii="仿宋" w:hAnsi="仿宋" w:eastAsia="仿宋"/>
          <w:sz w:val="32"/>
          <w:szCs w:val="32"/>
        </w:rPr>
        <w:t>万元，主要包括：基本工资、津贴补贴、奖金、机关事业单位基本养老保险缴费、职工基本医疗保险缴费、其他社会保障缴费、住房公积金</w:t>
      </w:r>
      <w:r>
        <w:rPr>
          <w:rFonts w:hint="eastAsia" w:ascii="仿宋" w:hAnsi="仿宋" w:eastAsia="仿宋"/>
          <w:sz w:val="32"/>
          <w:szCs w:val="32"/>
          <w:lang w:eastAsia="zh-CN"/>
        </w:rPr>
        <w:t>。</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39.22</w:t>
      </w:r>
      <w:r>
        <w:rPr>
          <w:rFonts w:hint="eastAsia" w:ascii="仿宋" w:hAnsi="仿宋" w:eastAsia="仿宋"/>
          <w:sz w:val="32"/>
          <w:szCs w:val="32"/>
        </w:rPr>
        <w:t>万元，主要包括：办公费、邮电费、差旅费、</w:t>
      </w:r>
      <w:r>
        <w:rPr>
          <w:rFonts w:hint="eastAsia" w:ascii="仿宋" w:hAnsi="仿宋" w:eastAsia="仿宋"/>
          <w:sz w:val="32"/>
          <w:szCs w:val="32"/>
          <w:lang w:val="en-US" w:eastAsia="zh-CN"/>
        </w:rPr>
        <w:t>物业管理费、</w:t>
      </w:r>
      <w:r>
        <w:rPr>
          <w:rFonts w:hint="eastAsia" w:ascii="仿宋" w:hAnsi="仿宋" w:eastAsia="仿宋"/>
          <w:sz w:val="32"/>
          <w:szCs w:val="32"/>
        </w:rPr>
        <w:t>公务接待费、工会经费、</w:t>
      </w:r>
      <w:r>
        <w:rPr>
          <w:rFonts w:hint="eastAsia" w:ascii="仿宋" w:hAnsi="仿宋" w:eastAsia="仿宋"/>
          <w:sz w:val="32"/>
          <w:szCs w:val="32"/>
          <w:lang w:val="en-US" w:eastAsia="zh-CN"/>
        </w:rPr>
        <w:t>其他交通费用、其他商品和服务支出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0.45</w:t>
      </w:r>
      <w:r>
        <w:rPr>
          <w:rFonts w:hint="eastAsia" w:ascii="仿宋" w:hAnsi="仿宋" w:eastAsia="仿宋"/>
          <w:kern w:val="0"/>
          <w:sz w:val="32"/>
          <w:szCs w:val="32"/>
        </w:rPr>
        <w:t>万元，与 2025年预算数相同。其中：</w:t>
      </w:r>
      <w:bookmarkStart w:id="0" w:name="_GoBack"/>
      <w:bookmarkEnd w:id="0"/>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0.45</w:t>
      </w:r>
      <w:r>
        <w:rPr>
          <w:rFonts w:hint="eastAsia" w:ascii="仿宋" w:hAnsi="仿宋" w:eastAsia="仿宋"/>
          <w:kern w:val="0"/>
          <w:sz w:val="32"/>
          <w:szCs w:val="32"/>
        </w:rPr>
        <w:t>万元，与 2025年预算数相同。</w:t>
      </w:r>
    </w:p>
    <w:p w14:paraId="7288DF6E">
      <w:pPr>
        <w:pStyle w:val="9"/>
        <w:ind w:firstLine="640" w:firstLineChars="200"/>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0.00</w:t>
      </w:r>
      <w:r>
        <w:rPr>
          <w:rFonts w:hint="eastAsia" w:ascii="仿宋" w:hAnsi="仿宋" w:eastAsia="仿宋"/>
          <w:kern w:val="0"/>
          <w:sz w:val="32"/>
          <w:szCs w:val="32"/>
        </w:rPr>
        <w:t>万元，与 2025年预算数相同。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3F7F3603">
      <w:pPr>
        <w:pStyle w:val="9"/>
        <w:ind w:firstLine="640"/>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39.22</w:t>
      </w:r>
      <w:r>
        <w:rPr>
          <w:rFonts w:hint="eastAsia" w:ascii="仿宋" w:hAnsi="仿宋" w:eastAsia="仿宋"/>
          <w:sz w:val="32"/>
          <w:szCs w:val="32"/>
        </w:rPr>
        <w:t>万元，比 2025年预算增加</w:t>
      </w:r>
      <w:r>
        <w:rPr>
          <w:rFonts w:hint="eastAsia" w:ascii="仿宋" w:hAnsi="仿宋" w:eastAsia="仿宋"/>
          <w:sz w:val="32"/>
          <w:szCs w:val="32"/>
          <w:lang w:val="en-US" w:eastAsia="zh-CN"/>
        </w:rPr>
        <w:t>8.65</w:t>
      </w:r>
      <w:r>
        <w:rPr>
          <w:rFonts w:hint="eastAsia" w:ascii="仿宋" w:hAnsi="仿宋" w:eastAsia="仿宋"/>
          <w:sz w:val="32"/>
          <w:szCs w:val="32"/>
        </w:rPr>
        <w:t>万元，增长</w:t>
      </w:r>
      <w:r>
        <w:rPr>
          <w:rFonts w:hint="eastAsia" w:ascii="仿宋" w:hAnsi="仿宋" w:eastAsia="仿宋"/>
          <w:sz w:val="32"/>
          <w:szCs w:val="32"/>
          <w:lang w:val="en-US" w:eastAsia="zh-CN"/>
        </w:rPr>
        <w:t>28.30</w:t>
      </w:r>
      <w:r>
        <w:rPr>
          <w:rFonts w:hint="eastAsia" w:ascii="仿宋" w:hAnsi="仿宋" w:eastAsia="仿宋"/>
          <w:sz w:val="32"/>
          <w:szCs w:val="32"/>
        </w:rPr>
        <w:t>%，主要原因是</w:t>
      </w:r>
      <w:r>
        <w:rPr>
          <w:rFonts w:hint="eastAsia" w:ascii="仿宋" w:hAnsi="仿宋" w:eastAsia="仿宋"/>
          <w:sz w:val="32"/>
          <w:szCs w:val="32"/>
          <w:lang w:val="en-US" w:eastAsia="zh-CN"/>
        </w:rPr>
        <w:t>2026年物业管理费、残疾人保障金列入预算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3.17</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0.00</w:t>
      </w:r>
      <w:r>
        <w:rPr>
          <w:rFonts w:hint="eastAsia" w:ascii="仿宋" w:hAnsi="仿宋" w:eastAsia="仿宋"/>
          <w:sz w:val="32"/>
          <w:szCs w:val="32"/>
        </w:rPr>
        <w:t>万元，政府采购工程预算</w:t>
      </w:r>
      <w:r>
        <w:rPr>
          <w:rFonts w:hint="eastAsia" w:ascii="仿宋" w:hAnsi="仿宋" w:eastAsia="仿宋"/>
          <w:sz w:val="32"/>
          <w:szCs w:val="32"/>
          <w:lang w:val="en-US" w:eastAsia="zh-CN"/>
        </w:rPr>
        <w:t>0.00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3.17</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0.00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ind w:firstLine="640"/>
        <w:jc w:val="left"/>
        <w:rPr>
          <w:rFonts w:hint="eastAsia" w:ascii="仿宋" w:hAnsi="仿宋" w:eastAsia="仿宋"/>
          <w:sz w:val="32"/>
          <w:szCs w:val="32"/>
        </w:rPr>
      </w:pPr>
      <w:r>
        <w:rPr>
          <w:rFonts w:hint="eastAsia" w:ascii="仿宋" w:hAnsi="仿宋" w:eastAsia="仿宋"/>
          <w:sz w:val="32"/>
          <w:szCs w:val="32"/>
        </w:rPr>
        <w:t>按照全面实施预算绩效管理的要求，结合本部门职能和重点工作，2026年将</w:t>
      </w:r>
      <w:r>
        <w:rPr>
          <w:rFonts w:hint="eastAsia" w:ascii="仿宋" w:hAnsi="仿宋" w:eastAsia="仿宋"/>
          <w:sz w:val="32"/>
          <w:szCs w:val="32"/>
          <w:lang w:val="en-US" w:eastAsia="zh-CN"/>
        </w:rPr>
        <w:t>6</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149.08</w:t>
      </w:r>
      <w:r>
        <w:rPr>
          <w:rFonts w:hint="eastAsia" w:ascii="仿宋" w:hAnsi="仿宋" w:eastAsia="仿宋"/>
          <w:sz w:val="32"/>
          <w:szCs w:val="32"/>
        </w:rPr>
        <w:t>万元。</w:t>
      </w:r>
    </w:p>
    <w:p w14:paraId="5031A6CC">
      <w:pPr>
        <w:ind w:firstLine="640"/>
        <w:jc w:val="left"/>
        <w:rPr>
          <w:rFonts w:hint="eastAsia" w:ascii="仿宋" w:hAnsi="仿宋" w:eastAsia="仿宋"/>
          <w:sz w:val="32"/>
          <w:szCs w:val="32"/>
        </w:rPr>
      </w:pPr>
    </w:p>
    <w:p w14:paraId="207C74A8">
      <w:pPr>
        <w:ind w:firstLine="640"/>
        <w:jc w:val="left"/>
        <w:rPr>
          <w:rFonts w:hint="eastAsia" w:ascii="仿宋" w:hAnsi="仿宋" w:eastAsia="仿宋"/>
          <w:sz w:val="32"/>
          <w:szCs w:val="32"/>
        </w:rPr>
      </w:pPr>
    </w:p>
    <w:p w14:paraId="52203DF9">
      <w:pPr>
        <w:ind w:firstLine="640"/>
        <w:jc w:val="left"/>
        <w:rPr>
          <w:rFonts w:hint="eastAsia" w:ascii="仿宋" w:hAnsi="仿宋" w:eastAsia="仿宋"/>
          <w:sz w:val="32"/>
          <w:szCs w:val="32"/>
        </w:rPr>
      </w:pPr>
    </w:p>
    <w:p w14:paraId="724BE6A8">
      <w:pPr>
        <w:ind w:firstLine="640"/>
        <w:jc w:val="left"/>
        <w:rPr>
          <w:rFonts w:hint="eastAsia" w:ascii="仿宋" w:hAnsi="仿宋" w:eastAsia="仿宋"/>
          <w:sz w:val="32"/>
          <w:szCs w:val="32"/>
        </w:rPr>
      </w:pPr>
    </w:p>
    <w:p w14:paraId="6710D241">
      <w:pPr>
        <w:ind w:firstLine="640"/>
        <w:jc w:val="left"/>
        <w:rPr>
          <w:rFonts w:hint="eastAsia" w:ascii="仿宋" w:hAnsi="仿宋" w:eastAsia="仿宋"/>
          <w:sz w:val="32"/>
          <w:szCs w:val="32"/>
        </w:rPr>
      </w:pPr>
    </w:p>
    <w:p w14:paraId="1CC661E2">
      <w:pPr>
        <w:ind w:firstLine="640"/>
        <w:jc w:val="left"/>
        <w:rPr>
          <w:rFonts w:hint="eastAsia" w:ascii="仿宋" w:hAnsi="仿宋" w:eastAsia="仿宋"/>
          <w:sz w:val="32"/>
          <w:szCs w:val="32"/>
        </w:rPr>
      </w:pPr>
    </w:p>
    <w:p w14:paraId="4AB371C1">
      <w:pPr>
        <w:ind w:firstLine="640"/>
        <w:jc w:val="left"/>
        <w:rPr>
          <w:rFonts w:hint="eastAsia" w:ascii="仿宋" w:hAnsi="仿宋" w:eastAsia="仿宋"/>
          <w:sz w:val="32"/>
          <w:szCs w:val="32"/>
        </w:rPr>
      </w:pPr>
    </w:p>
    <w:p w14:paraId="34472139">
      <w:pPr>
        <w:ind w:firstLine="640"/>
        <w:jc w:val="left"/>
        <w:rPr>
          <w:rFonts w:hint="eastAsia" w:ascii="仿宋" w:hAnsi="仿宋" w:eastAsia="仿宋"/>
          <w:sz w:val="32"/>
          <w:szCs w:val="32"/>
        </w:rPr>
      </w:pPr>
    </w:p>
    <w:p w14:paraId="6AAAEA0A">
      <w:pPr>
        <w:ind w:firstLine="640"/>
        <w:jc w:val="left"/>
        <w:rPr>
          <w:rFonts w:hint="eastAsia" w:ascii="仿宋" w:hAnsi="仿宋" w:eastAsia="仿宋"/>
          <w:sz w:val="32"/>
          <w:szCs w:val="32"/>
        </w:rPr>
      </w:pPr>
    </w:p>
    <w:p w14:paraId="13F8F021">
      <w:pPr>
        <w:ind w:firstLine="640"/>
        <w:jc w:val="left"/>
        <w:rPr>
          <w:rFonts w:hint="eastAsia" w:ascii="仿宋" w:hAnsi="仿宋" w:eastAsia="仿宋"/>
          <w:sz w:val="32"/>
          <w:szCs w:val="32"/>
        </w:rPr>
      </w:pPr>
    </w:p>
    <w:p w14:paraId="35EE2715">
      <w:pPr>
        <w:ind w:firstLine="640"/>
        <w:jc w:val="left"/>
        <w:rPr>
          <w:rFonts w:hint="eastAsia" w:ascii="仿宋" w:hAnsi="仿宋" w:eastAsia="仿宋"/>
          <w:sz w:val="32"/>
          <w:szCs w:val="32"/>
        </w:rPr>
      </w:pPr>
    </w:p>
    <w:p w14:paraId="68BC7921">
      <w:pPr>
        <w:ind w:firstLine="640"/>
        <w:jc w:val="left"/>
        <w:rPr>
          <w:rFonts w:hint="eastAsia" w:ascii="仿宋" w:hAnsi="仿宋" w:eastAsia="仿宋"/>
          <w:sz w:val="32"/>
          <w:szCs w:val="32"/>
        </w:rPr>
      </w:pPr>
    </w:p>
    <w:p w14:paraId="2BCC4E89">
      <w:pPr>
        <w:ind w:firstLine="640"/>
        <w:jc w:val="left"/>
        <w:rPr>
          <w:rFonts w:hint="eastAsia" w:ascii="仿宋" w:hAnsi="仿宋" w:eastAsia="仿宋"/>
          <w:sz w:val="32"/>
          <w:szCs w:val="32"/>
        </w:rPr>
      </w:pPr>
    </w:p>
    <w:p w14:paraId="41C8B6CE">
      <w:pPr>
        <w:ind w:firstLine="640"/>
        <w:jc w:val="left"/>
        <w:rPr>
          <w:rFonts w:hint="eastAsia" w:ascii="仿宋" w:hAnsi="仿宋" w:eastAsia="仿宋"/>
          <w:sz w:val="32"/>
          <w:szCs w:val="32"/>
        </w:rPr>
      </w:pPr>
    </w:p>
    <w:p w14:paraId="460F5538">
      <w:pPr>
        <w:ind w:firstLine="640"/>
        <w:jc w:val="left"/>
        <w:rPr>
          <w:rFonts w:hint="eastAsia" w:ascii="仿宋" w:hAnsi="仿宋" w:eastAsia="仿宋"/>
          <w:sz w:val="32"/>
          <w:szCs w:val="32"/>
        </w:rPr>
      </w:pPr>
    </w:p>
    <w:p w14:paraId="0A9FFB38">
      <w:pPr>
        <w:ind w:firstLine="640"/>
        <w:jc w:val="left"/>
        <w:rPr>
          <w:rFonts w:hint="eastAsia" w:ascii="仿宋" w:hAnsi="仿宋" w:eastAsia="仿宋"/>
          <w:sz w:val="32"/>
          <w:szCs w:val="32"/>
        </w:rPr>
      </w:pPr>
    </w:p>
    <w:p w14:paraId="2F138CD9">
      <w:pPr>
        <w:ind w:firstLine="640"/>
        <w:jc w:val="left"/>
        <w:rPr>
          <w:rFonts w:hint="eastAsia" w:ascii="仿宋" w:hAnsi="仿宋" w:eastAsia="仿宋"/>
          <w:sz w:val="32"/>
          <w:szCs w:val="32"/>
        </w:rPr>
      </w:pPr>
    </w:p>
    <w:p w14:paraId="211569C4">
      <w:pPr>
        <w:ind w:firstLine="640"/>
        <w:jc w:val="left"/>
        <w:rPr>
          <w:rFonts w:hint="eastAsia" w:ascii="仿宋" w:hAnsi="仿宋" w:eastAsia="仿宋"/>
          <w:sz w:val="32"/>
          <w:szCs w:val="32"/>
        </w:rPr>
      </w:pPr>
    </w:p>
    <w:p w14:paraId="45B127D2">
      <w:pPr>
        <w:ind w:firstLine="640"/>
        <w:jc w:val="left"/>
        <w:rPr>
          <w:rFonts w:hint="eastAsia" w:ascii="仿宋" w:hAnsi="仿宋" w:eastAsia="仿宋"/>
          <w:sz w:val="32"/>
          <w:szCs w:val="32"/>
        </w:rPr>
      </w:pP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08D06A07">
      <w:pPr>
        <w:jc w:val="left"/>
        <w:rPr>
          <w:rFonts w:ascii="仿宋" w:hAnsi="仿宋" w:eastAsia="仿宋"/>
          <w:sz w:val="32"/>
          <w:szCs w:val="32"/>
        </w:rPr>
      </w:pPr>
    </w:p>
    <w:p w14:paraId="65F47ECF">
      <w:pPr>
        <w:jc w:val="left"/>
        <w:rPr>
          <w:rFonts w:ascii="仿宋" w:hAnsi="仿宋" w:eastAsia="仿宋"/>
          <w:sz w:val="32"/>
          <w:szCs w:val="32"/>
        </w:rPr>
      </w:pPr>
    </w:p>
    <w:p w14:paraId="1166A884">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ind w:firstLine="640" w:firstLineChars="200"/>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5D33B2"/>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F3040EA"/>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5564596"/>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2819</Words>
  <Characters>3137</Characters>
  <Lines>21</Lines>
  <Paragraphs>6</Paragraphs>
  <TotalTime>0</TotalTime>
  <ScaleCrop>false</ScaleCrop>
  <LinksUpToDate>false</LinksUpToDate>
  <CharactersWithSpaces>3208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香香</cp:lastModifiedBy>
  <dcterms:modified xsi:type="dcterms:W3CDTF">2026-03-24T05:55:48Z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eyJoZGlkIjoiMWZmNWJjMzMyMTdlN2UzNWMxMzJiZjZmYTdkMDFkMTAiLCJ1c2VySWQiOiI0MzA1NjE5MzEifQ==</vt:lpwstr>
  </property>
</Properties>
</file>