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rPr>
        <w:t>永吉县双河镇人民政府2026年部门预算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18C3CAAE">
      <w:pPr>
        <w:jc w:val="both"/>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rPr>
        <w:t>永吉县双河镇人民政府2026年预算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6C6BDE80">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名称：永吉县双河镇人民政府</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行政单位</w:t>
      </w:r>
    </w:p>
    <w:p w14:paraId="13422B81">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p>
    <w:p w14:paraId="686A9C2A">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1.加强党的建设。落实基层党建工作责任制，坚持和完善党的全面领导，加强党的组织体系建设。</w:t>
      </w:r>
    </w:p>
    <w:p w14:paraId="5557E801">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2.统筹区域发展。合理确定经济发展职能，统筹落实辖区发展的重大决策和辖区建设规划，参与辖区公共服务设施建设规划，统筹做好企业服务工作，营造良好营商环境。实施乡村振兴战略各项政策，规范“三资”管理工作。</w:t>
      </w:r>
    </w:p>
    <w:p w14:paraId="2540EB9B">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3.组织公共服务。推进政府职能由“管理型”向“公共服务型”转变，积极推进基本公共服务均等化，落实人社、民政、教育、文化、体育、卫生健康、扶贫开发等各领域相关政策。</w:t>
      </w:r>
    </w:p>
    <w:p w14:paraId="7F400EC2">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4.实施综合管理。负责对辖区内城镇管理、人口管理、社会管理等综合性工作，承担组织领导、推进实施、综合协调和监督检查职能。加强和完善经济发展、综合执法、应急管理、自然资源管理、市场监管、生态环境保护等方面职能。</w:t>
      </w:r>
    </w:p>
    <w:p w14:paraId="69774AAA">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5.动员社会参与。坚持以基层党建引领基层治理，动员指导辖区内各类单位、社会组织和村（社区）等社会力量参与社会治理，引导辖区单位履行社会责任，整合辖区内各种社会力量为镇、村（社区）发展服务。</w:t>
      </w:r>
    </w:p>
    <w:p w14:paraId="2BF969BC">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6.领导基层治理。发挥村（社区）党组织在基层群众自治组织建设中的领导核心作用，完善党领导下的基层社会治理体系，做好组织群众、宣传群众、凝聚群众、服务群众工作，提高基层自治整体水平。</w:t>
      </w:r>
    </w:p>
    <w:p w14:paraId="7DF122E9">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7.维护安全稳定。落实安全稳定工作部署。负责辖区平安建设、综合治理、安全生产管理等有关工作，处理群众来信来访，有效化解各类矛盾纠纷等。</w:t>
      </w:r>
    </w:p>
    <w:p w14:paraId="07D207D4">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8.深化“放管服”改革和“最多跑一次”改革。推进镇便民服务平台标准化建设，加快实现政务服务马上办、网上办、就近办、一次办，提升政务服务质量。</w:t>
      </w:r>
    </w:p>
    <w:p w14:paraId="0BFC14A2">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rPr>
        <w:t>9.完成法律、法规、规章规定的其他事项和县委、县政府交办的其他任务。</w:t>
      </w:r>
    </w:p>
    <w:p w14:paraId="5757AED3">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主要业务：</w:t>
      </w:r>
    </w:p>
    <w:p w14:paraId="3146678E">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kern w:val="0"/>
          <w:sz w:val="32"/>
          <w:szCs w:val="32"/>
        </w:rPr>
        <w:t>承担乡村振兴、安全生产、信访稳定、扫黑险恶、党委日常工作、产业发展、招商引资、项目建设、清收还林、森林防火、秸秆禁烧、生态保护、防汛抗旱、畜禽防疫、农村环境整治等方面工作。</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6FD3A38A">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综合办公室、党建工作办公室、平安建设办公室（应急管理办公室）、社会事务办公室、农业农村办公室、综合行政执法办公室、经济发展办公室、扶贫开发办公室。镇人大、纪检监察、人武、工会、共青团、妇联等组织按有关规定设置并开展工作。</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24</w:t>
      </w:r>
      <w:r>
        <w:rPr>
          <w:rFonts w:hint="eastAsia" w:ascii="仿宋" w:hAnsi="仿宋" w:eastAsia="仿宋"/>
          <w:kern w:val="0"/>
          <w:szCs w:val="32"/>
        </w:rPr>
        <w:t>人，编制数</w:t>
      </w:r>
      <w:r>
        <w:rPr>
          <w:rFonts w:hint="eastAsia" w:ascii="仿宋" w:hAnsi="仿宋" w:eastAsia="仿宋"/>
          <w:kern w:val="0"/>
          <w:szCs w:val="32"/>
          <w:lang w:val="en-US" w:eastAsia="zh-CN"/>
        </w:rPr>
        <w:t>26</w:t>
      </w:r>
      <w:r>
        <w:rPr>
          <w:rFonts w:hint="eastAsia" w:ascii="仿宋" w:hAnsi="仿宋" w:eastAsia="仿宋"/>
          <w:kern w:val="0"/>
          <w:szCs w:val="32"/>
        </w:rPr>
        <w:t>人，领导职数</w:t>
      </w:r>
      <w:r>
        <w:rPr>
          <w:rFonts w:hint="eastAsia" w:ascii="仿宋" w:hAnsi="仿宋" w:eastAsia="仿宋"/>
          <w:kern w:val="0"/>
          <w:szCs w:val="32"/>
          <w:lang w:val="en-US" w:eastAsia="zh-CN"/>
        </w:rPr>
        <w:t>12</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0DB00CF4">
      <w:pPr>
        <w:jc w:val="center"/>
        <w:rPr>
          <w:rFonts w:hint="eastAsia" w:ascii="黑体" w:hAnsi="黑体" w:eastAsia="黑体"/>
          <w:sz w:val="32"/>
          <w:szCs w:val="32"/>
        </w:rPr>
      </w:pPr>
    </w:p>
    <w:p w14:paraId="53B158B2">
      <w:pPr>
        <w:jc w:val="center"/>
        <w:rPr>
          <w:rFonts w:hint="eastAsia" w:ascii="黑体" w:hAnsi="黑体" w:eastAsia="黑体"/>
          <w:sz w:val="32"/>
          <w:szCs w:val="32"/>
        </w:rPr>
      </w:pPr>
    </w:p>
    <w:p w14:paraId="383C4FDD">
      <w:pPr>
        <w:jc w:val="center"/>
        <w:rPr>
          <w:rFonts w:hint="eastAsia" w:ascii="黑体" w:hAnsi="黑体" w:eastAsia="黑体"/>
          <w:sz w:val="32"/>
          <w:szCs w:val="32"/>
        </w:rPr>
      </w:pPr>
    </w:p>
    <w:p w14:paraId="59EFDBEA">
      <w:pPr>
        <w:jc w:val="center"/>
        <w:rPr>
          <w:rFonts w:hint="eastAsia" w:ascii="黑体" w:hAnsi="黑体" w:eastAsia="黑体"/>
          <w:sz w:val="32"/>
          <w:szCs w:val="32"/>
        </w:rPr>
      </w:pPr>
    </w:p>
    <w:p w14:paraId="049CE40E">
      <w:pPr>
        <w:jc w:val="center"/>
        <w:rPr>
          <w:rFonts w:hint="eastAsia" w:ascii="黑体" w:hAnsi="黑体" w:eastAsia="黑体"/>
          <w:sz w:val="32"/>
          <w:szCs w:val="32"/>
        </w:rPr>
      </w:pPr>
    </w:p>
    <w:p w14:paraId="74805C9E">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highlight w:val="none"/>
        </w:rPr>
      </w:pPr>
      <w:r>
        <w:rPr>
          <w:rFonts w:hint="eastAsia" w:ascii="仿宋" w:hAnsi="仿宋" w:eastAsia="仿宋"/>
          <w:sz w:val="32"/>
          <w:szCs w:val="32"/>
        </w:rPr>
        <w:t xml:space="preserve">  </w:t>
      </w:r>
      <w:r>
        <w:rPr>
          <w:rFonts w:hint="eastAsia" w:ascii="仿宋" w:hAnsi="仿宋" w:eastAsia="仿宋"/>
          <w:sz w:val="32"/>
          <w:szCs w:val="32"/>
          <w:highlight w:val="none"/>
        </w:rPr>
        <w:t xml:space="preserve">  </w:t>
      </w:r>
      <w:r>
        <w:rPr>
          <w:rFonts w:hint="eastAsia" w:ascii="楷体" w:hAnsi="楷体" w:eastAsia="楷体"/>
          <w:sz w:val="32"/>
          <w:szCs w:val="32"/>
          <w:highlight w:val="none"/>
        </w:rPr>
        <w:t>一、2026年收支预算总体情况</w:t>
      </w:r>
    </w:p>
    <w:p w14:paraId="790B2477">
      <w:pPr>
        <w:pStyle w:val="11"/>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477.4</w:t>
      </w:r>
      <w:r>
        <w:rPr>
          <w:rFonts w:hint="eastAsia" w:ascii="仿宋" w:hAnsi="仿宋" w:eastAsia="仿宋"/>
          <w:sz w:val="32"/>
          <w:szCs w:val="32"/>
          <w:highlight w:val="none"/>
          <w:lang w:val="en-US" w:eastAsia="zh-CN"/>
        </w:rPr>
        <w:t xml:space="preserve">4 </w:t>
      </w:r>
      <w:r>
        <w:rPr>
          <w:rFonts w:hint="eastAsia" w:ascii="仿宋" w:hAnsi="仿宋" w:eastAsia="仿宋"/>
          <w:sz w:val="32"/>
          <w:szCs w:val="32"/>
          <w:highlight w:val="none"/>
        </w:rPr>
        <w:t>万元，比 2025年预算数</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602.8</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lang w:eastAsia="zh-CN"/>
        </w:rPr>
        <w:t>125.36</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本年未将村级运转经费工资部分纳入年初预算</w:t>
      </w:r>
      <w:r>
        <w:rPr>
          <w:rFonts w:hint="eastAsia" w:ascii="仿宋" w:hAnsi="仿宋" w:eastAsia="仿宋"/>
          <w:sz w:val="32"/>
          <w:szCs w:val="32"/>
          <w:highlight w:val="none"/>
        </w:rPr>
        <w:t>。</w:t>
      </w:r>
    </w:p>
    <w:p w14:paraId="0594D500">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二、2026年收入预算情况</w:t>
      </w:r>
    </w:p>
    <w:p w14:paraId="5BB9355F">
      <w:pPr>
        <w:pStyle w:val="11"/>
        <w:ind w:left="319" w:leftChars="152" w:firstLine="320" w:firstLineChars="100"/>
        <w:jc w:val="left"/>
        <w:rPr>
          <w:rFonts w:ascii="仿宋" w:hAnsi="仿宋" w:eastAsia="仿宋"/>
          <w:sz w:val="32"/>
          <w:szCs w:val="32"/>
          <w:highlight w:val="none"/>
        </w:rPr>
      </w:pPr>
      <w:r>
        <w:rPr>
          <w:rFonts w:hint="eastAsia" w:ascii="仿宋" w:hAnsi="仿宋" w:eastAsia="仿宋"/>
          <w:sz w:val="32"/>
          <w:szCs w:val="32"/>
          <w:highlight w:val="none"/>
        </w:rPr>
        <w:t>2026年本单位收入预算 477.44 万元，其中：一般公共预算收入 477.44 万元，占</w:t>
      </w:r>
      <w:r>
        <w:rPr>
          <w:rFonts w:hint="eastAsia" w:ascii="仿宋" w:hAnsi="仿宋" w:eastAsia="仿宋"/>
          <w:sz w:val="32"/>
          <w:szCs w:val="32"/>
          <w:highlight w:val="none"/>
          <w:lang w:val="en-US" w:eastAsia="zh-CN"/>
        </w:rPr>
        <w:t>100.00</w:t>
      </w:r>
      <w:r>
        <w:rPr>
          <w:rFonts w:hint="eastAsia" w:ascii="仿宋" w:hAnsi="仿宋" w:eastAsia="仿宋"/>
          <w:sz w:val="32"/>
          <w:szCs w:val="32"/>
          <w:highlight w:val="none"/>
        </w:rPr>
        <w:t xml:space="preserve">%；政府性基金收入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rPr>
        <w:t>2026年支出预算477.44万元，其中：基本支出 341.68 万元，占</w:t>
      </w:r>
      <w:r>
        <w:rPr>
          <w:rFonts w:hint="eastAsia" w:ascii="仿宋" w:hAnsi="仿宋" w:eastAsia="仿宋"/>
          <w:sz w:val="32"/>
          <w:szCs w:val="32"/>
          <w:highlight w:val="none"/>
          <w:lang w:val="en-US" w:eastAsia="zh-CN"/>
        </w:rPr>
        <w:t>71.57</w:t>
      </w:r>
      <w:r>
        <w:rPr>
          <w:rFonts w:hint="eastAsia" w:ascii="仿宋" w:hAnsi="仿宋" w:eastAsia="仿宋"/>
          <w:sz w:val="32"/>
          <w:szCs w:val="32"/>
          <w:highlight w:val="none"/>
        </w:rPr>
        <w:t>%；项目支出 135.76 万元，占</w:t>
      </w:r>
      <w:r>
        <w:rPr>
          <w:rFonts w:hint="eastAsia" w:ascii="仿宋" w:hAnsi="仿宋" w:eastAsia="仿宋"/>
          <w:sz w:val="32"/>
          <w:szCs w:val="32"/>
          <w:highlight w:val="none"/>
          <w:lang w:val="en-US" w:eastAsia="zh-CN"/>
        </w:rPr>
        <w:t>28.43</w:t>
      </w:r>
      <w:r>
        <w:rPr>
          <w:rFonts w:hint="eastAsia" w:ascii="仿宋" w:hAnsi="仿宋" w:eastAsia="仿宋"/>
          <w:sz w:val="32"/>
          <w:szCs w:val="32"/>
          <w:highlight w:val="none"/>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2026年财政拨款收支总预算477.44万元，其中：本年收入 477.44 万元。本年支出477.44万元，支出包括：一般公共服务支出 394.32 万元，社会保障和就业支出 45.56 万元，</w:t>
      </w:r>
      <w:r>
        <w:rPr>
          <w:rFonts w:hint="eastAsia" w:ascii="仿宋" w:hAnsi="仿宋" w:eastAsia="仿宋"/>
          <w:sz w:val="32"/>
          <w:szCs w:val="32"/>
        </w:rPr>
        <w:t>卫生健康支出</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highlight w:val="none"/>
        </w:rPr>
        <w:t>住房保障支出 24.55 万元</w:t>
      </w:r>
      <w:r>
        <w:rPr>
          <w:rFonts w:hint="eastAsia" w:ascii="仿宋" w:hAnsi="仿宋" w:eastAsia="仿宋"/>
          <w:sz w:val="32"/>
          <w:szCs w:val="32"/>
          <w:highlight w:val="none"/>
          <w:lang w:eastAsia="zh-CN"/>
        </w:rPr>
        <w:t>，</w:t>
      </w:r>
      <w:r>
        <w:rPr>
          <w:rFonts w:hint="eastAsia" w:ascii="仿宋" w:hAnsi="仿宋" w:eastAsia="仿宋"/>
          <w:sz w:val="32"/>
          <w:szCs w:val="32"/>
          <w:highlight w:val="none"/>
        </w:rPr>
        <w:t>农林水支出 13 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highlight w:val="none"/>
        </w:rPr>
      </w:pPr>
      <w:r>
        <w:rPr>
          <w:rFonts w:hint="eastAsia" w:ascii="仿宋" w:hAnsi="仿宋" w:eastAsia="仿宋"/>
          <w:sz w:val="32"/>
          <w:szCs w:val="32"/>
          <w:highlight w:val="none"/>
        </w:rPr>
        <w:t>2026年一般公共预算当年拨款477.44万元，其中：基本支出341.68万元，占</w:t>
      </w:r>
      <w:r>
        <w:rPr>
          <w:rFonts w:hint="eastAsia" w:ascii="仿宋" w:hAnsi="仿宋" w:eastAsia="仿宋"/>
          <w:sz w:val="32"/>
          <w:szCs w:val="32"/>
          <w:highlight w:val="none"/>
          <w:lang w:val="en-US" w:eastAsia="zh-CN"/>
        </w:rPr>
        <w:t>71.57</w:t>
      </w:r>
      <w:r>
        <w:rPr>
          <w:rFonts w:hint="eastAsia" w:ascii="仿宋" w:hAnsi="仿宋" w:eastAsia="仿宋"/>
          <w:sz w:val="32"/>
          <w:szCs w:val="32"/>
          <w:highlight w:val="none"/>
        </w:rPr>
        <w:t>%；项目支出135.76万元，占</w:t>
      </w:r>
      <w:r>
        <w:rPr>
          <w:rFonts w:hint="eastAsia" w:ascii="仿宋" w:hAnsi="仿宋" w:eastAsia="仿宋"/>
          <w:sz w:val="32"/>
          <w:szCs w:val="32"/>
          <w:highlight w:val="none"/>
          <w:lang w:val="en-US" w:eastAsia="zh-CN"/>
        </w:rPr>
        <w:t>28.43</w:t>
      </w:r>
      <w:r>
        <w:rPr>
          <w:rFonts w:hint="eastAsia" w:ascii="仿宋" w:hAnsi="仿宋" w:eastAsia="仿宋"/>
          <w:sz w:val="32"/>
          <w:szCs w:val="32"/>
          <w:highlight w:val="none"/>
        </w:rPr>
        <w:t>%。基本支出中，人员经费284.73万元，占</w:t>
      </w:r>
      <w:r>
        <w:rPr>
          <w:rFonts w:hint="eastAsia" w:ascii="仿宋" w:hAnsi="仿宋" w:eastAsia="仿宋"/>
          <w:sz w:val="32"/>
          <w:szCs w:val="32"/>
          <w:highlight w:val="none"/>
          <w:lang w:val="en-US" w:eastAsia="zh-CN"/>
        </w:rPr>
        <w:t>83.33</w:t>
      </w:r>
      <w:r>
        <w:rPr>
          <w:rFonts w:hint="eastAsia" w:ascii="仿宋" w:hAnsi="仿宋" w:eastAsia="仿宋"/>
          <w:sz w:val="32"/>
          <w:szCs w:val="32"/>
          <w:highlight w:val="none"/>
        </w:rPr>
        <w:t>%；公用经费56.95万元，占</w:t>
      </w:r>
      <w:r>
        <w:rPr>
          <w:rFonts w:hint="eastAsia" w:ascii="仿宋" w:hAnsi="仿宋" w:eastAsia="仿宋"/>
          <w:sz w:val="32"/>
          <w:szCs w:val="32"/>
          <w:highlight w:val="none"/>
          <w:lang w:val="en-US" w:eastAsia="zh-CN"/>
        </w:rPr>
        <w:t>16.67</w:t>
      </w:r>
      <w:r>
        <w:rPr>
          <w:rFonts w:hint="eastAsia" w:ascii="仿宋" w:hAnsi="仿宋" w:eastAsia="仿宋"/>
          <w:sz w:val="32"/>
          <w:szCs w:val="32"/>
          <w:highlight w:val="none"/>
        </w:rPr>
        <w:t>%。</w:t>
      </w:r>
    </w:p>
    <w:p w14:paraId="7AE3769D">
      <w:pPr>
        <w:ind w:firstLine="640" w:firstLineChars="200"/>
        <w:rPr>
          <w:rFonts w:ascii="仿宋" w:hAnsi="仿宋" w:eastAsia="仿宋"/>
          <w:sz w:val="32"/>
          <w:szCs w:val="32"/>
          <w:highlight w:val="none"/>
        </w:rPr>
      </w:pPr>
      <w:r>
        <w:rPr>
          <w:rFonts w:hint="eastAsia" w:ascii="仿宋" w:hAnsi="仿宋" w:eastAsia="仿宋"/>
          <w:sz w:val="32"/>
          <w:szCs w:val="32"/>
          <w:highlight w:val="none"/>
        </w:rPr>
        <w:t>一般公共服务（类）支出 394.32 万元，占</w:t>
      </w:r>
      <w:r>
        <w:rPr>
          <w:rFonts w:hint="eastAsia" w:ascii="仿宋" w:hAnsi="仿宋" w:eastAsia="仿宋"/>
          <w:sz w:val="32"/>
          <w:szCs w:val="32"/>
          <w:highlight w:val="none"/>
          <w:lang w:val="en-US" w:eastAsia="zh-CN"/>
        </w:rPr>
        <w:t>82.6</w:t>
      </w:r>
      <w:r>
        <w:rPr>
          <w:rFonts w:hint="eastAsia" w:ascii="仿宋" w:hAnsi="仿宋" w:eastAsia="仿宋"/>
          <w:sz w:val="32"/>
          <w:szCs w:val="32"/>
          <w:highlight w:val="none"/>
        </w:rPr>
        <w:t>%，主要用于：人员经费中工资福利</w:t>
      </w:r>
      <w:r>
        <w:rPr>
          <w:rFonts w:hint="eastAsia" w:ascii="仿宋" w:hAnsi="仿宋" w:eastAsia="仿宋"/>
          <w:sz w:val="32"/>
          <w:szCs w:val="32"/>
          <w:highlight w:val="none"/>
          <w:lang w:eastAsia="zh-CN"/>
        </w:rPr>
        <w:t>及</w:t>
      </w:r>
      <w:r>
        <w:rPr>
          <w:rFonts w:hint="eastAsia" w:ascii="仿宋" w:hAnsi="仿宋" w:eastAsia="仿宋"/>
          <w:sz w:val="32"/>
          <w:szCs w:val="32"/>
          <w:highlight w:val="none"/>
        </w:rPr>
        <w:t>公用经费</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w:t>
      </w:r>
      <w:r>
        <w:rPr>
          <w:rFonts w:hint="eastAsia" w:ascii="仿宋" w:hAnsi="仿宋" w:eastAsia="仿宋"/>
          <w:sz w:val="32"/>
          <w:szCs w:val="32"/>
          <w:highlight w:val="none"/>
          <w:lang w:eastAsia="zh-CN"/>
        </w:rPr>
        <w:t>项目支出中</w:t>
      </w:r>
      <w:r>
        <w:rPr>
          <w:rFonts w:hint="eastAsia" w:ascii="仿宋" w:hAnsi="仿宋" w:eastAsia="仿宋"/>
          <w:sz w:val="32"/>
          <w:szCs w:val="32"/>
          <w:highlight w:val="none"/>
        </w:rPr>
        <w:t>永吉县双河镇人民政府2026年伙食费</w:t>
      </w:r>
      <w:r>
        <w:rPr>
          <w:rFonts w:hint="eastAsia" w:ascii="仿宋" w:hAnsi="仿宋" w:eastAsia="仿宋"/>
          <w:sz w:val="32"/>
          <w:szCs w:val="32"/>
          <w:highlight w:val="none"/>
          <w:lang w:eastAsia="zh-CN"/>
        </w:rPr>
        <w:t>、乡镇经费（环保方向）、2026年双河镇工作经费、永吉县双河镇人民政府2026年编外人员支出、2026年钼矿社区取暖费项目支出。</w:t>
      </w:r>
    </w:p>
    <w:p w14:paraId="59F47C99">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社会保障和就业（类）支出 45.56 万元，占</w:t>
      </w:r>
      <w:r>
        <w:rPr>
          <w:rFonts w:hint="eastAsia" w:ascii="仿宋" w:hAnsi="仿宋" w:eastAsia="仿宋"/>
          <w:sz w:val="32"/>
          <w:szCs w:val="32"/>
          <w:highlight w:val="none"/>
          <w:lang w:val="en-US" w:eastAsia="zh-CN"/>
        </w:rPr>
        <w:t>9.54</w:t>
      </w:r>
      <w:r>
        <w:rPr>
          <w:rFonts w:hint="eastAsia" w:ascii="仿宋" w:hAnsi="仿宋" w:eastAsia="仿宋"/>
          <w:sz w:val="32"/>
          <w:szCs w:val="32"/>
          <w:highlight w:val="none"/>
        </w:rPr>
        <w:t>%，主要用于：行政单位离退休</w:t>
      </w:r>
      <w:r>
        <w:rPr>
          <w:rFonts w:hint="eastAsia" w:ascii="仿宋" w:hAnsi="仿宋" w:eastAsia="仿宋"/>
          <w:sz w:val="32"/>
          <w:szCs w:val="32"/>
          <w:highlight w:val="none"/>
          <w:lang w:eastAsia="zh-CN"/>
        </w:rPr>
        <w:t>、机关事业单位基本养老保险缴费支出及永吉县双河镇人民政府2026年临时救助支出</w:t>
      </w:r>
      <w:r>
        <w:rPr>
          <w:rFonts w:hint="eastAsia" w:ascii="仿宋" w:hAnsi="仿宋" w:eastAsia="仿宋"/>
          <w:sz w:val="32"/>
          <w:szCs w:val="32"/>
          <w:highlight w:val="none"/>
        </w:rPr>
        <w:t>。</w:t>
      </w:r>
    </w:p>
    <w:p w14:paraId="6A506168">
      <w:pPr>
        <w:ind w:firstLine="640" w:firstLineChars="200"/>
        <w:rPr>
          <w:rFonts w:hint="eastAsia" w:ascii="仿宋" w:hAnsi="仿宋" w:eastAsia="仿宋"/>
          <w:sz w:val="32"/>
          <w:szCs w:val="32"/>
          <w:highlight w:val="none"/>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0.00</w:t>
      </w:r>
      <w:r>
        <w:rPr>
          <w:rFonts w:hint="eastAsia" w:ascii="仿宋" w:hAnsi="仿宋" w:eastAsia="仿宋"/>
          <w:sz w:val="32"/>
          <w:szCs w:val="32"/>
        </w:rPr>
        <w:t>%，主要用于：</w:t>
      </w:r>
      <w:r>
        <w:rPr>
          <w:rFonts w:hint="eastAsia" w:ascii="仿宋" w:hAnsi="仿宋" w:eastAsia="仿宋"/>
          <w:sz w:val="32"/>
          <w:szCs w:val="32"/>
          <w:lang w:eastAsia="zh-CN"/>
        </w:rPr>
        <w:t>我单位无此类支出</w:t>
      </w:r>
      <w:r>
        <w:rPr>
          <w:rFonts w:hint="eastAsia" w:ascii="仿宋" w:hAnsi="仿宋" w:eastAsia="仿宋"/>
          <w:sz w:val="32"/>
          <w:szCs w:val="32"/>
        </w:rPr>
        <w:t>。</w:t>
      </w:r>
    </w:p>
    <w:p w14:paraId="752A0F73">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 xml:space="preserve">住房保障（类）支出 </w:t>
      </w:r>
      <w:r>
        <w:rPr>
          <w:rFonts w:hint="eastAsia" w:ascii="仿宋" w:hAnsi="仿宋" w:eastAsia="仿宋"/>
          <w:sz w:val="32"/>
          <w:szCs w:val="32"/>
          <w:highlight w:val="none"/>
          <w:lang w:val="en-US" w:eastAsia="zh-CN"/>
        </w:rPr>
        <w:t>24.55</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5.14</w:t>
      </w:r>
      <w:r>
        <w:rPr>
          <w:rFonts w:hint="eastAsia" w:ascii="仿宋" w:hAnsi="仿宋" w:eastAsia="仿宋"/>
          <w:sz w:val="32"/>
          <w:szCs w:val="32"/>
          <w:highlight w:val="none"/>
        </w:rPr>
        <w:t>%，主要用于：住房公积金</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w:t>
      </w:r>
    </w:p>
    <w:p w14:paraId="7ACBBD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 xml:space="preserve">农林水（类）支出 </w:t>
      </w:r>
      <w:r>
        <w:rPr>
          <w:rFonts w:hint="eastAsia" w:ascii="仿宋" w:hAnsi="仿宋" w:eastAsia="仿宋"/>
          <w:sz w:val="32"/>
          <w:szCs w:val="32"/>
          <w:highlight w:val="none"/>
          <w:lang w:val="en-US" w:eastAsia="zh-CN"/>
        </w:rPr>
        <w:t>13</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2.72</w:t>
      </w:r>
      <w:r>
        <w:rPr>
          <w:rFonts w:hint="eastAsia" w:ascii="仿宋" w:hAnsi="仿宋" w:eastAsia="仿宋"/>
          <w:sz w:val="32"/>
          <w:szCs w:val="32"/>
          <w:highlight w:val="none"/>
        </w:rPr>
        <w:t>%，主要用于：2026年村级运转经费</w:t>
      </w:r>
      <w:r>
        <w:rPr>
          <w:rFonts w:hint="eastAsia" w:ascii="仿宋" w:hAnsi="仿宋" w:eastAsia="仿宋"/>
          <w:sz w:val="32"/>
          <w:szCs w:val="32"/>
          <w:highlight w:val="none"/>
          <w:lang w:eastAsia="zh-CN"/>
        </w:rPr>
        <w:t>项目</w:t>
      </w:r>
      <w:r>
        <w:rPr>
          <w:rFonts w:hint="eastAsia" w:ascii="仿宋" w:hAnsi="仿宋" w:eastAsia="仿宋"/>
          <w:sz w:val="32"/>
          <w:szCs w:val="32"/>
          <w:highlight w:val="none"/>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highlight w:val="none"/>
        </w:rPr>
      </w:pPr>
      <w:r>
        <w:rPr>
          <w:rFonts w:hint="eastAsia" w:ascii="仿宋" w:hAnsi="仿宋" w:eastAsia="仿宋"/>
          <w:sz w:val="32"/>
          <w:szCs w:val="32"/>
          <w:highlight w:val="none"/>
        </w:rPr>
        <w:t>2026年一般公共预算基本支出 341.68 万元，其中：</w:t>
      </w:r>
    </w:p>
    <w:p w14:paraId="03F4859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284.73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公用经费56.95万元，主要包括：办公费、印刷费、水费、电费、邮电费、取暖费、差旅费、会议费、公务接待费、工会经费、公务用车运行维护费等。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2026年“三公”经费预算数8.54 万元，比2025年预算减少 </w:t>
      </w:r>
      <w:r>
        <w:rPr>
          <w:rFonts w:hint="eastAsia" w:ascii="仿宋" w:hAnsi="仿宋" w:eastAsia="仿宋"/>
          <w:kern w:val="0"/>
          <w:sz w:val="32"/>
          <w:szCs w:val="32"/>
          <w:highlight w:val="none"/>
          <w:lang w:val="en-US" w:eastAsia="zh-CN"/>
        </w:rPr>
        <w:t>0.4</w:t>
      </w:r>
      <w:r>
        <w:rPr>
          <w:rFonts w:hint="eastAsia" w:ascii="仿宋" w:hAnsi="仿宋" w:eastAsia="仿宋"/>
          <w:kern w:val="0"/>
          <w:sz w:val="32"/>
          <w:szCs w:val="32"/>
          <w:highlight w:val="none"/>
        </w:rPr>
        <w:t xml:space="preserve"> 万元。其中：</w:t>
      </w:r>
    </w:p>
    <w:p w14:paraId="1319EA80">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1.因公出国（境）费 0 万元，与 2025年预算数相同。</w:t>
      </w:r>
    </w:p>
    <w:p w14:paraId="5B2D5F87">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2.公务接待费 3.54 万元，比 2025年预算数减少 </w:t>
      </w:r>
      <w:r>
        <w:rPr>
          <w:rFonts w:hint="eastAsia" w:ascii="仿宋" w:hAnsi="仿宋" w:eastAsia="仿宋"/>
          <w:kern w:val="0"/>
          <w:sz w:val="32"/>
          <w:szCs w:val="32"/>
          <w:highlight w:val="none"/>
          <w:lang w:val="en-US" w:eastAsia="zh-CN"/>
        </w:rPr>
        <w:t>0.4</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按上级要求缩减预算</w:t>
      </w:r>
      <w:r>
        <w:rPr>
          <w:rFonts w:hint="eastAsia" w:ascii="仿宋" w:hAnsi="仿宋" w:eastAsia="仿宋"/>
          <w:kern w:val="0"/>
          <w:sz w:val="32"/>
          <w:szCs w:val="32"/>
          <w:highlight w:val="none"/>
        </w:rPr>
        <w:t>。</w:t>
      </w:r>
    </w:p>
    <w:p w14:paraId="372830BC">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3.公务用车购置及运行费 </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 xml:space="preserve"> 万元，比 2025 年预算数减</w:t>
      </w:r>
    </w:p>
    <w:p w14:paraId="7288DF6E">
      <w:pPr>
        <w:pStyle w:val="9"/>
        <w:rPr>
          <w:rFonts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万元。其中，公务用车运行维护费 </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 xml:space="preserve"> 万元，比 2025年减少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公车固定配置预算</w:t>
      </w:r>
      <w:r>
        <w:rPr>
          <w:rFonts w:hint="eastAsia" w:ascii="仿宋" w:hAnsi="仿宋" w:eastAsia="仿宋"/>
          <w:kern w:val="0"/>
          <w:sz w:val="32"/>
          <w:szCs w:val="32"/>
          <w:highlight w:val="none"/>
        </w:rPr>
        <w:t xml:space="preserve">，公务用车购置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万元，比2025年减少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万元，主要原因是无公务用车购置。</w:t>
      </w:r>
    </w:p>
    <w:p w14:paraId="60353E9A">
      <w:pPr>
        <w:pStyle w:val="9"/>
        <w:rPr>
          <w:rFonts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rPr>
        <w:t>八、2026年政府性基金预算支出情况</w:t>
      </w:r>
    </w:p>
    <w:p w14:paraId="6CFED0B9">
      <w:pPr>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2026年本单位无政府性基金预算支出</w:t>
      </w:r>
      <w:r>
        <w:rPr>
          <w:rFonts w:hint="eastAsia" w:ascii="仿宋" w:hAnsi="仿宋" w:eastAsia="仿宋"/>
          <w:sz w:val="32"/>
          <w:szCs w:val="32"/>
          <w:highlight w:val="none"/>
          <w:lang w:eastAsia="zh-CN"/>
        </w:rPr>
        <w:t>。</w:t>
      </w:r>
    </w:p>
    <w:p w14:paraId="39906816">
      <w:pPr>
        <w:pStyle w:val="9"/>
        <w:ind w:firstLine="640"/>
        <w:rPr>
          <w:rFonts w:ascii="楷体" w:hAnsi="楷体" w:eastAsia="楷体" w:cs="楷体"/>
          <w:sz w:val="32"/>
          <w:szCs w:val="32"/>
          <w:highlight w:val="none"/>
        </w:rPr>
      </w:pPr>
      <w:r>
        <w:rPr>
          <w:rFonts w:hint="eastAsia" w:ascii="楷体" w:hAnsi="楷体" w:eastAsia="楷体" w:cs="楷体"/>
          <w:sz w:val="32"/>
          <w:szCs w:val="32"/>
          <w:highlight w:val="none"/>
        </w:rPr>
        <w:t>九、2026年国有资本经营预算支出情况</w:t>
      </w:r>
    </w:p>
    <w:p w14:paraId="78271549">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highlight w:val="none"/>
        </w:rPr>
      </w:pPr>
      <w:r>
        <w:rPr>
          <w:rFonts w:hint="eastAsia" w:ascii="楷体" w:hAnsi="楷体" w:eastAsia="楷体" w:cs="楷体"/>
          <w:sz w:val="32"/>
          <w:szCs w:val="32"/>
          <w:highlight w:val="none"/>
        </w:rPr>
        <w:t>（一）机关运行经费</w:t>
      </w:r>
    </w:p>
    <w:p w14:paraId="33FE9514">
      <w:pPr>
        <w:pStyle w:val="8"/>
        <w:ind w:firstLine="640"/>
        <w:rPr>
          <w:rFonts w:ascii="仿宋" w:hAnsi="仿宋" w:eastAsia="仿宋"/>
          <w:sz w:val="32"/>
          <w:szCs w:val="32"/>
          <w:highlight w:val="none"/>
        </w:rPr>
      </w:pPr>
      <w:r>
        <w:rPr>
          <w:rFonts w:hint="eastAsia" w:ascii="仿宋" w:hAnsi="仿宋" w:eastAsia="仿宋"/>
          <w:sz w:val="32"/>
          <w:szCs w:val="32"/>
          <w:highlight w:val="none"/>
        </w:rPr>
        <w:t>2026年本单位机关运行经费财政拨款预算 56.95 万元，比 2025年预算增加</w:t>
      </w:r>
      <w:r>
        <w:rPr>
          <w:rFonts w:hint="eastAsia" w:ascii="仿宋" w:hAnsi="仿宋" w:eastAsia="仿宋"/>
          <w:sz w:val="32"/>
          <w:szCs w:val="32"/>
          <w:highlight w:val="none"/>
          <w:lang w:val="en-US" w:eastAsia="zh-CN"/>
        </w:rPr>
        <w:t xml:space="preserve"> 1.9</w:t>
      </w:r>
      <w:r>
        <w:rPr>
          <w:rFonts w:hint="eastAsia" w:ascii="仿宋" w:hAnsi="仿宋" w:eastAsia="仿宋"/>
          <w:sz w:val="32"/>
          <w:szCs w:val="32"/>
          <w:highlight w:val="none"/>
        </w:rPr>
        <w:t xml:space="preserve"> 万元，增长</w:t>
      </w:r>
      <w:r>
        <w:rPr>
          <w:rFonts w:hint="eastAsia" w:ascii="仿宋" w:hAnsi="仿宋" w:eastAsia="仿宋"/>
          <w:sz w:val="32"/>
          <w:szCs w:val="32"/>
          <w:highlight w:val="none"/>
          <w:lang w:val="en-US" w:eastAsia="zh-CN"/>
        </w:rPr>
        <w:t>3.45</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本年将其他商品和服务支出（残疾人就业保障金）纳入年初预算</w:t>
      </w:r>
      <w:r>
        <w:rPr>
          <w:rFonts w:hint="eastAsia" w:ascii="仿宋" w:hAnsi="仿宋" w:eastAsia="仿宋"/>
          <w:sz w:val="32"/>
          <w:szCs w:val="32"/>
          <w:highlight w:val="none"/>
        </w:rPr>
        <w:t>。</w:t>
      </w:r>
    </w:p>
    <w:p w14:paraId="3C4DC5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（二）政府采购情况</w:t>
      </w:r>
    </w:p>
    <w:p w14:paraId="5E4EE068">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2026年政府采购预算总额51.01万元，其中：政府采购办公设备和其他设备预算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万元，政府采购工程预算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万元，政府采购服务预算 </w:t>
      </w:r>
      <w:r>
        <w:rPr>
          <w:rFonts w:hint="eastAsia" w:ascii="仿宋" w:hAnsi="仿宋" w:eastAsia="仿宋"/>
          <w:sz w:val="32"/>
          <w:szCs w:val="32"/>
          <w:highlight w:val="none"/>
          <w:lang w:val="en-US" w:eastAsia="zh-CN"/>
        </w:rPr>
        <w:t>4.48</w:t>
      </w:r>
      <w:r>
        <w:rPr>
          <w:rFonts w:hint="eastAsia" w:ascii="仿宋" w:hAnsi="仿宋" w:eastAsia="仿宋"/>
          <w:sz w:val="32"/>
          <w:szCs w:val="32"/>
          <w:highlight w:val="none"/>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highlight w:val="yellow"/>
        </w:rPr>
      </w:pPr>
      <w:r>
        <w:rPr>
          <w:rFonts w:hint="eastAsia" w:ascii="仿宋" w:hAnsi="仿宋" w:eastAsia="仿宋"/>
          <w:sz w:val="32"/>
          <w:szCs w:val="32"/>
        </w:rPr>
        <w:t xml:space="preserve"> </w:t>
      </w:r>
      <w:r>
        <w:rPr>
          <w:rFonts w:hint="eastAsia" w:ascii="仿宋" w:hAnsi="仿宋" w:eastAsia="仿宋"/>
          <w:sz w:val="32"/>
          <w:szCs w:val="32"/>
          <w:highlight w:val="none"/>
        </w:rPr>
        <w:t xml:space="preserve">   截至2026年1月，部门本级和所属各预算单位共有车辆</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7CFB465B">
      <w:pPr>
        <w:pStyle w:val="8"/>
        <w:ind w:firstLine="640"/>
        <w:jc w:val="left"/>
        <w:rPr>
          <w:rFonts w:ascii="仿宋" w:hAnsi="仿宋" w:eastAsia="仿宋"/>
          <w:sz w:val="32"/>
          <w:szCs w:val="32"/>
          <w:highlight w:val="none"/>
        </w:rPr>
      </w:pPr>
      <w:r>
        <w:rPr>
          <w:rFonts w:hint="eastAsia" w:ascii="仿宋" w:hAnsi="仿宋" w:eastAsia="仿宋"/>
          <w:sz w:val="32"/>
          <w:szCs w:val="32"/>
          <w:highlight w:val="none"/>
        </w:rPr>
        <w:t>2026年部门预算安排购置车辆及价值200万元以上大型设备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：无</w:t>
      </w:r>
      <w:r>
        <w:rPr>
          <w:rFonts w:hint="eastAsia" w:ascii="仿宋" w:hAnsi="仿宋" w:eastAsia="仿宋"/>
          <w:sz w:val="32"/>
          <w:szCs w:val="32"/>
          <w:highlight w:val="none"/>
        </w:rPr>
        <w:t>。</w:t>
      </w:r>
    </w:p>
    <w:p w14:paraId="6C4F4062">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预算项目绩效目标管理情况</w:t>
      </w:r>
    </w:p>
    <w:p w14:paraId="2A5558C3">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按照全面实施预算绩效管理的要求，结合本部门职能和重点工作，2026年将 </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rPr>
        <w:t xml:space="preserve"> 个项目支出的绩效目标和指标向社会公开，涉及金额 135.76万元。</w:t>
      </w:r>
    </w:p>
    <w:p w14:paraId="3C527A83">
      <w:pPr>
        <w:jc w:val="center"/>
        <w:rPr>
          <w:rFonts w:ascii="仿宋" w:hAnsi="仿宋" w:eastAsia="仿宋"/>
          <w:sz w:val="32"/>
          <w:szCs w:val="32"/>
        </w:rPr>
      </w:pPr>
    </w:p>
    <w:p w14:paraId="1977FF77">
      <w:pPr>
        <w:jc w:val="center"/>
        <w:rPr>
          <w:rFonts w:hint="eastAsia" w:ascii="黑体" w:hAnsi="黑体" w:eastAsia="黑体"/>
          <w:sz w:val="32"/>
          <w:szCs w:val="32"/>
        </w:rPr>
      </w:pPr>
    </w:p>
    <w:p w14:paraId="0577EED4">
      <w:pPr>
        <w:jc w:val="center"/>
        <w:rPr>
          <w:rFonts w:hint="eastAsia" w:ascii="黑体" w:hAnsi="黑体" w:eastAsia="黑体"/>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3314D77">
      <w:pPr>
        <w:jc w:val="both"/>
        <w:rPr>
          <w:rFonts w:hint="eastAsia"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0E3AD42">
      <w:pPr>
        <w:jc w:val="left"/>
        <w:rPr>
          <w:rFonts w:ascii="仿宋" w:hAnsi="仿宋" w:eastAsia="仿宋"/>
          <w:b/>
          <w:sz w:val="32"/>
          <w:szCs w:val="32"/>
        </w:rPr>
      </w:pPr>
      <w:r>
        <w:rPr>
          <w:rFonts w:hint="eastAsia" w:ascii="仿宋" w:hAnsi="仿宋" w:eastAsia="仿宋"/>
          <w:sz w:val="32"/>
          <w:szCs w:val="32"/>
        </w:rPr>
        <w:t>2026年部门预算表套表（预算一体化-“预算编制”模块-预算编制帆软报表查询中提取相应数据）。</w:t>
      </w: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2A18"/>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55DF0"/>
    <w:rsid w:val="007663EF"/>
    <w:rsid w:val="00770198"/>
    <w:rsid w:val="007B276D"/>
    <w:rsid w:val="007D3846"/>
    <w:rsid w:val="007E02F7"/>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2474"/>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1078C7"/>
    <w:rsid w:val="011473B7"/>
    <w:rsid w:val="01640BD1"/>
    <w:rsid w:val="018E6F43"/>
    <w:rsid w:val="019404F8"/>
    <w:rsid w:val="01A56261"/>
    <w:rsid w:val="01DA23AF"/>
    <w:rsid w:val="01EA636A"/>
    <w:rsid w:val="01EC1B1D"/>
    <w:rsid w:val="02021905"/>
    <w:rsid w:val="02750329"/>
    <w:rsid w:val="027619AC"/>
    <w:rsid w:val="02AE55E9"/>
    <w:rsid w:val="02BC3862"/>
    <w:rsid w:val="02DA4630"/>
    <w:rsid w:val="03483348"/>
    <w:rsid w:val="034968DF"/>
    <w:rsid w:val="03541CED"/>
    <w:rsid w:val="03C52BEB"/>
    <w:rsid w:val="03CF75C5"/>
    <w:rsid w:val="03D7309C"/>
    <w:rsid w:val="03E72B61"/>
    <w:rsid w:val="03EE2141"/>
    <w:rsid w:val="03F014FB"/>
    <w:rsid w:val="03F248D4"/>
    <w:rsid w:val="0466662A"/>
    <w:rsid w:val="04BD1B14"/>
    <w:rsid w:val="04E35A1E"/>
    <w:rsid w:val="05AE6735"/>
    <w:rsid w:val="05E80E12"/>
    <w:rsid w:val="066A7A79"/>
    <w:rsid w:val="06BD229F"/>
    <w:rsid w:val="06CC5B29"/>
    <w:rsid w:val="0701218C"/>
    <w:rsid w:val="072916E2"/>
    <w:rsid w:val="0768045D"/>
    <w:rsid w:val="07C71E05"/>
    <w:rsid w:val="08017F69"/>
    <w:rsid w:val="08E40F21"/>
    <w:rsid w:val="09371E95"/>
    <w:rsid w:val="099866AB"/>
    <w:rsid w:val="09B63701"/>
    <w:rsid w:val="0A450E4E"/>
    <w:rsid w:val="0A7F599D"/>
    <w:rsid w:val="0A960E3D"/>
    <w:rsid w:val="0AB47515"/>
    <w:rsid w:val="0ABB6AF5"/>
    <w:rsid w:val="0AEC4F01"/>
    <w:rsid w:val="0B4115AF"/>
    <w:rsid w:val="0B6947A3"/>
    <w:rsid w:val="0BAB4DBC"/>
    <w:rsid w:val="0BEA7692"/>
    <w:rsid w:val="0BF422BF"/>
    <w:rsid w:val="0C633590"/>
    <w:rsid w:val="0C7C4062"/>
    <w:rsid w:val="0C7C5D37"/>
    <w:rsid w:val="0C985340"/>
    <w:rsid w:val="0CA50F82"/>
    <w:rsid w:val="0CAD246E"/>
    <w:rsid w:val="0D0F40E1"/>
    <w:rsid w:val="0D442DD2"/>
    <w:rsid w:val="0DA10224"/>
    <w:rsid w:val="0DA43871"/>
    <w:rsid w:val="0DC65EDD"/>
    <w:rsid w:val="0DE93979"/>
    <w:rsid w:val="0E0E4A27"/>
    <w:rsid w:val="0E235FAD"/>
    <w:rsid w:val="0E325320"/>
    <w:rsid w:val="0E67321C"/>
    <w:rsid w:val="0E933B6E"/>
    <w:rsid w:val="0EC35F79"/>
    <w:rsid w:val="0F072309"/>
    <w:rsid w:val="0F073317"/>
    <w:rsid w:val="0F3F7CF5"/>
    <w:rsid w:val="0F4C4086"/>
    <w:rsid w:val="0F9D4A1B"/>
    <w:rsid w:val="0FB00BF3"/>
    <w:rsid w:val="0FE10DAC"/>
    <w:rsid w:val="0FF94348"/>
    <w:rsid w:val="10594DE6"/>
    <w:rsid w:val="10D9450A"/>
    <w:rsid w:val="10E53A8D"/>
    <w:rsid w:val="10F1501F"/>
    <w:rsid w:val="110034B4"/>
    <w:rsid w:val="11194576"/>
    <w:rsid w:val="112B3A0C"/>
    <w:rsid w:val="11333889"/>
    <w:rsid w:val="115832F0"/>
    <w:rsid w:val="117169F8"/>
    <w:rsid w:val="1173012A"/>
    <w:rsid w:val="11B4188E"/>
    <w:rsid w:val="11DF6BD5"/>
    <w:rsid w:val="11EB5F12"/>
    <w:rsid w:val="12394ECF"/>
    <w:rsid w:val="12C62CA4"/>
    <w:rsid w:val="1331204B"/>
    <w:rsid w:val="134E49AB"/>
    <w:rsid w:val="135E2714"/>
    <w:rsid w:val="136E0BA9"/>
    <w:rsid w:val="13893C35"/>
    <w:rsid w:val="139D148E"/>
    <w:rsid w:val="13CA1B57"/>
    <w:rsid w:val="14C111AC"/>
    <w:rsid w:val="14F275B8"/>
    <w:rsid w:val="15396F94"/>
    <w:rsid w:val="15475B55"/>
    <w:rsid w:val="154B4BEE"/>
    <w:rsid w:val="155E4C4D"/>
    <w:rsid w:val="158741A4"/>
    <w:rsid w:val="15910B7E"/>
    <w:rsid w:val="15A85EC8"/>
    <w:rsid w:val="15B605E5"/>
    <w:rsid w:val="15C56A7A"/>
    <w:rsid w:val="15DA5399"/>
    <w:rsid w:val="15DB44F0"/>
    <w:rsid w:val="15FD7FC2"/>
    <w:rsid w:val="16161084"/>
    <w:rsid w:val="164E7F90"/>
    <w:rsid w:val="165F0C7D"/>
    <w:rsid w:val="16946B78"/>
    <w:rsid w:val="17036DEF"/>
    <w:rsid w:val="17326391"/>
    <w:rsid w:val="176522C3"/>
    <w:rsid w:val="17A86188"/>
    <w:rsid w:val="17AA4179"/>
    <w:rsid w:val="17D336D0"/>
    <w:rsid w:val="180B12CE"/>
    <w:rsid w:val="18381785"/>
    <w:rsid w:val="183B3024"/>
    <w:rsid w:val="18420856"/>
    <w:rsid w:val="18664544"/>
    <w:rsid w:val="18756535"/>
    <w:rsid w:val="187E3884"/>
    <w:rsid w:val="188D7D23"/>
    <w:rsid w:val="18F97B94"/>
    <w:rsid w:val="191A0446"/>
    <w:rsid w:val="197607B7"/>
    <w:rsid w:val="198729C4"/>
    <w:rsid w:val="19D96F98"/>
    <w:rsid w:val="1A6B4094"/>
    <w:rsid w:val="1A8D2956"/>
    <w:rsid w:val="1AA17AB6"/>
    <w:rsid w:val="1ACB068F"/>
    <w:rsid w:val="1B1F6EF2"/>
    <w:rsid w:val="1B4A363A"/>
    <w:rsid w:val="1BC526EF"/>
    <w:rsid w:val="1BFB31F6"/>
    <w:rsid w:val="1C085913"/>
    <w:rsid w:val="1C882350"/>
    <w:rsid w:val="1CDC1A5B"/>
    <w:rsid w:val="1D291FE4"/>
    <w:rsid w:val="1D6D3C7F"/>
    <w:rsid w:val="1E081BFA"/>
    <w:rsid w:val="1E6A6411"/>
    <w:rsid w:val="1EBB4EBE"/>
    <w:rsid w:val="1ED146E2"/>
    <w:rsid w:val="1EFB350D"/>
    <w:rsid w:val="1F451F7A"/>
    <w:rsid w:val="1FC009DE"/>
    <w:rsid w:val="1FDB75C6"/>
    <w:rsid w:val="200A1C59"/>
    <w:rsid w:val="206A26F8"/>
    <w:rsid w:val="20743577"/>
    <w:rsid w:val="207673DB"/>
    <w:rsid w:val="207E34E2"/>
    <w:rsid w:val="20967991"/>
    <w:rsid w:val="20EF71F1"/>
    <w:rsid w:val="21FE2E7E"/>
    <w:rsid w:val="22421B7E"/>
    <w:rsid w:val="226E3BC2"/>
    <w:rsid w:val="228A52D3"/>
    <w:rsid w:val="228C4BA7"/>
    <w:rsid w:val="22947F00"/>
    <w:rsid w:val="22F15352"/>
    <w:rsid w:val="2323212D"/>
    <w:rsid w:val="2351194D"/>
    <w:rsid w:val="23902475"/>
    <w:rsid w:val="23A86648"/>
    <w:rsid w:val="23CD5478"/>
    <w:rsid w:val="23D762F6"/>
    <w:rsid w:val="23FA4ECF"/>
    <w:rsid w:val="240F3CE2"/>
    <w:rsid w:val="247578BD"/>
    <w:rsid w:val="24EC4023"/>
    <w:rsid w:val="250550E5"/>
    <w:rsid w:val="2527010D"/>
    <w:rsid w:val="258B55EA"/>
    <w:rsid w:val="25A22934"/>
    <w:rsid w:val="25BA1A2C"/>
    <w:rsid w:val="25C44658"/>
    <w:rsid w:val="25D52D09"/>
    <w:rsid w:val="261C26E6"/>
    <w:rsid w:val="26D0702D"/>
    <w:rsid w:val="26D7485F"/>
    <w:rsid w:val="26DC2BFA"/>
    <w:rsid w:val="27063D31"/>
    <w:rsid w:val="271B0BF0"/>
    <w:rsid w:val="27346591"/>
    <w:rsid w:val="27565784"/>
    <w:rsid w:val="27742DDB"/>
    <w:rsid w:val="27747EDE"/>
    <w:rsid w:val="277B13CF"/>
    <w:rsid w:val="27A24E6D"/>
    <w:rsid w:val="27B76782"/>
    <w:rsid w:val="27E62FAC"/>
    <w:rsid w:val="28247630"/>
    <w:rsid w:val="285B5D80"/>
    <w:rsid w:val="28722A91"/>
    <w:rsid w:val="28753BF0"/>
    <w:rsid w:val="28A10C81"/>
    <w:rsid w:val="28A53B3C"/>
    <w:rsid w:val="28AA47B7"/>
    <w:rsid w:val="28B9246E"/>
    <w:rsid w:val="28CB641B"/>
    <w:rsid w:val="28EF40E2"/>
    <w:rsid w:val="29207EE3"/>
    <w:rsid w:val="29341AF5"/>
    <w:rsid w:val="29CE019B"/>
    <w:rsid w:val="29D86924"/>
    <w:rsid w:val="29DD440B"/>
    <w:rsid w:val="29E96D83"/>
    <w:rsid w:val="2A5E1B9A"/>
    <w:rsid w:val="2A6E1037"/>
    <w:rsid w:val="2A88659C"/>
    <w:rsid w:val="2A944F41"/>
    <w:rsid w:val="2AC832F5"/>
    <w:rsid w:val="2B275AF8"/>
    <w:rsid w:val="2B2D7144"/>
    <w:rsid w:val="2B563FA5"/>
    <w:rsid w:val="2B6761B2"/>
    <w:rsid w:val="2B85488A"/>
    <w:rsid w:val="2BCA4992"/>
    <w:rsid w:val="2C275941"/>
    <w:rsid w:val="2C5F5A8D"/>
    <w:rsid w:val="2C666469"/>
    <w:rsid w:val="2C7A1F15"/>
    <w:rsid w:val="2CEB4BC0"/>
    <w:rsid w:val="2D0B5263"/>
    <w:rsid w:val="2D3622E0"/>
    <w:rsid w:val="2D6C3F53"/>
    <w:rsid w:val="2D742D12"/>
    <w:rsid w:val="2DB256DE"/>
    <w:rsid w:val="2DF06932"/>
    <w:rsid w:val="2DF83A39"/>
    <w:rsid w:val="2E3342C6"/>
    <w:rsid w:val="2EC97634"/>
    <w:rsid w:val="2F2443BA"/>
    <w:rsid w:val="2F6B1FE9"/>
    <w:rsid w:val="2F9B28CE"/>
    <w:rsid w:val="30201025"/>
    <w:rsid w:val="30722EAB"/>
    <w:rsid w:val="309537C1"/>
    <w:rsid w:val="30D342E9"/>
    <w:rsid w:val="30F93D50"/>
    <w:rsid w:val="310426F5"/>
    <w:rsid w:val="31061FC9"/>
    <w:rsid w:val="31132938"/>
    <w:rsid w:val="31434FCB"/>
    <w:rsid w:val="3163566D"/>
    <w:rsid w:val="31717D8A"/>
    <w:rsid w:val="31C003CA"/>
    <w:rsid w:val="323112C7"/>
    <w:rsid w:val="32715B68"/>
    <w:rsid w:val="32B819E9"/>
    <w:rsid w:val="33B91574"/>
    <w:rsid w:val="33C5616B"/>
    <w:rsid w:val="33EA5BD2"/>
    <w:rsid w:val="34480B4A"/>
    <w:rsid w:val="344D4C9B"/>
    <w:rsid w:val="34C04B85"/>
    <w:rsid w:val="34FF56AD"/>
    <w:rsid w:val="35262C3A"/>
    <w:rsid w:val="356674DA"/>
    <w:rsid w:val="357E0CC8"/>
    <w:rsid w:val="35D73F34"/>
    <w:rsid w:val="36273D08"/>
    <w:rsid w:val="36415851"/>
    <w:rsid w:val="36435A6D"/>
    <w:rsid w:val="3652180C"/>
    <w:rsid w:val="36820344"/>
    <w:rsid w:val="368F70D3"/>
    <w:rsid w:val="36940077"/>
    <w:rsid w:val="370E1BD7"/>
    <w:rsid w:val="37361A0B"/>
    <w:rsid w:val="377E7262"/>
    <w:rsid w:val="37BF1123"/>
    <w:rsid w:val="37CA58D2"/>
    <w:rsid w:val="38253B59"/>
    <w:rsid w:val="385B501F"/>
    <w:rsid w:val="38744170"/>
    <w:rsid w:val="38DE30B8"/>
    <w:rsid w:val="39070FD4"/>
    <w:rsid w:val="39284901"/>
    <w:rsid w:val="3951224F"/>
    <w:rsid w:val="396226AE"/>
    <w:rsid w:val="39783C80"/>
    <w:rsid w:val="39AB5825"/>
    <w:rsid w:val="39F96B6F"/>
    <w:rsid w:val="3A482539"/>
    <w:rsid w:val="3A52627F"/>
    <w:rsid w:val="3A915046"/>
    <w:rsid w:val="3B043A1D"/>
    <w:rsid w:val="3B2229C5"/>
    <w:rsid w:val="3BE850ED"/>
    <w:rsid w:val="3BFC2946"/>
    <w:rsid w:val="3C4C15D1"/>
    <w:rsid w:val="3C4D13F4"/>
    <w:rsid w:val="3C6D55F2"/>
    <w:rsid w:val="3C85293C"/>
    <w:rsid w:val="3CB11983"/>
    <w:rsid w:val="3CE440CF"/>
    <w:rsid w:val="3CEA5A8A"/>
    <w:rsid w:val="3CED04E1"/>
    <w:rsid w:val="3D015D3A"/>
    <w:rsid w:val="3D4C16AB"/>
    <w:rsid w:val="3D6F7148"/>
    <w:rsid w:val="3D78424E"/>
    <w:rsid w:val="3D897F97"/>
    <w:rsid w:val="3DA60DBB"/>
    <w:rsid w:val="3DA7578C"/>
    <w:rsid w:val="3DA80FD2"/>
    <w:rsid w:val="3DC00C5F"/>
    <w:rsid w:val="3E012496"/>
    <w:rsid w:val="3E241CE0"/>
    <w:rsid w:val="3E4E4FAF"/>
    <w:rsid w:val="3F19736B"/>
    <w:rsid w:val="3F334343"/>
    <w:rsid w:val="3F47212A"/>
    <w:rsid w:val="3F597259"/>
    <w:rsid w:val="3F6B774D"/>
    <w:rsid w:val="3FAC4683"/>
    <w:rsid w:val="3FCA68B7"/>
    <w:rsid w:val="40095632"/>
    <w:rsid w:val="40240823"/>
    <w:rsid w:val="4024246B"/>
    <w:rsid w:val="405F5252"/>
    <w:rsid w:val="40664832"/>
    <w:rsid w:val="40A67324"/>
    <w:rsid w:val="40C477AB"/>
    <w:rsid w:val="40FC0CF2"/>
    <w:rsid w:val="41120B50"/>
    <w:rsid w:val="41195D48"/>
    <w:rsid w:val="416E7E42"/>
    <w:rsid w:val="416F5968"/>
    <w:rsid w:val="41782A6F"/>
    <w:rsid w:val="423623A5"/>
    <w:rsid w:val="423F533B"/>
    <w:rsid w:val="42733236"/>
    <w:rsid w:val="430260DD"/>
    <w:rsid w:val="431C38CE"/>
    <w:rsid w:val="43375CCB"/>
    <w:rsid w:val="4346094B"/>
    <w:rsid w:val="43496876"/>
    <w:rsid w:val="434D3A87"/>
    <w:rsid w:val="43A23DD3"/>
    <w:rsid w:val="43CD4BC8"/>
    <w:rsid w:val="43E048FB"/>
    <w:rsid w:val="442476FC"/>
    <w:rsid w:val="44EF29CC"/>
    <w:rsid w:val="450D1720"/>
    <w:rsid w:val="45244CBC"/>
    <w:rsid w:val="45765517"/>
    <w:rsid w:val="4588349D"/>
    <w:rsid w:val="46345885"/>
    <w:rsid w:val="46B15537"/>
    <w:rsid w:val="46C17DAD"/>
    <w:rsid w:val="46EF4D27"/>
    <w:rsid w:val="46F64D5D"/>
    <w:rsid w:val="47571378"/>
    <w:rsid w:val="47B73BC5"/>
    <w:rsid w:val="47D93B3C"/>
    <w:rsid w:val="4812529F"/>
    <w:rsid w:val="48270D4B"/>
    <w:rsid w:val="48BB02CE"/>
    <w:rsid w:val="48DB38E3"/>
    <w:rsid w:val="48FB5D34"/>
    <w:rsid w:val="490966A2"/>
    <w:rsid w:val="49284D7B"/>
    <w:rsid w:val="4933371F"/>
    <w:rsid w:val="49725FF6"/>
    <w:rsid w:val="498521CD"/>
    <w:rsid w:val="49B81F53"/>
    <w:rsid w:val="49C36851"/>
    <w:rsid w:val="49F70BF1"/>
    <w:rsid w:val="4A084BAC"/>
    <w:rsid w:val="4A431740"/>
    <w:rsid w:val="4A77763C"/>
    <w:rsid w:val="4AAC7860"/>
    <w:rsid w:val="4AAE12ED"/>
    <w:rsid w:val="4ABA5EA6"/>
    <w:rsid w:val="4ABE526B"/>
    <w:rsid w:val="4B241979"/>
    <w:rsid w:val="4B320132"/>
    <w:rsid w:val="4B50680B"/>
    <w:rsid w:val="4BB41A6E"/>
    <w:rsid w:val="4BCF5981"/>
    <w:rsid w:val="4C651E42"/>
    <w:rsid w:val="4C7327B1"/>
    <w:rsid w:val="4C8147A2"/>
    <w:rsid w:val="4CC96874"/>
    <w:rsid w:val="4CDB40F9"/>
    <w:rsid w:val="4D0265B8"/>
    <w:rsid w:val="4D04165B"/>
    <w:rsid w:val="4D6D5452"/>
    <w:rsid w:val="4D8021B9"/>
    <w:rsid w:val="4DFF6777"/>
    <w:rsid w:val="4E0F475B"/>
    <w:rsid w:val="4E2F0959"/>
    <w:rsid w:val="4E797E26"/>
    <w:rsid w:val="4EB752BA"/>
    <w:rsid w:val="4ED6365B"/>
    <w:rsid w:val="4F29184C"/>
    <w:rsid w:val="4F4026F2"/>
    <w:rsid w:val="4F5148FF"/>
    <w:rsid w:val="4F735000"/>
    <w:rsid w:val="4F960564"/>
    <w:rsid w:val="4FC11A85"/>
    <w:rsid w:val="4FDC68BF"/>
    <w:rsid w:val="50025BF9"/>
    <w:rsid w:val="50041643"/>
    <w:rsid w:val="503B3A99"/>
    <w:rsid w:val="507765E7"/>
    <w:rsid w:val="50F75E7E"/>
    <w:rsid w:val="513E2C61"/>
    <w:rsid w:val="51436F0F"/>
    <w:rsid w:val="514C1822"/>
    <w:rsid w:val="51703763"/>
    <w:rsid w:val="517B65F4"/>
    <w:rsid w:val="51905BB3"/>
    <w:rsid w:val="519B6306"/>
    <w:rsid w:val="51BB428B"/>
    <w:rsid w:val="51D07D5D"/>
    <w:rsid w:val="51EE4687"/>
    <w:rsid w:val="51F577C4"/>
    <w:rsid w:val="521B47D5"/>
    <w:rsid w:val="52DF1D28"/>
    <w:rsid w:val="53083527"/>
    <w:rsid w:val="536D782E"/>
    <w:rsid w:val="537312E8"/>
    <w:rsid w:val="53A4083B"/>
    <w:rsid w:val="54923E8D"/>
    <w:rsid w:val="54941844"/>
    <w:rsid w:val="54DC4C6B"/>
    <w:rsid w:val="5538455E"/>
    <w:rsid w:val="55C20305"/>
    <w:rsid w:val="55E274E4"/>
    <w:rsid w:val="5609445F"/>
    <w:rsid w:val="5618437B"/>
    <w:rsid w:val="565371AF"/>
    <w:rsid w:val="56576C9F"/>
    <w:rsid w:val="56682C5A"/>
    <w:rsid w:val="566F21D7"/>
    <w:rsid w:val="567F658B"/>
    <w:rsid w:val="56A94595"/>
    <w:rsid w:val="56C8194B"/>
    <w:rsid w:val="56D33994"/>
    <w:rsid w:val="57030BD5"/>
    <w:rsid w:val="5705494D"/>
    <w:rsid w:val="57120E18"/>
    <w:rsid w:val="57476D14"/>
    <w:rsid w:val="57482A8C"/>
    <w:rsid w:val="57853398"/>
    <w:rsid w:val="57CE2F91"/>
    <w:rsid w:val="57E36310"/>
    <w:rsid w:val="57F329F7"/>
    <w:rsid w:val="580A299B"/>
    <w:rsid w:val="58337298"/>
    <w:rsid w:val="583F3E8F"/>
    <w:rsid w:val="588A355D"/>
    <w:rsid w:val="588E0972"/>
    <w:rsid w:val="590D1897"/>
    <w:rsid w:val="596A4F3B"/>
    <w:rsid w:val="59BE7035"/>
    <w:rsid w:val="59DD570D"/>
    <w:rsid w:val="59EC3BA2"/>
    <w:rsid w:val="5A166E71"/>
    <w:rsid w:val="5AA61FA3"/>
    <w:rsid w:val="5ABE3BC9"/>
    <w:rsid w:val="5AC02939"/>
    <w:rsid w:val="5B286E5C"/>
    <w:rsid w:val="5B5D76B7"/>
    <w:rsid w:val="5B7B51DE"/>
    <w:rsid w:val="5B8E44C5"/>
    <w:rsid w:val="5C05719D"/>
    <w:rsid w:val="5C982767"/>
    <w:rsid w:val="5CD80EBE"/>
    <w:rsid w:val="5CEC5C67"/>
    <w:rsid w:val="5CF76AE6"/>
    <w:rsid w:val="5CFA751D"/>
    <w:rsid w:val="5D4930BA"/>
    <w:rsid w:val="5D4B6E32"/>
    <w:rsid w:val="5D580A8A"/>
    <w:rsid w:val="5DAF116F"/>
    <w:rsid w:val="5DB8541C"/>
    <w:rsid w:val="5E221344"/>
    <w:rsid w:val="5E32788E"/>
    <w:rsid w:val="5E4915C3"/>
    <w:rsid w:val="5E4C4C10"/>
    <w:rsid w:val="5E677C9B"/>
    <w:rsid w:val="5E96232F"/>
    <w:rsid w:val="5EB34C8F"/>
    <w:rsid w:val="5EB6652D"/>
    <w:rsid w:val="5EC944B2"/>
    <w:rsid w:val="5EC96260"/>
    <w:rsid w:val="5F661D01"/>
    <w:rsid w:val="5F7E34EF"/>
    <w:rsid w:val="5FB128C2"/>
    <w:rsid w:val="5FC609F2"/>
    <w:rsid w:val="5FCA04E2"/>
    <w:rsid w:val="60234553"/>
    <w:rsid w:val="60731B65"/>
    <w:rsid w:val="607D37A6"/>
    <w:rsid w:val="60D4713E"/>
    <w:rsid w:val="60D72763"/>
    <w:rsid w:val="60EC092C"/>
    <w:rsid w:val="60F021CA"/>
    <w:rsid w:val="611F660B"/>
    <w:rsid w:val="61377DF9"/>
    <w:rsid w:val="6142054C"/>
    <w:rsid w:val="61525EF8"/>
    <w:rsid w:val="615F5A3C"/>
    <w:rsid w:val="616D55C9"/>
    <w:rsid w:val="61706E67"/>
    <w:rsid w:val="621974FF"/>
    <w:rsid w:val="622A5268"/>
    <w:rsid w:val="623E0D13"/>
    <w:rsid w:val="62B666A5"/>
    <w:rsid w:val="62C31218"/>
    <w:rsid w:val="62C751AC"/>
    <w:rsid w:val="62E15FE9"/>
    <w:rsid w:val="63696264"/>
    <w:rsid w:val="63807109"/>
    <w:rsid w:val="63F7386F"/>
    <w:rsid w:val="642B52C7"/>
    <w:rsid w:val="648C045C"/>
    <w:rsid w:val="64A77044"/>
    <w:rsid w:val="65255B39"/>
    <w:rsid w:val="65864EAB"/>
    <w:rsid w:val="659C7B1A"/>
    <w:rsid w:val="65BC6B1F"/>
    <w:rsid w:val="65E847CC"/>
    <w:rsid w:val="660202AA"/>
    <w:rsid w:val="66291CDA"/>
    <w:rsid w:val="66770C98"/>
    <w:rsid w:val="66DB4D83"/>
    <w:rsid w:val="67286561"/>
    <w:rsid w:val="67CA53A9"/>
    <w:rsid w:val="689E69AF"/>
    <w:rsid w:val="68A02D65"/>
    <w:rsid w:val="68FB795E"/>
    <w:rsid w:val="691F508E"/>
    <w:rsid w:val="699F478D"/>
    <w:rsid w:val="69B12712"/>
    <w:rsid w:val="69C97A5C"/>
    <w:rsid w:val="6A114F5F"/>
    <w:rsid w:val="6A1A02B8"/>
    <w:rsid w:val="6A340295"/>
    <w:rsid w:val="6A3C6480"/>
    <w:rsid w:val="6A5666B8"/>
    <w:rsid w:val="6AA67D9D"/>
    <w:rsid w:val="6AA81420"/>
    <w:rsid w:val="6ADE3093"/>
    <w:rsid w:val="6B0625EA"/>
    <w:rsid w:val="6B113469"/>
    <w:rsid w:val="6B655563"/>
    <w:rsid w:val="6B6E5A3C"/>
    <w:rsid w:val="6B862C3A"/>
    <w:rsid w:val="6BA51E03"/>
    <w:rsid w:val="6BE20961"/>
    <w:rsid w:val="6C150D37"/>
    <w:rsid w:val="6C262F44"/>
    <w:rsid w:val="6C3C4515"/>
    <w:rsid w:val="6C626D3D"/>
    <w:rsid w:val="6CDC7AA6"/>
    <w:rsid w:val="6CEB7CE9"/>
    <w:rsid w:val="6CED3FF7"/>
    <w:rsid w:val="6D1B05CF"/>
    <w:rsid w:val="6D2D3E5E"/>
    <w:rsid w:val="6D71439B"/>
    <w:rsid w:val="6DE36C13"/>
    <w:rsid w:val="6DEE5CE3"/>
    <w:rsid w:val="6DF0400D"/>
    <w:rsid w:val="6E5B22F8"/>
    <w:rsid w:val="6E82642B"/>
    <w:rsid w:val="6E970129"/>
    <w:rsid w:val="6F2A5F95"/>
    <w:rsid w:val="6FFD3FBC"/>
    <w:rsid w:val="700E2DC7"/>
    <w:rsid w:val="7020414E"/>
    <w:rsid w:val="703419A7"/>
    <w:rsid w:val="705160B5"/>
    <w:rsid w:val="70EF2762"/>
    <w:rsid w:val="71201EF9"/>
    <w:rsid w:val="7141437C"/>
    <w:rsid w:val="716F5053"/>
    <w:rsid w:val="71771B4C"/>
    <w:rsid w:val="71844269"/>
    <w:rsid w:val="71B608C6"/>
    <w:rsid w:val="71E74F23"/>
    <w:rsid w:val="71F03C08"/>
    <w:rsid w:val="72161365"/>
    <w:rsid w:val="72181581"/>
    <w:rsid w:val="727F33AE"/>
    <w:rsid w:val="729E55FD"/>
    <w:rsid w:val="72F83160"/>
    <w:rsid w:val="73216213"/>
    <w:rsid w:val="738A025C"/>
    <w:rsid w:val="73903399"/>
    <w:rsid w:val="73B057E9"/>
    <w:rsid w:val="73D17C39"/>
    <w:rsid w:val="73D62900"/>
    <w:rsid w:val="73F676A0"/>
    <w:rsid w:val="73FA7C77"/>
    <w:rsid w:val="740873D3"/>
    <w:rsid w:val="7431692A"/>
    <w:rsid w:val="744F0BEE"/>
    <w:rsid w:val="74583EB6"/>
    <w:rsid w:val="746E0294"/>
    <w:rsid w:val="746E51AC"/>
    <w:rsid w:val="74831487"/>
    <w:rsid w:val="749869A9"/>
    <w:rsid w:val="74A55A8E"/>
    <w:rsid w:val="74D177C5"/>
    <w:rsid w:val="750404E2"/>
    <w:rsid w:val="7539654A"/>
    <w:rsid w:val="755172E5"/>
    <w:rsid w:val="755503F6"/>
    <w:rsid w:val="756D573F"/>
    <w:rsid w:val="75836739"/>
    <w:rsid w:val="75C5557C"/>
    <w:rsid w:val="75D05CCE"/>
    <w:rsid w:val="761756AB"/>
    <w:rsid w:val="76726D86"/>
    <w:rsid w:val="76C753DE"/>
    <w:rsid w:val="76C775D8"/>
    <w:rsid w:val="76D812DE"/>
    <w:rsid w:val="76EC08E6"/>
    <w:rsid w:val="775D3592"/>
    <w:rsid w:val="77FC6956"/>
    <w:rsid w:val="782A7918"/>
    <w:rsid w:val="782C7B34"/>
    <w:rsid w:val="784B788E"/>
    <w:rsid w:val="788F1E71"/>
    <w:rsid w:val="78CF6711"/>
    <w:rsid w:val="791D56CF"/>
    <w:rsid w:val="793547C6"/>
    <w:rsid w:val="7967694A"/>
    <w:rsid w:val="797661E7"/>
    <w:rsid w:val="797C0647"/>
    <w:rsid w:val="798B6994"/>
    <w:rsid w:val="79A73866"/>
    <w:rsid w:val="79CD0EA3"/>
    <w:rsid w:val="7A1940E8"/>
    <w:rsid w:val="7A236D15"/>
    <w:rsid w:val="7A342CD0"/>
    <w:rsid w:val="7A3E58FC"/>
    <w:rsid w:val="7A552C46"/>
    <w:rsid w:val="7A64282A"/>
    <w:rsid w:val="7A862E00"/>
    <w:rsid w:val="7A8D6ADA"/>
    <w:rsid w:val="7AC04563"/>
    <w:rsid w:val="7AE2097E"/>
    <w:rsid w:val="7AE2272C"/>
    <w:rsid w:val="7B2C5D88"/>
    <w:rsid w:val="7B31720F"/>
    <w:rsid w:val="7B8E1BD1"/>
    <w:rsid w:val="7BE424D4"/>
    <w:rsid w:val="7C120DEF"/>
    <w:rsid w:val="7C6D24C9"/>
    <w:rsid w:val="7CCC3693"/>
    <w:rsid w:val="7CD267D0"/>
    <w:rsid w:val="7D627B54"/>
    <w:rsid w:val="7D8B3ACD"/>
    <w:rsid w:val="7DB3215D"/>
    <w:rsid w:val="7DB366E4"/>
    <w:rsid w:val="7DCE343B"/>
    <w:rsid w:val="7DF05160"/>
    <w:rsid w:val="7DF369FE"/>
    <w:rsid w:val="7E244E09"/>
    <w:rsid w:val="7E327526"/>
    <w:rsid w:val="7E3B2C6B"/>
    <w:rsid w:val="7E492DA2"/>
    <w:rsid w:val="7E527BC8"/>
    <w:rsid w:val="7E6E62E2"/>
    <w:rsid w:val="7E8A7362"/>
    <w:rsid w:val="7F460DAF"/>
    <w:rsid w:val="7F5C05D3"/>
    <w:rsid w:val="7F690CDA"/>
    <w:rsid w:val="7F7C6003"/>
    <w:rsid w:val="7FBB79EF"/>
    <w:rsid w:val="7FCC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3552</Words>
  <Characters>3899</Characters>
  <Lines>21</Lines>
  <Paragraphs>6</Paragraphs>
  <TotalTime>0</TotalTime>
  <ScaleCrop>false</ScaleCrop>
  <LinksUpToDate>false</LinksUpToDate>
  <CharactersWithSpaces>4040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嘻嘻西西</cp:lastModifiedBy>
  <dcterms:modified xsi:type="dcterms:W3CDTF">2026-03-24T05:55:08Z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eyJoZGlkIjoiMWI1MTE0OTA2YzUwNzg5MDlmZDFhNmE4MmQzMzc5ODQiLCJ1c2VySWQiOiIxMjI1NDY1MTcwIn0=</vt:lpwstr>
  </property>
</Properties>
</file>