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color w:val="auto"/>
          <w:sz w:val="44"/>
          <w:szCs w:val="44"/>
          <w:highlight w:val="none"/>
        </w:rPr>
      </w:pPr>
    </w:p>
    <w:p w14:paraId="0722EA08">
      <w:pPr>
        <w:jc w:val="center"/>
        <w:rPr>
          <w:rFonts w:ascii="黑体" w:hAnsi="黑体" w:eastAsia="黑体"/>
          <w:color w:val="auto"/>
          <w:sz w:val="44"/>
          <w:szCs w:val="44"/>
          <w:highlight w:val="none"/>
        </w:rPr>
      </w:pPr>
    </w:p>
    <w:p w14:paraId="5712AD97">
      <w:pPr>
        <w:jc w:val="center"/>
        <w:rPr>
          <w:rFonts w:ascii="黑体" w:hAnsi="黑体" w:eastAsia="黑体"/>
          <w:color w:val="auto"/>
          <w:sz w:val="44"/>
          <w:szCs w:val="44"/>
          <w:highlight w:val="none"/>
        </w:rPr>
      </w:pPr>
    </w:p>
    <w:p w14:paraId="4DAE025F">
      <w:pPr>
        <w:jc w:val="center"/>
        <w:rPr>
          <w:rFonts w:ascii="黑体" w:hAnsi="黑体" w:eastAsia="黑体"/>
          <w:color w:val="auto"/>
          <w:sz w:val="44"/>
          <w:szCs w:val="44"/>
          <w:highlight w:val="none"/>
        </w:rPr>
      </w:pPr>
    </w:p>
    <w:p w14:paraId="5C6FEE61">
      <w:pPr>
        <w:jc w:val="center"/>
        <w:rPr>
          <w:rFonts w:ascii="黑体" w:hAnsi="黑体" w:eastAsia="黑体"/>
          <w:color w:val="auto"/>
          <w:sz w:val="44"/>
          <w:szCs w:val="44"/>
          <w:highlight w:val="none"/>
        </w:rPr>
      </w:pPr>
    </w:p>
    <w:p w14:paraId="0050A5F4">
      <w:pPr>
        <w:jc w:val="center"/>
        <w:rPr>
          <w:rFonts w:ascii="黑体" w:hAnsi="黑体" w:eastAsia="黑体"/>
          <w:color w:val="auto"/>
          <w:sz w:val="52"/>
          <w:szCs w:val="52"/>
          <w:highlight w:val="none"/>
        </w:rPr>
      </w:pPr>
      <w:r>
        <w:rPr>
          <w:rFonts w:hint="eastAsia" w:ascii="黑体" w:hAnsi="黑体" w:eastAsia="黑体"/>
          <w:color w:val="auto"/>
          <w:sz w:val="52"/>
          <w:szCs w:val="52"/>
          <w:highlight w:val="none"/>
          <w:lang w:eastAsia="zh-CN"/>
        </w:rPr>
        <w:t>永吉县发展和改革局</w:t>
      </w:r>
      <w:r>
        <w:rPr>
          <w:rFonts w:hint="eastAsia" w:ascii="黑体" w:hAnsi="黑体" w:eastAsia="黑体"/>
          <w:color w:val="auto"/>
          <w:sz w:val="52"/>
          <w:szCs w:val="52"/>
          <w:highlight w:val="none"/>
        </w:rPr>
        <w:t>2026年部门预算</w:t>
      </w:r>
    </w:p>
    <w:p w14:paraId="5C42AB12">
      <w:pPr>
        <w:jc w:val="center"/>
        <w:rPr>
          <w:rFonts w:ascii="黑体" w:hAnsi="黑体" w:eastAsia="黑体"/>
          <w:color w:val="auto"/>
          <w:sz w:val="44"/>
          <w:szCs w:val="44"/>
          <w:highlight w:val="none"/>
        </w:rPr>
      </w:pPr>
    </w:p>
    <w:p w14:paraId="5EF162CE">
      <w:pPr>
        <w:jc w:val="center"/>
        <w:rPr>
          <w:rFonts w:ascii="黑体" w:hAnsi="黑体" w:eastAsia="黑体"/>
          <w:color w:val="auto"/>
          <w:sz w:val="44"/>
          <w:szCs w:val="44"/>
          <w:highlight w:val="none"/>
        </w:rPr>
      </w:pPr>
    </w:p>
    <w:p w14:paraId="6D7738A2">
      <w:pPr>
        <w:jc w:val="center"/>
        <w:rPr>
          <w:rFonts w:ascii="黑体" w:hAnsi="黑体" w:eastAsia="黑体"/>
          <w:color w:val="auto"/>
          <w:sz w:val="44"/>
          <w:szCs w:val="44"/>
          <w:highlight w:val="none"/>
        </w:rPr>
      </w:pPr>
    </w:p>
    <w:p w14:paraId="1997C969">
      <w:pPr>
        <w:jc w:val="center"/>
        <w:rPr>
          <w:rFonts w:ascii="黑体" w:hAnsi="黑体" w:eastAsia="黑体"/>
          <w:color w:val="auto"/>
          <w:sz w:val="44"/>
          <w:szCs w:val="44"/>
          <w:highlight w:val="none"/>
        </w:rPr>
      </w:pPr>
    </w:p>
    <w:p w14:paraId="4F4ABFCB">
      <w:pPr>
        <w:jc w:val="center"/>
        <w:rPr>
          <w:rFonts w:ascii="黑体" w:hAnsi="黑体" w:eastAsia="黑体"/>
          <w:color w:val="auto"/>
          <w:sz w:val="44"/>
          <w:szCs w:val="44"/>
          <w:highlight w:val="none"/>
        </w:rPr>
      </w:pPr>
    </w:p>
    <w:p w14:paraId="6E03DA41">
      <w:pPr>
        <w:jc w:val="center"/>
        <w:rPr>
          <w:rFonts w:ascii="黑体" w:hAnsi="黑体" w:eastAsia="黑体"/>
          <w:color w:val="auto"/>
          <w:sz w:val="44"/>
          <w:szCs w:val="44"/>
          <w:highlight w:val="none"/>
        </w:rPr>
      </w:pPr>
    </w:p>
    <w:p w14:paraId="34D8D65D">
      <w:pPr>
        <w:jc w:val="center"/>
        <w:rPr>
          <w:rFonts w:ascii="黑体" w:hAnsi="黑体" w:eastAsia="黑体"/>
          <w:color w:val="auto"/>
          <w:sz w:val="44"/>
          <w:szCs w:val="44"/>
          <w:highlight w:val="none"/>
        </w:rPr>
      </w:pPr>
    </w:p>
    <w:p w14:paraId="01FD5D38">
      <w:pPr>
        <w:jc w:val="center"/>
        <w:rPr>
          <w:rFonts w:ascii="黑体" w:hAnsi="黑体" w:eastAsia="黑体"/>
          <w:color w:val="auto"/>
          <w:sz w:val="44"/>
          <w:szCs w:val="44"/>
          <w:highlight w:val="none"/>
        </w:rPr>
      </w:pPr>
    </w:p>
    <w:p w14:paraId="380AB34E">
      <w:pPr>
        <w:jc w:val="center"/>
        <w:rPr>
          <w:rFonts w:ascii="黑体" w:hAnsi="黑体" w:eastAsia="黑体"/>
          <w:color w:val="auto"/>
          <w:sz w:val="44"/>
          <w:szCs w:val="44"/>
          <w:highlight w:val="none"/>
        </w:rPr>
      </w:pPr>
    </w:p>
    <w:p w14:paraId="628D9189">
      <w:pPr>
        <w:jc w:val="center"/>
        <w:rPr>
          <w:rFonts w:ascii="黑体" w:hAnsi="黑体" w:eastAsia="黑体"/>
          <w:color w:val="auto"/>
          <w:sz w:val="44"/>
          <w:szCs w:val="44"/>
          <w:highlight w:val="none"/>
        </w:rPr>
      </w:pPr>
    </w:p>
    <w:p w14:paraId="6EA5914F">
      <w:pPr>
        <w:jc w:val="center"/>
        <w:rPr>
          <w:rFonts w:ascii="黑体" w:hAnsi="黑体" w:eastAsia="黑体"/>
          <w:color w:val="auto"/>
          <w:sz w:val="44"/>
          <w:szCs w:val="44"/>
          <w:highlight w:val="none"/>
        </w:rPr>
      </w:pPr>
      <w:r>
        <w:rPr>
          <w:rFonts w:hint="eastAsia" w:ascii="黑体" w:hAnsi="黑体" w:eastAsia="黑体"/>
          <w:color w:val="auto"/>
          <w:sz w:val="44"/>
          <w:szCs w:val="44"/>
          <w:highlight w:val="none"/>
        </w:rPr>
        <w:t>二〇二六年一月四日</w:t>
      </w:r>
    </w:p>
    <w:p w14:paraId="2F1615F9">
      <w:pPr>
        <w:jc w:val="center"/>
        <w:rPr>
          <w:rFonts w:ascii="黑体" w:hAnsi="黑体" w:eastAsia="黑体"/>
          <w:color w:val="auto"/>
          <w:sz w:val="44"/>
          <w:szCs w:val="44"/>
          <w:highlight w:val="none"/>
        </w:rPr>
      </w:pPr>
    </w:p>
    <w:p w14:paraId="357EC0AC">
      <w:pPr>
        <w:jc w:val="center"/>
        <w:rPr>
          <w:rFonts w:ascii="黑体" w:hAnsi="黑体" w:eastAsia="黑体"/>
          <w:color w:val="auto"/>
          <w:sz w:val="44"/>
          <w:szCs w:val="44"/>
          <w:highlight w:val="none"/>
        </w:rPr>
      </w:pPr>
    </w:p>
    <w:p w14:paraId="661A2997">
      <w:pPr>
        <w:jc w:val="center"/>
        <w:rPr>
          <w:rFonts w:ascii="黑体" w:hAnsi="黑体" w:eastAsia="黑体"/>
          <w:color w:val="auto"/>
          <w:sz w:val="44"/>
          <w:szCs w:val="44"/>
          <w:highlight w:val="none"/>
        </w:rPr>
      </w:pPr>
    </w:p>
    <w:p w14:paraId="60FA0F16">
      <w:pPr>
        <w:jc w:val="center"/>
        <w:rPr>
          <w:rFonts w:ascii="黑体" w:hAnsi="黑体" w:eastAsia="黑体"/>
          <w:color w:val="auto"/>
          <w:sz w:val="44"/>
          <w:szCs w:val="44"/>
          <w:highlight w:val="none"/>
        </w:rPr>
      </w:pPr>
    </w:p>
    <w:p w14:paraId="74A34429">
      <w:pPr>
        <w:jc w:val="center"/>
        <w:rPr>
          <w:rFonts w:ascii="黑体" w:hAnsi="黑体" w:eastAsia="黑体"/>
          <w:color w:val="auto"/>
          <w:sz w:val="44"/>
          <w:szCs w:val="44"/>
          <w:highlight w:val="none"/>
        </w:rPr>
      </w:pPr>
    </w:p>
    <w:p w14:paraId="18C3CAAE">
      <w:pPr>
        <w:jc w:val="center"/>
        <w:rPr>
          <w:rFonts w:ascii="黑体" w:hAnsi="黑体" w:eastAsia="黑体"/>
          <w:color w:val="auto"/>
          <w:sz w:val="44"/>
          <w:szCs w:val="44"/>
          <w:highlight w:val="none"/>
        </w:rPr>
      </w:pPr>
    </w:p>
    <w:p w14:paraId="406F54B2">
      <w:pPr>
        <w:jc w:val="center"/>
        <w:rPr>
          <w:rFonts w:hint="eastAsia" w:ascii="黑体" w:hAnsi="黑体" w:eastAsia="黑体"/>
          <w:color w:val="auto"/>
          <w:sz w:val="44"/>
          <w:szCs w:val="44"/>
          <w:highlight w:val="none"/>
        </w:rPr>
      </w:pPr>
      <w:r>
        <w:rPr>
          <w:rFonts w:hint="eastAsia" w:ascii="黑体" w:hAnsi="黑体" w:eastAsia="黑体"/>
          <w:color w:val="auto"/>
          <w:sz w:val="44"/>
          <w:szCs w:val="44"/>
          <w:highlight w:val="none"/>
          <w:lang w:eastAsia="zh-CN"/>
        </w:rPr>
        <w:t>永吉县发展和改革局</w:t>
      </w:r>
      <w:r>
        <w:rPr>
          <w:rFonts w:hint="eastAsia" w:ascii="黑体" w:hAnsi="黑体" w:eastAsia="黑体"/>
          <w:color w:val="auto"/>
          <w:sz w:val="44"/>
          <w:szCs w:val="44"/>
          <w:highlight w:val="none"/>
        </w:rPr>
        <w:t>2026年预算</w:t>
      </w:r>
    </w:p>
    <w:p w14:paraId="1F07C9F7">
      <w:pPr>
        <w:jc w:val="center"/>
        <w:rPr>
          <w:rFonts w:ascii="黑体" w:hAnsi="黑体" w:eastAsia="黑体"/>
          <w:color w:val="auto"/>
          <w:sz w:val="44"/>
          <w:szCs w:val="44"/>
          <w:highlight w:val="none"/>
        </w:rPr>
      </w:pPr>
    </w:p>
    <w:p w14:paraId="63B0757E">
      <w:pPr>
        <w:tabs>
          <w:tab w:val="left" w:pos="3240"/>
        </w:tabs>
        <w:rPr>
          <w:rFonts w:ascii="黑体" w:hAnsi="黑体" w:eastAsia="黑体"/>
          <w:color w:val="auto"/>
          <w:sz w:val="44"/>
          <w:szCs w:val="44"/>
          <w:highlight w:val="none"/>
        </w:rPr>
      </w:pPr>
      <w:r>
        <w:rPr>
          <w:rFonts w:ascii="黑体" w:hAnsi="黑体" w:eastAsia="黑体"/>
          <w:color w:val="auto"/>
          <w:sz w:val="44"/>
          <w:szCs w:val="44"/>
          <w:highlight w:val="none"/>
        </w:rPr>
        <w:tab/>
      </w:r>
      <w:r>
        <w:rPr>
          <w:rFonts w:hint="eastAsia" w:ascii="黑体" w:hAnsi="黑体" w:eastAsia="黑体"/>
          <w:color w:val="auto"/>
          <w:sz w:val="44"/>
          <w:szCs w:val="44"/>
          <w:highlight w:val="none"/>
        </w:rPr>
        <w:t>目  录</w:t>
      </w:r>
    </w:p>
    <w:p w14:paraId="3BC81682">
      <w:pPr>
        <w:rPr>
          <w:rFonts w:ascii="仿宋" w:hAnsi="仿宋" w:eastAsia="仿宋"/>
          <w:color w:val="auto"/>
          <w:sz w:val="32"/>
          <w:szCs w:val="32"/>
          <w:highlight w:val="none"/>
        </w:rPr>
      </w:pPr>
      <w:r>
        <w:rPr>
          <w:rFonts w:hint="eastAsia" w:ascii="仿宋" w:hAnsi="仿宋" w:eastAsia="仿宋"/>
          <w:color w:val="auto"/>
          <w:sz w:val="32"/>
          <w:szCs w:val="32"/>
          <w:highlight w:val="none"/>
        </w:rPr>
        <w:t>第一部分  部门概况</w:t>
      </w:r>
    </w:p>
    <w:p w14:paraId="73DDC628">
      <w:pPr>
        <w:pStyle w:val="8"/>
        <w:numPr>
          <w:ilvl w:val="0"/>
          <w:numId w:val="1"/>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主要职能</w:t>
      </w:r>
    </w:p>
    <w:p w14:paraId="0F6E16B9">
      <w:pPr>
        <w:pStyle w:val="8"/>
        <w:numPr>
          <w:ilvl w:val="0"/>
          <w:numId w:val="1"/>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机构设置</w:t>
      </w:r>
    </w:p>
    <w:p w14:paraId="5EE08171">
      <w:pPr>
        <w:rPr>
          <w:rFonts w:ascii="仿宋" w:hAnsi="仿宋" w:eastAsia="仿宋"/>
          <w:color w:val="auto"/>
          <w:sz w:val="32"/>
          <w:szCs w:val="32"/>
          <w:highlight w:val="none"/>
        </w:rPr>
      </w:pPr>
      <w:r>
        <w:rPr>
          <w:rFonts w:hint="eastAsia" w:ascii="仿宋" w:hAnsi="仿宋" w:eastAsia="仿宋"/>
          <w:color w:val="auto"/>
          <w:sz w:val="32"/>
          <w:szCs w:val="32"/>
          <w:highlight w:val="none"/>
        </w:rPr>
        <w:t>第二部分  情况说明</w:t>
      </w:r>
    </w:p>
    <w:p w14:paraId="6F11FF87">
      <w:pPr>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第三部分  名词解释 </w:t>
      </w:r>
    </w:p>
    <w:p w14:paraId="7BA36606">
      <w:pPr>
        <w:rPr>
          <w:rFonts w:ascii="仿宋" w:hAnsi="仿宋" w:eastAsia="仿宋"/>
          <w:color w:val="auto"/>
          <w:sz w:val="32"/>
          <w:szCs w:val="32"/>
          <w:highlight w:val="none"/>
        </w:rPr>
      </w:pPr>
      <w:r>
        <w:rPr>
          <w:rFonts w:hint="eastAsia" w:ascii="仿宋" w:hAnsi="仿宋" w:eastAsia="仿宋"/>
          <w:color w:val="auto"/>
          <w:sz w:val="32"/>
          <w:szCs w:val="32"/>
          <w:highlight w:val="none"/>
        </w:rPr>
        <w:t>第四部分  预算表格</w:t>
      </w:r>
    </w:p>
    <w:p w14:paraId="07E4B539">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收支总表</w:t>
      </w:r>
    </w:p>
    <w:p w14:paraId="257AF41A">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收入总表</w:t>
      </w:r>
    </w:p>
    <w:p w14:paraId="490A2BEB">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支出总表</w:t>
      </w:r>
    </w:p>
    <w:p w14:paraId="5F6425A5">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财政拨款收支总表</w:t>
      </w:r>
    </w:p>
    <w:p w14:paraId="5006371A">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一般公共预算支出表</w:t>
      </w:r>
    </w:p>
    <w:p w14:paraId="6CBA4F02">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一般公共预算财政拨款基本支出预算表</w:t>
      </w:r>
    </w:p>
    <w:p w14:paraId="534C5B24">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一般公共预算“三公”经费支出表</w:t>
      </w:r>
    </w:p>
    <w:p w14:paraId="4685FD46">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政府性基金预算支出表</w:t>
      </w:r>
    </w:p>
    <w:p w14:paraId="696DB8AF">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国有资本经营预算支出表</w:t>
      </w:r>
    </w:p>
    <w:p w14:paraId="2C937F03">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项目支出表</w:t>
      </w:r>
    </w:p>
    <w:p w14:paraId="3CED8429">
      <w:pPr>
        <w:rPr>
          <w:rFonts w:ascii="仿宋" w:hAnsi="仿宋" w:eastAsia="仿宋"/>
          <w:color w:val="auto"/>
          <w:sz w:val="32"/>
          <w:szCs w:val="32"/>
          <w:highlight w:val="none"/>
        </w:rPr>
      </w:pPr>
    </w:p>
    <w:p w14:paraId="69BD7CEA">
      <w:pPr>
        <w:rPr>
          <w:rFonts w:ascii="仿宋" w:hAnsi="仿宋" w:eastAsia="仿宋"/>
          <w:color w:val="auto"/>
          <w:sz w:val="32"/>
          <w:szCs w:val="32"/>
          <w:highlight w:val="none"/>
        </w:rPr>
      </w:pPr>
    </w:p>
    <w:p w14:paraId="549DAA5E">
      <w:pPr>
        <w:rPr>
          <w:rFonts w:ascii="仿宋" w:hAnsi="仿宋" w:eastAsia="仿宋"/>
          <w:color w:val="auto"/>
          <w:sz w:val="32"/>
          <w:szCs w:val="32"/>
          <w:highlight w:val="none"/>
        </w:rPr>
      </w:pPr>
    </w:p>
    <w:p w14:paraId="4E48F873">
      <w:pPr>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第一部分    部门（单位）概况</w:t>
      </w:r>
    </w:p>
    <w:p w14:paraId="519B9A34">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w:t>
      </w:r>
    </w:p>
    <w:p w14:paraId="0CADA23E">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一、主要职能</w:t>
      </w:r>
    </w:p>
    <w:p w14:paraId="3C0DA428">
      <w:pPr>
        <w:pStyle w:val="10"/>
        <w:widowControl/>
        <w:spacing w:line="620" w:lineRule="exact"/>
        <w:ind w:firstLine="627" w:firstLineChars="196"/>
        <w:contextualSpacing/>
        <w:rPr>
          <w:rFonts w:hint="eastAsia" w:ascii="仿宋" w:hAnsi="仿宋" w:eastAsia="仿宋"/>
          <w:bCs/>
          <w:color w:val="auto"/>
          <w:sz w:val="32"/>
          <w:szCs w:val="32"/>
          <w:highlight w:val="none"/>
          <w:lang w:eastAsia="zh-CN"/>
        </w:rPr>
      </w:pPr>
      <w:r>
        <w:rPr>
          <w:rFonts w:hint="eastAsia" w:ascii="仿宋" w:hAnsi="仿宋" w:eastAsia="仿宋"/>
          <w:bCs/>
          <w:color w:val="auto"/>
          <w:sz w:val="32"/>
          <w:szCs w:val="32"/>
          <w:highlight w:val="none"/>
        </w:rPr>
        <w:t>单位</w:t>
      </w:r>
      <w:r>
        <w:rPr>
          <w:rFonts w:hint="eastAsia" w:ascii="仿宋" w:hAnsi="仿宋" w:eastAsia="仿宋"/>
          <w:bCs/>
          <w:color w:val="auto"/>
          <w:kern w:val="0"/>
          <w:sz w:val="32"/>
          <w:szCs w:val="32"/>
          <w:highlight w:val="none"/>
        </w:rPr>
        <w:t>名称：</w:t>
      </w:r>
      <w:r>
        <w:rPr>
          <w:rFonts w:hint="eastAsia" w:ascii="仿宋" w:hAnsi="仿宋" w:eastAsia="仿宋"/>
          <w:bCs/>
          <w:color w:val="auto"/>
          <w:kern w:val="0"/>
          <w:sz w:val="32"/>
          <w:szCs w:val="32"/>
          <w:highlight w:val="none"/>
          <w:lang w:eastAsia="zh-CN"/>
        </w:rPr>
        <w:t>永吉县发展和改革局</w:t>
      </w:r>
    </w:p>
    <w:p w14:paraId="5C5D6D93">
      <w:pPr>
        <w:pStyle w:val="10"/>
        <w:widowControl/>
        <w:spacing w:line="620" w:lineRule="exact"/>
        <w:ind w:firstLine="627" w:firstLineChars="196"/>
        <w:contextualSpacing/>
        <w:rPr>
          <w:rFonts w:hint="eastAsia" w:ascii="仿宋" w:hAnsi="仿宋" w:eastAsia="仿宋"/>
          <w:color w:val="auto"/>
          <w:kern w:val="0"/>
          <w:sz w:val="32"/>
          <w:szCs w:val="32"/>
          <w:highlight w:val="none"/>
          <w:lang w:eastAsia="zh-CN"/>
        </w:rPr>
      </w:pPr>
      <w:r>
        <w:rPr>
          <w:rFonts w:hint="eastAsia" w:ascii="仿宋" w:hAnsi="仿宋" w:eastAsia="仿宋"/>
          <w:bCs/>
          <w:color w:val="auto"/>
          <w:kern w:val="0"/>
          <w:sz w:val="32"/>
          <w:szCs w:val="32"/>
          <w:highlight w:val="none"/>
        </w:rPr>
        <w:t>单位性质</w:t>
      </w:r>
      <w:r>
        <w:rPr>
          <w:rFonts w:hint="eastAsia" w:ascii="仿宋" w:hAnsi="仿宋" w:eastAsia="仿宋"/>
          <w:color w:val="auto"/>
          <w:kern w:val="0"/>
          <w:sz w:val="32"/>
          <w:szCs w:val="32"/>
          <w:highlight w:val="none"/>
        </w:rPr>
        <w:t>：</w:t>
      </w:r>
      <w:r>
        <w:rPr>
          <w:rFonts w:hint="eastAsia" w:ascii="仿宋" w:hAnsi="仿宋" w:eastAsia="仿宋"/>
          <w:color w:val="auto"/>
          <w:kern w:val="0"/>
          <w:sz w:val="32"/>
          <w:szCs w:val="32"/>
          <w:highlight w:val="none"/>
          <w:lang w:eastAsia="zh-CN"/>
        </w:rPr>
        <w:t>行政单位</w:t>
      </w:r>
    </w:p>
    <w:p w14:paraId="4DE151A8">
      <w:pPr>
        <w:pStyle w:val="10"/>
        <w:widowControl/>
        <w:spacing w:line="620" w:lineRule="exact"/>
        <w:ind w:firstLine="627" w:firstLineChars="196"/>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主要职能：</w:t>
      </w:r>
      <w:r>
        <w:rPr>
          <w:rFonts w:hint="eastAsia" w:ascii="仿宋" w:hAnsi="仿宋" w:eastAsia="仿宋"/>
          <w:color w:val="auto"/>
          <w:kern w:val="0"/>
          <w:sz w:val="32"/>
          <w:szCs w:val="32"/>
          <w:highlight w:val="none"/>
        </w:rPr>
        <w:t>县发展和改革局负责贯彻落实党中央关于发展和改革工作的方针政策和决策部署以及省委、市委、县委有关决策部署，把坚持和加强党对发展和改革工作的全面领导落实到履行职责过程中。</w:t>
      </w:r>
    </w:p>
    <w:p w14:paraId="019B5F2E">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bCs/>
          <w:color w:val="auto"/>
          <w:kern w:val="0"/>
          <w:sz w:val="32"/>
          <w:szCs w:val="32"/>
          <w:highlight w:val="none"/>
        </w:rPr>
        <w:t>主要业务：</w:t>
      </w:r>
      <w:r>
        <w:rPr>
          <w:rFonts w:hint="eastAsia" w:ascii="仿宋" w:hAnsi="仿宋" w:eastAsia="仿宋"/>
          <w:color w:val="auto"/>
          <w:kern w:val="0"/>
          <w:sz w:val="32"/>
          <w:szCs w:val="32"/>
          <w:highlight w:val="none"/>
        </w:rPr>
        <w:t>（一）拟订并组织实施全县国民经济和社会发展战略、中长期规划和年度计划，统筹协调经济社会发展，提出全县国民经济发展和优化重大经济结构的目标、政策，提出综合运用各种经济手段和政策的建议，受县政府委托向县人大提交国民经济和社会发展计划的报告。</w:t>
      </w:r>
    </w:p>
    <w:p w14:paraId="4C346E3D">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二）负责监测全县经济和社会发展态势，承担预测预警和信息引导的责任，研究全县经济运行、总量平衡、经济安全和总体产业安全等重要问题并提出经济调节政策建议，负责协调解决经济运行中的重大问题，调节经济运行，负责组织重要物资的紧急调度和交通运输协调。</w:t>
      </w:r>
    </w:p>
    <w:p w14:paraId="54CE955A">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三）承担指导推进和综合协调全县经济体制改革的责任，研究经济体制改革和对外开放的重大问题，组织拟订综合性经济体制改革方案，协调有关专项经济体制改革方案，会同有关部门搞好重要专项经济体制改革之间的衔接。</w:t>
      </w:r>
    </w:p>
    <w:p w14:paraId="635D8DFA">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四）拟订全县固定资产投资总规模和投资结构的调控目标、政策及措施，衔接平衡需要安排国家及省政府投资和涉及重大建设项目的专项规划。按规定权限审批、核准、审核重大建设项目。安排财政性建设资金，指导和监督国外贷款建设资金的使用，指导和监督政策性贷款的使用方向；引导民间资金用于固定资产投资的方向；研究提出利用外资、境外投资的战略和结构优化的目标与政策；安排国家、省、市拨款的建设项目、重大外资项目、境外资源开发类和大额用汇投资项目。</w:t>
      </w:r>
    </w:p>
    <w:p w14:paraId="71944FFE">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五）综合分析区域经济和城镇化发展情况，提出区域经济协调发展规划和城镇化发展战略以及重大政策措施；负责全县区域经济的统筹协调，指导区域经济协作工作。组织拟订区域协调发展及振兴吉林老工业基地的战略、规划和重大政策。</w:t>
      </w:r>
    </w:p>
    <w:p w14:paraId="606F07CE">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六）推进全县经济结构战略性调整。组织拟订综合性产业政策，负责协调第一、二、三产业发展的重大问题并衔接平衡相关发展规划和重大政策，做好与国民经济和社会发展规划、计划的衔接平衡；协调农业和农村经济社会发展的重大问题；会同有关部门拟订服务业发展战略和重大政策，拟订现代物流业发展战略、规划，组织拟订高技术产业发展、产业技术进步的战略、规划和重大政策。</w:t>
      </w:r>
    </w:p>
    <w:p w14:paraId="6DE24604">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七）承担全县重要商品总量平衡和宏观调控的责任，编制重要农产品、工业品和原材料进出口总量计划并监督执行，根据经济运行情况对进出口总量进行调整，执行国家战略物资储备规划，负责组织国家战略物资在我县的收储、运用、轮换和管理，会同有关部门管理国家粮食、棉花和食粮等储备。</w:t>
      </w:r>
    </w:p>
    <w:p w14:paraId="5840FB49">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八）负责全县社会发展与国民经济发展的政策衔接，组织拟订社会发展战略、总体规划和年度计划，参与拟订人口和计划生育、科学技术、教育、文化、卫生、民政等发展政策，推进社会事业建设，研究提出促进就业、调整收入分配、完善社会保障与经济协调发展的政策建议，协调社会事业发展和改革中的重大问题及政策。</w:t>
      </w:r>
    </w:p>
    <w:p w14:paraId="5C490902">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九）推进可持续发展战略，负责全县节能减排的综合协调工作，组织拟订发展循环经济、全社会能源资源节约和综合利用规划及政策措施并协调实施，参与编制生态建设、环境保护规划，协调生产建设、能源资源节约和综合利用的重大问题，综合协调环保产业和清洁生产促进有关工作。</w:t>
      </w:r>
    </w:p>
    <w:p w14:paraId="0A6A8904">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（十）负责商品价格管理；负责农产品价格管理；拟订商品价格改革方案和管理、调控措施并组织实施；对相关行业和企业实行价格政策指导。</w:t>
      </w:r>
    </w:p>
    <w:p w14:paraId="7D28AE40">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十一）监测、预测、分析价格总水平变动情况并提出调控意见，提出运用价格调节资金管理手段和必要的行政手段稳定商品、服务价格以及减少市场价格波动的建议；负责价格调节资金的管理和使用；拟订全县价格改革方案并组织实施；制定、公布地方价格管理目录，拟订涉及宏观调控的部分商品和服务价格政策并组织实施；负责起草价格综合性文件；负责涉税、涉纪检监察案件财物价格认定和涉案财产价格鉴定；负责价格争议调解处理和价格认定复核；指导中介机构的价格评估、鉴证工作。</w:t>
      </w:r>
    </w:p>
    <w:p w14:paraId="42627721">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（十二）负责全县部分行政事业性收费和经营服务性收费项目的管理和收费政策落实，制定颁布收费标准，指导相关部门收费管理工作，并监督实施。</w:t>
      </w:r>
    </w:p>
    <w:p w14:paraId="4FEE0557">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十三）负责全县粮食宏观调控和粮食收购政策落实、粮食统计业务管理、粮食行政许可审批、大米品牌建设、政策性粮食监管工作；粮食市场监管、粮食流通条例执行情况检查、省长责任制考核、粮食财会及基金管理、粮食行业安全监管工作；粮食仓储业务管理、储粮安全管理工作；粮食领域行政执法职责。</w:t>
      </w:r>
    </w:p>
    <w:p w14:paraId="4DFD24E3">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（十四）负责国防、铁路、民营经济、安全生产等相关职能（涉密）</w:t>
      </w:r>
    </w:p>
    <w:p w14:paraId="521A0B6B">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（十五）承办县委、县政府交办的其他任务。</w:t>
      </w:r>
    </w:p>
    <w:p w14:paraId="633B34EC">
      <w:pPr>
        <w:pStyle w:val="10"/>
        <w:widowControl/>
        <w:spacing w:line="620" w:lineRule="exact"/>
        <w:ind w:firstLine="320" w:firstLineChars="100"/>
        <w:contextualSpacing/>
        <w:rPr>
          <w:rFonts w:ascii="仿宋" w:hAnsi="仿宋" w:eastAsia="仿宋"/>
          <w:color w:val="auto"/>
          <w:sz w:val="32"/>
          <w:szCs w:val="32"/>
          <w:highlight w:val="none"/>
        </w:rPr>
      </w:pPr>
      <w:r>
        <w:rPr>
          <w:rFonts w:hint="eastAsia" w:ascii="仿宋" w:hAnsi="仿宋" w:eastAsia="仿宋"/>
          <w:color w:val="auto"/>
          <w:sz w:val="32"/>
          <w:szCs w:val="32"/>
          <w:highlight w:val="none"/>
        </w:rPr>
        <w:t>二、机构设置</w:t>
      </w:r>
    </w:p>
    <w:p w14:paraId="6C97D934">
      <w:pPr>
        <w:pStyle w:val="12"/>
        <w:ind w:firstLine="627" w:firstLineChars="196"/>
        <w:rPr>
          <w:rFonts w:hint="default" w:ascii="仿宋" w:hAnsi="仿宋" w:eastAsia="仿宋"/>
          <w:color w:val="auto"/>
          <w:kern w:val="0"/>
          <w:szCs w:val="32"/>
          <w:highlight w:val="none"/>
          <w:lang w:val="en-US" w:eastAsia="zh-CN"/>
        </w:rPr>
      </w:pPr>
      <w:r>
        <w:rPr>
          <w:rFonts w:hint="eastAsia" w:ascii="仿宋" w:hAnsi="仿宋" w:eastAsia="仿宋"/>
          <w:color w:val="auto"/>
          <w:kern w:val="0"/>
          <w:szCs w:val="32"/>
          <w:highlight w:val="none"/>
        </w:rPr>
        <w:t>机构设置包括：</w:t>
      </w:r>
      <w:r>
        <w:rPr>
          <w:rFonts w:hint="eastAsia" w:ascii="仿宋_GB2312" w:hAnsi="仿宋_GB2312" w:eastAsia="仿宋_GB2312" w:cs="仿宋_GB2312"/>
          <w:color w:val="auto"/>
          <w:kern w:val="2"/>
          <w:sz w:val="32"/>
          <w:szCs w:val="32"/>
          <w:highlight w:val="none"/>
          <w:lang w:val="en-US" w:eastAsia="zh-CN" w:bidi="ar-SA"/>
        </w:rPr>
        <w:t>国防动员科（综合科）</w:t>
      </w:r>
      <w:r>
        <w:rPr>
          <w:rFonts w:hint="eastAsia" w:ascii="仿宋" w:hAnsi="仿宋" w:eastAsia="仿宋"/>
          <w:color w:val="auto"/>
          <w:kern w:val="0"/>
          <w:szCs w:val="32"/>
          <w:highlight w:val="none"/>
        </w:rPr>
        <w:t>、</w:t>
      </w:r>
      <w:r>
        <w:rPr>
          <w:rFonts w:hint="eastAsia" w:ascii="仿宋_GB2312" w:hAnsi="仿宋_GB2312" w:eastAsia="仿宋_GB2312" w:cs="仿宋_GB2312"/>
          <w:color w:val="auto"/>
          <w:kern w:val="2"/>
          <w:sz w:val="32"/>
          <w:szCs w:val="32"/>
          <w:highlight w:val="none"/>
          <w:lang w:val="en-US" w:eastAsia="zh-CN" w:bidi="ar-SA"/>
        </w:rPr>
        <w:t>发展规划科（民营经济发展科）</w:t>
      </w:r>
      <w:r>
        <w:rPr>
          <w:rFonts w:hint="eastAsia" w:ascii="仿宋" w:hAnsi="仿宋" w:eastAsia="仿宋"/>
          <w:color w:val="auto"/>
          <w:kern w:val="0"/>
          <w:szCs w:val="32"/>
          <w:highlight w:val="none"/>
        </w:rPr>
        <w:t>、</w:t>
      </w:r>
      <w:r>
        <w:rPr>
          <w:rFonts w:hint="eastAsia" w:ascii="仿宋_GB2312" w:hAnsi="仿宋_GB2312" w:eastAsia="仿宋_GB2312" w:cs="仿宋_GB2312"/>
          <w:color w:val="auto"/>
          <w:kern w:val="2"/>
          <w:sz w:val="32"/>
          <w:szCs w:val="32"/>
          <w:highlight w:val="none"/>
          <w:lang w:val="en-US" w:eastAsia="zh-CN" w:bidi="ar-SA"/>
        </w:rPr>
        <w:t>投资科（安全生产监督管理科、行政审批办公室）</w:t>
      </w:r>
      <w:r>
        <w:rPr>
          <w:rFonts w:hint="eastAsia" w:ascii="仿宋" w:hAnsi="仿宋" w:eastAsia="仿宋"/>
          <w:color w:val="auto"/>
          <w:kern w:val="0"/>
          <w:szCs w:val="32"/>
          <w:highlight w:val="none"/>
        </w:rPr>
        <w:t>、</w:t>
      </w:r>
      <w:r>
        <w:rPr>
          <w:rFonts w:hint="eastAsia" w:ascii="仿宋_GB2312" w:hAnsi="仿宋_GB2312" w:eastAsia="仿宋_GB2312" w:cs="仿宋_GB2312"/>
          <w:color w:val="auto"/>
          <w:kern w:val="2"/>
          <w:sz w:val="32"/>
          <w:szCs w:val="32"/>
          <w:highlight w:val="none"/>
          <w:lang w:val="en-US" w:eastAsia="zh-CN" w:bidi="ar-SA"/>
        </w:rPr>
        <w:t>价格管理科</w:t>
      </w:r>
      <w:r>
        <w:rPr>
          <w:rFonts w:hint="eastAsia" w:ascii="仿宋_GB2312" w:hAnsi="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CN" w:bidi="ar-SA"/>
        </w:rPr>
        <w:t>农村经济科</w:t>
      </w:r>
      <w:r>
        <w:rPr>
          <w:rFonts w:hint="eastAsia" w:ascii="仿宋_GB2312" w:hAnsi="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CN" w:bidi="ar-SA"/>
        </w:rPr>
        <w:t>粮食和物资储备科（仓储安全科）</w:t>
      </w:r>
      <w:r>
        <w:rPr>
          <w:rFonts w:hint="eastAsia" w:ascii="仿宋_GB2312" w:hAnsi="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CN" w:bidi="ar-SA"/>
        </w:rPr>
        <w:t>执法督查科</w:t>
      </w:r>
      <w:r>
        <w:rPr>
          <w:rFonts w:hint="eastAsia" w:ascii="仿宋_GB2312" w:hAnsi="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CN" w:bidi="ar-SA"/>
        </w:rPr>
        <w:t>产业发展科</w:t>
      </w:r>
    </w:p>
    <w:p w14:paraId="39645E59">
      <w:pPr>
        <w:pStyle w:val="12"/>
        <w:ind w:firstLine="627" w:firstLineChars="196"/>
        <w:rPr>
          <w:rFonts w:ascii="仿宋" w:hAnsi="仿宋" w:eastAsia="仿宋"/>
          <w:color w:val="auto"/>
          <w:kern w:val="0"/>
          <w:szCs w:val="32"/>
          <w:highlight w:val="none"/>
        </w:rPr>
      </w:pPr>
      <w:r>
        <w:rPr>
          <w:rFonts w:hint="eastAsia" w:ascii="仿宋" w:hAnsi="仿宋" w:eastAsia="仿宋"/>
          <w:color w:val="auto"/>
          <w:kern w:val="0"/>
          <w:szCs w:val="32"/>
          <w:highlight w:val="none"/>
        </w:rPr>
        <w:t>人员情况：在职人员</w:t>
      </w:r>
      <w:r>
        <w:rPr>
          <w:rFonts w:hint="eastAsia" w:ascii="仿宋" w:hAnsi="仿宋" w:eastAsia="仿宋"/>
          <w:color w:val="auto"/>
          <w:kern w:val="0"/>
          <w:szCs w:val="32"/>
          <w:highlight w:val="none"/>
          <w:lang w:val="en-US" w:eastAsia="zh-CN"/>
        </w:rPr>
        <w:t>14</w:t>
      </w:r>
      <w:r>
        <w:rPr>
          <w:rFonts w:hint="eastAsia" w:ascii="仿宋" w:hAnsi="仿宋" w:eastAsia="仿宋"/>
          <w:color w:val="auto"/>
          <w:kern w:val="0"/>
          <w:szCs w:val="32"/>
          <w:highlight w:val="none"/>
        </w:rPr>
        <w:t>人，编制数</w:t>
      </w:r>
      <w:r>
        <w:rPr>
          <w:rFonts w:hint="eastAsia" w:ascii="仿宋" w:hAnsi="仿宋" w:eastAsia="仿宋"/>
          <w:color w:val="auto"/>
          <w:kern w:val="0"/>
          <w:szCs w:val="32"/>
          <w:highlight w:val="none"/>
          <w:lang w:val="en-US" w:eastAsia="zh-CN"/>
        </w:rPr>
        <w:t>18</w:t>
      </w:r>
      <w:r>
        <w:rPr>
          <w:rFonts w:hint="eastAsia" w:ascii="仿宋" w:hAnsi="仿宋" w:eastAsia="仿宋"/>
          <w:color w:val="auto"/>
          <w:kern w:val="0"/>
          <w:szCs w:val="32"/>
          <w:highlight w:val="none"/>
        </w:rPr>
        <w:t>人，领导职数</w:t>
      </w:r>
      <w:r>
        <w:rPr>
          <w:rFonts w:hint="eastAsia" w:ascii="仿宋" w:hAnsi="仿宋" w:eastAsia="仿宋"/>
          <w:color w:val="auto"/>
          <w:kern w:val="0"/>
          <w:szCs w:val="32"/>
          <w:highlight w:val="none"/>
          <w:lang w:val="en-US" w:eastAsia="zh-CN"/>
        </w:rPr>
        <w:t>4</w:t>
      </w:r>
      <w:r>
        <w:rPr>
          <w:rFonts w:hint="eastAsia" w:ascii="仿宋" w:hAnsi="仿宋" w:eastAsia="仿宋"/>
          <w:color w:val="auto"/>
          <w:kern w:val="0"/>
          <w:szCs w:val="32"/>
          <w:highlight w:val="none"/>
        </w:rPr>
        <w:t>个。</w:t>
      </w:r>
    </w:p>
    <w:p w14:paraId="3F194C91">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w:t>
      </w:r>
    </w:p>
    <w:p w14:paraId="6731B470">
      <w:pPr>
        <w:jc w:val="left"/>
        <w:rPr>
          <w:rFonts w:ascii="仿宋" w:hAnsi="仿宋" w:eastAsia="仿宋"/>
          <w:color w:val="auto"/>
          <w:sz w:val="32"/>
          <w:szCs w:val="32"/>
          <w:highlight w:val="none"/>
        </w:rPr>
      </w:pPr>
    </w:p>
    <w:p w14:paraId="2327A84A">
      <w:pPr>
        <w:jc w:val="left"/>
        <w:rPr>
          <w:rFonts w:ascii="仿宋" w:hAnsi="仿宋" w:eastAsia="仿宋"/>
          <w:color w:val="auto"/>
          <w:sz w:val="32"/>
          <w:szCs w:val="32"/>
          <w:highlight w:val="none"/>
        </w:rPr>
      </w:pPr>
    </w:p>
    <w:p w14:paraId="30EC7C30">
      <w:pPr>
        <w:jc w:val="left"/>
        <w:rPr>
          <w:rFonts w:ascii="仿宋" w:hAnsi="仿宋" w:eastAsia="仿宋"/>
          <w:color w:val="auto"/>
          <w:sz w:val="32"/>
          <w:szCs w:val="32"/>
          <w:highlight w:val="none"/>
        </w:rPr>
      </w:pPr>
    </w:p>
    <w:p w14:paraId="22022DA2">
      <w:pPr>
        <w:jc w:val="left"/>
        <w:rPr>
          <w:rFonts w:ascii="仿宋" w:hAnsi="仿宋" w:eastAsia="仿宋"/>
          <w:color w:val="auto"/>
          <w:sz w:val="32"/>
          <w:szCs w:val="32"/>
          <w:highlight w:val="none"/>
        </w:rPr>
      </w:pPr>
    </w:p>
    <w:p w14:paraId="4494DF1B">
      <w:pPr>
        <w:jc w:val="left"/>
        <w:rPr>
          <w:rFonts w:ascii="仿宋" w:hAnsi="仿宋" w:eastAsia="仿宋"/>
          <w:color w:val="auto"/>
          <w:sz w:val="32"/>
          <w:szCs w:val="32"/>
          <w:highlight w:val="none"/>
        </w:rPr>
      </w:pPr>
    </w:p>
    <w:p w14:paraId="57CB687A">
      <w:pPr>
        <w:jc w:val="left"/>
        <w:rPr>
          <w:rFonts w:ascii="仿宋" w:hAnsi="仿宋" w:eastAsia="仿宋"/>
          <w:color w:val="auto"/>
          <w:sz w:val="32"/>
          <w:szCs w:val="32"/>
          <w:highlight w:val="none"/>
        </w:rPr>
      </w:pPr>
    </w:p>
    <w:p w14:paraId="00B77722">
      <w:pPr>
        <w:jc w:val="left"/>
        <w:rPr>
          <w:rFonts w:ascii="仿宋" w:hAnsi="仿宋" w:eastAsia="仿宋"/>
          <w:color w:val="auto"/>
          <w:sz w:val="32"/>
          <w:szCs w:val="32"/>
          <w:highlight w:val="none"/>
        </w:rPr>
      </w:pPr>
    </w:p>
    <w:p w14:paraId="2BF2DEA1">
      <w:pPr>
        <w:jc w:val="left"/>
        <w:rPr>
          <w:rFonts w:ascii="仿宋" w:hAnsi="仿宋" w:eastAsia="仿宋"/>
          <w:color w:val="auto"/>
          <w:sz w:val="32"/>
          <w:szCs w:val="32"/>
          <w:highlight w:val="none"/>
        </w:rPr>
      </w:pPr>
    </w:p>
    <w:p w14:paraId="516BFD21">
      <w:pPr>
        <w:jc w:val="left"/>
        <w:rPr>
          <w:rFonts w:ascii="仿宋" w:hAnsi="仿宋" w:eastAsia="仿宋"/>
          <w:color w:val="auto"/>
          <w:sz w:val="32"/>
          <w:szCs w:val="32"/>
          <w:highlight w:val="none"/>
        </w:rPr>
      </w:pPr>
    </w:p>
    <w:p w14:paraId="127A9DA5">
      <w:pPr>
        <w:jc w:val="left"/>
        <w:rPr>
          <w:rFonts w:ascii="仿宋" w:hAnsi="仿宋" w:eastAsia="仿宋"/>
          <w:color w:val="auto"/>
          <w:sz w:val="32"/>
          <w:szCs w:val="32"/>
          <w:highlight w:val="none"/>
        </w:rPr>
      </w:pPr>
    </w:p>
    <w:p w14:paraId="10DA0D63">
      <w:pPr>
        <w:jc w:val="left"/>
        <w:rPr>
          <w:rFonts w:ascii="仿宋" w:hAnsi="仿宋" w:eastAsia="仿宋"/>
          <w:color w:val="auto"/>
          <w:sz w:val="32"/>
          <w:szCs w:val="32"/>
          <w:highlight w:val="none"/>
        </w:rPr>
      </w:pPr>
    </w:p>
    <w:p w14:paraId="6BE14C04">
      <w:pPr>
        <w:jc w:val="left"/>
        <w:rPr>
          <w:rFonts w:ascii="仿宋" w:hAnsi="仿宋" w:eastAsia="仿宋"/>
          <w:color w:val="auto"/>
          <w:sz w:val="32"/>
          <w:szCs w:val="32"/>
          <w:highlight w:val="none"/>
        </w:rPr>
      </w:pPr>
    </w:p>
    <w:p w14:paraId="546B2C04">
      <w:pPr>
        <w:jc w:val="center"/>
        <w:rPr>
          <w:rFonts w:ascii="黑体" w:hAnsi="黑体" w:eastAsia="黑体"/>
          <w:color w:val="auto"/>
          <w:sz w:val="32"/>
          <w:szCs w:val="32"/>
          <w:highlight w:val="none"/>
        </w:rPr>
      </w:pPr>
    </w:p>
    <w:p w14:paraId="6FD1930E">
      <w:pPr>
        <w:jc w:val="center"/>
        <w:rPr>
          <w:rFonts w:ascii="黑体" w:hAnsi="黑体" w:eastAsia="黑体"/>
          <w:color w:val="auto"/>
          <w:sz w:val="32"/>
          <w:szCs w:val="32"/>
          <w:highlight w:val="none"/>
        </w:rPr>
      </w:pPr>
    </w:p>
    <w:p w14:paraId="08C38348">
      <w:pPr>
        <w:jc w:val="center"/>
        <w:rPr>
          <w:rFonts w:ascii="黑体" w:hAnsi="黑体" w:eastAsia="黑体"/>
          <w:color w:val="auto"/>
          <w:sz w:val="32"/>
          <w:szCs w:val="32"/>
          <w:highlight w:val="none"/>
        </w:rPr>
      </w:pPr>
    </w:p>
    <w:p w14:paraId="653D2C6B">
      <w:pPr>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第二部分  情况说明</w:t>
      </w:r>
    </w:p>
    <w:p w14:paraId="1A612949">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w:t>
      </w:r>
    </w:p>
    <w:p w14:paraId="14665F96">
      <w:pPr>
        <w:jc w:val="left"/>
        <w:rPr>
          <w:rFonts w:ascii="楷体" w:hAnsi="楷体" w:eastAsia="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olor w:val="auto"/>
          <w:sz w:val="32"/>
          <w:szCs w:val="32"/>
          <w:highlight w:val="none"/>
        </w:rPr>
        <w:t>一、2026年收支预算总体情况</w:t>
      </w:r>
    </w:p>
    <w:p w14:paraId="790B2477">
      <w:pPr>
        <w:pStyle w:val="11"/>
        <w:ind w:firstLine="640" w:firstLineChars="200"/>
        <w:jc w:val="left"/>
        <w:rPr>
          <w:rFonts w:ascii="仿宋" w:hAnsi="仿宋" w:eastAsia="仿宋"/>
          <w:color w:val="auto"/>
          <w:sz w:val="32"/>
          <w:szCs w:val="32"/>
          <w:highlight w:val="none"/>
        </w:rPr>
      </w:pPr>
      <w:r>
        <w:rPr>
          <w:rFonts w:hint="eastAsia" w:ascii="仿宋" w:hAnsi="仿宋" w:eastAsia="仿宋"/>
          <w:color w:val="auto"/>
          <w:sz w:val="32"/>
          <w:szCs w:val="32"/>
          <w:highlight w:val="none"/>
        </w:rPr>
        <w:t>按照综合预算的原则，所有收入和支出全部纳入部门预算管理。收入包括：一般公共预算拨款收入、政府性基金预算拨款收入、其他收入等；支出包括：一般公共服务支出、社会保障和就业支出、</w:t>
      </w:r>
      <w:bookmarkStart w:id="0" w:name="_GoBack"/>
      <w:bookmarkEnd w:id="0"/>
      <w:r>
        <w:rPr>
          <w:rFonts w:hint="eastAsia" w:ascii="仿宋" w:hAnsi="仿宋" w:eastAsia="仿宋"/>
          <w:color w:val="auto"/>
          <w:sz w:val="32"/>
          <w:szCs w:val="32"/>
          <w:highlight w:val="none"/>
        </w:rPr>
        <w:t>住房保障支出等。2026年收支总预算</w:t>
      </w:r>
      <w:r>
        <w:rPr>
          <w:rFonts w:hint="eastAsia" w:ascii="仿宋" w:hAnsi="仿宋" w:eastAsia="仿宋"/>
          <w:color w:val="auto"/>
          <w:sz w:val="32"/>
          <w:szCs w:val="32"/>
          <w:highlight w:val="none"/>
          <w:lang w:val="en-US" w:eastAsia="zh-CN"/>
        </w:rPr>
        <w:t>32365.76</w:t>
      </w:r>
      <w:r>
        <w:rPr>
          <w:rFonts w:hint="eastAsia" w:ascii="仿宋" w:hAnsi="仿宋" w:eastAsia="仿宋"/>
          <w:color w:val="auto"/>
          <w:sz w:val="32"/>
          <w:szCs w:val="32"/>
          <w:highlight w:val="none"/>
        </w:rPr>
        <w:t>万元，比 2025年预算数</w:t>
      </w:r>
      <w:r>
        <w:rPr>
          <w:rFonts w:hint="eastAsia" w:ascii="仿宋" w:hAnsi="仿宋" w:eastAsia="仿宋"/>
          <w:color w:val="auto"/>
          <w:sz w:val="32"/>
          <w:szCs w:val="32"/>
          <w:highlight w:val="none"/>
          <w:lang w:val="en-US" w:eastAsia="zh-CN"/>
        </w:rPr>
        <w:t>46235.95</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13870.19</w:t>
      </w:r>
      <w:r>
        <w:rPr>
          <w:rFonts w:hint="eastAsia" w:ascii="仿宋" w:hAnsi="仿宋" w:eastAsia="仿宋"/>
          <w:color w:val="auto"/>
          <w:sz w:val="32"/>
          <w:szCs w:val="32"/>
          <w:highlight w:val="none"/>
        </w:rPr>
        <w:t>万元，主要原因：</w:t>
      </w:r>
      <w:r>
        <w:rPr>
          <w:rFonts w:hint="eastAsia" w:ascii="仿宋" w:hAnsi="仿宋" w:eastAsia="仿宋"/>
          <w:color w:val="auto"/>
          <w:sz w:val="32"/>
          <w:szCs w:val="32"/>
          <w:highlight w:val="none"/>
          <w:lang w:eastAsia="zh-CN"/>
        </w:rPr>
        <w:t>专项支出减少</w:t>
      </w:r>
      <w:r>
        <w:rPr>
          <w:rFonts w:hint="eastAsia" w:ascii="仿宋" w:hAnsi="仿宋" w:eastAsia="仿宋"/>
          <w:color w:val="auto"/>
          <w:sz w:val="32"/>
          <w:szCs w:val="32"/>
          <w:highlight w:val="none"/>
        </w:rPr>
        <w:t xml:space="preserve"> 。</w:t>
      </w:r>
    </w:p>
    <w:p w14:paraId="0594D500">
      <w:pPr>
        <w:pStyle w:val="11"/>
        <w:jc w:val="left"/>
        <w:rPr>
          <w:rFonts w:ascii="楷体" w:hAnsi="楷体" w:eastAsia="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olor w:val="auto"/>
          <w:sz w:val="32"/>
          <w:szCs w:val="32"/>
          <w:highlight w:val="none"/>
        </w:rPr>
        <w:t>二、2026年收入预算情况</w:t>
      </w:r>
    </w:p>
    <w:p w14:paraId="5BB9355F">
      <w:pPr>
        <w:pStyle w:val="11"/>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2026年本单位收入预算</w:t>
      </w:r>
      <w:r>
        <w:rPr>
          <w:rFonts w:hint="eastAsia" w:ascii="仿宋" w:hAnsi="仿宋" w:eastAsia="仿宋"/>
          <w:color w:val="auto"/>
          <w:sz w:val="32"/>
          <w:szCs w:val="32"/>
          <w:highlight w:val="none"/>
          <w:lang w:val="en-US" w:eastAsia="zh-CN"/>
        </w:rPr>
        <w:t>16182.88</w:t>
      </w:r>
      <w:r>
        <w:rPr>
          <w:rFonts w:hint="eastAsia" w:ascii="仿宋" w:hAnsi="仿宋" w:eastAsia="仿宋"/>
          <w:color w:val="auto"/>
          <w:sz w:val="32"/>
          <w:szCs w:val="32"/>
          <w:highlight w:val="none"/>
        </w:rPr>
        <w:t xml:space="preserve"> 万元，其中：一般公共预算收入</w:t>
      </w:r>
      <w:r>
        <w:rPr>
          <w:rFonts w:hint="eastAsia" w:ascii="仿宋" w:hAnsi="仿宋" w:eastAsia="仿宋"/>
          <w:color w:val="auto"/>
          <w:sz w:val="32"/>
          <w:szCs w:val="32"/>
          <w:highlight w:val="none"/>
          <w:lang w:val="en-US" w:eastAsia="zh-CN"/>
        </w:rPr>
        <w:t>16182.88</w:t>
      </w:r>
      <w:r>
        <w:rPr>
          <w:rFonts w:hint="eastAsia" w:ascii="仿宋" w:hAnsi="仿宋" w:eastAsia="仿宋"/>
          <w:color w:val="auto"/>
          <w:sz w:val="32"/>
          <w:szCs w:val="32"/>
          <w:highlight w:val="none"/>
        </w:rPr>
        <w:t xml:space="preserve"> 万元，占</w:t>
      </w:r>
      <w:r>
        <w:rPr>
          <w:rFonts w:hint="eastAsia" w:ascii="仿宋" w:hAnsi="仿宋" w:eastAsia="仿宋"/>
          <w:color w:val="auto"/>
          <w:sz w:val="32"/>
          <w:szCs w:val="32"/>
          <w:highlight w:val="none"/>
          <w:lang w:val="en-US" w:eastAsia="zh-CN"/>
        </w:rPr>
        <w:t>100</w:t>
      </w:r>
      <w:r>
        <w:rPr>
          <w:rFonts w:hint="eastAsia" w:ascii="仿宋" w:hAnsi="仿宋" w:eastAsia="仿宋"/>
          <w:color w:val="auto"/>
          <w:sz w:val="32"/>
          <w:szCs w:val="32"/>
          <w:highlight w:val="none"/>
        </w:rPr>
        <w:t>%；政府性基金收入</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w:t>
      </w:r>
    </w:p>
    <w:p w14:paraId="262A2F8F">
      <w:pPr>
        <w:pStyle w:val="11"/>
        <w:jc w:val="left"/>
        <w:rPr>
          <w:rFonts w:ascii="楷体" w:hAnsi="楷体" w:eastAsia="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olor w:val="auto"/>
          <w:sz w:val="32"/>
          <w:szCs w:val="32"/>
          <w:highlight w:val="none"/>
        </w:rPr>
        <w:t xml:space="preserve"> 三、2026年支出预算情况</w:t>
      </w:r>
    </w:p>
    <w:p w14:paraId="25859D74">
      <w:pPr>
        <w:pStyle w:val="11"/>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2026年支出预算</w:t>
      </w:r>
      <w:r>
        <w:rPr>
          <w:rFonts w:hint="eastAsia" w:ascii="仿宋" w:hAnsi="仿宋" w:eastAsia="仿宋"/>
          <w:color w:val="auto"/>
          <w:sz w:val="32"/>
          <w:szCs w:val="32"/>
          <w:highlight w:val="none"/>
          <w:lang w:val="en-US" w:eastAsia="zh-CN"/>
        </w:rPr>
        <w:t>16182.88</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225.14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1.39</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15957.74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98.61</w:t>
      </w:r>
      <w:r>
        <w:rPr>
          <w:rFonts w:hint="eastAsia" w:ascii="仿宋" w:hAnsi="仿宋" w:eastAsia="仿宋"/>
          <w:color w:val="auto"/>
          <w:sz w:val="32"/>
          <w:szCs w:val="32"/>
          <w:highlight w:val="none"/>
        </w:rPr>
        <w:t>%。</w:t>
      </w:r>
    </w:p>
    <w:p w14:paraId="51040F2B">
      <w:pPr>
        <w:pStyle w:val="11"/>
        <w:ind w:firstLine="640" w:firstLineChars="200"/>
        <w:jc w:val="left"/>
        <w:rPr>
          <w:rFonts w:ascii="楷体" w:hAnsi="楷体" w:eastAsia="楷体"/>
          <w:color w:val="auto"/>
          <w:sz w:val="32"/>
          <w:szCs w:val="32"/>
          <w:highlight w:val="none"/>
        </w:rPr>
      </w:pPr>
      <w:r>
        <w:rPr>
          <w:rFonts w:hint="eastAsia" w:ascii="楷体" w:hAnsi="楷体" w:eastAsia="楷体"/>
          <w:color w:val="auto"/>
          <w:sz w:val="32"/>
          <w:szCs w:val="32"/>
          <w:highlight w:val="none"/>
        </w:rPr>
        <w:t>四、2026年财政拨款收支预算情况</w:t>
      </w:r>
    </w:p>
    <w:p w14:paraId="032F5B2D">
      <w:pPr>
        <w:pStyle w:val="11"/>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2026年财政拨款收支总预算</w:t>
      </w:r>
      <w:r>
        <w:rPr>
          <w:rFonts w:hint="eastAsia" w:ascii="仿宋" w:hAnsi="仿宋" w:eastAsia="仿宋"/>
          <w:color w:val="auto"/>
          <w:sz w:val="32"/>
          <w:szCs w:val="32"/>
          <w:highlight w:val="none"/>
          <w:lang w:val="en-US" w:eastAsia="zh-CN"/>
        </w:rPr>
        <w:t>32365.76</w:t>
      </w:r>
      <w:r>
        <w:rPr>
          <w:rFonts w:hint="eastAsia" w:ascii="仿宋" w:hAnsi="仿宋" w:eastAsia="仿宋"/>
          <w:color w:val="auto"/>
          <w:sz w:val="32"/>
          <w:szCs w:val="32"/>
          <w:highlight w:val="none"/>
        </w:rPr>
        <w:t>万元，其中：本年收入</w:t>
      </w:r>
      <w:r>
        <w:rPr>
          <w:rFonts w:hint="eastAsia" w:ascii="仿宋" w:hAnsi="仿宋" w:eastAsia="仿宋"/>
          <w:color w:val="auto"/>
          <w:sz w:val="32"/>
          <w:szCs w:val="32"/>
          <w:highlight w:val="none"/>
          <w:lang w:val="en-US" w:eastAsia="zh-CN"/>
        </w:rPr>
        <w:t>16182.88</w:t>
      </w:r>
      <w:r>
        <w:rPr>
          <w:rFonts w:hint="eastAsia" w:ascii="仿宋" w:hAnsi="仿宋" w:eastAsia="仿宋"/>
          <w:color w:val="auto"/>
          <w:sz w:val="32"/>
          <w:szCs w:val="32"/>
          <w:highlight w:val="none"/>
        </w:rPr>
        <w:t>万元。本年支出</w:t>
      </w:r>
      <w:r>
        <w:rPr>
          <w:rFonts w:hint="eastAsia" w:ascii="仿宋" w:hAnsi="仿宋" w:eastAsia="仿宋"/>
          <w:color w:val="auto"/>
          <w:sz w:val="32"/>
          <w:szCs w:val="32"/>
          <w:highlight w:val="none"/>
          <w:lang w:val="en-US" w:eastAsia="zh-CN"/>
        </w:rPr>
        <w:t>16182.88</w:t>
      </w:r>
      <w:r>
        <w:rPr>
          <w:rFonts w:hint="eastAsia" w:ascii="仿宋" w:hAnsi="仿宋" w:eastAsia="仿宋"/>
          <w:color w:val="auto"/>
          <w:sz w:val="32"/>
          <w:szCs w:val="32"/>
          <w:highlight w:val="none"/>
        </w:rPr>
        <w:t>万元，支出包括：一般公共服务支出</w:t>
      </w:r>
      <w:r>
        <w:rPr>
          <w:rFonts w:hint="eastAsia" w:ascii="仿宋" w:hAnsi="仿宋" w:eastAsia="仿宋"/>
          <w:color w:val="auto"/>
          <w:sz w:val="32"/>
          <w:szCs w:val="32"/>
          <w:highlight w:val="none"/>
          <w:lang w:val="en-US" w:eastAsia="zh-CN"/>
        </w:rPr>
        <w:t>336.12</w:t>
      </w:r>
      <w:r>
        <w:rPr>
          <w:rFonts w:hint="eastAsia" w:ascii="仿宋" w:hAnsi="仿宋" w:eastAsia="仿宋"/>
          <w:color w:val="auto"/>
          <w:sz w:val="32"/>
          <w:szCs w:val="32"/>
          <w:highlight w:val="none"/>
        </w:rPr>
        <w:t>万元，社会保障和就业支出</w:t>
      </w:r>
      <w:r>
        <w:rPr>
          <w:rFonts w:hint="eastAsia" w:ascii="仿宋" w:hAnsi="仿宋" w:eastAsia="仿宋"/>
          <w:color w:val="auto"/>
          <w:sz w:val="32"/>
          <w:szCs w:val="32"/>
          <w:highlight w:val="none"/>
          <w:lang w:val="en-US" w:eastAsia="zh-CN"/>
        </w:rPr>
        <w:t>31.1</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节能环保</w:t>
      </w:r>
      <w:r>
        <w:rPr>
          <w:rFonts w:hint="eastAsia" w:ascii="仿宋" w:hAnsi="仿宋" w:eastAsia="仿宋"/>
          <w:color w:val="auto"/>
          <w:sz w:val="32"/>
          <w:szCs w:val="32"/>
          <w:highlight w:val="none"/>
        </w:rPr>
        <w:t>支出</w:t>
      </w:r>
      <w:r>
        <w:rPr>
          <w:rFonts w:hint="eastAsia" w:ascii="仿宋" w:hAnsi="仿宋" w:eastAsia="仿宋"/>
          <w:color w:val="auto"/>
          <w:sz w:val="32"/>
          <w:szCs w:val="32"/>
          <w:highlight w:val="none"/>
          <w:lang w:val="en-US" w:eastAsia="zh-CN"/>
        </w:rPr>
        <w:t>108.6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交通运输</w:t>
      </w:r>
      <w:r>
        <w:rPr>
          <w:rFonts w:hint="eastAsia" w:ascii="仿宋" w:hAnsi="仿宋" w:eastAsia="仿宋"/>
          <w:color w:val="auto"/>
          <w:sz w:val="32"/>
          <w:szCs w:val="32"/>
          <w:highlight w:val="none"/>
        </w:rPr>
        <w:t>支出</w:t>
      </w:r>
      <w:r>
        <w:rPr>
          <w:rFonts w:hint="eastAsia" w:ascii="仿宋" w:hAnsi="仿宋" w:eastAsia="仿宋"/>
          <w:color w:val="auto"/>
          <w:sz w:val="32"/>
          <w:szCs w:val="32"/>
          <w:highlight w:val="none"/>
          <w:lang w:val="en-US" w:eastAsia="zh-CN"/>
        </w:rPr>
        <w:t>14800</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，住房保障支出</w:t>
      </w:r>
      <w:r>
        <w:rPr>
          <w:rFonts w:hint="eastAsia" w:ascii="仿宋" w:hAnsi="仿宋" w:eastAsia="仿宋"/>
          <w:color w:val="auto"/>
          <w:sz w:val="32"/>
          <w:szCs w:val="32"/>
          <w:highlight w:val="none"/>
          <w:lang w:val="en-US" w:eastAsia="zh-CN"/>
        </w:rPr>
        <w:t>16.05万元，粮油物资储备支出891万元。</w:t>
      </w:r>
    </w:p>
    <w:p w14:paraId="113EA7E6">
      <w:pPr>
        <w:pStyle w:val="11"/>
        <w:rPr>
          <w:rFonts w:ascii="楷体" w:hAnsi="楷体" w:eastAsia="楷体"/>
          <w:color w:val="auto"/>
          <w:sz w:val="32"/>
          <w:szCs w:val="32"/>
          <w:highlight w:val="none"/>
        </w:rPr>
      </w:pPr>
      <w:r>
        <w:rPr>
          <w:rFonts w:hint="eastAsia" w:ascii="仿宋" w:hAnsi="仿宋" w:eastAsia="仿宋"/>
          <w:color w:val="auto"/>
          <w:kern w:val="0"/>
          <w:sz w:val="32"/>
          <w:szCs w:val="32"/>
          <w:highlight w:val="none"/>
        </w:rPr>
        <w:t xml:space="preserve">    </w:t>
      </w:r>
      <w:r>
        <w:rPr>
          <w:rFonts w:hint="eastAsia" w:ascii="楷体" w:hAnsi="楷体" w:eastAsia="楷体" w:cs="楷体"/>
          <w:color w:val="auto"/>
          <w:kern w:val="0"/>
          <w:sz w:val="32"/>
          <w:szCs w:val="32"/>
          <w:highlight w:val="none"/>
        </w:rPr>
        <w:t>五、2026</w:t>
      </w:r>
      <w:r>
        <w:rPr>
          <w:rFonts w:hint="eastAsia" w:ascii="楷体" w:hAnsi="楷体" w:eastAsia="楷体"/>
          <w:color w:val="auto"/>
          <w:kern w:val="0"/>
          <w:sz w:val="32"/>
          <w:szCs w:val="32"/>
          <w:highlight w:val="none"/>
        </w:rPr>
        <w:t>年一般公共预算支出情况</w:t>
      </w:r>
    </w:p>
    <w:p w14:paraId="362C178E">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2026年一般公共预算当年拨款</w:t>
      </w:r>
      <w:r>
        <w:rPr>
          <w:rFonts w:hint="eastAsia" w:ascii="仿宋" w:hAnsi="仿宋" w:eastAsia="仿宋"/>
          <w:color w:val="auto"/>
          <w:sz w:val="32"/>
          <w:szCs w:val="32"/>
          <w:highlight w:val="none"/>
          <w:lang w:val="en-US" w:eastAsia="zh-CN"/>
        </w:rPr>
        <w:t>16182.88</w:t>
      </w:r>
      <w:r>
        <w:rPr>
          <w:rFonts w:hint="eastAsia" w:ascii="仿宋" w:hAnsi="仿宋" w:eastAsia="仿宋"/>
          <w:color w:val="auto"/>
          <w:sz w:val="32"/>
          <w:szCs w:val="32"/>
          <w:highlight w:val="none"/>
        </w:rPr>
        <w:t>万元，其中：其中：基本支出</w:t>
      </w:r>
      <w:r>
        <w:rPr>
          <w:rFonts w:hint="eastAsia" w:ascii="仿宋" w:hAnsi="仿宋" w:eastAsia="仿宋"/>
          <w:color w:val="auto"/>
          <w:sz w:val="32"/>
          <w:szCs w:val="32"/>
          <w:highlight w:val="none"/>
          <w:lang w:val="en-US" w:eastAsia="zh-CN"/>
        </w:rPr>
        <w:t>225.14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1.39</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15957.74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98.61</w:t>
      </w:r>
      <w:r>
        <w:rPr>
          <w:rFonts w:hint="eastAsia" w:ascii="仿宋" w:hAnsi="仿宋" w:eastAsia="仿宋"/>
          <w:color w:val="auto"/>
          <w:sz w:val="32"/>
          <w:szCs w:val="32"/>
          <w:highlight w:val="none"/>
        </w:rPr>
        <w:t>%。基本支出中，人员经费</w:t>
      </w:r>
      <w:r>
        <w:rPr>
          <w:rFonts w:hint="eastAsia" w:ascii="仿宋" w:hAnsi="仿宋" w:eastAsia="仿宋"/>
          <w:color w:val="auto"/>
          <w:sz w:val="32"/>
          <w:szCs w:val="32"/>
          <w:highlight w:val="none"/>
          <w:lang w:val="en-US" w:eastAsia="zh-CN"/>
        </w:rPr>
        <w:t>176.69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78.48</w:t>
      </w: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37.81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21.52</w:t>
      </w:r>
      <w:r>
        <w:rPr>
          <w:rFonts w:hint="eastAsia" w:ascii="仿宋" w:hAnsi="仿宋" w:eastAsia="仿宋"/>
          <w:color w:val="auto"/>
          <w:sz w:val="32"/>
          <w:szCs w:val="32"/>
          <w:highlight w:val="none"/>
        </w:rPr>
        <w:t>%。</w:t>
      </w:r>
    </w:p>
    <w:p w14:paraId="7AE3769D">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一般公共服务（类）支出 </w:t>
      </w:r>
      <w:r>
        <w:rPr>
          <w:rFonts w:hint="eastAsia" w:ascii="仿宋" w:hAnsi="仿宋" w:eastAsia="仿宋"/>
          <w:color w:val="auto"/>
          <w:sz w:val="32"/>
          <w:szCs w:val="32"/>
          <w:highlight w:val="none"/>
          <w:lang w:val="en-US" w:eastAsia="zh-CN"/>
        </w:rPr>
        <w:t>336.12</w:t>
      </w:r>
      <w:r>
        <w:rPr>
          <w:rFonts w:hint="eastAsia" w:ascii="仿宋" w:hAnsi="仿宋" w:eastAsia="仿宋"/>
          <w:color w:val="auto"/>
          <w:sz w:val="32"/>
          <w:szCs w:val="32"/>
          <w:highlight w:val="none"/>
        </w:rPr>
        <w:t xml:space="preserve"> 万元，占</w:t>
      </w:r>
      <w:r>
        <w:rPr>
          <w:rFonts w:hint="eastAsia" w:ascii="仿宋" w:hAnsi="仿宋" w:eastAsia="仿宋"/>
          <w:color w:val="auto"/>
          <w:sz w:val="32"/>
          <w:szCs w:val="32"/>
          <w:highlight w:val="none"/>
          <w:lang w:val="en-US" w:eastAsia="zh-CN"/>
        </w:rPr>
        <w:t>2.08</w:t>
      </w:r>
      <w:r>
        <w:rPr>
          <w:rFonts w:hint="eastAsia" w:ascii="仿宋" w:hAnsi="仿宋" w:eastAsia="仿宋"/>
          <w:color w:val="auto"/>
          <w:sz w:val="32"/>
          <w:szCs w:val="32"/>
          <w:highlight w:val="none"/>
        </w:rPr>
        <w:t>%，主要用于：</w:t>
      </w:r>
      <w:r>
        <w:rPr>
          <w:rFonts w:hint="eastAsia" w:ascii="仿宋" w:hAnsi="仿宋" w:eastAsia="仿宋"/>
          <w:color w:val="auto"/>
          <w:sz w:val="32"/>
          <w:szCs w:val="32"/>
          <w:highlight w:val="none"/>
          <w:lang w:eastAsia="zh-CN"/>
        </w:rPr>
        <w:t>日常经费</w:t>
      </w:r>
      <w:r>
        <w:rPr>
          <w:rFonts w:hint="eastAsia" w:ascii="仿宋" w:hAnsi="仿宋" w:eastAsia="仿宋"/>
          <w:color w:val="auto"/>
          <w:sz w:val="32"/>
          <w:szCs w:val="32"/>
          <w:highlight w:val="none"/>
        </w:rPr>
        <w:t>。</w:t>
      </w:r>
    </w:p>
    <w:p w14:paraId="59F47C99">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社会保障和就业（类）支出</w:t>
      </w:r>
      <w:r>
        <w:rPr>
          <w:rFonts w:hint="eastAsia" w:ascii="仿宋" w:hAnsi="仿宋" w:eastAsia="仿宋"/>
          <w:color w:val="auto"/>
          <w:sz w:val="32"/>
          <w:szCs w:val="32"/>
          <w:highlight w:val="none"/>
          <w:lang w:val="en-US" w:eastAsia="zh-CN"/>
        </w:rPr>
        <w:t>31.1</w:t>
      </w:r>
      <w:r>
        <w:rPr>
          <w:rFonts w:hint="eastAsia" w:ascii="仿宋" w:hAnsi="仿宋" w:eastAsia="仿宋"/>
          <w:color w:val="auto"/>
          <w:sz w:val="32"/>
          <w:szCs w:val="32"/>
          <w:highlight w:val="none"/>
        </w:rPr>
        <w:t xml:space="preserve"> 万元，占</w:t>
      </w:r>
      <w:r>
        <w:rPr>
          <w:rFonts w:hint="eastAsia" w:ascii="仿宋" w:hAnsi="仿宋" w:eastAsia="仿宋"/>
          <w:color w:val="auto"/>
          <w:sz w:val="32"/>
          <w:szCs w:val="32"/>
          <w:highlight w:val="none"/>
          <w:lang w:val="en-US" w:eastAsia="zh-CN"/>
        </w:rPr>
        <w:t>0.19</w:t>
      </w:r>
      <w:r>
        <w:rPr>
          <w:rFonts w:hint="eastAsia" w:ascii="仿宋" w:hAnsi="仿宋" w:eastAsia="仿宋"/>
          <w:color w:val="auto"/>
          <w:sz w:val="32"/>
          <w:szCs w:val="32"/>
          <w:highlight w:val="none"/>
        </w:rPr>
        <w:t>%，主要用于：</w:t>
      </w:r>
      <w:r>
        <w:rPr>
          <w:rFonts w:hint="eastAsia" w:ascii="仿宋" w:hAnsi="仿宋" w:eastAsia="仿宋"/>
          <w:color w:val="auto"/>
          <w:sz w:val="32"/>
          <w:szCs w:val="32"/>
          <w:highlight w:val="none"/>
          <w:lang w:eastAsia="zh-CN"/>
        </w:rPr>
        <w:t>社会保险</w:t>
      </w:r>
      <w:r>
        <w:rPr>
          <w:rFonts w:hint="eastAsia" w:ascii="仿宋" w:hAnsi="仿宋" w:eastAsia="仿宋"/>
          <w:color w:val="auto"/>
          <w:sz w:val="32"/>
          <w:szCs w:val="32"/>
          <w:highlight w:val="none"/>
        </w:rPr>
        <w:t>。</w:t>
      </w:r>
    </w:p>
    <w:p w14:paraId="3F87882C">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节能环保</w:t>
      </w:r>
      <w:r>
        <w:rPr>
          <w:rFonts w:hint="eastAsia" w:ascii="仿宋" w:hAnsi="仿宋" w:eastAsia="仿宋"/>
          <w:color w:val="auto"/>
          <w:sz w:val="32"/>
          <w:szCs w:val="32"/>
          <w:highlight w:val="none"/>
        </w:rPr>
        <w:t>支出</w:t>
      </w:r>
      <w:r>
        <w:rPr>
          <w:rFonts w:hint="eastAsia" w:ascii="仿宋" w:hAnsi="仿宋" w:eastAsia="仿宋"/>
          <w:color w:val="auto"/>
          <w:sz w:val="32"/>
          <w:szCs w:val="32"/>
          <w:highlight w:val="none"/>
          <w:lang w:val="en-US" w:eastAsia="zh-CN"/>
        </w:rPr>
        <w:t>108.6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0.67</w:t>
      </w:r>
      <w:r>
        <w:rPr>
          <w:rFonts w:hint="eastAsia" w:ascii="仿宋" w:hAnsi="仿宋" w:eastAsia="仿宋"/>
          <w:color w:val="auto"/>
          <w:sz w:val="32"/>
          <w:szCs w:val="32"/>
          <w:highlight w:val="none"/>
        </w:rPr>
        <w:t>%，主要用于：</w:t>
      </w:r>
      <w:r>
        <w:rPr>
          <w:rFonts w:hint="eastAsia" w:ascii="仿宋" w:hAnsi="仿宋" w:eastAsia="仿宋"/>
          <w:color w:val="auto"/>
          <w:sz w:val="32"/>
          <w:szCs w:val="32"/>
          <w:highlight w:val="none"/>
          <w:lang w:eastAsia="zh-CN"/>
        </w:rPr>
        <w:t>充电基础设施补贴</w:t>
      </w:r>
      <w:r>
        <w:rPr>
          <w:rFonts w:hint="eastAsia" w:ascii="仿宋" w:hAnsi="仿宋" w:eastAsia="仿宋"/>
          <w:color w:val="auto"/>
          <w:sz w:val="32"/>
          <w:szCs w:val="32"/>
          <w:highlight w:val="none"/>
        </w:rPr>
        <w:t>。</w:t>
      </w:r>
    </w:p>
    <w:p w14:paraId="752A0F73">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交通运输</w:t>
      </w:r>
      <w:r>
        <w:rPr>
          <w:rFonts w:hint="eastAsia" w:ascii="仿宋" w:hAnsi="仿宋" w:eastAsia="仿宋"/>
          <w:color w:val="auto"/>
          <w:sz w:val="32"/>
          <w:szCs w:val="32"/>
          <w:highlight w:val="none"/>
        </w:rPr>
        <w:t>支出</w:t>
      </w:r>
      <w:r>
        <w:rPr>
          <w:rFonts w:hint="eastAsia" w:ascii="仿宋" w:hAnsi="仿宋" w:eastAsia="仿宋"/>
          <w:color w:val="auto"/>
          <w:sz w:val="32"/>
          <w:szCs w:val="32"/>
          <w:highlight w:val="none"/>
          <w:lang w:val="en-US" w:eastAsia="zh-CN"/>
        </w:rPr>
        <w:t>14800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91.45</w:t>
      </w:r>
      <w:r>
        <w:rPr>
          <w:rFonts w:hint="eastAsia" w:ascii="仿宋" w:hAnsi="仿宋" w:eastAsia="仿宋"/>
          <w:color w:val="auto"/>
          <w:sz w:val="32"/>
          <w:szCs w:val="32"/>
          <w:highlight w:val="none"/>
        </w:rPr>
        <w:t>%，主要用于：</w:t>
      </w:r>
      <w:r>
        <w:rPr>
          <w:rFonts w:hint="eastAsia" w:ascii="仿宋" w:hAnsi="仿宋" w:eastAsia="仿宋"/>
          <w:color w:val="auto"/>
          <w:sz w:val="32"/>
          <w:szCs w:val="32"/>
          <w:highlight w:val="none"/>
          <w:lang w:eastAsia="zh-CN"/>
        </w:rPr>
        <w:t>铁路改线</w:t>
      </w:r>
      <w:r>
        <w:rPr>
          <w:rFonts w:hint="eastAsia" w:ascii="仿宋" w:hAnsi="仿宋" w:eastAsia="仿宋"/>
          <w:color w:val="auto"/>
          <w:sz w:val="32"/>
          <w:szCs w:val="32"/>
          <w:highlight w:val="none"/>
        </w:rPr>
        <w:t>。</w:t>
      </w:r>
    </w:p>
    <w:p w14:paraId="6577E746">
      <w:pPr>
        <w:pStyle w:val="9"/>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住房保障支出</w:t>
      </w:r>
      <w:r>
        <w:rPr>
          <w:rFonts w:hint="eastAsia" w:ascii="仿宋" w:hAnsi="仿宋" w:eastAsia="仿宋"/>
          <w:color w:val="auto"/>
          <w:sz w:val="32"/>
          <w:szCs w:val="32"/>
          <w:highlight w:val="none"/>
          <w:lang w:val="en-US" w:eastAsia="zh-CN"/>
        </w:rPr>
        <w:t>16.05万元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4.84</w:t>
      </w:r>
      <w:r>
        <w:rPr>
          <w:rFonts w:hint="eastAsia" w:ascii="仿宋" w:hAnsi="仿宋" w:eastAsia="仿宋"/>
          <w:color w:val="auto"/>
          <w:sz w:val="32"/>
          <w:szCs w:val="32"/>
          <w:highlight w:val="none"/>
        </w:rPr>
        <w:t>%，主要用于：</w:t>
      </w:r>
      <w:r>
        <w:rPr>
          <w:rFonts w:hint="eastAsia" w:ascii="仿宋" w:hAnsi="仿宋" w:eastAsia="仿宋"/>
          <w:color w:val="auto"/>
          <w:sz w:val="32"/>
          <w:szCs w:val="32"/>
          <w:highlight w:val="none"/>
          <w:lang w:eastAsia="zh-CN"/>
        </w:rPr>
        <w:t>住房公积金</w:t>
      </w:r>
      <w:r>
        <w:rPr>
          <w:rFonts w:hint="eastAsia" w:ascii="仿宋" w:hAnsi="仿宋" w:eastAsia="仿宋"/>
          <w:color w:val="auto"/>
          <w:sz w:val="32"/>
          <w:szCs w:val="32"/>
          <w:highlight w:val="none"/>
        </w:rPr>
        <w:t>。</w:t>
      </w:r>
    </w:p>
    <w:p w14:paraId="19E91994">
      <w:pPr>
        <w:pStyle w:val="9"/>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val="en-US" w:eastAsia="zh-CN"/>
        </w:rPr>
        <w:t>粮油物资储备支出891万元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0.77</w:t>
      </w:r>
      <w:r>
        <w:rPr>
          <w:rFonts w:hint="eastAsia" w:ascii="仿宋" w:hAnsi="仿宋" w:eastAsia="仿宋"/>
          <w:color w:val="auto"/>
          <w:sz w:val="32"/>
          <w:szCs w:val="32"/>
          <w:highlight w:val="none"/>
        </w:rPr>
        <w:t>%，主要用于：</w:t>
      </w:r>
      <w:r>
        <w:rPr>
          <w:rFonts w:hint="eastAsia" w:ascii="仿宋" w:hAnsi="仿宋" w:eastAsia="仿宋"/>
          <w:color w:val="auto"/>
          <w:sz w:val="32"/>
          <w:szCs w:val="32"/>
          <w:highlight w:val="none"/>
          <w:lang w:eastAsia="zh-CN"/>
        </w:rPr>
        <w:t>粮油事务支出。</w:t>
      </w:r>
    </w:p>
    <w:p w14:paraId="1D655B29">
      <w:pPr>
        <w:pStyle w:val="9"/>
        <w:rPr>
          <w:rFonts w:ascii="楷体" w:hAnsi="楷体" w:eastAsia="楷体"/>
          <w:color w:val="auto"/>
          <w:kern w:val="0"/>
          <w:sz w:val="32"/>
          <w:szCs w:val="32"/>
          <w:highlight w:val="none"/>
        </w:rPr>
      </w:pPr>
      <w:r>
        <w:rPr>
          <w:rFonts w:hint="eastAsia" w:ascii="仿宋" w:hAnsi="仿宋" w:eastAsia="仿宋"/>
          <w:color w:val="auto"/>
          <w:kern w:val="0"/>
          <w:sz w:val="32"/>
          <w:szCs w:val="32"/>
          <w:highlight w:val="none"/>
        </w:rPr>
        <w:t xml:space="preserve">   </w:t>
      </w:r>
      <w:r>
        <w:rPr>
          <w:rFonts w:hint="eastAsia" w:ascii="楷体" w:hAnsi="楷体" w:eastAsia="楷体"/>
          <w:color w:val="auto"/>
          <w:kern w:val="0"/>
          <w:sz w:val="32"/>
          <w:szCs w:val="32"/>
          <w:highlight w:val="none"/>
        </w:rPr>
        <w:t>六、2026年一般公共预算基本支出情况</w:t>
      </w:r>
    </w:p>
    <w:p w14:paraId="28556014">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2026年一般公共预算基本支出 </w:t>
      </w:r>
      <w:r>
        <w:rPr>
          <w:rFonts w:hint="eastAsia" w:ascii="仿宋" w:hAnsi="仿宋" w:eastAsia="仿宋"/>
          <w:color w:val="auto"/>
          <w:sz w:val="32"/>
          <w:szCs w:val="32"/>
          <w:highlight w:val="none"/>
          <w:lang w:val="en-US" w:eastAsia="zh-CN"/>
        </w:rPr>
        <w:t>225.14</w:t>
      </w:r>
      <w:r>
        <w:rPr>
          <w:rFonts w:hint="eastAsia" w:ascii="仿宋" w:hAnsi="仿宋" w:eastAsia="仿宋"/>
          <w:color w:val="auto"/>
          <w:sz w:val="32"/>
          <w:szCs w:val="32"/>
          <w:highlight w:val="none"/>
        </w:rPr>
        <w:t>万元，其中：</w:t>
      </w:r>
    </w:p>
    <w:p w14:paraId="03F48596">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189.83</w:t>
      </w:r>
      <w:r>
        <w:rPr>
          <w:rFonts w:hint="eastAsia" w:ascii="仿宋" w:hAnsi="仿宋" w:eastAsia="仿宋"/>
          <w:color w:val="auto"/>
          <w:sz w:val="32"/>
          <w:szCs w:val="32"/>
          <w:highlight w:val="none"/>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38.81</w:t>
      </w:r>
      <w:r>
        <w:rPr>
          <w:rFonts w:hint="eastAsia" w:ascii="仿宋" w:hAnsi="仿宋" w:eastAsia="仿宋"/>
          <w:color w:val="auto"/>
          <w:sz w:val="32"/>
          <w:szCs w:val="32"/>
          <w:highlight w:val="none"/>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color w:val="auto"/>
          <w:kern w:val="0"/>
          <w:sz w:val="32"/>
          <w:szCs w:val="32"/>
          <w:highlight w:val="none"/>
        </w:rPr>
      </w:pPr>
      <w:r>
        <w:rPr>
          <w:rFonts w:hint="eastAsia" w:ascii="楷体" w:hAnsi="楷体" w:eastAsia="楷体"/>
          <w:color w:val="auto"/>
          <w:kern w:val="0"/>
          <w:sz w:val="32"/>
          <w:szCs w:val="32"/>
          <w:highlight w:val="none"/>
        </w:rPr>
        <w:t>七、2026年一般公共预算财政拨款“三公经费”情况</w:t>
      </w:r>
    </w:p>
    <w:p w14:paraId="2ABE82ED">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2026年“三公”经费预算数xx 万元，比2025年预算减少 xx 万元。其中：</w:t>
      </w:r>
    </w:p>
    <w:p w14:paraId="1319EA80">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1.因公出国（境）费 0 万元，与 2025年预算数相同。</w:t>
      </w:r>
    </w:p>
    <w:p w14:paraId="5B2D5F87">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 xml:space="preserve">2.公务接待费 </w:t>
      </w:r>
      <w:r>
        <w:rPr>
          <w:rFonts w:hint="eastAsia" w:ascii="仿宋" w:hAnsi="仿宋" w:eastAsia="仿宋"/>
          <w:color w:val="auto"/>
          <w:kern w:val="0"/>
          <w:sz w:val="32"/>
          <w:szCs w:val="32"/>
          <w:highlight w:val="none"/>
          <w:lang w:val="en-US" w:eastAsia="zh-CN"/>
        </w:rPr>
        <w:t>0.52</w:t>
      </w:r>
      <w:r>
        <w:rPr>
          <w:rFonts w:hint="eastAsia" w:ascii="仿宋" w:hAnsi="仿宋" w:eastAsia="仿宋"/>
          <w:color w:val="auto"/>
          <w:kern w:val="0"/>
          <w:sz w:val="32"/>
          <w:szCs w:val="32"/>
          <w:highlight w:val="none"/>
        </w:rPr>
        <w:t xml:space="preserve">万元，比 2025年预算数减少 </w:t>
      </w:r>
      <w:r>
        <w:rPr>
          <w:rFonts w:hint="eastAsia" w:ascii="仿宋" w:hAnsi="仿宋" w:eastAsia="仿宋"/>
          <w:color w:val="auto"/>
          <w:kern w:val="0"/>
          <w:sz w:val="32"/>
          <w:szCs w:val="32"/>
          <w:highlight w:val="none"/>
          <w:lang w:val="en-US" w:eastAsia="zh-CN"/>
        </w:rPr>
        <w:t>0.06</w:t>
      </w:r>
      <w:r>
        <w:rPr>
          <w:rFonts w:hint="eastAsia" w:ascii="仿宋" w:hAnsi="仿宋" w:eastAsia="仿宋"/>
          <w:color w:val="auto"/>
          <w:kern w:val="0"/>
          <w:sz w:val="32"/>
          <w:szCs w:val="32"/>
          <w:highlight w:val="none"/>
        </w:rPr>
        <w:t>万元，主要原因是</w:t>
      </w:r>
      <w:r>
        <w:rPr>
          <w:rFonts w:hint="eastAsia" w:ascii="仿宋" w:hAnsi="仿宋" w:eastAsia="仿宋"/>
          <w:color w:val="auto"/>
          <w:kern w:val="0"/>
          <w:sz w:val="32"/>
          <w:szCs w:val="32"/>
          <w:highlight w:val="none"/>
          <w:lang w:eastAsia="zh-CN"/>
        </w:rPr>
        <w:t>压缩公务接待费用</w:t>
      </w:r>
      <w:r>
        <w:rPr>
          <w:rFonts w:hint="eastAsia" w:ascii="仿宋" w:hAnsi="仿宋" w:eastAsia="仿宋"/>
          <w:color w:val="auto"/>
          <w:kern w:val="0"/>
          <w:sz w:val="32"/>
          <w:szCs w:val="32"/>
          <w:highlight w:val="none"/>
        </w:rPr>
        <w:t>。</w:t>
      </w:r>
    </w:p>
    <w:p w14:paraId="372830BC">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 xml:space="preserve">3.公务用车购置及运行费 </w:t>
      </w:r>
      <w:r>
        <w:rPr>
          <w:rFonts w:hint="eastAsia" w:ascii="仿宋" w:hAnsi="仿宋" w:eastAsia="仿宋"/>
          <w:color w:val="auto"/>
          <w:kern w:val="0"/>
          <w:sz w:val="32"/>
          <w:szCs w:val="32"/>
          <w:highlight w:val="none"/>
          <w:lang w:val="en-US" w:eastAsia="zh-CN"/>
        </w:rPr>
        <w:t>4</w:t>
      </w:r>
      <w:r>
        <w:rPr>
          <w:rFonts w:hint="eastAsia" w:ascii="仿宋" w:hAnsi="仿宋" w:eastAsia="仿宋"/>
          <w:color w:val="auto"/>
          <w:kern w:val="0"/>
          <w:sz w:val="32"/>
          <w:szCs w:val="32"/>
          <w:highlight w:val="none"/>
        </w:rPr>
        <w:t>万元，比 2025 年预算数减</w:t>
      </w:r>
    </w:p>
    <w:p w14:paraId="7288DF6E">
      <w:pPr>
        <w:pStyle w:val="9"/>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 xml:space="preserve">少 </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万元。其中，公务用车运行维护费</w:t>
      </w:r>
      <w:r>
        <w:rPr>
          <w:rFonts w:hint="eastAsia" w:ascii="仿宋" w:hAnsi="仿宋" w:eastAsia="仿宋"/>
          <w:color w:val="auto"/>
          <w:kern w:val="0"/>
          <w:sz w:val="32"/>
          <w:szCs w:val="32"/>
          <w:highlight w:val="none"/>
          <w:lang w:val="en-US" w:eastAsia="zh-CN"/>
        </w:rPr>
        <w:t>4</w:t>
      </w:r>
      <w:r>
        <w:rPr>
          <w:rFonts w:hint="eastAsia" w:ascii="仿宋" w:hAnsi="仿宋" w:eastAsia="仿宋"/>
          <w:color w:val="auto"/>
          <w:kern w:val="0"/>
          <w:sz w:val="32"/>
          <w:szCs w:val="32"/>
          <w:highlight w:val="none"/>
        </w:rPr>
        <w:t>万元，比 2025年减少</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 xml:space="preserve">万元，公务用车购置 </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万元，比2025年减少</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万元。</w:t>
      </w:r>
    </w:p>
    <w:p w14:paraId="60353E9A">
      <w:pPr>
        <w:pStyle w:val="9"/>
        <w:rPr>
          <w:rFonts w:ascii="楷体" w:hAnsi="楷体" w:eastAsia="楷体" w:cs="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s="楷体"/>
          <w:color w:val="auto"/>
          <w:sz w:val="32"/>
          <w:szCs w:val="32"/>
          <w:highlight w:val="none"/>
        </w:rPr>
        <w:t>八、2026年政府性基金预算支出情况</w:t>
      </w:r>
    </w:p>
    <w:p w14:paraId="6CFED0B9">
      <w:pPr>
        <w:ind w:firstLine="640" w:firstLineChars="200"/>
        <w:jc w:val="left"/>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2026年本单位无政府性基金预算支出</w:t>
      </w:r>
      <w:r>
        <w:rPr>
          <w:rFonts w:hint="eastAsia" w:ascii="仿宋" w:hAnsi="仿宋" w:eastAsia="仿宋"/>
          <w:color w:val="auto"/>
          <w:sz w:val="32"/>
          <w:szCs w:val="32"/>
          <w:highlight w:val="none"/>
          <w:lang w:eastAsia="zh-CN"/>
        </w:rPr>
        <w:t>。</w:t>
      </w:r>
    </w:p>
    <w:p w14:paraId="39906816">
      <w:pPr>
        <w:pStyle w:val="9"/>
        <w:ind w:firstLine="64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九、2026年国有资本经营预算支出情况</w:t>
      </w:r>
    </w:p>
    <w:p w14:paraId="78271549">
      <w:pPr>
        <w:ind w:firstLine="640" w:firstLineChars="200"/>
        <w:jc w:val="left"/>
        <w:rPr>
          <w:rFonts w:ascii="仿宋" w:hAnsi="仿宋" w:eastAsia="仿宋"/>
          <w:color w:val="auto"/>
          <w:sz w:val="32"/>
          <w:szCs w:val="32"/>
          <w:highlight w:val="none"/>
        </w:rPr>
      </w:pPr>
      <w:r>
        <w:rPr>
          <w:rFonts w:hint="eastAsia" w:ascii="仿宋" w:hAnsi="仿宋" w:eastAsia="仿宋"/>
          <w:color w:val="auto"/>
          <w:sz w:val="32"/>
          <w:szCs w:val="32"/>
          <w:highlight w:val="none"/>
        </w:rPr>
        <w:t>2026年本单位无国有资本经营预算支出。</w:t>
      </w:r>
    </w:p>
    <w:p w14:paraId="028EDDC6">
      <w:pPr>
        <w:numPr>
          <w:ilvl w:val="0"/>
          <w:numId w:val="3"/>
        </w:numPr>
        <w:jc w:val="left"/>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其他重要事项的说明情况</w:t>
      </w:r>
    </w:p>
    <w:p w14:paraId="4DBB8460">
      <w:pPr>
        <w:ind w:firstLine="640" w:firstLineChars="200"/>
        <w:jc w:val="left"/>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（一）机关运行经费</w:t>
      </w:r>
    </w:p>
    <w:p w14:paraId="33FE9514">
      <w:pPr>
        <w:pStyle w:val="8"/>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2026年本单位机关运行经费财政拨款预算</w:t>
      </w:r>
      <w:r>
        <w:rPr>
          <w:rFonts w:hint="eastAsia" w:ascii="仿宋" w:hAnsi="仿宋" w:eastAsia="仿宋"/>
          <w:color w:val="auto"/>
          <w:sz w:val="32"/>
          <w:szCs w:val="32"/>
          <w:highlight w:val="none"/>
          <w:lang w:val="en-US" w:eastAsia="zh-CN"/>
        </w:rPr>
        <w:t>38.81</w:t>
      </w:r>
      <w:r>
        <w:rPr>
          <w:rFonts w:hint="eastAsia" w:ascii="仿宋" w:hAnsi="仿宋" w:eastAsia="仿宋"/>
          <w:color w:val="auto"/>
          <w:sz w:val="32"/>
          <w:szCs w:val="32"/>
          <w:highlight w:val="none"/>
        </w:rPr>
        <w:t>万元，比 2025年预算增加</w:t>
      </w:r>
      <w:r>
        <w:rPr>
          <w:rFonts w:hint="eastAsia" w:ascii="仿宋" w:hAnsi="仿宋" w:eastAsia="仿宋"/>
          <w:color w:val="auto"/>
          <w:sz w:val="32"/>
          <w:szCs w:val="32"/>
          <w:highlight w:val="none"/>
          <w:lang w:val="en-US" w:eastAsia="zh-CN"/>
        </w:rPr>
        <w:t>0.53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1.38</w:t>
      </w:r>
      <w:r>
        <w:rPr>
          <w:rFonts w:hint="eastAsia" w:ascii="仿宋" w:hAnsi="仿宋" w:eastAsia="仿宋"/>
          <w:color w:val="auto"/>
          <w:sz w:val="32"/>
          <w:szCs w:val="32"/>
          <w:highlight w:val="none"/>
        </w:rPr>
        <w:t>%，主要原因是</w:t>
      </w:r>
      <w:r>
        <w:rPr>
          <w:rFonts w:hint="eastAsia" w:ascii="仿宋" w:hAnsi="仿宋" w:eastAsia="仿宋"/>
          <w:color w:val="auto"/>
          <w:sz w:val="32"/>
          <w:szCs w:val="32"/>
          <w:highlight w:val="none"/>
          <w:lang w:eastAsia="zh-CN"/>
        </w:rPr>
        <w:t>人员经费增加</w:t>
      </w:r>
      <w:r>
        <w:rPr>
          <w:rFonts w:hint="eastAsia" w:ascii="仿宋" w:hAnsi="仿宋" w:eastAsia="仿宋"/>
          <w:color w:val="auto"/>
          <w:sz w:val="32"/>
          <w:szCs w:val="32"/>
          <w:highlight w:val="none"/>
        </w:rPr>
        <w:t>。</w:t>
      </w:r>
    </w:p>
    <w:p w14:paraId="3C4DC5AB">
      <w:pPr>
        <w:ind w:firstLine="640" w:firstLineChars="200"/>
        <w:jc w:val="left"/>
        <w:rPr>
          <w:rFonts w:ascii="楷体" w:hAnsi="楷体" w:eastAsia="楷体"/>
          <w:color w:val="auto"/>
          <w:sz w:val="32"/>
          <w:szCs w:val="32"/>
          <w:highlight w:val="none"/>
        </w:rPr>
      </w:pPr>
      <w:r>
        <w:rPr>
          <w:rFonts w:hint="eastAsia" w:ascii="楷体" w:hAnsi="楷体" w:eastAsia="楷体"/>
          <w:color w:val="auto"/>
          <w:sz w:val="32"/>
          <w:szCs w:val="32"/>
          <w:highlight w:val="none"/>
        </w:rPr>
        <w:t>（二）政府采购情况</w:t>
      </w:r>
    </w:p>
    <w:p w14:paraId="5E4EE068">
      <w:pPr>
        <w:ind w:firstLine="640" w:firstLineChars="200"/>
        <w:jc w:val="left"/>
        <w:rPr>
          <w:rFonts w:ascii="仿宋" w:hAnsi="仿宋" w:eastAsia="仿宋"/>
          <w:color w:val="auto"/>
          <w:sz w:val="32"/>
          <w:szCs w:val="32"/>
          <w:highlight w:val="none"/>
        </w:rPr>
      </w:pPr>
      <w:r>
        <w:rPr>
          <w:rFonts w:hint="eastAsia" w:ascii="仿宋" w:hAnsi="仿宋" w:eastAsia="仿宋"/>
          <w:color w:val="auto"/>
          <w:sz w:val="32"/>
          <w:szCs w:val="32"/>
          <w:highlight w:val="none"/>
        </w:rPr>
        <w:t>2026年政府采购预算总额</w:t>
      </w:r>
      <w:r>
        <w:rPr>
          <w:rFonts w:hint="eastAsia" w:ascii="仿宋" w:hAnsi="仿宋" w:eastAsia="仿宋"/>
          <w:color w:val="auto"/>
          <w:sz w:val="32"/>
          <w:szCs w:val="32"/>
          <w:highlight w:val="none"/>
          <w:lang w:val="en-US" w:eastAsia="zh-CN"/>
        </w:rPr>
        <w:t>3.74</w:t>
      </w:r>
      <w:r>
        <w:rPr>
          <w:rFonts w:hint="eastAsia" w:ascii="仿宋" w:hAnsi="仿宋" w:eastAsia="仿宋"/>
          <w:color w:val="auto"/>
          <w:sz w:val="32"/>
          <w:szCs w:val="32"/>
          <w:highlight w:val="none"/>
        </w:rPr>
        <w:t>万元，其中：政府采购办公设备和其他设备预算</w:t>
      </w:r>
      <w:r>
        <w:rPr>
          <w:rFonts w:hint="eastAsia" w:ascii="仿宋" w:hAnsi="仿宋" w:eastAsia="仿宋"/>
          <w:color w:val="auto"/>
          <w:sz w:val="32"/>
          <w:szCs w:val="32"/>
          <w:highlight w:val="none"/>
          <w:lang w:val="en-US" w:eastAsia="zh-CN"/>
        </w:rPr>
        <w:t>3.74</w:t>
      </w:r>
      <w:r>
        <w:rPr>
          <w:rFonts w:hint="eastAsia" w:ascii="仿宋" w:hAnsi="仿宋" w:eastAsia="仿宋"/>
          <w:color w:val="auto"/>
          <w:sz w:val="32"/>
          <w:szCs w:val="32"/>
          <w:highlight w:val="none"/>
        </w:rPr>
        <w:t>万元，政府采购工程预算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万元，政府采购服务预算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p>
    <w:p w14:paraId="32E1CB5D">
      <w:pPr>
        <w:jc w:val="left"/>
        <w:rPr>
          <w:rFonts w:ascii="楷体" w:hAnsi="楷体" w:eastAsia="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olor w:val="auto"/>
          <w:sz w:val="32"/>
          <w:szCs w:val="32"/>
          <w:highlight w:val="none"/>
        </w:rPr>
        <w:t>（三）国有资产占有使用情况</w:t>
      </w:r>
    </w:p>
    <w:p w14:paraId="6E80D1C3">
      <w:pPr>
        <w:pStyle w:val="8"/>
        <w:ind w:firstLine="0" w:firstLineChars="0"/>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截至2026年1月，部门本级和所属各预算单位共有车辆</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 xml:space="preserve"> 辆，其中，领导干部用车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辆、一般公务用车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辆,一般执法执勤用车</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辆、特种专业技术用车</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辆、其他用车</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辆，价值200万元以上大型设备</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台（套）。</w:t>
      </w:r>
    </w:p>
    <w:p w14:paraId="7CFB465B">
      <w:pPr>
        <w:pStyle w:val="8"/>
        <w:ind w:firstLine="640"/>
        <w:jc w:val="left"/>
        <w:rPr>
          <w:rFonts w:ascii="仿宋" w:hAnsi="仿宋" w:eastAsia="仿宋"/>
          <w:color w:val="auto"/>
          <w:sz w:val="32"/>
          <w:szCs w:val="32"/>
          <w:highlight w:val="none"/>
        </w:rPr>
      </w:pPr>
      <w:r>
        <w:rPr>
          <w:rFonts w:hint="eastAsia" w:ascii="仿宋" w:hAnsi="仿宋" w:eastAsia="仿宋"/>
          <w:color w:val="auto"/>
          <w:sz w:val="32"/>
          <w:szCs w:val="32"/>
          <w:highlight w:val="none"/>
        </w:rPr>
        <w:t>2026年部门预算安排购置车辆及价值200万元以上大型设备</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p>
    <w:p w14:paraId="6C4F4062">
      <w:pPr>
        <w:numPr>
          <w:ilvl w:val="0"/>
          <w:numId w:val="4"/>
        </w:numPr>
        <w:ind w:firstLine="640"/>
        <w:jc w:val="left"/>
        <w:rPr>
          <w:rFonts w:ascii="楷体" w:hAnsi="楷体" w:eastAsia="楷体"/>
          <w:color w:val="auto"/>
          <w:sz w:val="32"/>
          <w:szCs w:val="32"/>
          <w:highlight w:val="none"/>
        </w:rPr>
      </w:pPr>
      <w:r>
        <w:rPr>
          <w:rFonts w:hint="eastAsia" w:ascii="楷体" w:hAnsi="楷体" w:eastAsia="楷体"/>
          <w:color w:val="auto"/>
          <w:sz w:val="32"/>
          <w:szCs w:val="32"/>
          <w:highlight w:val="none"/>
        </w:rPr>
        <w:t>预算项目绩效目标管理情况</w:t>
      </w:r>
    </w:p>
    <w:p w14:paraId="2A5558C3">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按照全面实施预算绩效管理的要求，结合本部门职能和重点工作，2026年将 </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rPr>
        <w:t>个项目支出的绩效目标和指标向社会公开，涉及金额</w:t>
      </w:r>
      <w:r>
        <w:rPr>
          <w:rFonts w:hint="eastAsia" w:ascii="仿宋" w:hAnsi="仿宋" w:eastAsia="仿宋"/>
          <w:color w:val="auto"/>
          <w:sz w:val="32"/>
          <w:szCs w:val="32"/>
          <w:highlight w:val="none"/>
          <w:lang w:val="en-US" w:eastAsia="zh-CN"/>
        </w:rPr>
        <w:t>15957.74</w:t>
      </w:r>
      <w:r>
        <w:rPr>
          <w:rFonts w:hint="eastAsia" w:ascii="仿宋" w:hAnsi="仿宋" w:eastAsia="仿宋"/>
          <w:color w:val="auto"/>
          <w:sz w:val="32"/>
          <w:szCs w:val="32"/>
          <w:highlight w:val="none"/>
        </w:rPr>
        <w:t>万元。</w:t>
      </w:r>
    </w:p>
    <w:p w14:paraId="3C527A83">
      <w:pPr>
        <w:jc w:val="center"/>
        <w:rPr>
          <w:rFonts w:ascii="仿宋" w:hAnsi="仿宋" w:eastAsia="仿宋"/>
          <w:color w:val="auto"/>
          <w:sz w:val="32"/>
          <w:szCs w:val="32"/>
          <w:highlight w:val="none"/>
        </w:rPr>
      </w:pPr>
    </w:p>
    <w:p w14:paraId="305EBF71">
      <w:pPr>
        <w:jc w:val="center"/>
        <w:rPr>
          <w:rFonts w:ascii="仿宋" w:hAnsi="仿宋" w:eastAsia="仿宋"/>
          <w:color w:val="auto"/>
          <w:sz w:val="32"/>
          <w:szCs w:val="32"/>
          <w:highlight w:val="none"/>
        </w:rPr>
      </w:pPr>
    </w:p>
    <w:p w14:paraId="11F682AB">
      <w:pPr>
        <w:jc w:val="center"/>
        <w:rPr>
          <w:rFonts w:ascii="仿宋" w:hAnsi="仿宋" w:eastAsia="仿宋"/>
          <w:color w:val="auto"/>
          <w:sz w:val="32"/>
          <w:szCs w:val="32"/>
          <w:highlight w:val="none"/>
        </w:rPr>
      </w:pPr>
    </w:p>
    <w:p w14:paraId="2C847DC0">
      <w:pPr>
        <w:jc w:val="center"/>
        <w:rPr>
          <w:rFonts w:ascii="仿宋" w:hAnsi="仿宋" w:eastAsia="仿宋"/>
          <w:color w:val="auto"/>
          <w:sz w:val="32"/>
          <w:szCs w:val="32"/>
          <w:highlight w:val="none"/>
        </w:rPr>
      </w:pPr>
    </w:p>
    <w:p w14:paraId="160C12B8">
      <w:pPr>
        <w:jc w:val="center"/>
        <w:rPr>
          <w:rFonts w:ascii="仿宋" w:hAnsi="仿宋" w:eastAsia="仿宋"/>
          <w:color w:val="auto"/>
          <w:sz w:val="32"/>
          <w:szCs w:val="32"/>
          <w:highlight w:val="none"/>
        </w:rPr>
      </w:pPr>
    </w:p>
    <w:p w14:paraId="6F6F15AF">
      <w:pPr>
        <w:jc w:val="center"/>
        <w:rPr>
          <w:rFonts w:ascii="仿宋" w:hAnsi="仿宋" w:eastAsia="仿宋"/>
          <w:color w:val="auto"/>
          <w:sz w:val="32"/>
          <w:szCs w:val="32"/>
          <w:highlight w:val="none"/>
        </w:rPr>
      </w:pPr>
    </w:p>
    <w:p w14:paraId="1EF62BE3">
      <w:pPr>
        <w:jc w:val="center"/>
        <w:rPr>
          <w:rFonts w:ascii="仿宋" w:hAnsi="仿宋" w:eastAsia="仿宋"/>
          <w:color w:val="auto"/>
          <w:sz w:val="32"/>
          <w:szCs w:val="32"/>
          <w:highlight w:val="none"/>
        </w:rPr>
      </w:pPr>
    </w:p>
    <w:p w14:paraId="5BEAB39C">
      <w:pPr>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第三部分  名词解释</w:t>
      </w:r>
    </w:p>
    <w:p w14:paraId="72BA8D4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一、一般公共预算拨款收入：指本级财政通过当年一般公共预算拨付的资金。</w:t>
      </w:r>
    </w:p>
    <w:p w14:paraId="2B7CFECE">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二、政府性基金预算拨款收入：指本级财政通过当年政府性基金预算拨付的资金。</w:t>
      </w:r>
    </w:p>
    <w:p w14:paraId="19E1AEF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三、国有资本经营预算拨款收入：指本级财政通过当年国有资本经营预算拨付的资金。</w:t>
      </w:r>
    </w:p>
    <w:p w14:paraId="253786D9">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四、其他收入：指除上述收入以外的各项收入。包括银行存款利息收入。</w:t>
      </w:r>
    </w:p>
    <w:p w14:paraId="2EE06A32">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五、基本支出：指为保障机构正常运转、完成日常工作任务而发生的人员支出和公用支出等各项支出。</w:t>
      </w:r>
    </w:p>
    <w:p w14:paraId="3E01DA3E">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六、项目支出：指在基本支出之外为完成特定行政工作任务和事业发展目标所发生的各项支出。</w:t>
      </w:r>
    </w:p>
    <w:p w14:paraId="0FD705C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color w:val="auto"/>
          <w:kern w:val="0"/>
          <w:sz w:val="32"/>
          <w:szCs w:val="32"/>
          <w:highlight w:val="none"/>
        </w:rPr>
      </w:pPr>
      <w:r>
        <w:rPr>
          <w:rFonts w:hint="eastAsia" w:ascii="仿宋_GB2312" w:eastAsia="仿宋_GB2312"/>
          <w:color w:val="auto"/>
          <w:sz w:val="32"/>
          <w:szCs w:val="32"/>
          <w:highlight w:val="none"/>
        </w:rPr>
        <w:t>十二、项目支出绩效目标：</w:t>
      </w:r>
      <w:r>
        <w:rPr>
          <w:rFonts w:ascii="仿宋_GB2312" w:hAnsi="仿宋_GB2312" w:eastAsia="仿宋_GB2312" w:cs="Times New Roman"/>
          <w:color w:val="auto"/>
          <w:kern w:val="0"/>
          <w:sz w:val="32"/>
          <w:szCs w:val="32"/>
          <w:highlight w:val="none"/>
        </w:rPr>
        <w:t>是以项目支出为对象，以项目实施所带来的产出和结果为主要内容，</w:t>
      </w:r>
      <w:r>
        <w:rPr>
          <w:rFonts w:hint="eastAsia" w:ascii="仿宋_GB2312" w:hAnsi="仿宋_GB2312" w:eastAsia="仿宋_GB2312" w:cs="Times New Roman"/>
          <w:color w:val="auto"/>
          <w:kern w:val="0"/>
          <w:sz w:val="32"/>
          <w:szCs w:val="32"/>
          <w:highlight w:val="none"/>
        </w:rPr>
        <w:t>为</w:t>
      </w:r>
      <w:r>
        <w:rPr>
          <w:rFonts w:ascii="仿宋_GB2312" w:hAnsi="仿宋_GB2312" w:eastAsia="仿宋_GB2312" w:cs="Times New Roman"/>
          <w:color w:val="auto"/>
          <w:kern w:val="0"/>
          <w:sz w:val="32"/>
          <w:szCs w:val="32"/>
          <w:highlight w:val="none"/>
        </w:rPr>
        <w:t>促进预算单位完成特定工作任务或事业发展</w:t>
      </w:r>
      <w:r>
        <w:rPr>
          <w:rFonts w:hint="eastAsia" w:ascii="仿宋_GB2312" w:hAnsi="仿宋_GB2312" w:eastAsia="仿宋_GB2312" w:cs="Times New Roman"/>
          <w:color w:val="auto"/>
          <w:kern w:val="0"/>
          <w:sz w:val="32"/>
          <w:szCs w:val="32"/>
          <w:highlight w:val="none"/>
        </w:rPr>
        <w:t>所制定的</w:t>
      </w:r>
      <w:r>
        <w:rPr>
          <w:rFonts w:ascii="仿宋_GB2312" w:hAnsi="仿宋_GB2312" w:eastAsia="仿宋_GB2312" w:cs="Times New Roman"/>
          <w:color w:val="auto"/>
          <w:kern w:val="0"/>
          <w:sz w:val="32"/>
          <w:szCs w:val="32"/>
          <w:highlight w:val="none"/>
        </w:rPr>
        <w:t>目标</w:t>
      </w:r>
      <w:r>
        <w:rPr>
          <w:rFonts w:hint="eastAsia" w:ascii="仿宋_GB2312" w:hAnsi="仿宋_GB2312" w:eastAsia="仿宋_GB2312" w:cs="Times New Roman"/>
          <w:color w:val="auto"/>
          <w:kern w:val="0"/>
          <w:sz w:val="32"/>
          <w:szCs w:val="32"/>
          <w:highlight w:val="none"/>
        </w:rPr>
        <w:t>。</w:t>
      </w:r>
    </w:p>
    <w:p w14:paraId="4CFE9CC6">
      <w:pPr>
        <w:ind w:firstLine="640" w:firstLineChars="200"/>
        <w:rPr>
          <w:rFonts w:ascii="仿宋_GB2312" w:eastAsia="仿宋_GB2312"/>
          <w:color w:val="auto"/>
          <w:sz w:val="32"/>
          <w:szCs w:val="32"/>
          <w:highlight w:val="none"/>
        </w:rPr>
      </w:pPr>
    </w:p>
    <w:p w14:paraId="38433E3C">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w:t>
      </w:r>
    </w:p>
    <w:p w14:paraId="68250850">
      <w:pPr>
        <w:jc w:val="left"/>
        <w:rPr>
          <w:rFonts w:ascii="仿宋" w:hAnsi="仿宋" w:eastAsia="仿宋"/>
          <w:color w:val="auto"/>
          <w:sz w:val="32"/>
          <w:szCs w:val="32"/>
          <w:highlight w:val="none"/>
        </w:rPr>
      </w:pPr>
    </w:p>
    <w:p w14:paraId="757010AF">
      <w:pPr>
        <w:jc w:val="left"/>
        <w:rPr>
          <w:rFonts w:ascii="仿宋" w:hAnsi="仿宋" w:eastAsia="仿宋"/>
          <w:color w:val="auto"/>
          <w:sz w:val="32"/>
          <w:szCs w:val="32"/>
          <w:highlight w:val="none"/>
        </w:rPr>
      </w:pPr>
    </w:p>
    <w:p w14:paraId="1B9DA4B3">
      <w:pPr>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第四部分  预算表格</w:t>
      </w:r>
    </w:p>
    <w:p w14:paraId="0252C055">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2026年部门预算表套表（预算一体化-“预算编制”模块-预算编制帆软报表查询中提取相应数据）。</w:t>
      </w:r>
    </w:p>
    <w:p w14:paraId="2FFB2AE9">
      <w:pPr>
        <w:rPr>
          <w:rFonts w:ascii="仿宋" w:hAnsi="仿宋" w:eastAsia="仿宋"/>
          <w:color w:val="auto"/>
          <w:sz w:val="32"/>
          <w:szCs w:val="32"/>
          <w:highlight w:val="none"/>
        </w:rPr>
      </w:pPr>
    </w:p>
    <w:p w14:paraId="00E3AD42">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1F01BD2"/>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7B1224"/>
    <w:rsid w:val="1BC526EF"/>
    <w:rsid w:val="1C882350"/>
    <w:rsid w:val="1CDC1A5B"/>
    <w:rsid w:val="1F451F7A"/>
    <w:rsid w:val="1F642C81"/>
    <w:rsid w:val="20EF71F1"/>
    <w:rsid w:val="21FE2E7E"/>
    <w:rsid w:val="2323212D"/>
    <w:rsid w:val="23FA4ECF"/>
    <w:rsid w:val="2527010D"/>
    <w:rsid w:val="26742A42"/>
    <w:rsid w:val="26DC2BFA"/>
    <w:rsid w:val="27063D31"/>
    <w:rsid w:val="27742DDB"/>
    <w:rsid w:val="27747EDE"/>
    <w:rsid w:val="277B13CF"/>
    <w:rsid w:val="285B5D80"/>
    <w:rsid w:val="28753BF0"/>
    <w:rsid w:val="28AA47B7"/>
    <w:rsid w:val="28CB641B"/>
    <w:rsid w:val="29207EE3"/>
    <w:rsid w:val="2AC832F5"/>
    <w:rsid w:val="2D742D12"/>
    <w:rsid w:val="2E3342C6"/>
    <w:rsid w:val="344D4C9B"/>
    <w:rsid w:val="35E6061B"/>
    <w:rsid w:val="36273D08"/>
    <w:rsid w:val="368F70D3"/>
    <w:rsid w:val="37361A0B"/>
    <w:rsid w:val="38253B59"/>
    <w:rsid w:val="385B501F"/>
    <w:rsid w:val="38DE30B8"/>
    <w:rsid w:val="38E01351"/>
    <w:rsid w:val="39284901"/>
    <w:rsid w:val="39AB5825"/>
    <w:rsid w:val="3A482539"/>
    <w:rsid w:val="3A915046"/>
    <w:rsid w:val="3C4C15D1"/>
    <w:rsid w:val="3CE440CF"/>
    <w:rsid w:val="3CEA5A8A"/>
    <w:rsid w:val="3D897F97"/>
    <w:rsid w:val="3DA7578C"/>
    <w:rsid w:val="3F597259"/>
    <w:rsid w:val="3F6B774D"/>
    <w:rsid w:val="40095632"/>
    <w:rsid w:val="430260DD"/>
    <w:rsid w:val="44112D07"/>
    <w:rsid w:val="442476FC"/>
    <w:rsid w:val="44C87E16"/>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849327C"/>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1F42D8"/>
    <w:rsid w:val="7539654A"/>
    <w:rsid w:val="75836739"/>
    <w:rsid w:val="76C753DE"/>
    <w:rsid w:val="76C775D8"/>
    <w:rsid w:val="77FC6956"/>
    <w:rsid w:val="7A64282A"/>
    <w:rsid w:val="7A8D6ADA"/>
    <w:rsid w:val="7AE2097E"/>
    <w:rsid w:val="7B7A2964"/>
    <w:rsid w:val="7DB366E4"/>
    <w:rsid w:val="7E3B2C6B"/>
    <w:rsid w:val="7E492DA2"/>
    <w:rsid w:val="7E6E62E2"/>
    <w:rsid w:val="7F690CDA"/>
    <w:rsid w:val="7F7C6003"/>
    <w:rsid w:val="7FAE5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4519</Words>
  <Characters>4880</Characters>
  <Lines>21</Lines>
  <Paragraphs>6</Paragraphs>
  <TotalTime>4</TotalTime>
  <ScaleCrop>false</ScaleCrop>
  <LinksUpToDate>false</LinksUpToDate>
  <CharactersWithSpaces>4975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凌楠</cp:lastModifiedBy>
  <dcterms:modified xsi:type="dcterms:W3CDTF">2026-03-24T06:28:41Z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eyJoZGlkIjoiZDNjYjhkNzEzZTNhZTM0YWZkY2U2MmM3ODEyMDk0N2IiLCJ1c2VySWQiOiIxMDYwODgwOTA5In0=</vt:lpwstr>
  </property>
</Properties>
</file>