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4DAE025F">
      <w:pPr>
        <w:jc w:val="both"/>
        <w:rPr>
          <w:rFonts w:ascii="黑体" w:hAnsi="黑体" w:eastAsia="黑体"/>
          <w:sz w:val="44"/>
          <w:szCs w:val="44"/>
        </w:rPr>
      </w:pPr>
    </w:p>
    <w:p w14:paraId="5C6FEE61">
      <w:pPr>
        <w:jc w:val="center"/>
        <w:rPr>
          <w:rFonts w:ascii="黑体" w:hAnsi="黑体" w:eastAsia="黑体"/>
          <w:sz w:val="44"/>
          <w:szCs w:val="44"/>
        </w:rPr>
      </w:pPr>
    </w:p>
    <w:p w14:paraId="77C20D09">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永吉县口前镇第二小学校</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74A34429">
      <w:pPr>
        <w:jc w:val="both"/>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永吉县口前镇第二小学校</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highlight w:val="none"/>
        </w:rPr>
        <w:t>永吉县口前镇第二小学校</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highlight w:val="none"/>
        </w:rPr>
        <w:t>事业全额</w:t>
      </w:r>
    </w:p>
    <w:p w14:paraId="353E35CC">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highlight w:val="none"/>
        </w:rPr>
        <w:t>实施小学义务教育，促进教育事业发展</w:t>
      </w:r>
      <w:r>
        <w:rPr>
          <w:rFonts w:hint="eastAsia" w:ascii="仿宋" w:hAnsi="仿宋" w:eastAsia="仿宋"/>
          <w:kern w:val="0"/>
          <w:sz w:val="32"/>
          <w:szCs w:val="32"/>
          <w:highlight w:val="none"/>
          <w:lang w:eastAsia="zh-CN"/>
        </w:rPr>
        <w:t>，</w:t>
      </w:r>
      <w:r>
        <w:rPr>
          <w:rFonts w:hint="eastAsia" w:ascii="仿宋_GB2312" w:eastAsia="仿宋_GB2312"/>
          <w:sz w:val="32"/>
          <w:szCs w:val="32"/>
          <w:highlight w:val="none"/>
          <w:lang w:val="en-US" w:eastAsia="zh-CN"/>
        </w:rPr>
        <w:t>小学学历教育</w:t>
      </w:r>
      <w:r>
        <w:rPr>
          <w:rFonts w:hint="eastAsia" w:ascii="仿宋" w:hAnsi="仿宋" w:eastAsia="仿宋"/>
          <w:kern w:val="0"/>
          <w:sz w:val="32"/>
          <w:szCs w:val="32"/>
          <w:highlight w:val="none"/>
        </w:rPr>
        <w:t>。</w:t>
      </w:r>
    </w:p>
    <w:p w14:paraId="5757AED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p>
    <w:p w14:paraId="1A430A78">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1.实施小学义务教育，促进基础教育发展，小学学历教育</w:t>
      </w:r>
    </w:p>
    <w:p w14:paraId="67468BAC">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2.贯彻党的教育方针，坚持社会主义办学方向，对学生进行德智体美劳等方面的教育。</w:t>
      </w:r>
    </w:p>
    <w:p w14:paraId="0B9877BC">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3.负责配合各级人民政府依法动员适龄儿童、少年入学，严格控制学生辍学，依法保证适龄儿童、少年接受九年义务教育。</w:t>
      </w:r>
    </w:p>
    <w:p w14:paraId="660D2AE5">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4.负责按照教育主管部门发布的指导性教学计划、教学大纲，组织实施教育教学计划。</w:t>
      </w:r>
    </w:p>
    <w:p w14:paraId="493F6BB3">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5.负责依据国家主管部门有关目教学计划、课程设置等方面的规定，决定和实施本校的教学计划，组织教学评比、集体备课，对学生进行统一考核、考试等。</w:t>
      </w:r>
    </w:p>
    <w:p w14:paraId="7FF4D7DF">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6.负责学籍管理。</w:t>
      </w:r>
    </w:p>
    <w:p w14:paraId="1BFD5A36">
      <w:pPr>
        <w:pStyle w:val="10"/>
        <w:widowControl/>
        <w:spacing w:line="620" w:lineRule="exact"/>
        <w:ind w:firstLine="640" w:firstLineChars="200"/>
        <w:contextualSpacing/>
        <w:rPr>
          <w:rFonts w:hint="eastAsia" w:ascii="仿宋" w:hAnsi="仿宋" w:eastAsia="仿宋"/>
          <w:kern w:val="0"/>
          <w:sz w:val="32"/>
          <w:szCs w:val="32"/>
        </w:rPr>
      </w:pPr>
      <w:r>
        <w:rPr>
          <w:rFonts w:hint="eastAsia" w:ascii="仿宋" w:hAnsi="仿宋" w:eastAsia="仿宋"/>
          <w:bCs/>
          <w:kern w:val="0"/>
          <w:sz w:val="32"/>
          <w:szCs w:val="32"/>
          <w:highlight w:val="none"/>
        </w:rPr>
        <w:t>7</w:t>
      </w:r>
      <w:r>
        <w:rPr>
          <w:rFonts w:hint="eastAsia" w:ascii="仿宋" w:hAnsi="仿宋" w:eastAsia="仿宋"/>
          <w:bCs/>
          <w:kern w:val="0"/>
          <w:sz w:val="32"/>
          <w:szCs w:val="32"/>
          <w:highlight w:val="none"/>
          <w:lang w:eastAsia="zh-CN"/>
        </w:rPr>
        <w:t>.</w:t>
      </w:r>
      <w:r>
        <w:rPr>
          <w:rFonts w:hint="eastAsia" w:ascii="仿宋" w:hAnsi="仿宋" w:eastAsia="仿宋"/>
          <w:bCs/>
          <w:kern w:val="0"/>
          <w:sz w:val="32"/>
          <w:szCs w:val="32"/>
          <w:highlight w:val="none"/>
        </w:rPr>
        <w:t>负责聘任、培训、考核教师，依法奖励或处分有关教师和职工。</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highlight w:val="none"/>
        </w:rPr>
        <w:t>永吉县口前镇第二小学校。</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77</w:t>
      </w:r>
      <w:r>
        <w:rPr>
          <w:rFonts w:hint="eastAsia" w:ascii="仿宋" w:hAnsi="仿宋" w:eastAsia="仿宋"/>
          <w:kern w:val="0"/>
          <w:szCs w:val="32"/>
        </w:rPr>
        <w:t>人，编制数</w:t>
      </w:r>
      <w:r>
        <w:rPr>
          <w:rFonts w:hint="eastAsia" w:ascii="仿宋" w:hAnsi="仿宋" w:eastAsia="仿宋"/>
          <w:kern w:val="0"/>
          <w:szCs w:val="32"/>
          <w:lang w:val="en-US" w:eastAsia="zh-CN"/>
        </w:rPr>
        <w:t>87</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6FD1930E">
      <w:pPr>
        <w:jc w:val="left"/>
        <w:rPr>
          <w:rFonts w:ascii="黑体" w:hAnsi="黑体" w:eastAsia="黑体"/>
          <w:sz w:val="32"/>
          <w:szCs w:val="32"/>
        </w:rPr>
      </w:pPr>
      <w:r>
        <w:rPr>
          <w:rFonts w:hint="eastAsia" w:ascii="仿宋" w:hAnsi="仿宋" w:eastAsia="仿宋"/>
          <w:sz w:val="32"/>
          <w:szCs w:val="32"/>
        </w:rPr>
        <w:t xml:space="preserve">  </w:t>
      </w:r>
    </w:p>
    <w:p w14:paraId="08C38348">
      <w:pPr>
        <w:jc w:val="center"/>
        <w:rPr>
          <w:rFonts w:ascii="黑体" w:hAnsi="黑体" w:eastAsia="黑体"/>
          <w:sz w:val="32"/>
          <w:szCs w:val="32"/>
        </w:rPr>
      </w:pPr>
    </w:p>
    <w:p w14:paraId="287AC2CC">
      <w:pPr>
        <w:jc w:val="center"/>
        <w:rPr>
          <w:rFonts w:hint="eastAsia" w:ascii="黑体" w:hAnsi="黑体" w:eastAsia="黑体"/>
          <w:sz w:val="32"/>
          <w:szCs w:val="32"/>
        </w:rPr>
      </w:pPr>
    </w:p>
    <w:p w14:paraId="7CF7B06E">
      <w:pPr>
        <w:jc w:val="center"/>
        <w:rPr>
          <w:rFonts w:hint="eastAsia" w:ascii="黑体" w:hAnsi="黑体" w:eastAsia="黑体"/>
          <w:sz w:val="32"/>
          <w:szCs w:val="32"/>
        </w:rPr>
      </w:pPr>
    </w:p>
    <w:p w14:paraId="50912AF3">
      <w:pPr>
        <w:jc w:val="center"/>
        <w:rPr>
          <w:rFonts w:hint="eastAsia" w:ascii="黑体" w:hAnsi="黑体" w:eastAsia="黑体"/>
          <w:sz w:val="32"/>
          <w:szCs w:val="32"/>
        </w:rPr>
      </w:pPr>
    </w:p>
    <w:p w14:paraId="689E54BF">
      <w:pPr>
        <w:jc w:val="center"/>
        <w:rPr>
          <w:rFonts w:hint="eastAsia" w:ascii="黑体" w:hAnsi="黑体" w:eastAsia="黑体"/>
          <w:sz w:val="32"/>
          <w:szCs w:val="32"/>
        </w:rPr>
      </w:pPr>
    </w:p>
    <w:p w14:paraId="6C41BFB9">
      <w:pPr>
        <w:jc w:val="center"/>
        <w:rPr>
          <w:rFonts w:hint="eastAsia" w:ascii="黑体" w:hAnsi="黑体" w:eastAsia="黑体"/>
          <w:sz w:val="32"/>
          <w:szCs w:val="32"/>
        </w:rPr>
      </w:pPr>
    </w:p>
    <w:p w14:paraId="11C00023">
      <w:pPr>
        <w:jc w:val="center"/>
        <w:rPr>
          <w:rFonts w:hint="eastAsia" w:ascii="黑体" w:hAnsi="黑体" w:eastAsia="黑体"/>
          <w:sz w:val="32"/>
          <w:szCs w:val="32"/>
        </w:rPr>
      </w:pPr>
    </w:p>
    <w:p w14:paraId="14FE9F83">
      <w:pPr>
        <w:jc w:val="center"/>
        <w:rPr>
          <w:rFonts w:hint="eastAsia" w:ascii="黑体" w:hAnsi="黑体" w:eastAsia="黑体"/>
          <w:sz w:val="32"/>
          <w:szCs w:val="32"/>
        </w:rPr>
      </w:pPr>
    </w:p>
    <w:p w14:paraId="426D5B18">
      <w:pPr>
        <w:jc w:val="center"/>
        <w:rPr>
          <w:rFonts w:hint="eastAsia" w:ascii="黑体" w:hAnsi="黑体" w:eastAsia="黑体"/>
          <w:sz w:val="32"/>
          <w:szCs w:val="32"/>
        </w:rPr>
      </w:pPr>
    </w:p>
    <w:p w14:paraId="29E4690E">
      <w:pPr>
        <w:jc w:val="center"/>
        <w:rPr>
          <w:rFonts w:hint="eastAsia" w:ascii="黑体" w:hAnsi="黑体" w:eastAsia="黑体"/>
          <w:sz w:val="32"/>
          <w:szCs w:val="32"/>
        </w:rPr>
      </w:pPr>
    </w:p>
    <w:p w14:paraId="15F93E4D">
      <w:pPr>
        <w:jc w:val="center"/>
        <w:rPr>
          <w:rFonts w:hint="eastAsia" w:ascii="黑体" w:hAnsi="黑体" w:eastAsia="黑体"/>
          <w:sz w:val="32"/>
          <w:szCs w:val="32"/>
        </w:rPr>
      </w:pPr>
    </w:p>
    <w:p w14:paraId="72CE1D46">
      <w:pPr>
        <w:jc w:val="center"/>
        <w:rPr>
          <w:rFonts w:hint="eastAsia" w:ascii="黑体" w:hAnsi="黑体" w:eastAsia="黑体"/>
          <w:sz w:val="32"/>
          <w:szCs w:val="32"/>
        </w:rPr>
      </w:pPr>
    </w:p>
    <w:p w14:paraId="55D385A2">
      <w:pPr>
        <w:jc w:val="center"/>
        <w:rPr>
          <w:rFonts w:hint="eastAsia" w:ascii="黑体" w:hAnsi="黑体" w:eastAsia="黑体"/>
          <w:sz w:val="32"/>
          <w:szCs w:val="32"/>
        </w:rPr>
      </w:pPr>
    </w:p>
    <w:p w14:paraId="34B73A73">
      <w:pPr>
        <w:jc w:val="center"/>
        <w:rPr>
          <w:rFonts w:hint="eastAsia" w:ascii="黑体" w:hAnsi="黑体" w:eastAsia="黑体"/>
          <w:sz w:val="32"/>
          <w:szCs w:val="32"/>
        </w:rPr>
      </w:pPr>
    </w:p>
    <w:p w14:paraId="37BC4C77">
      <w:pPr>
        <w:jc w:val="center"/>
        <w:rPr>
          <w:rFonts w:hint="eastAsia" w:ascii="黑体" w:hAnsi="黑体" w:eastAsia="黑体"/>
          <w:sz w:val="32"/>
          <w:szCs w:val="32"/>
        </w:rPr>
      </w:pPr>
    </w:p>
    <w:p w14:paraId="6BBD58C9">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教育</w:t>
      </w:r>
      <w:r>
        <w:rPr>
          <w:rFonts w:hint="eastAsia" w:ascii="仿宋" w:hAnsi="仿宋" w:eastAsia="仿宋"/>
          <w:sz w:val="32"/>
          <w:szCs w:val="32"/>
        </w:rPr>
        <w:t>支出、社会保障和就业支出、住房保障支出等。2026年收支总预算</w:t>
      </w:r>
      <w:r>
        <w:rPr>
          <w:rFonts w:hint="eastAsia" w:ascii="仿宋" w:hAnsi="仿宋" w:eastAsia="仿宋"/>
          <w:sz w:val="32"/>
          <w:szCs w:val="32"/>
          <w:lang w:val="en-US" w:eastAsia="zh-CN"/>
        </w:rPr>
        <w:t>1061.80</w:t>
      </w:r>
      <w:r>
        <w:rPr>
          <w:rFonts w:hint="eastAsia" w:ascii="仿宋" w:hAnsi="仿宋" w:eastAsia="仿宋"/>
          <w:sz w:val="32"/>
          <w:szCs w:val="32"/>
        </w:rPr>
        <w:t>万元，比 2025年预算数</w:t>
      </w:r>
      <w:r>
        <w:rPr>
          <w:rFonts w:hint="eastAsia" w:ascii="仿宋" w:hAnsi="仿宋" w:eastAsia="仿宋"/>
          <w:sz w:val="32"/>
          <w:szCs w:val="32"/>
          <w:lang w:val="en-US" w:eastAsia="zh-CN"/>
        </w:rPr>
        <w:t>929.93</w:t>
      </w:r>
      <w:r>
        <w:rPr>
          <w:rFonts w:hint="eastAsia" w:ascii="仿宋" w:hAnsi="仿宋" w:eastAsia="仿宋"/>
          <w:sz w:val="32"/>
          <w:szCs w:val="32"/>
        </w:rPr>
        <w:t>万元增</w:t>
      </w:r>
      <w:r>
        <w:rPr>
          <w:rFonts w:hint="eastAsia" w:ascii="仿宋" w:hAnsi="仿宋" w:eastAsia="仿宋"/>
          <w:sz w:val="32"/>
          <w:szCs w:val="32"/>
          <w:lang w:val="en-US" w:eastAsia="zh-CN"/>
        </w:rPr>
        <w:t>加131.87</w:t>
      </w:r>
      <w:r>
        <w:rPr>
          <w:rFonts w:hint="eastAsia" w:ascii="仿宋" w:hAnsi="仿宋" w:eastAsia="仿宋"/>
          <w:sz w:val="32"/>
          <w:szCs w:val="32"/>
        </w:rPr>
        <w:t>万元，主要原因：</w:t>
      </w:r>
      <w:r>
        <w:rPr>
          <w:rFonts w:hint="eastAsia" w:ascii="仿宋" w:hAnsi="仿宋" w:eastAsia="仿宋"/>
          <w:sz w:val="32"/>
          <w:szCs w:val="32"/>
          <w:lang w:val="en-US" w:eastAsia="zh-CN"/>
        </w:rPr>
        <w:t>人员增加及待遇普调，致人员经费增多</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1061.80</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1061.80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1061.80</w:t>
      </w:r>
      <w:r>
        <w:rPr>
          <w:rFonts w:hint="eastAsia" w:ascii="仿宋" w:hAnsi="仿宋" w:eastAsia="仿宋"/>
          <w:sz w:val="32"/>
          <w:szCs w:val="32"/>
        </w:rPr>
        <w:t>万元，其中：基本支出</w:t>
      </w:r>
      <w:r>
        <w:rPr>
          <w:rFonts w:hint="eastAsia" w:ascii="仿宋" w:hAnsi="仿宋" w:eastAsia="仿宋"/>
          <w:sz w:val="32"/>
          <w:szCs w:val="32"/>
          <w:lang w:val="en-US" w:eastAsia="zh-CN"/>
        </w:rPr>
        <w:t>1041</w:t>
      </w:r>
      <w:r>
        <w:rPr>
          <w:rFonts w:hint="eastAsia" w:ascii="仿宋" w:hAnsi="仿宋" w:eastAsia="仿宋"/>
          <w:sz w:val="32"/>
          <w:szCs w:val="32"/>
        </w:rPr>
        <w:t>万元，占</w:t>
      </w:r>
      <w:r>
        <w:rPr>
          <w:rFonts w:hint="eastAsia" w:ascii="仿宋" w:hAnsi="仿宋" w:eastAsia="仿宋"/>
          <w:sz w:val="32"/>
          <w:szCs w:val="32"/>
          <w:lang w:val="en-US" w:eastAsia="zh-CN"/>
        </w:rPr>
        <w:t>98</w:t>
      </w:r>
      <w:r>
        <w:rPr>
          <w:rFonts w:hint="eastAsia" w:ascii="仿宋" w:hAnsi="仿宋" w:eastAsia="仿宋"/>
          <w:sz w:val="32"/>
          <w:szCs w:val="32"/>
        </w:rPr>
        <w:t>%；项目支出</w:t>
      </w:r>
      <w:r>
        <w:rPr>
          <w:rFonts w:hint="eastAsia" w:ascii="仿宋" w:hAnsi="仿宋" w:eastAsia="仿宋"/>
          <w:sz w:val="32"/>
          <w:szCs w:val="32"/>
          <w:lang w:val="en-US" w:eastAsia="zh-CN"/>
        </w:rPr>
        <w:t>20.8</w:t>
      </w:r>
      <w:r>
        <w:rPr>
          <w:rFonts w:hint="eastAsia" w:ascii="仿宋" w:hAnsi="仿宋" w:eastAsia="仿宋"/>
          <w:sz w:val="32"/>
          <w:szCs w:val="32"/>
        </w:rPr>
        <w:t>万元，占</w:t>
      </w:r>
      <w:r>
        <w:rPr>
          <w:rFonts w:hint="eastAsia" w:ascii="仿宋" w:hAnsi="仿宋" w:eastAsia="仿宋"/>
          <w:sz w:val="32"/>
          <w:szCs w:val="32"/>
          <w:lang w:val="en-US" w:eastAsia="zh-CN"/>
        </w:rPr>
        <w:t>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1061.80</w:t>
      </w:r>
      <w:r>
        <w:rPr>
          <w:rFonts w:hint="eastAsia" w:ascii="仿宋" w:hAnsi="仿宋" w:eastAsia="仿宋"/>
          <w:sz w:val="32"/>
          <w:szCs w:val="32"/>
        </w:rPr>
        <w:t>万元，其中：本年收入</w:t>
      </w:r>
      <w:r>
        <w:rPr>
          <w:rFonts w:hint="eastAsia" w:ascii="仿宋" w:hAnsi="仿宋" w:eastAsia="仿宋"/>
          <w:sz w:val="32"/>
          <w:szCs w:val="32"/>
          <w:lang w:val="en-US" w:eastAsia="zh-CN"/>
        </w:rPr>
        <w:t>1061.80</w:t>
      </w:r>
      <w:r>
        <w:rPr>
          <w:rFonts w:hint="eastAsia" w:ascii="仿宋" w:hAnsi="仿宋" w:eastAsia="仿宋"/>
          <w:sz w:val="32"/>
          <w:szCs w:val="32"/>
        </w:rPr>
        <w:t>万元。本年支出</w:t>
      </w:r>
      <w:r>
        <w:rPr>
          <w:rFonts w:hint="eastAsia" w:ascii="仿宋" w:hAnsi="仿宋" w:eastAsia="仿宋"/>
          <w:sz w:val="32"/>
          <w:szCs w:val="32"/>
          <w:lang w:val="en-US" w:eastAsia="zh-CN"/>
        </w:rPr>
        <w:t>1061.80</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854.71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117.11</w:t>
      </w:r>
      <w:r>
        <w:rPr>
          <w:rFonts w:hint="eastAsia" w:ascii="仿宋" w:hAnsi="仿宋" w:eastAsia="仿宋"/>
          <w:sz w:val="32"/>
          <w:szCs w:val="32"/>
        </w:rPr>
        <w:t>万元，住房保障支出</w:t>
      </w:r>
      <w:r>
        <w:rPr>
          <w:rFonts w:hint="eastAsia" w:ascii="仿宋" w:hAnsi="仿宋" w:eastAsia="仿宋"/>
          <w:sz w:val="32"/>
          <w:szCs w:val="32"/>
          <w:lang w:val="en-US" w:eastAsia="zh-CN"/>
        </w:rPr>
        <w:t>89.99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1061.80</w:t>
      </w:r>
      <w:r>
        <w:rPr>
          <w:rFonts w:hint="eastAsia" w:ascii="仿宋" w:hAnsi="仿宋" w:eastAsia="仿宋"/>
          <w:sz w:val="32"/>
          <w:szCs w:val="32"/>
        </w:rPr>
        <w:t>万元，其中：基本支出</w:t>
      </w:r>
      <w:r>
        <w:rPr>
          <w:rFonts w:hint="eastAsia" w:ascii="仿宋" w:hAnsi="仿宋" w:eastAsia="仿宋"/>
          <w:sz w:val="32"/>
          <w:szCs w:val="32"/>
          <w:lang w:val="en-US" w:eastAsia="zh-CN"/>
        </w:rPr>
        <w:t>1041</w:t>
      </w:r>
      <w:r>
        <w:rPr>
          <w:rFonts w:hint="eastAsia" w:ascii="仿宋" w:hAnsi="仿宋" w:eastAsia="仿宋"/>
          <w:sz w:val="32"/>
          <w:szCs w:val="32"/>
        </w:rPr>
        <w:t>万元，占</w:t>
      </w:r>
      <w:r>
        <w:rPr>
          <w:rFonts w:hint="eastAsia" w:ascii="仿宋" w:hAnsi="仿宋" w:eastAsia="仿宋"/>
          <w:sz w:val="32"/>
          <w:szCs w:val="32"/>
          <w:lang w:val="en-US" w:eastAsia="zh-CN"/>
        </w:rPr>
        <w:t>98</w:t>
      </w:r>
      <w:r>
        <w:rPr>
          <w:rFonts w:hint="eastAsia" w:ascii="仿宋" w:hAnsi="仿宋" w:eastAsia="仿宋"/>
          <w:sz w:val="32"/>
          <w:szCs w:val="32"/>
        </w:rPr>
        <w:t>%；项目支出</w:t>
      </w:r>
      <w:r>
        <w:rPr>
          <w:rFonts w:hint="eastAsia" w:ascii="仿宋" w:hAnsi="仿宋" w:eastAsia="仿宋"/>
          <w:sz w:val="32"/>
          <w:szCs w:val="32"/>
          <w:lang w:val="en-US" w:eastAsia="zh-CN"/>
        </w:rPr>
        <w:t>20.8</w:t>
      </w:r>
      <w:r>
        <w:rPr>
          <w:rFonts w:hint="eastAsia" w:ascii="仿宋" w:hAnsi="仿宋" w:eastAsia="仿宋"/>
          <w:sz w:val="32"/>
          <w:szCs w:val="32"/>
        </w:rPr>
        <w:t>万元，占</w:t>
      </w:r>
      <w:r>
        <w:rPr>
          <w:rFonts w:hint="eastAsia" w:ascii="仿宋" w:hAnsi="仿宋" w:eastAsia="仿宋"/>
          <w:sz w:val="32"/>
          <w:szCs w:val="32"/>
          <w:lang w:val="en-US" w:eastAsia="zh-CN"/>
        </w:rPr>
        <w:t>2</w:t>
      </w:r>
      <w:r>
        <w:rPr>
          <w:rFonts w:hint="eastAsia" w:ascii="仿宋" w:hAnsi="仿宋" w:eastAsia="仿宋"/>
          <w:sz w:val="32"/>
          <w:szCs w:val="32"/>
        </w:rPr>
        <w:t>%。基本支出中，人员经费</w:t>
      </w:r>
      <w:r>
        <w:rPr>
          <w:rFonts w:hint="eastAsia" w:ascii="仿宋" w:hAnsi="仿宋" w:eastAsia="仿宋"/>
          <w:sz w:val="32"/>
          <w:szCs w:val="32"/>
          <w:lang w:val="en-US" w:eastAsia="zh-CN"/>
        </w:rPr>
        <w:t>1014.39</w:t>
      </w:r>
      <w:r>
        <w:rPr>
          <w:rFonts w:hint="eastAsia" w:ascii="仿宋" w:hAnsi="仿宋" w:eastAsia="仿宋"/>
          <w:sz w:val="32"/>
          <w:szCs w:val="32"/>
        </w:rPr>
        <w:t>万元，占</w:t>
      </w:r>
      <w:r>
        <w:rPr>
          <w:rFonts w:hint="eastAsia" w:ascii="仿宋" w:hAnsi="仿宋" w:eastAsia="仿宋"/>
          <w:sz w:val="32"/>
          <w:szCs w:val="32"/>
          <w:lang w:val="en-US" w:eastAsia="zh-CN"/>
        </w:rPr>
        <w:t>97.44</w:t>
      </w:r>
      <w:r>
        <w:rPr>
          <w:rFonts w:hint="eastAsia" w:ascii="仿宋" w:hAnsi="仿宋" w:eastAsia="仿宋"/>
          <w:sz w:val="32"/>
          <w:szCs w:val="32"/>
        </w:rPr>
        <w:t>%；公用经费</w:t>
      </w:r>
      <w:r>
        <w:rPr>
          <w:rFonts w:hint="eastAsia" w:ascii="仿宋" w:hAnsi="仿宋" w:eastAsia="仿宋"/>
          <w:sz w:val="32"/>
          <w:szCs w:val="32"/>
          <w:lang w:val="en-US" w:eastAsia="zh-CN"/>
        </w:rPr>
        <w:t>26.61</w:t>
      </w:r>
      <w:r>
        <w:rPr>
          <w:rFonts w:hint="eastAsia" w:ascii="仿宋" w:hAnsi="仿宋" w:eastAsia="仿宋"/>
          <w:sz w:val="32"/>
          <w:szCs w:val="32"/>
        </w:rPr>
        <w:t>万元，占</w:t>
      </w:r>
      <w:r>
        <w:rPr>
          <w:rFonts w:hint="eastAsia" w:ascii="仿宋" w:hAnsi="仿宋" w:eastAsia="仿宋"/>
          <w:sz w:val="32"/>
          <w:szCs w:val="32"/>
          <w:lang w:val="en-US" w:eastAsia="zh-CN"/>
        </w:rPr>
        <w:t>2.56</w:t>
      </w:r>
      <w:r>
        <w:rPr>
          <w:rFonts w:hint="eastAsia" w:ascii="仿宋" w:hAnsi="仿宋" w:eastAsia="仿宋"/>
          <w:sz w:val="32"/>
          <w:szCs w:val="32"/>
        </w:rPr>
        <w:t>%。</w:t>
      </w:r>
    </w:p>
    <w:p w14:paraId="785C0C6E">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（类）支出</w:t>
      </w:r>
      <w:r>
        <w:rPr>
          <w:rFonts w:hint="eastAsia" w:ascii="仿宋" w:hAnsi="仿宋" w:eastAsia="仿宋"/>
          <w:sz w:val="32"/>
          <w:szCs w:val="32"/>
          <w:lang w:val="en-US" w:eastAsia="zh-CN"/>
        </w:rPr>
        <w:t>854.71</w:t>
      </w:r>
      <w:r>
        <w:rPr>
          <w:rFonts w:hint="eastAsia" w:ascii="仿宋" w:hAnsi="仿宋" w:eastAsia="仿宋"/>
          <w:sz w:val="32"/>
          <w:szCs w:val="32"/>
        </w:rPr>
        <w:t>万元，占</w:t>
      </w:r>
      <w:r>
        <w:rPr>
          <w:rFonts w:hint="eastAsia" w:ascii="仿宋" w:hAnsi="仿宋" w:eastAsia="仿宋"/>
          <w:sz w:val="32"/>
          <w:szCs w:val="32"/>
          <w:lang w:val="en-US" w:eastAsia="zh-CN"/>
        </w:rPr>
        <w:t>80.5</w:t>
      </w:r>
      <w:r>
        <w:rPr>
          <w:rFonts w:hint="eastAsia" w:ascii="仿宋" w:hAnsi="仿宋" w:eastAsia="仿宋"/>
          <w:sz w:val="32"/>
          <w:szCs w:val="32"/>
        </w:rPr>
        <w:t>%，主要用于：</w:t>
      </w:r>
      <w:r>
        <w:rPr>
          <w:rFonts w:hint="eastAsia" w:ascii="仿宋" w:hAnsi="仿宋" w:eastAsia="仿宋"/>
          <w:sz w:val="32"/>
          <w:szCs w:val="32"/>
          <w:highlight w:val="none"/>
          <w:lang w:val="en-US" w:eastAsia="zh-CN"/>
        </w:rPr>
        <w:t>人员工资、福利支出、医保缴费支出、其他社会保障缴费、生活补助及商品和服务支出</w:t>
      </w:r>
      <w:r>
        <w:rPr>
          <w:rFonts w:hint="eastAsia" w:ascii="仿宋" w:hAnsi="仿宋" w:eastAsia="仿宋"/>
          <w:color w:val="auto"/>
          <w:sz w:val="32"/>
          <w:szCs w:val="32"/>
          <w:highlight w:val="none"/>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117.11</w:t>
      </w:r>
      <w:r>
        <w:rPr>
          <w:rFonts w:hint="eastAsia" w:ascii="仿宋" w:hAnsi="仿宋" w:eastAsia="仿宋"/>
          <w:sz w:val="32"/>
          <w:szCs w:val="32"/>
        </w:rPr>
        <w:t>万元，占</w:t>
      </w:r>
      <w:r>
        <w:rPr>
          <w:rFonts w:hint="eastAsia" w:ascii="仿宋" w:hAnsi="仿宋" w:eastAsia="仿宋"/>
          <w:sz w:val="32"/>
          <w:szCs w:val="32"/>
          <w:lang w:val="en-US" w:eastAsia="zh-CN"/>
        </w:rPr>
        <w:t>11.03</w:t>
      </w:r>
      <w:r>
        <w:rPr>
          <w:rFonts w:hint="eastAsia" w:ascii="仿宋" w:hAnsi="仿宋" w:eastAsia="仿宋"/>
          <w:sz w:val="32"/>
          <w:szCs w:val="32"/>
        </w:rPr>
        <w:t>%，主要用于：</w:t>
      </w:r>
      <w:r>
        <w:rPr>
          <w:rFonts w:hint="eastAsia" w:ascii="仿宋" w:hAnsi="仿宋" w:eastAsia="仿宋"/>
          <w:sz w:val="32"/>
          <w:szCs w:val="32"/>
          <w:highlight w:val="none"/>
        </w:rPr>
        <w:t>养老保险缴费和职业年金缴费支出</w:t>
      </w:r>
      <w:r>
        <w:rPr>
          <w:rFonts w:hint="eastAsia" w:ascii="仿宋" w:hAnsi="仿宋" w:eastAsia="仿宋"/>
          <w:color w:val="auto"/>
          <w:sz w:val="32"/>
          <w:szCs w:val="32"/>
          <w:highlight w:val="none"/>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89.99</w:t>
      </w:r>
      <w:r>
        <w:rPr>
          <w:rFonts w:hint="eastAsia" w:ascii="仿宋" w:hAnsi="仿宋" w:eastAsia="仿宋"/>
          <w:sz w:val="32"/>
          <w:szCs w:val="32"/>
        </w:rPr>
        <w:t>万元，占</w:t>
      </w:r>
      <w:r>
        <w:rPr>
          <w:rFonts w:hint="eastAsia" w:ascii="仿宋" w:hAnsi="仿宋" w:eastAsia="仿宋"/>
          <w:sz w:val="32"/>
          <w:szCs w:val="32"/>
          <w:lang w:val="en-US" w:eastAsia="zh-CN"/>
        </w:rPr>
        <w:t>8.47</w:t>
      </w:r>
      <w:r>
        <w:rPr>
          <w:rFonts w:hint="eastAsia" w:ascii="仿宋" w:hAnsi="仿宋" w:eastAsia="仿宋"/>
          <w:sz w:val="32"/>
          <w:szCs w:val="32"/>
        </w:rPr>
        <w:t>%，主要用于：</w:t>
      </w:r>
      <w:r>
        <w:rPr>
          <w:rFonts w:hint="eastAsia" w:ascii="仿宋" w:hAnsi="仿宋" w:eastAsia="仿宋"/>
          <w:sz w:val="32"/>
          <w:szCs w:val="32"/>
          <w:highlight w:val="none"/>
        </w:rPr>
        <w:t>住房公积金缴费支出</w:t>
      </w:r>
      <w:r>
        <w:rPr>
          <w:rFonts w:hint="eastAsia" w:ascii="仿宋" w:hAnsi="仿宋" w:eastAsia="仿宋"/>
          <w:color w:val="auto"/>
          <w:sz w:val="32"/>
          <w:szCs w:val="32"/>
          <w:highlight w:val="none"/>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1041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1014.39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26.61</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295F104">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w:t>
      </w:r>
      <w:r>
        <w:rPr>
          <w:rFonts w:hint="eastAsia" w:ascii="仿宋" w:hAnsi="仿宋" w:eastAsia="仿宋"/>
          <w:kern w:val="0"/>
          <w:sz w:val="32"/>
          <w:szCs w:val="32"/>
          <w:lang w:val="en-US" w:eastAsia="zh-CN"/>
        </w:rPr>
        <w:t>本单位无</w:t>
      </w:r>
      <w:r>
        <w:rPr>
          <w:rFonts w:hint="eastAsia" w:ascii="仿宋" w:hAnsi="仿宋" w:eastAsia="仿宋"/>
          <w:kern w:val="0"/>
          <w:sz w:val="32"/>
          <w:szCs w:val="32"/>
        </w:rPr>
        <w:t>“三公”经费预算</w:t>
      </w:r>
      <w:r>
        <w:rPr>
          <w:rFonts w:hint="eastAsia" w:ascii="仿宋" w:hAnsi="仿宋" w:eastAsia="仿宋"/>
          <w:kern w:val="0"/>
          <w:sz w:val="32"/>
          <w:szCs w:val="32"/>
          <w:lang w:val="en-US" w:eastAsia="zh-CN"/>
        </w:rPr>
        <w:t>支出</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5051F78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w:t>
      </w:r>
      <w:r>
        <w:rPr>
          <w:rFonts w:hint="eastAsia" w:ascii="仿宋" w:hAnsi="仿宋" w:eastAsia="仿宋"/>
          <w:sz w:val="32"/>
          <w:szCs w:val="32"/>
          <w:lang w:val="en-US" w:eastAsia="zh-CN"/>
        </w:rPr>
        <w:t>无</w:t>
      </w:r>
      <w:r>
        <w:rPr>
          <w:rFonts w:hint="eastAsia" w:ascii="仿宋" w:hAnsi="仿宋" w:eastAsia="仿宋"/>
          <w:sz w:val="32"/>
          <w:szCs w:val="32"/>
        </w:rPr>
        <w:t>政府性基金</w:t>
      </w:r>
      <w:r>
        <w:rPr>
          <w:rFonts w:hint="eastAsia" w:ascii="仿宋" w:hAnsi="仿宋" w:eastAsia="仿宋"/>
          <w:sz w:val="32"/>
          <w:szCs w:val="32"/>
          <w:lang w:val="en-US" w:eastAsia="zh-CN"/>
        </w:rPr>
        <w:t>预算</w:t>
      </w:r>
      <w:r>
        <w:rPr>
          <w:rFonts w:hint="eastAsia" w:ascii="仿宋" w:hAnsi="仿宋" w:eastAsia="仿宋"/>
          <w:sz w:val="32"/>
          <w:szCs w:val="32"/>
        </w:rPr>
        <w:t>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20.8</w:t>
      </w:r>
      <w:r>
        <w:rPr>
          <w:rFonts w:hint="eastAsia" w:ascii="仿宋" w:hAnsi="仿宋" w:eastAsia="仿宋"/>
          <w:sz w:val="32"/>
          <w:szCs w:val="32"/>
        </w:rPr>
        <w:t>万元，比 2025年预算减少</w:t>
      </w:r>
      <w:r>
        <w:rPr>
          <w:rFonts w:hint="eastAsia" w:ascii="仿宋" w:hAnsi="仿宋" w:eastAsia="仿宋"/>
          <w:sz w:val="32"/>
          <w:szCs w:val="32"/>
          <w:lang w:val="en-US" w:eastAsia="zh-CN"/>
        </w:rPr>
        <w:t>1.58</w:t>
      </w:r>
      <w:r>
        <w:rPr>
          <w:rFonts w:hint="eastAsia" w:ascii="仿宋" w:hAnsi="仿宋" w:eastAsia="仿宋"/>
          <w:sz w:val="32"/>
          <w:szCs w:val="32"/>
        </w:rPr>
        <w:t>万元，下降</w:t>
      </w:r>
      <w:r>
        <w:rPr>
          <w:rFonts w:hint="eastAsia" w:ascii="仿宋" w:hAnsi="仿宋" w:eastAsia="仿宋"/>
          <w:sz w:val="32"/>
          <w:szCs w:val="32"/>
          <w:lang w:val="en-US" w:eastAsia="zh-CN"/>
        </w:rPr>
        <w:t>7.06</w:t>
      </w:r>
      <w:r>
        <w:rPr>
          <w:rFonts w:hint="eastAsia" w:ascii="仿宋" w:hAnsi="仿宋" w:eastAsia="仿宋"/>
          <w:sz w:val="32"/>
          <w:szCs w:val="32"/>
        </w:rPr>
        <w:t>%，主要原因是</w:t>
      </w:r>
      <w:r>
        <w:rPr>
          <w:rFonts w:hint="eastAsia" w:ascii="仿宋" w:hAnsi="仿宋" w:eastAsia="仿宋"/>
          <w:sz w:val="32"/>
          <w:szCs w:val="32"/>
          <w:lang w:val="en-US" w:eastAsia="zh-CN"/>
        </w:rPr>
        <w:t>学生人数减少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07B959A">
      <w:pPr>
        <w:ind w:firstLine="640" w:firstLineChars="200"/>
        <w:jc w:val="left"/>
        <w:rPr>
          <w:rFonts w:ascii="仿宋" w:hAnsi="仿宋" w:eastAsia="仿宋"/>
          <w:sz w:val="32"/>
          <w:szCs w:val="32"/>
        </w:rPr>
      </w:pPr>
      <w:r>
        <w:rPr>
          <w:rFonts w:hint="eastAsia" w:ascii="仿宋" w:hAnsi="仿宋" w:eastAsia="仿宋"/>
          <w:sz w:val="32"/>
          <w:szCs w:val="32"/>
        </w:rPr>
        <w:t>2026年</w:t>
      </w:r>
      <w:r>
        <w:rPr>
          <w:rFonts w:hint="eastAsia" w:ascii="仿宋" w:hAnsi="仿宋" w:eastAsia="仿宋"/>
          <w:sz w:val="32"/>
          <w:szCs w:val="32"/>
          <w:lang w:val="en-US" w:eastAsia="zh-CN"/>
        </w:rPr>
        <w:t>本单位无</w:t>
      </w:r>
      <w:r>
        <w:rPr>
          <w:rFonts w:hint="eastAsia" w:ascii="仿宋" w:hAnsi="仿宋" w:eastAsia="仿宋"/>
          <w:sz w:val="32"/>
          <w:szCs w:val="32"/>
        </w:rPr>
        <w:t>政府采购预算</w:t>
      </w:r>
      <w:r>
        <w:rPr>
          <w:rFonts w:hint="eastAsia" w:ascii="仿宋" w:hAnsi="仿宋" w:eastAsia="仿宋"/>
          <w:sz w:val="32"/>
          <w:szCs w:val="32"/>
          <w:lang w:val="en-US" w:eastAsia="zh-CN"/>
        </w:rPr>
        <w:t>支出。</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1227B4C">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w:t>
      </w:r>
      <w:r>
        <w:rPr>
          <w:rFonts w:hint="eastAsia" w:ascii="仿宋" w:hAnsi="仿宋" w:eastAsia="仿宋"/>
          <w:sz w:val="32"/>
          <w:szCs w:val="32"/>
          <w:lang w:val="en-US" w:eastAsia="zh-CN"/>
        </w:rPr>
        <w:t>本单位</w:t>
      </w:r>
      <w:r>
        <w:rPr>
          <w:rFonts w:hint="eastAsia" w:ascii="仿宋" w:hAnsi="仿宋" w:eastAsia="仿宋"/>
          <w:sz w:val="32"/>
          <w:szCs w:val="32"/>
        </w:rPr>
        <w:t>共有车辆</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1A0680ED">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7</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20.8</w:t>
      </w:r>
      <w:r>
        <w:rPr>
          <w:rFonts w:hint="eastAsia" w:ascii="仿宋" w:hAnsi="仿宋" w:eastAsia="仿宋"/>
          <w:sz w:val="32"/>
          <w:szCs w:val="32"/>
        </w:rPr>
        <w:t>万元。</w:t>
      </w:r>
    </w:p>
    <w:p w14:paraId="3C527A83">
      <w:pPr>
        <w:jc w:val="center"/>
        <w:rPr>
          <w:rFonts w:ascii="仿宋" w:hAnsi="仿宋" w:eastAsia="仿宋"/>
          <w:sz w:val="32"/>
          <w:szCs w:val="32"/>
        </w:rPr>
      </w:pPr>
    </w:p>
    <w:p w14:paraId="08C4043B">
      <w:pPr>
        <w:jc w:val="center"/>
        <w:rPr>
          <w:rFonts w:ascii="仿宋" w:hAnsi="仿宋" w:eastAsia="仿宋"/>
          <w:sz w:val="32"/>
          <w:szCs w:val="32"/>
        </w:rPr>
      </w:pPr>
    </w:p>
    <w:p w14:paraId="2CB4A82F">
      <w:pPr>
        <w:jc w:val="both"/>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0E3AD42">
      <w:pPr>
        <w:jc w:val="left"/>
        <w:rPr>
          <w:rFonts w:ascii="仿宋" w:hAnsi="仿宋" w:eastAsia="仿宋"/>
          <w:b/>
          <w:sz w:val="32"/>
          <w:szCs w:val="32"/>
        </w:rPr>
      </w:pPr>
      <w:r>
        <w:rPr>
          <w:rFonts w:hint="eastAsia" w:ascii="仿宋" w:hAnsi="仿宋" w:eastAsia="仿宋"/>
          <w:sz w:val="32"/>
          <w:szCs w:val="32"/>
        </w:rPr>
        <w:t>2026年部门预算表套表（预算一体化-“预算编制”模块-预算编制帆软报表查询中提取相应数据）。</w:t>
      </w: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683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3B7100E"/>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4AE0072"/>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1</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永强</cp:lastModifiedBy>
  <dcterms:modified xsi:type="dcterms:W3CDTF">2026-03-23T10:10:11Z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eyJoZGlkIjoiODI3YjA5NWQ3ODc5YWIwNzM1NWVlY2MyN2E2MWIzNzAiLCJ1c2VySWQiOiI1NTQ5OTg2NTMifQ==</vt:lpwstr>
  </property>
</Properties>
</file>