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yellow"/>
        </w:rPr>
        <w:t>永吉县园林管理中心</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yellow"/>
        </w:rPr>
        <w:t>永吉县园林管理中心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28D8B01B">
      <w:pPr>
        <w:jc w:val="left"/>
        <w:rPr>
          <w:rFonts w:hint="eastAsia" w:ascii="仿宋" w:hAnsi="仿宋" w:eastAsia="仿宋"/>
          <w:bCs/>
          <w:kern w:val="0"/>
          <w:sz w:val="32"/>
          <w:szCs w:val="32"/>
          <w:lang w:eastAsia="zh-CN"/>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永吉县园林管理中心</w:t>
      </w:r>
    </w:p>
    <w:p w14:paraId="4B6294CF">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default" w:ascii="Times New Roman" w:hAnsi="Times New Roman" w:eastAsia="仿宋_GB2312" w:cs="Times New Roman"/>
          <w:color w:val="auto"/>
          <w:sz w:val="32"/>
          <w:szCs w:val="32"/>
          <w:lang w:eastAsia="zh-CN"/>
        </w:rPr>
        <w:t>公益一类全额拨款事业单位</w:t>
      </w:r>
    </w:p>
    <w:p w14:paraId="732B3498">
      <w:pPr>
        <w:tabs>
          <w:tab w:val="left" w:pos="900"/>
        </w:tabs>
        <w:spacing w:line="560"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主要职能：</w:t>
      </w:r>
    </w:p>
    <w:p w14:paraId="3FEFC3A9">
      <w:pPr>
        <w:tabs>
          <w:tab w:val="left" w:pos="900"/>
        </w:tabs>
        <w:spacing w:line="560" w:lineRule="exact"/>
        <w:ind w:firstLine="640" w:firstLineChars="200"/>
        <w:rPr>
          <w:rFonts w:hint="eastAsia" w:ascii="仿宋" w:hAnsi="仿宋" w:eastAsia="仿宋"/>
          <w:sz w:val="32"/>
          <w:szCs w:val="32"/>
        </w:rPr>
      </w:pPr>
      <w:r>
        <w:rPr>
          <w:rFonts w:ascii="仿宋" w:hAnsi="仿宋" w:eastAsia="仿宋"/>
          <w:sz w:val="32"/>
          <w:szCs w:val="32"/>
        </w:rPr>
        <w:t>（一）</w:t>
      </w:r>
      <w:r>
        <w:rPr>
          <w:rFonts w:hint="eastAsia" w:ascii="仿宋" w:hAnsi="仿宋" w:eastAsia="仿宋"/>
          <w:sz w:val="32"/>
          <w:szCs w:val="32"/>
        </w:rPr>
        <w:t>贯彻</w:t>
      </w:r>
      <w:r>
        <w:rPr>
          <w:rFonts w:ascii="仿宋" w:hAnsi="仿宋" w:eastAsia="仿宋"/>
          <w:sz w:val="32"/>
          <w:szCs w:val="32"/>
        </w:rPr>
        <w:t>执行有关城市绿化的法律、法规、规章</w:t>
      </w:r>
      <w:r>
        <w:rPr>
          <w:rFonts w:hint="eastAsia" w:ascii="仿宋" w:hAnsi="仿宋" w:eastAsia="仿宋"/>
          <w:sz w:val="32"/>
          <w:szCs w:val="32"/>
        </w:rPr>
        <w:t>和有关</w:t>
      </w:r>
      <w:r>
        <w:rPr>
          <w:rFonts w:ascii="仿宋" w:hAnsi="仿宋" w:eastAsia="仿宋"/>
          <w:sz w:val="32"/>
          <w:szCs w:val="32"/>
        </w:rPr>
        <w:t>方针、政策</w:t>
      </w:r>
      <w:r>
        <w:rPr>
          <w:rFonts w:hint="eastAsia" w:ascii="仿宋" w:hAnsi="仿宋" w:eastAsia="仿宋"/>
          <w:sz w:val="32"/>
          <w:szCs w:val="32"/>
        </w:rPr>
        <w:t>。</w:t>
      </w:r>
    </w:p>
    <w:p w14:paraId="0F81F8E7">
      <w:pPr>
        <w:tabs>
          <w:tab w:val="left" w:pos="900"/>
        </w:tabs>
        <w:spacing w:line="560" w:lineRule="exact"/>
        <w:ind w:firstLine="640" w:firstLineChars="200"/>
        <w:rPr>
          <w:rFonts w:hint="eastAsia" w:ascii="仿宋" w:hAnsi="仿宋" w:eastAsia="仿宋"/>
          <w:sz w:val="32"/>
          <w:szCs w:val="32"/>
        </w:rPr>
      </w:pPr>
      <w:r>
        <w:rPr>
          <w:rFonts w:hint="eastAsia" w:ascii="仿宋" w:hAnsi="仿宋" w:eastAsia="仿宋"/>
          <w:sz w:val="32"/>
          <w:szCs w:val="32"/>
        </w:rPr>
        <w:t>（二）参与编制城市绿化规划和计划，落实绿</w:t>
      </w:r>
      <w:r>
        <w:rPr>
          <w:rFonts w:hint="eastAsia" w:ascii="仿宋" w:hAnsi="仿宋" w:eastAsia="仿宋"/>
          <w:sz w:val="32"/>
          <w:szCs w:val="32"/>
          <w:lang w:eastAsia="zh-CN"/>
        </w:rPr>
        <w:t>化</w:t>
      </w:r>
      <w:r>
        <w:rPr>
          <w:rFonts w:hint="eastAsia" w:ascii="仿宋" w:hAnsi="仿宋" w:eastAsia="仿宋"/>
          <w:sz w:val="32"/>
          <w:szCs w:val="32"/>
        </w:rPr>
        <w:t>管理制度。</w:t>
      </w:r>
    </w:p>
    <w:p w14:paraId="36257D9C">
      <w:pPr>
        <w:spacing w:line="560" w:lineRule="exact"/>
        <w:ind w:firstLine="640" w:firstLineChars="200"/>
        <w:rPr>
          <w:rFonts w:hint="eastAsia" w:ascii="仿宋" w:hAnsi="仿宋" w:eastAsia="仿宋"/>
          <w:sz w:val="32"/>
          <w:szCs w:val="32"/>
        </w:rPr>
      </w:pPr>
      <w:r>
        <w:rPr>
          <w:rFonts w:ascii="仿宋" w:hAnsi="仿宋" w:eastAsia="仿宋"/>
          <w:sz w:val="32"/>
          <w:szCs w:val="32"/>
        </w:rPr>
        <w:t>（</w:t>
      </w:r>
      <w:r>
        <w:rPr>
          <w:rFonts w:hint="eastAsia" w:ascii="仿宋" w:hAnsi="仿宋" w:eastAsia="仿宋"/>
          <w:sz w:val="32"/>
          <w:szCs w:val="32"/>
        </w:rPr>
        <w:t>三</w:t>
      </w:r>
      <w:r>
        <w:rPr>
          <w:rFonts w:ascii="仿宋" w:hAnsi="仿宋" w:eastAsia="仿宋"/>
          <w:sz w:val="32"/>
          <w:szCs w:val="32"/>
        </w:rPr>
        <w:t>）</w:t>
      </w:r>
      <w:r>
        <w:rPr>
          <w:rFonts w:hint="eastAsia" w:ascii="仿宋" w:hAnsi="仿宋" w:eastAsia="仿宋"/>
          <w:sz w:val="32"/>
          <w:szCs w:val="32"/>
        </w:rPr>
        <w:t>负责公园、广场、游园等城市绿地和城市绿化树木、花草的养护和管理。</w:t>
      </w:r>
    </w:p>
    <w:p w14:paraId="1314693D">
      <w:pPr>
        <w:spacing w:line="560" w:lineRule="exact"/>
        <w:ind w:firstLine="640" w:firstLineChars="200"/>
        <w:rPr>
          <w:rFonts w:hint="eastAsia" w:ascii="仿宋" w:hAnsi="仿宋" w:eastAsia="仿宋"/>
          <w:sz w:val="32"/>
          <w:szCs w:val="32"/>
        </w:rPr>
      </w:pPr>
      <w:r>
        <w:rPr>
          <w:rFonts w:ascii="仿宋" w:hAnsi="仿宋" w:eastAsia="仿宋"/>
          <w:sz w:val="32"/>
          <w:szCs w:val="32"/>
        </w:rPr>
        <w:t>（</w:t>
      </w:r>
      <w:r>
        <w:rPr>
          <w:rFonts w:hint="eastAsia" w:ascii="仿宋" w:hAnsi="仿宋" w:eastAsia="仿宋"/>
          <w:sz w:val="32"/>
          <w:szCs w:val="32"/>
        </w:rPr>
        <w:t>四</w:t>
      </w:r>
      <w:r>
        <w:rPr>
          <w:rFonts w:ascii="仿宋" w:hAnsi="仿宋" w:eastAsia="仿宋"/>
          <w:sz w:val="32"/>
          <w:szCs w:val="32"/>
        </w:rPr>
        <w:t>）</w:t>
      </w:r>
      <w:r>
        <w:rPr>
          <w:rFonts w:hint="eastAsia" w:ascii="仿宋" w:hAnsi="仿宋" w:eastAsia="仿宋"/>
          <w:sz w:val="32"/>
          <w:szCs w:val="32"/>
        </w:rPr>
        <w:t>查处城市绿化违法案件。对破坏、损害园林绿化设施、擅自砍伐园林绿化树木，非法占用公共绿地的行为进行监察和执罚。</w:t>
      </w:r>
    </w:p>
    <w:p w14:paraId="68E6AEC4">
      <w:pPr>
        <w:spacing w:line="560" w:lineRule="exact"/>
        <w:ind w:firstLine="640" w:firstLineChars="200"/>
        <w:rPr>
          <w:rFonts w:hint="eastAsia" w:ascii="仿宋" w:hAnsi="仿宋" w:eastAsia="仿宋"/>
          <w:sz w:val="32"/>
          <w:szCs w:val="32"/>
        </w:rPr>
      </w:pPr>
      <w:r>
        <w:rPr>
          <w:rFonts w:ascii="仿宋" w:hAnsi="仿宋" w:eastAsia="仿宋"/>
          <w:sz w:val="32"/>
          <w:szCs w:val="32"/>
        </w:rPr>
        <w:t>（</w:t>
      </w:r>
      <w:r>
        <w:rPr>
          <w:rFonts w:hint="eastAsia" w:ascii="仿宋" w:hAnsi="仿宋" w:eastAsia="仿宋"/>
          <w:sz w:val="32"/>
          <w:szCs w:val="32"/>
        </w:rPr>
        <w:t>五</w:t>
      </w:r>
      <w:r>
        <w:rPr>
          <w:rFonts w:ascii="仿宋" w:hAnsi="仿宋" w:eastAsia="仿宋"/>
          <w:sz w:val="32"/>
          <w:szCs w:val="32"/>
        </w:rPr>
        <w:t>）负责城市</w:t>
      </w:r>
      <w:r>
        <w:rPr>
          <w:rFonts w:hint="eastAsia" w:ascii="仿宋" w:hAnsi="仿宋" w:eastAsia="仿宋"/>
          <w:sz w:val="32"/>
          <w:szCs w:val="32"/>
        </w:rPr>
        <w:t>绿化</w:t>
      </w:r>
      <w:r>
        <w:rPr>
          <w:rFonts w:ascii="仿宋" w:hAnsi="仿宋" w:eastAsia="仿宋"/>
          <w:sz w:val="32"/>
          <w:szCs w:val="32"/>
        </w:rPr>
        <w:t>园林植物</w:t>
      </w:r>
      <w:r>
        <w:rPr>
          <w:rFonts w:hint="eastAsia" w:ascii="仿宋" w:hAnsi="仿宋" w:eastAsia="仿宋"/>
          <w:sz w:val="32"/>
          <w:szCs w:val="32"/>
        </w:rPr>
        <w:t>的</w:t>
      </w:r>
      <w:r>
        <w:rPr>
          <w:rFonts w:ascii="仿宋" w:hAnsi="仿宋" w:eastAsia="仿宋"/>
          <w:sz w:val="32"/>
          <w:szCs w:val="32"/>
        </w:rPr>
        <w:t>引种驯化</w:t>
      </w:r>
      <w:r>
        <w:rPr>
          <w:rFonts w:hint="eastAsia" w:ascii="仿宋" w:hAnsi="仿宋" w:eastAsia="仿宋"/>
          <w:sz w:val="32"/>
          <w:szCs w:val="32"/>
        </w:rPr>
        <w:t>及疫情控制</w:t>
      </w:r>
      <w:r>
        <w:rPr>
          <w:rFonts w:ascii="仿宋" w:hAnsi="仿宋" w:eastAsia="仿宋"/>
          <w:sz w:val="32"/>
          <w:szCs w:val="32"/>
        </w:rPr>
        <w:t>工作</w:t>
      </w:r>
      <w:r>
        <w:rPr>
          <w:rFonts w:hint="eastAsia" w:ascii="仿宋" w:hAnsi="仿宋" w:eastAsia="仿宋"/>
          <w:sz w:val="32"/>
          <w:szCs w:val="32"/>
        </w:rPr>
        <w:t>。</w:t>
      </w:r>
    </w:p>
    <w:p w14:paraId="364AA522">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（六）</w:t>
      </w:r>
      <w:r>
        <w:rPr>
          <w:rFonts w:ascii="仿宋" w:hAnsi="仿宋" w:eastAsia="仿宋"/>
          <w:sz w:val="32"/>
          <w:szCs w:val="32"/>
        </w:rPr>
        <w:t>负责</w:t>
      </w:r>
      <w:r>
        <w:rPr>
          <w:rFonts w:hint="eastAsia" w:ascii="仿宋" w:hAnsi="仿宋" w:eastAsia="仿宋"/>
          <w:sz w:val="32"/>
          <w:szCs w:val="32"/>
        </w:rPr>
        <w:t>新成立的绿化施工单位的资质初审等工作。</w:t>
      </w:r>
    </w:p>
    <w:p w14:paraId="6E35AAD3">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（七）组织实施和指导、检查城市各类绿化建设和管理。</w:t>
      </w:r>
    </w:p>
    <w:p w14:paraId="44D4A302">
      <w:pPr>
        <w:tabs>
          <w:tab w:val="left" w:pos="900"/>
        </w:tabs>
        <w:spacing w:line="560" w:lineRule="exact"/>
        <w:ind w:firstLine="640" w:firstLineChars="200"/>
        <w:rPr>
          <w:rFonts w:ascii="仿宋_GB2312" w:eastAsia="仿宋_GB2312"/>
          <w:sz w:val="32"/>
          <w:szCs w:val="32"/>
        </w:rPr>
      </w:pPr>
      <w:r>
        <w:rPr>
          <w:rFonts w:hint="eastAsia" w:ascii="仿宋" w:hAnsi="仿宋" w:eastAsia="仿宋"/>
          <w:bCs/>
          <w:kern w:val="0"/>
          <w:sz w:val="32"/>
          <w:szCs w:val="32"/>
        </w:rPr>
        <w:t>主要业务：</w:t>
      </w:r>
      <w:r>
        <w:rPr>
          <w:rFonts w:hint="eastAsia" w:eastAsia="仿宋_GB2312"/>
          <w:sz w:val="32"/>
          <w:szCs w:val="32"/>
        </w:rPr>
        <w:t>贯彻</w:t>
      </w:r>
      <w:r>
        <w:rPr>
          <w:rFonts w:eastAsia="仿宋_GB2312"/>
          <w:sz w:val="32"/>
          <w:szCs w:val="32"/>
        </w:rPr>
        <w:t>执</w:t>
      </w:r>
      <w:r>
        <w:rPr>
          <w:rFonts w:eastAsia="仿宋_GB2312"/>
          <w:color w:val="auto"/>
          <w:sz w:val="32"/>
          <w:szCs w:val="32"/>
        </w:rPr>
        <w:t>行</w:t>
      </w:r>
      <w:r>
        <w:rPr>
          <w:rFonts w:hint="eastAsia" w:eastAsia="仿宋_GB2312"/>
          <w:color w:val="auto"/>
          <w:sz w:val="32"/>
          <w:szCs w:val="32"/>
          <w:lang w:eastAsia="zh-CN"/>
        </w:rPr>
        <w:t>国家及省、市</w:t>
      </w:r>
      <w:r>
        <w:rPr>
          <w:rFonts w:eastAsia="仿宋_GB2312"/>
          <w:color w:val="auto"/>
          <w:sz w:val="32"/>
          <w:szCs w:val="32"/>
        </w:rPr>
        <w:t>有关城市绿化的法律、法规、规章</w:t>
      </w:r>
      <w:r>
        <w:rPr>
          <w:rFonts w:hint="eastAsia" w:eastAsia="仿宋_GB2312"/>
          <w:color w:val="auto"/>
          <w:sz w:val="32"/>
          <w:szCs w:val="32"/>
        </w:rPr>
        <w:t>和有关</w:t>
      </w:r>
      <w:r>
        <w:rPr>
          <w:rFonts w:eastAsia="仿宋_GB2312"/>
          <w:color w:val="auto"/>
          <w:sz w:val="32"/>
          <w:szCs w:val="32"/>
        </w:rPr>
        <w:t>方针、政策</w:t>
      </w:r>
      <w:r>
        <w:rPr>
          <w:rFonts w:hint="eastAsia" w:eastAsia="仿宋_GB2312"/>
          <w:color w:val="auto"/>
          <w:sz w:val="32"/>
          <w:szCs w:val="32"/>
          <w:lang w:eastAsia="zh-CN"/>
        </w:rPr>
        <w:t>；</w:t>
      </w:r>
      <w:r>
        <w:rPr>
          <w:rFonts w:hint="eastAsia" w:eastAsia="仿宋_GB2312"/>
          <w:color w:val="auto"/>
          <w:sz w:val="32"/>
          <w:szCs w:val="32"/>
        </w:rPr>
        <w:t>参与编制城市绿化规划和计划，落实绿</w:t>
      </w:r>
      <w:r>
        <w:rPr>
          <w:rFonts w:hint="eastAsia" w:eastAsia="仿宋_GB2312"/>
          <w:color w:val="auto"/>
          <w:sz w:val="32"/>
          <w:szCs w:val="32"/>
          <w:lang w:eastAsia="zh-CN"/>
        </w:rPr>
        <w:t>化</w:t>
      </w:r>
      <w:r>
        <w:rPr>
          <w:rFonts w:hint="eastAsia" w:eastAsia="仿宋_GB2312"/>
          <w:color w:val="auto"/>
          <w:sz w:val="32"/>
          <w:szCs w:val="32"/>
        </w:rPr>
        <w:t>管理制度</w:t>
      </w:r>
      <w:r>
        <w:rPr>
          <w:rFonts w:hint="eastAsia" w:eastAsia="仿宋_GB2312"/>
          <w:color w:val="auto"/>
          <w:sz w:val="32"/>
          <w:szCs w:val="32"/>
          <w:lang w:eastAsia="zh-CN"/>
        </w:rPr>
        <w:t>；</w:t>
      </w:r>
      <w:r>
        <w:rPr>
          <w:rFonts w:eastAsia="仿宋_GB2312"/>
          <w:color w:val="auto"/>
          <w:sz w:val="32"/>
          <w:szCs w:val="32"/>
        </w:rPr>
        <w:t>负责城市</w:t>
      </w:r>
      <w:r>
        <w:rPr>
          <w:rFonts w:hint="eastAsia" w:eastAsia="仿宋_GB2312"/>
          <w:color w:val="auto"/>
          <w:sz w:val="32"/>
          <w:szCs w:val="32"/>
        </w:rPr>
        <w:t>绿化</w:t>
      </w:r>
      <w:r>
        <w:rPr>
          <w:rFonts w:eastAsia="仿宋_GB2312"/>
          <w:color w:val="auto"/>
          <w:sz w:val="32"/>
          <w:szCs w:val="32"/>
        </w:rPr>
        <w:t>园</w:t>
      </w:r>
      <w:r>
        <w:rPr>
          <w:rFonts w:hint="eastAsia" w:eastAsia="仿宋_GB2312"/>
          <w:color w:val="auto"/>
          <w:sz w:val="32"/>
          <w:szCs w:val="32"/>
          <w:lang w:eastAsia="zh-CN"/>
        </w:rPr>
        <w:t>艺</w:t>
      </w:r>
      <w:r>
        <w:rPr>
          <w:rFonts w:eastAsia="仿宋_GB2312"/>
          <w:color w:val="auto"/>
          <w:sz w:val="32"/>
          <w:szCs w:val="32"/>
        </w:rPr>
        <w:t>植物</w:t>
      </w:r>
      <w:r>
        <w:rPr>
          <w:rFonts w:hint="eastAsia" w:eastAsia="仿宋_GB2312"/>
          <w:color w:val="auto"/>
          <w:sz w:val="32"/>
          <w:szCs w:val="32"/>
        </w:rPr>
        <w:t>的</w:t>
      </w:r>
      <w:r>
        <w:rPr>
          <w:rFonts w:eastAsia="仿宋_GB2312"/>
          <w:color w:val="auto"/>
          <w:sz w:val="32"/>
          <w:szCs w:val="32"/>
        </w:rPr>
        <w:t>引种驯化</w:t>
      </w:r>
      <w:r>
        <w:rPr>
          <w:rFonts w:hint="eastAsia" w:eastAsia="仿宋_GB2312"/>
          <w:color w:val="auto"/>
          <w:sz w:val="32"/>
          <w:szCs w:val="32"/>
        </w:rPr>
        <w:t>及疫情控制</w:t>
      </w:r>
      <w:r>
        <w:rPr>
          <w:rFonts w:eastAsia="仿宋_GB2312"/>
          <w:color w:val="auto"/>
          <w:sz w:val="32"/>
          <w:szCs w:val="32"/>
        </w:rPr>
        <w:t>工作</w:t>
      </w:r>
      <w:r>
        <w:rPr>
          <w:rFonts w:hint="eastAsia" w:eastAsia="仿宋_GB2312"/>
          <w:color w:val="auto"/>
          <w:sz w:val="32"/>
          <w:szCs w:val="32"/>
          <w:lang w:eastAsia="zh-CN"/>
        </w:rPr>
        <w:t>；负责城市广场、公园、游园、街路、绿地管理养护及防火工作。</w:t>
      </w:r>
    </w:p>
    <w:p w14:paraId="3813881E">
      <w:pPr>
        <w:pStyle w:val="10"/>
        <w:widowControl/>
        <w:spacing w:line="620" w:lineRule="exact"/>
        <w:ind w:firstLine="640" w:firstLineChars="200"/>
        <w:contextualSpacing/>
        <w:rPr>
          <w:rFonts w:ascii="仿宋" w:hAnsi="仿宋" w:eastAsia="仿宋"/>
          <w:sz w:val="32"/>
          <w:szCs w:val="32"/>
        </w:rPr>
      </w:pPr>
      <w:r>
        <w:rPr>
          <w:rFonts w:hint="eastAsia" w:ascii="仿宋" w:hAnsi="仿宋" w:eastAsia="仿宋"/>
          <w:sz w:val="32"/>
          <w:szCs w:val="32"/>
        </w:rPr>
        <w:t>二、机构设置</w:t>
      </w:r>
    </w:p>
    <w:p w14:paraId="595DB90C">
      <w:pPr>
        <w:pStyle w:val="12"/>
        <w:ind w:firstLine="627" w:firstLineChars="196"/>
        <w:rPr>
          <w:rFonts w:hint="eastAsia" w:ascii="仿宋" w:hAnsi="仿宋" w:eastAsia="仿宋" w:cs="Times New Roman"/>
          <w:kern w:val="0"/>
          <w:szCs w:val="32"/>
          <w:lang w:eastAsia="zh-CN"/>
        </w:rPr>
      </w:pPr>
      <w:r>
        <w:rPr>
          <w:rFonts w:hint="eastAsia" w:ascii="仿宋" w:hAnsi="仿宋" w:eastAsia="仿宋"/>
          <w:kern w:val="0"/>
          <w:szCs w:val="32"/>
        </w:rPr>
        <w:t>机构设置包括：</w:t>
      </w:r>
      <w:r>
        <w:rPr>
          <w:rFonts w:hint="eastAsia" w:ascii="仿宋" w:hAnsi="仿宋" w:eastAsia="仿宋" w:cs="Times New Roman"/>
          <w:kern w:val="0"/>
          <w:szCs w:val="32"/>
        </w:rPr>
        <w:t>监察管理科</w:t>
      </w:r>
      <w:r>
        <w:rPr>
          <w:rFonts w:hint="eastAsia" w:ascii="仿宋" w:hAnsi="仿宋" w:eastAsia="仿宋" w:cs="Times New Roman"/>
          <w:kern w:val="0"/>
          <w:szCs w:val="32"/>
          <w:lang w:eastAsia="zh-CN"/>
        </w:rPr>
        <w:t>、</w:t>
      </w:r>
      <w:r>
        <w:rPr>
          <w:rFonts w:hint="eastAsia" w:ascii="仿宋" w:hAnsi="仿宋" w:eastAsia="仿宋" w:cs="Times New Roman"/>
          <w:kern w:val="0"/>
          <w:szCs w:val="32"/>
        </w:rPr>
        <w:t>公园管理科</w:t>
      </w:r>
      <w:r>
        <w:rPr>
          <w:rFonts w:hint="eastAsia" w:ascii="仿宋" w:hAnsi="仿宋" w:eastAsia="仿宋" w:cs="Times New Roman"/>
          <w:kern w:val="0"/>
          <w:szCs w:val="32"/>
          <w:lang w:eastAsia="zh-CN"/>
        </w:rPr>
        <w:t>、</w:t>
      </w:r>
      <w:r>
        <w:rPr>
          <w:rFonts w:hint="eastAsia" w:ascii="仿宋" w:hAnsi="仿宋" w:eastAsia="仿宋" w:cs="Times New Roman"/>
          <w:kern w:val="0"/>
          <w:szCs w:val="32"/>
        </w:rPr>
        <w:t>园艺管理科</w:t>
      </w:r>
      <w:r>
        <w:rPr>
          <w:rFonts w:hint="eastAsia" w:ascii="仿宋" w:hAnsi="仿宋" w:eastAsia="仿宋" w:cs="Times New Roman"/>
          <w:kern w:val="0"/>
          <w:szCs w:val="32"/>
          <w:lang w:eastAsia="zh-CN"/>
        </w:rPr>
        <w:t>、</w:t>
      </w:r>
      <w:r>
        <w:rPr>
          <w:rFonts w:hint="eastAsia" w:ascii="仿宋" w:hAnsi="仿宋" w:eastAsia="仿宋" w:cs="Times New Roman"/>
          <w:kern w:val="0"/>
          <w:szCs w:val="32"/>
        </w:rPr>
        <w:t>绿化管理科</w:t>
      </w:r>
      <w:r>
        <w:rPr>
          <w:rFonts w:hint="eastAsia" w:ascii="仿宋" w:hAnsi="仿宋" w:eastAsia="仿宋" w:cs="Times New Roman"/>
          <w:kern w:val="0"/>
          <w:szCs w:val="32"/>
          <w:lang w:eastAsia="zh-CN"/>
        </w:rPr>
        <w:t>、</w:t>
      </w:r>
      <w:r>
        <w:rPr>
          <w:rFonts w:hint="eastAsia" w:ascii="仿宋" w:hAnsi="仿宋" w:eastAsia="仿宋" w:cs="Times New Roman"/>
          <w:kern w:val="0"/>
          <w:szCs w:val="32"/>
        </w:rPr>
        <w:t>综合科办公室、财务科</w:t>
      </w:r>
      <w:r>
        <w:rPr>
          <w:rFonts w:hint="eastAsia" w:ascii="仿宋" w:hAnsi="仿宋" w:eastAsia="仿宋" w:cs="Times New Roman"/>
          <w:kern w:val="0"/>
          <w:szCs w:val="32"/>
          <w:lang w:eastAsia="zh-CN"/>
        </w:rPr>
        <w:t>。</w:t>
      </w:r>
    </w:p>
    <w:p w14:paraId="5776239A">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8</w:t>
      </w:r>
      <w:r>
        <w:rPr>
          <w:rFonts w:hint="eastAsia" w:ascii="仿宋" w:hAnsi="仿宋" w:eastAsia="仿宋"/>
          <w:kern w:val="0"/>
          <w:szCs w:val="32"/>
        </w:rPr>
        <w:t>人，编制数</w:t>
      </w:r>
      <w:r>
        <w:rPr>
          <w:rFonts w:hint="eastAsia" w:ascii="仿宋" w:hAnsi="仿宋" w:eastAsia="仿宋"/>
          <w:kern w:val="0"/>
          <w:szCs w:val="32"/>
          <w:lang w:val="en-US" w:eastAsia="zh-CN"/>
        </w:rPr>
        <w:t>11</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08C38348">
      <w:pPr>
        <w:jc w:val="left"/>
        <w:rPr>
          <w:rFonts w:ascii="黑体" w:hAnsi="黑体" w:eastAsia="黑体"/>
          <w:sz w:val="32"/>
          <w:szCs w:val="32"/>
        </w:rPr>
      </w:pP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b/>
          <w:bCs/>
          <w:sz w:val="32"/>
          <w:szCs w:val="32"/>
        </w:rPr>
      </w:pPr>
      <w:r>
        <w:rPr>
          <w:rFonts w:hint="eastAsia" w:ascii="仿宋" w:hAnsi="仿宋" w:eastAsia="仿宋"/>
          <w:b/>
          <w:bCs/>
          <w:sz w:val="32"/>
          <w:szCs w:val="32"/>
        </w:rPr>
        <w:t xml:space="preserve"> </w:t>
      </w:r>
    </w:p>
    <w:p w14:paraId="550137BD">
      <w:pPr>
        <w:rPr>
          <w:rFonts w:hint="eastAsia" w:ascii="仿宋_GB2312" w:hAnsi="仿宋_GB2312" w:eastAsia="仿宋_GB2312" w:cs="仿宋_GB2312"/>
          <w:b/>
          <w:bCs/>
          <w:sz w:val="32"/>
          <w:szCs w:val="32"/>
        </w:rPr>
      </w:pPr>
      <w:r>
        <w:rPr>
          <w:rFonts w:hint="eastAsia" w:ascii="仿宋" w:hAnsi="仿宋" w:eastAsia="仿宋"/>
          <w:b/>
          <w:bCs/>
          <w:sz w:val="32"/>
          <w:szCs w:val="32"/>
        </w:rPr>
        <w:t xml:space="preserve">  </w:t>
      </w:r>
      <w:r>
        <w:rPr>
          <w:rFonts w:hint="eastAsia" w:ascii="仿宋_GB2312" w:hAnsi="仿宋_GB2312" w:eastAsia="仿宋_GB2312" w:cs="仿宋_GB2312"/>
          <w:b/>
          <w:bCs/>
          <w:sz w:val="32"/>
          <w:szCs w:val="32"/>
        </w:rPr>
        <w:t xml:space="preserve">  一、2026 年收支预算总体情况</w:t>
      </w:r>
    </w:p>
    <w:p w14:paraId="4DA7ACC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 年收支总预算 307.68 万元，比 2025 年预算数 298.21 万元增减 9.47 万元，主要原因：</w:t>
      </w:r>
      <w:r>
        <w:rPr>
          <w:rFonts w:hint="eastAsia" w:ascii="仿宋_GB2312" w:hAnsi="仿宋_GB2312" w:eastAsia="仿宋_GB2312" w:cs="仿宋_GB2312"/>
          <w:sz w:val="32"/>
          <w:szCs w:val="32"/>
          <w:lang w:eastAsia="zh-CN"/>
        </w:rPr>
        <w:t>绿化面积增加、县城环境提质增效，</w:t>
      </w:r>
      <w:r>
        <w:rPr>
          <w:rFonts w:hint="eastAsia" w:ascii="仿宋_GB2312" w:hAnsi="仿宋_GB2312" w:eastAsia="仿宋_GB2312" w:cs="仿宋_GB2312"/>
          <w:sz w:val="32"/>
          <w:szCs w:val="32"/>
        </w:rPr>
        <w:t>人员经费、公用经费及项目支出合理调整。</w:t>
      </w:r>
    </w:p>
    <w:p w14:paraId="427517E9">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二、2026 年收入预算情况</w:t>
      </w:r>
    </w:p>
    <w:p w14:paraId="4EEDFC6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年本单位收入预算 307.68 万元，其中：一般公共预算收入 197.68 万元，占64.25%；政府性基金收入 110.00 万元，占35.75%。</w:t>
      </w:r>
    </w:p>
    <w:p w14:paraId="1DBF182F">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三、2026 年支出预算情况</w:t>
      </w:r>
    </w:p>
    <w:p w14:paraId="1BC611F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年支出预算307.68万元，其中：基本支出 114.47 万元，占37.21%；项目支出 193.21 万元，占62.79%。</w:t>
      </w:r>
    </w:p>
    <w:p w14:paraId="4B5D1D7A">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四、2026 年财政拨款收支预算情况</w:t>
      </w:r>
    </w:p>
    <w:p w14:paraId="5E0C79D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年财政拨款收支总预算307.68万元，其中：本年收入 307.68 万元。本年支出307.68万元，支出包括：一般公共服务支出0.00万元，社会保障和就业支出10.38万元，卫生健康支出0.00万元，住房保障支出7.94万元，城乡社区支出289.36万元。</w:t>
      </w:r>
    </w:p>
    <w:p w14:paraId="542BAFA4">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五、2026 年一般公共预算支出情况</w:t>
      </w:r>
    </w:p>
    <w:p w14:paraId="53E2F5C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年一般公共预算当年拨款197.68万元，其中：基本支出114.47万元，占57.91%；项目支出83.21万元，占42.09%。基本支出中，人员经费89.96万元，占78.59%；公用经费24.51万元，占21.41%。</w:t>
      </w:r>
    </w:p>
    <w:p w14:paraId="24C5E3A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社会保障和就业（类）支出 10.38 万元，占5.25%，主要用于：机关事业单位基本养老保险缴费支出。</w:t>
      </w:r>
    </w:p>
    <w:p w14:paraId="461AA8A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住房保障（类）支出 7.94 万元，占4.02%，主要用于：职工住房公积金缴费支出。</w:t>
      </w:r>
    </w:p>
    <w:p w14:paraId="76E029E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城乡社区（类）支出 179.36 万元，占90.73%，主要用于：城乡社区环境卫生相关的人员、公用及项目支出。</w:t>
      </w:r>
    </w:p>
    <w:p w14:paraId="1263BB99">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六、2026 年一般公共预算基本支出情况</w:t>
      </w:r>
    </w:p>
    <w:p w14:paraId="6E937A6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年一般公共预算基本支出 114.47 万元，其中：人员经费89.96万元，主要包括：基本工资、津贴补贴、奖金、绩效工资、机关事业单位基本养老保险缴费、职工基本医疗保险缴费、其他社会保障缴费、住房公积金、其他工资福利支出、生活补助等；</w:t>
      </w:r>
    </w:p>
    <w:p w14:paraId="242DE3C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公用经费24.51万元，主要包括：办公费、印刷费、水费、电费、邮电费、取暖</w:t>
      </w:r>
      <w:r>
        <w:rPr>
          <w:rFonts w:hint="eastAsia" w:ascii="仿宋_GB2312" w:hAnsi="仿宋_GB2312" w:eastAsia="仿宋_GB2312" w:cs="仿宋_GB2312"/>
          <w:sz w:val="32"/>
          <w:szCs w:val="32"/>
          <w:lang w:eastAsia="zh-CN"/>
        </w:rPr>
        <w:t>电</w:t>
      </w:r>
      <w:r>
        <w:rPr>
          <w:rFonts w:hint="eastAsia" w:ascii="仿宋_GB2312" w:hAnsi="仿宋_GB2312" w:eastAsia="仿宋_GB2312" w:cs="仿宋_GB2312"/>
          <w:sz w:val="32"/>
          <w:szCs w:val="32"/>
        </w:rPr>
        <w:t>费、工会经费、</w:t>
      </w:r>
      <w:r>
        <w:rPr>
          <w:rFonts w:hint="eastAsia" w:ascii="仿宋_GB2312" w:hAnsi="仿宋_GB2312" w:eastAsia="仿宋_GB2312" w:cs="仿宋_GB2312"/>
          <w:sz w:val="32"/>
          <w:szCs w:val="32"/>
          <w:lang w:eastAsia="zh-CN"/>
        </w:rPr>
        <w:t>其他交通</w:t>
      </w:r>
      <w:r>
        <w:rPr>
          <w:rFonts w:hint="eastAsia" w:ascii="仿宋_GB2312" w:hAnsi="仿宋_GB2312" w:eastAsia="仿宋_GB2312" w:cs="仿宋_GB2312"/>
          <w:sz w:val="32"/>
          <w:szCs w:val="32"/>
        </w:rPr>
        <w:t>费等。</w:t>
      </w:r>
    </w:p>
    <w:p w14:paraId="513264DA">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七、2026 年一般公共预算财政拨款 “三公经费” 情况</w:t>
      </w:r>
    </w:p>
    <w:p w14:paraId="3CAF114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 “三公” 经费预算数0.00 万元，比 2025 年预算减少 0.00 万元。主要原因是本单位无三公经费相关支出安排。</w:t>
      </w:r>
    </w:p>
    <w:p w14:paraId="6748C02B">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八、2026 年政府性基金预算支出情况</w:t>
      </w:r>
    </w:p>
    <w:p w14:paraId="01BA265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年本单位政府性基金支出110.00万元。</w:t>
      </w:r>
    </w:p>
    <w:p w14:paraId="13335A8B">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九、2026 年国有资本经营预算支出情况</w:t>
      </w:r>
    </w:p>
    <w:p w14:paraId="0BC7541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年本单位无国有资本经营预算支出。</w:t>
      </w:r>
    </w:p>
    <w:p w14:paraId="790F3378">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十、 其他重要事项的说明情况</w:t>
      </w:r>
    </w:p>
    <w:p w14:paraId="6EB34DF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（一）机关运行经费</w:t>
      </w:r>
    </w:p>
    <w:p w14:paraId="1C1FA77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年本单位不涉及机关运行经费财政拨款预算｡</w:t>
      </w:r>
    </w:p>
    <w:p w14:paraId="6409472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（二）政府采购情况</w:t>
      </w:r>
    </w:p>
    <w:p w14:paraId="3E48510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年政府采购预算总额15.34万元，其中：政府采购办公设备和其他设备预算0.41万元</w:t>
      </w:r>
      <w:r>
        <w:rPr>
          <w:rFonts w:hint="eastAsia" w:ascii="仿宋_GB2312" w:hAnsi="仿宋_GB2312" w:eastAsia="仿宋_GB2312" w:cs="仿宋_GB2312"/>
          <w:sz w:val="32"/>
          <w:szCs w:val="32"/>
          <w:lang w:eastAsia="zh-CN"/>
        </w:rPr>
        <w:t>（其他硒鼓、粉盒，复印纸）</w:t>
      </w:r>
      <w:r>
        <w:rPr>
          <w:rFonts w:hint="eastAsia" w:ascii="仿宋_GB2312" w:hAnsi="仿宋_GB2312" w:eastAsia="仿宋_GB2312" w:cs="仿宋_GB2312"/>
          <w:sz w:val="32"/>
          <w:szCs w:val="32"/>
        </w:rPr>
        <w:t>，政府采购工程预算 0.00 万元，政府采购服务预算 14.93 万元</w:t>
      </w:r>
      <w:r>
        <w:rPr>
          <w:rFonts w:hint="eastAsia" w:ascii="仿宋_GB2312" w:hAnsi="仿宋_GB2312" w:eastAsia="仿宋_GB2312" w:cs="仿宋_GB2312"/>
          <w:sz w:val="32"/>
          <w:szCs w:val="32"/>
          <w:lang w:eastAsia="zh-CN"/>
        </w:rPr>
        <w:t>（网络接入服务，车辆维修和保养服务，车辆加油、添加燃料服务，其他印刷服务）</w:t>
      </w:r>
      <w:r>
        <w:rPr>
          <w:rFonts w:hint="eastAsia" w:ascii="仿宋_GB2312" w:hAnsi="仿宋_GB2312" w:eastAsia="仿宋_GB2312" w:cs="仿宋_GB2312"/>
          <w:sz w:val="32"/>
          <w:szCs w:val="32"/>
        </w:rPr>
        <w:t>。</w:t>
      </w:r>
    </w:p>
    <w:p w14:paraId="476E336A">
      <w:pPr>
        <w:ind w:firstLine="640" w:firstLineChars="200"/>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政府采购拆分：办公设备和其他设备（硒鼓、粉盒 0.25 + 复印纸 0.16）=0.41 万元，服务类（网络接入 0.40 + 车辆维修 7.53 + 车辆加油 6.00 + 印刷 1.00）=14.93 万元，合计 15.34 万元。</w:t>
      </w:r>
    </w:p>
    <w:p w14:paraId="2869429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（三）国有资产占有使用情况</w:t>
      </w:r>
    </w:p>
    <w:p w14:paraId="561946A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截至2026年1月，</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单位共有车辆7 辆，其中，领导干部用车 0 辆、一般公务用车 0 辆，一般执法执勤用车 0 辆、特种专业技术用车 0 辆、其他用车 7 辆，价值 200 万元以上大型设备 0 台（套）。</w:t>
      </w:r>
    </w:p>
    <w:p w14:paraId="53C5DB5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年部门预算安排购置车辆及价值 200 万元以上大型设备 0.00 万元，其中本单位无相关购置预算安排。</w:t>
      </w:r>
    </w:p>
    <w:p w14:paraId="0A63846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（四）预算项目绩效目标管理情况</w:t>
      </w:r>
    </w:p>
    <w:p w14:paraId="3372CD9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按照全面实施预算绩效管理的要求，结合本部门职能和重点工作，2026 年将 </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 xml:space="preserve"> 个项目支出的绩效目标和指标向社会公开，涉及金额 193.21万元。</w:t>
      </w:r>
    </w:p>
    <w:p w14:paraId="046F21ED">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第三部分 名词解释</w:t>
      </w:r>
    </w:p>
    <w:p w14:paraId="7CB577F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一、一般公共预算拨款收入：指本级财政通过当年一般公共预算拨付的资金。</w:t>
      </w:r>
    </w:p>
    <w:p w14:paraId="15E2513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二、政府性基金预算拨款收入：指本级财政通过当年政府性基金预算拨付的资金。</w:t>
      </w:r>
    </w:p>
    <w:p w14:paraId="439725B4">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三、国有资本经营预算拨款收入：指本级财政通过当年国有资本经营预算拨付的资金。</w:t>
      </w:r>
    </w:p>
    <w:p w14:paraId="1A28B73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四、其他收入：指除上述收入以外的各项收入。包括银行存款利息收入。</w:t>
      </w:r>
    </w:p>
    <w:p w14:paraId="0B68972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五、基本支出：指为保障机构正常运转、完成日常工作任务而发生的人员支出和公用支出等各项支出。</w:t>
      </w:r>
    </w:p>
    <w:p w14:paraId="7C4F959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六、项目支出：指在基本支出之外为完成特定行政工作任务和事业发展目标所发生的各项支出。</w:t>
      </w:r>
    </w:p>
    <w:p w14:paraId="05D54D3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七、年初结转和结余：指以前年度尚未完成、结转到本年仍按原规定用途继续使用的资金，或项目已完成等产生的结余资金。</w:t>
      </w:r>
    </w:p>
    <w:p w14:paraId="65736BEE">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八、年末结转和结余：指事业单位按有关规定结转到下年或以后年度继续使用的资金，或项目已完成等产生的结余资金。</w:t>
      </w:r>
    </w:p>
    <w:p w14:paraId="1C5D5E1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九、“三公” 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5EB74CB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9990EFA">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十一、住房公积金支出：指行政事业单位按人力资源和社会保障部、财政部规定的基本工资和津贴补贴以及规定比例为职工缴纳的住房公积金支出。</w:t>
      </w:r>
    </w:p>
    <w:p w14:paraId="41F3F4D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十二、项目支出绩效目标：是以项目支出为对象，以项目实施所带来的产出和结果为主要内容，为促进预算单位完成特定工作任务或事业发展所制定的目标。</w:t>
      </w:r>
    </w:p>
    <w:p w14:paraId="48C7A9FB">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第四部分 预算表格</w:t>
      </w:r>
    </w:p>
    <w:p w14:paraId="437A757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 年部门预算表套表（预算一体化 -“预算编制” 模块 - 预算编制帆软报表查询中提取相应数据）。</w:t>
      </w:r>
    </w:p>
    <w:p w14:paraId="3F45FE4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1、收支总表</w:t>
      </w:r>
    </w:p>
    <w:p w14:paraId="37745DC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2、收入总表</w:t>
      </w:r>
    </w:p>
    <w:p w14:paraId="25FDF2C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3、支出总表</w:t>
      </w:r>
      <w:bookmarkStart w:id="0" w:name="_GoBack"/>
      <w:bookmarkEnd w:id="0"/>
    </w:p>
    <w:p w14:paraId="5092D20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4、财政拨款收支总表</w:t>
      </w:r>
    </w:p>
    <w:p w14:paraId="5B8ADA5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5、一般公共预算支出表</w:t>
      </w:r>
    </w:p>
    <w:p w14:paraId="358987D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6、一般公共预算财政拨款基本支出预算表</w:t>
      </w:r>
    </w:p>
    <w:p w14:paraId="7AB8A56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7、一般公共预算 “三公” 经费支出表</w:t>
      </w:r>
    </w:p>
    <w:p w14:paraId="1D1809B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8、政府性基金预算支出表</w:t>
      </w:r>
    </w:p>
    <w:p w14:paraId="5383EC6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9、国有资本经营预算支出表</w:t>
      </w:r>
    </w:p>
    <w:p w14:paraId="00E3AD4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10、项目支出表</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SymbolP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ymbolPS">
    <w:panose1 w:val="05050102010607020607"/>
    <w:charset w:val="00"/>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1">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D482D8B"/>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D350EFA"/>
    <w:rsid w:val="1F451F7A"/>
    <w:rsid w:val="20EF71F1"/>
    <w:rsid w:val="21FE2E7E"/>
    <w:rsid w:val="2323212D"/>
    <w:rsid w:val="23625F6F"/>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285CCC"/>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B8F1D50"/>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2896</Words>
  <Characters>3113</Characters>
  <Lines>21</Lines>
  <Paragraphs>6</Paragraphs>
  <TotalTime>2</TotalTime>
  <ScaleCrop>false</ScaleCrop>
  <LinksUpToDate>false</LinksUpToDate>
  <CharactersWithSpaces>3261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杰17560035833</cp:lastModifiedBy>
  <dcterms:modified xsi:type="dcterms:W3CDTF">2026-03-24T07:37:02Z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eyJoZGlkIjoiMzkxYjA1NDI5ZjQwNzJlZGJiYTA2NGRiYjkwMWZiODEiLCJ1c2VySWQiOiIzMzAwNjMxNTgifQ==</vt:lpwstr>
  </property>
</Properties>
</file>