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园艺特产站</w:t>
      </w: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w:t>
      </w:r>
      <w:r>
        <w:rPr>
          <w:rFonts w:hint="eastAsia" w:ascii="黑体" w:hAnsi="黑体" w:eastAsia="黑体"/>
          <w:sz w:val="52"/>
          <w:szCs w:val="52"/>
          <w:lang w:val="en-US" w:eastAsia="zh-CN"/>
        </w:rPr>
        <w:t>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val="en-US" w:eastAsia="zh-CN"/>
        </w:rPr>
        <w:t>六</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highlight w:val="none"/>
          <w:lang w:val="en-US" w:eastAsia="zh-CN"/>
        </w:rPr>
        <w:t>园艺特产站</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永吉县园艺特产站</w:t>
      </w:r>
    </w:p>
    <w:p>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财政全额拨款事业单位</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园艺特产技术试验、示范、推广、园艺特产科技培训、园艺特产新产品引进、培育和建立园艺特产示范基地、承担国家、省、市、县园艺特产科技推广任务、负责全县柞蚕种检验、监督管理工作。</w:t>
      </w:r>
    </w:p>
    <w:p>
      <w:pPr>
        <w:pStyle w:val="10"/>
        <w:widowControl/>
        <w:spacing w:line="620" w:lineRule="exact"/>
        <w:ind w:firstLine="640" w:firstLineChars="200"/>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负责全县园艺特产试验、示范、推广工作、负责抓好园艺特产重点项目建设工作、负责全县二十多家繁种企业监督管理工作。</w:t>
      </w: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本单位没有内设机构</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w:t>
      </w:r>
      <w:r>
        <w:rPr>
          <w:rFonts w:hint="eastAsia" w:ascii="仿宋" w:hAnsi="仿宋" w:eastAsia="仿宋"/>
          <w:kern w:val="0"/>
          <w:szCs w:val="32"/>
        </w:rPr>
        <w:t>人，编制数</w:t>
      </w:r>
      <w:r>
        <w:rPr>
          <w:rFonts w:hint="eastAsia" w:ascii="仿宋" w:hAnsi="仿宋" w:eastAsia="仿宋"/>
          <w:kern w:val="0"/>
          <w:szCs w:val="32"/>
          <w:lang w:val="en-US" w:eastAsia="zh-CN"/>
        </w:rPr>
        <w:t>5</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63.72</w:t>
      </w:r>
      <w:r>
        <w:rPr>
          <w:rFonts w:hint="eastAsia" w:ascii="仿宋" w:hAnsi="仿宋" w:eastAsia="仿宋"/>
          <w:sz w:val="32"/>
          <w:szCs w:val="32"/>
        </w:rPr>
        <w:t xml:space="preserve"> 万元，比 </w:t>
      </w:r>
      <w:bookmarkStart w:id="2" w:name="_GoBack"/>
      <w:bookmarkEnd w:id="2"/>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57.50</w:t>
      </w:r>
      <w:r>
        <w:rPr>
          <w:rFonts w:hint="eastAsia" w:ascii="仿宋" w:hAnsi="仿宋" w:eastAsia="仿宋"/>
          <w:sz w:val="32"/>
          <w:szCs w:val="32"/>
        </w:rPr>
        <w:t>万元</w:t>
      </w:r>
      <w:r>
        <w:rPr>
          <w:rFonts w:hint="eastAsia" w:ascii="仿宋" w:hAnsi="仿宋" w:eastAsia="仿宋"/>
          <w:sz w:val="32"/>
          <w:szCs w:val="32"/>
          <w:lang w:val="en-US" w:eastAsia="zh-CN"/>
        </w:rPr>
        <w:t>增加6.22</w:t>
      </w:r>
      <w:r>
        <w:rPr>
          <w:rFonts w:hint="eastAsia" w:ascii="仿宋" w:hAnsi="仿宋" w:eastAsia="仿宋"/>
          <w:sz w:val="32"/>
          <w:szCs w:val="32"/>
        </w:rPr>
        <w:t>万元，主要原因：</w:t>
      </w:r>
      <w:r>
        <w:rPr>
          <w:rFonts w:hint="eastAsia" w:ascii="仿宋" w:hAnsi="仿宋" w:eastAsia="仿宋"/>
          <w:sz w:val="32"/>
          <w:szCs w:val="32"/>
          <w:lang w:val="en-US" w:eastAsia="zh-CN"/>
        </w:rPr>
        <w:t>2024年工资调标以及2025年薪级晋升薪级工资、基本工资、津贴补贴、绩效工资、</w:t>
      </w:r>
      <w:r>
        <w:rPr>
          <w:rFonts w:hint="eastAsia" w:ascii="仿宋" w:hAnsi="仿宋" w:eastAsia="仿宋"/>
          <w:sz w:val="32"/>
          <w:szCs w:val="32"/>
          <w:lang w:eastAsia="zh-CN"/>
        </w:rPr>
        <w:t>关事业单位基本养老保险缴费支出</w:t>
      </w:r>
      <w:r>
        <w:rPr>
          <w:rFonts w:hint="eastAsia" w:ascii="仿宋" w:hAnsi="仿宋" w:eastAsia="仿宋"/>
          <w:sz w:val="32"/>
          <w:szCs w:val="32"/>
          <w:lang w:val="en-US" w:eastAsia="zh-CN"/>
        </w:rPr>
        <w:t>、职工基本医疗保险、职业年金等对应上调增加6.22万元</w:t>
      </w:r>
      <w:r>
        <w:rPr>
          <w:rFonts w:hint="eastAsia" w:ascii="仿宋" w:hAnsi="仿宋" w:eastAsia="仿宋"/>
          <w:sz w:val="32"/>
          <w:szCs w:val="32"/>
        </w:rPr>
        <w:t>。按照综合预算的原则，所有收入和支出全部纳入部门预算管理。</w:t>
      </w:r>
    </w:p>
    <w:p>
      <w:pPr>
        <w:pStyle w:val="11"/>
        <w:ind w:firstLine="640" w:firstLineChars="200"/>
        <w:jc w:val="left"/>
        <w:rPr>
          <w:rFonts w:ascii="仿宋" w:hAnsi="仿宋" w:eastAsia="仿宋"/>
          <w:sz w:val="32"/>
          <w:szCs w:val="32"/>
        </w:rPr>
      </w:pP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年本单位收入预算</w:t>
      </w:r>
      <w:bookmarkStart w:id="0" w:name="OLE_LINK1"/>
      <w:r>
        <w:rPr>
          <w:rFonts w:hint="eastAsia" w:ascii="仿宋" w:hAnsi="仿宋" w:eastAsia="仿宋"/>
          <w:sz w:val="32"/>
          <w:szCs w:val="32"/>
        </w:rPr>
        <w:t xml:space="preserve"> </w:t>
      </w:r>
      <w:bookmarkEnd w:id="0"/>
      <w:r>
        <w:rPr>
          <w:rFonts w:hint="eastAsia" w:ascii="仿宋" w:hAnsi="仿宋" w:eastAsia="仿宋"/>
          <w:sz w:val="32"/>
          <w:szCs w:val="32"/>
          <w:lang w:val="en-US" w:eastAsia="zh-CN"/>
        </w:rPr>
        <w:t>63.72</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63.72</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年支出预算 </w:t>
      </w:r>
      <w:r>
        <w:rPr>
          <w:rFonts w:hint="eastAsia" w:ascii="仿宋" w:hAnsi="仿宋" w:eastAsia="仿宋"/>
          <w:sz w:val="32"/>
          <w:szCs w:val="32"/>
          <w:lang w:val="en-US" w:eastAsia="zh-CN"/>
        </w:rPr>
        <w:t>63.72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63.72</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年财政拨款收支总预算 </w:t>
      </w:r>
      <w:bookmarkStart w:id="1" w:name="OLE_LINK2"/>
      <w:r>
        <w:rPr>
          <w:rFonts w:hint="eastAsia" w:ascii="仿宋" w:hAnsi="仿宋" w:eastAsia="仿宋"/>
          <w:sz w:val="32"/>
          <w:szCs w:val="32"/>
          <w:lang w:val="en-US" w:eastAsia="zh-CN"/>
        </w:rPr>
        <w:t>63.72</w:t>
      </w:r>
      <w:r>
        <w:rPr>
          <w:rFonts w:hint="eastAsia" w:ascii="仿宋" w:hAnsi="仿宋" w:eastAsia="仿宋"/>
          <w:sz w:val="32"/>
          <w:szCs w:val="32"/>
        </w:rPr>
        <w:t xml:space="preserve"> </w:t>
      </w:r>
      <w:bookmarkEnd w:id="1"/>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63.72</w:t>
      </w:r>
      <w:r>
        <w:rPr>
          <w:rFonts w:hint="eastAsia" w:ascii="仿宋" w:hAnsi="仿宋" w:eastAsia="仿宋"/>
          <w:sz w:val="32"/>
          <w:szCs w:val="32"/>
        </w:rPr>
        <w:t xml:space="preserve"> 万元。本年支出 </w:t>
      </w:r>
      <w:r>
        <w:rPr>
          <w:rFonts w:hint="eastAsia" w:ascii="仿宋" w:hAnsi="仿宋" w:eastAsia="仿宋"/>
          <w:sz w:val="32"/>
          <w:szCs w:val="32"/>
          <w:lang w:val="en-US" w:eastAsia="zh-CN"/>
        </w:rPr>
        <w:t>63.72</w:t>
      </w:r>
      <w:r>
        <w:rPr>
          <w:rFonts w:hint="eastAsia" w:ascii="仿宋" w:hAnsi="仿宋" w:eastAsia="仿宋"/>
          <w:sz w:val="32"/>
          <w:szCs w:val="32"/>
        </w:rPr>
        <w:t xml:space="preserve"> 万元，支出包括：社会保障和就业支出</w:t>
      </w:r>
      <w:r>
        <w:rPr>
          <w:rFonts w:hint="eastAsia" w:ascii="仿宋" w:hAnsi="仿宋" w:eastAsia="仿宋"/>
          <w:sz w:val="32"/>
          <w:szCs w:val="32"/>
          <w:lang w:val="en-US" w:eastAsia="zh-CN"/>
        </w:rPr>
        <w:t>6.93</w:t>
      </w:r>
      <w:r>
        <w:rPr>
          <w:rFonts w:hint="eastAsia" w:ascii="仿宋" w:hAnsi="仿宋" w:eastAsia="仿宋"/>
          <w:sz w:val="32"/>
          <w:szCs w:val="32"/>
        </w:rPr>
        <w:t>万元，</w:t>
      </w:r>
      <w:r>
        <w:rPr>
          <w:rFonts w:hint="eastAsia" w:ascii="仿宋" w:hAnsi="仿宋" w:eastAsia="仿宋"/>
          <w:sz w:val="32"/>
          <w:szCs w:val="32"/>
          <w:lang w:val="en-US"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51.50</w:t>
      </w:r>
      <w:r>
        <w:rPr>
          <w:rFonts w:hint="eastAsia" w:ascii="仿宋" w:hAnsi="仿宋" w:eastAsia="仿宋"/>
          <w:sz w:val="32"/>
          <w:szCs w:val="32"/>
        </w:rPr>
        <w:t>万元，住房保障支出</w:t>
      </w:r>
      <w:r>
        <w:rPr>
          <w:rFonts w:hint="eastAsia" w:ascii="仿宋" w:hAnsi="仿宋" w:eastAsia="仿宋"/>
          <w:sz w:val="32"/>
          <w:szCs w:val="32"/>
          <w:lang w:val="en-US" w:eastAsia="zh-CN"/>
        </w:rPr>
        <w:t>5.29</w:t>
      </w:r>
      <w:r>
        <w:rPr>
          <w:rFonts w:hint="eastAsia" w:ascii="仿宋" w:hAnsi="仿宋" w:eastAsia="仿宋"/>
          <w:sz w:val="32"/>
          <w:szCs w:val="32"/>
        </w:rPr>
        <w:t>万元</w:t>
      </w:r>
      <w:r>
        <w:rPr>
          <w:rFonts w:hint="eastAsia" w:ascii="仿宋" w:hAnsi="仿宋" w:eastAsia="仿宋"/>
          <w:sz w:val="32"/>
          <w:szCs w:val="32"/>
          <w:lang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63.72</w:t>
      </w:r>
      <w:r>
        <w:rPr>
          <w:rFonts w:hint="eastAsia" w:ascii="仿宋" w:hAnsi="仿宋" w:eastAsia="仿宋"/>
          <w:sz w:val="32"/>
          <w:szCs w:val="32"/>
        </w:rPr>
        <w:t xml:space="preserve"> 万元，其中：基本支出</w:t>
      </w:r>
      <w:r>
        <w:rPr>
          <w:rFonts w:hint="eastAsia" w:ascii="仿宋" w:hAnsi="仿宋" w:eastAsia="仿宋"/>
          <w:sz w:val="32"/>
          <w:szCs w:val="32"/>
          <w:lang w:val="en-US" w:eastAsia="zh-CN"/>
        </w:rPr>
        <w:t>63.72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59.97</w:t>
      </w:r>
      <w:r>
        <w:rPr>
          <w:rFonts w:hint="eastAsia" w:ascii="仿宋" w:hAnsi="仿宋" w:eastAsia="仿宋"/>
          <w:sz w:val="32"/>
          <w:szCs w:val="32"/>
        </w:rPr>
        <w:t>万元，占</w:t>
      </w:r>
      <w:r>
        <w:rPr>
          <w:rFonts w:hint="eastAsia" w:ascii="仿宋" w:hAnsi="仿宋" w:eastAsia="仿宋"/>
          <w:sz w:val="32"/>
          <w:szCs w:val="32"/>
          <w:lang w:val="en-US" w:eastAsia="zh-CN"/>
        </w:rPr>
        <w:t>94.11</w:t>
      </w:r>
      <w:r>
        <w:rPr>
          <w:rFonts w:hint="eastAsia" w:ascii="仿宋" w:hAnsi="仿宋" w:eastAsia="仿宋"/>
          <w:sz w:val="32"/>
          <w:szCs w:val="32"/>
        </w:rPr>
        <w:t>%；公用经费</w:t>
      </w:r>
      <w:r>
        <w:rPr>
          <w:rFonts w:hint="eastAsia" w:ascii="仿宋" w:hAnsi="仿宋" w:eastAsia="仿宋"/>
          <w:sz w:val="32"/>
          <w:szCs w:val="32"/>
          <w:lang w:val="en-US" w:eastAsia="zh-CN"/>
        </w:rPr>
        <w:t>3.75</w:t>
      </w:r>
      <w:r>
        <w:rPr>
          <w:rFonts w:hint="eastAsia" w:ascii="仿宋" w:hAnsi="仿宋" w:eastAsia="仿宋"/>
          <w:sz w:val="32"/>
          <w:szCs w:val="32"/>
        </w:rPr>
        <w:t>万元，占</w:t>
      </w:r>
      <w:r>
        <w:rPr>
          <w:rFonts w:hint="eastAsia" w:ascii="仿宋" w:hAnsi="仿宋" w:eastAsia="仿宋"/>
          <w:sz w:val="32"/>
          <w:szCs w:val="32"/>
          <w:lang w:val="en-US" w:eastAsia="zh-CN"/>
        </w:rPr>
        <w:t>5.89</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lang w:val="en-US" w:eastAsia="zh-CN"/>
        </w:rPr>
        <w:t>农林水</w:t>
      </w:r>
      <w:r>
        <w:rPr>
          <w:rFonts w:hint="eastAsia" w:ascii="仿宋" w:hAnsi="仿宋" w:eastAsia="仿宋"/>
          <w:sz w:val="32"/>
          <w:szCs w:val="32"/>
        </w:rPr>
        <w:t xml:space="preserve">支出 </w:t>
      </w:r>
      <w:r>
        <w:rPr>
          <w:rFonts w:hint="eastAsia" w:ascii="仿宋" w:hAnsi="仿宋" w:eastAsia="仿宋"/>
          <w:sz w:val="32"/>
          <w:szCs w:val="32"/>
          <w:lang w:val="en-US" w:eastAsia="zh-CN"/>
        </w:rPr>
        <w:t>51.5</w:t>
      </w:r>
      <w:r>
        <w:rPr>
          <w:rFonts w:hint="eastAsia" w:ascii="仿宋" w:hAnsi="仿宋" w:eastAsia="仿宋"/>
          <w:sz w:val="32"/>
          <w:szCs w:val="32"/>
        </w:rPr>
        <w:t>万元，占</w:t>
      </w:r>
      <w:r>
        <w:rPr>
          <w:rFonts w:hint="eastAsia" w:ascii="仿宋" w:hAnsi="仿宋" w:eastAsia="仿宋"/>
          <w:sz w:val="32"/>
          <w:szCs w:val="32"/>
          <w:lang w:val="en-US" w:eastAsia="zh-CN"/>
        </w:rPr>
        <w:t>80.82</w:t>
      </w:r>
      <w:r>
        <w:rPr>
          <w:rFonts w:hint="eastAsia" w:ascii="仿宋" w:hAnsi="仿宋" w:eastAsia="仿宋"/>
          <w:sz w:val="32"/>
          <w:szCs w:val="32"/>
        </w:rPr>
        <w:t>%，主要用于：</w:t>
      </w:r>
      <w:r>
        <w:rPr>
          <w:rFonts w:hint="eastAsia" w:ascii="仿宋" w:hAnsi="仿宋" w:eastAsia="仿宋"/>
          <w:sz w:val="32"/>
          <w:szCs w:val="32"/>
          <w:lang w:eastAsia="zh-CN"/>
        </w:rPr>
        <w:t>基本工资、绩效工资、津贴补贴、</w:t>
      </w:r>
      <w:r>
        <w:rPr>
          <w:rFonts w:hint="eastAsia" w:ascii="仿宋" w:hAnsi="仿宋" w:eastAsia="仿宋"/>
          <w:sz w:val="32"/>
          <w:szCs w:val="32"/>
          <w:lang w:val="en-US" w:eastAsia="zh-CN"/>
        </w:rPr>
        <w:t>职工基本医疗保险、其他社会保障缴费、办公费、差旅费、印刷费、维护费、电费、邮电费、水费取暖费、其他工资福利支出</w:t>
      </w:r>
      <w:r>
        <w:rPr>
          <w:rFonts w:hint="eastAsia" w:ascii="仿宋" w:hAnsi="仿宋" w:eastAsia="仿宋"/>
          <w:sz w:val="32"/>
          <w:szCs w:val="32"/>
          <w:lang w:eastAsia="zh-CN"/>
        </w:rPr>
        <w:t>等</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6.93</w:t>
      </w:r>
      <w:r>
        <w:rPr>
          <w:rFonts w:hint="eastAsia" w:ascii="仿宋" w:hAnsi="仿宋" w:eastAsia="仿宋"/>
          <w:sz w:val="32"/>
          <w:szCs w:val="32"/>
        </w:rPr>
        <w:t>万元，占</w:t>
      </w:r>
      <w:r>
        <w:rPr>
          <w:rFonts w:hint="eastAsia" w:ascii="仿宋" w:hAnsi="仿宋" w:eastAsia="仿宋"/>
          <w:sz w:val="32"/>
          <w:szCs w:val="32"/>
          <w:lang w:val="en-US" w:eastAsia="zh-CN"/>
        </w:rPr>
        <w:t>10.88</w:t>
      </w:r>
      <w:r>
        <w:rPr>
          <w:rFonts w:hint="eastAsia" w:ascii="仿宋" w:hAnsi="仿宋" w:eastAsia="仿宋"/>
          <w:sz w:val="32"/>
          <w:szCs w:val="32"/>
        </w:rPr>
        <w:t>%，主要用于：</w:t>
      </w:r>
      <w:r>
        <w:rPr>
          <w:rFonts w:hint="eastAsia" w:ascii="仿宋" w:hAnsi="仿宋" w:eastAsia="仿宋"/>
          <w:sz w:val="32"/>
          <w:szCs w:val="32"/>
          <w:lang w:val="en-US" w:eastAsia="zh-CN"/>
        </w:rPr>
        <w:t>机关事业单位基本养老保险缴费支出</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5.29</w:t>
      </w:r>
      <w:r>
        <w:rPr>
          <w:rFonts w:hint="eastAsia" w:ascii="仿宋" w:hAnsi="仿宋" w:eastAsia="仿宋"/>
          <w:sz w:val="32"/>
          <w:szCs w:val="32"/>
        </w:rPr>
        <w:t xml:space="preserve"> 万元，占</w:t>
      </w:r>
      <w:r>
        <w:rPr>
          <w:rFonts w:hint="eastAsia" w:ascii="仿宋" w:hAnsi="仿宋" w:eastAsia="仿宋"/>
          <w:sz w:val="32"/>
          <w:szCs w:val="32"/>
          <w:lang w:val="en-US" w:eastAsia="zh-CN"/>
        </w:rPr>
        <w:t>8.3</w:t>
      </w:r>
      <w:r>
        <w:rPr>
          <w:rFonts w:hint="eastAsia" w:ascii="仿宋" w:hAnsi="仿宋" w:eastAsia="仿宋"/>
          <w:sz w:val="32"/>
          <w:szCs w:val="32"/>
        </w:rPr>
        <w:t>%，主要用于：</w:t>
      </w:r>
      <w:r>
        <w:rPr>
          <w:rFonts w:hint="eastAsia" w:ascii="仿宋" w:hAnsi="仿宋" w:eastAsia="仿宋"/>
          <w:sz w:val="32"/>
          <w:szCs w:val="32"/>
          <w:lang w:val="en-US" w:eastAsia="zh-CN"/>
        </w:rPr>
        <w:t>住房公积金</w:t>
      </w: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63.72</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59.97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3.75</w:t>
      </w:r>
      <w:r>
        <w:rPr>
          <w:rFonts w:hint="eastAsia" w:ascii="仿宋" w:hAnsi="仿宋" w:eastAsia="仿宋"/>
          <w:sz w:val="32"/>
          <w:szCs w:val="32"/>
        </w:rPr>
        <w:t>万元，主要包括：办公费、印刷费、水费、电费、邮电费、取暖费、差旅费、会议费、公务接待费、工会经费、公务用车运行维护费等。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pPr>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年，我部门“三公”经费预算</w:t>
      </w:r>
      <w:r>
        <w:rPr>
          <w:rFonts w:hint="eastAsia" w:ascii="仿宋" w:hAnsi="仿宋" w:eastAsia="仿宋" w:cs="仿宋"/>
          <w:sz w:val="32"/>
          <w:szCs w:val="32"/>
          <w:lang w:eastAsia="zh-CN"/>
        </w:rPr>
        <w:t>暂未</w:t>
      </w:r>
      <w:r>
        <w:rPr>
          <w:rFonts w:hint="eastAsia" w:ascii="仿宋" w:hAnsi="仿宋" w:eastAsia="仿宋" w:cs="仿宋"/>
          <w:sz w:val="32"/>
          <w:szCs w:val="32"/>
        </w:rPr>
        <w:t>安排</w:t>
      </w:r>
      <w:r>
        <w:rPr>
          <w:rFonts w:hint="eastAsia" w:ascii="仿宋" w:hAnsi="仿宋" w:eastAsia="仿宋" w:cs="仿宋"/>
          <w:sz w:val="32"/>
          <w:szCs w:val="32"/>
          <w:lang w:eastAsia="zh-CN"/>
        </w:rPr>
        <w:t>。</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pPr>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pPr>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pPr>
        <w:numPr>
          <w:ilvl w:val="0"/>
          <w:numId w:val="3"/>
        </w:numPr>
        <w:ind w:left="630" w:leftChars="0" w:firstLineChars="0"/>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left="0" w:leftChars="0" w:firstLine="0" w:firstLineChars="0"/>
        <w:rPr>
          <w:rFonts w:ascii="仿宋" w:hAnsi="仿宋" w:eastAsia="仿宋"/>
          <w:sz w:val="32"/>
          <w:szCs w:val="32"/>
          <w:highlight w:val="none"/>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年部门本级行政单位</w:t>
      </w:r>
      <w:r>
        <w:rPr>
          <w:rFonts w:hint="eastAsia" w:ascii="仿宋" w:hAnsi="仿宋" w:eastAsia="仿宋"/>
          <w:sz w:val="32"/>
          <w:szCs w:val="32"/>
          <w:lang w:eastAsia="zh-CN"/>
        </w:rPr>
        <w:t>机关运行经费无</w:t>
      </w:r>
      <w:r>
        <w:rPr>
          <w:rFonts w:hint="eastAsia" w:ascii="仿宋" w:hAnsi="仿宋" w:eastAsia="仿宋"/>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left="640" w:hanging="640" w:hangingChars="200"/>
        <w:jc w:val="left"/>
        <w:rPr>
          <w:rFonts w:ascii="楷体" w:hAnsi="楷体" w:eastAsia="楷体"/>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年，我部门预算</w:t>
      </w:r>
      <w:r>
        <w:rPr>
          <w:rFonts w:hint="eastAsia" w:ascii="仿宋" w:hAnsi="仿宋" w:eastAsia="仿宋" w:cs="仿宋"/>
          <w:sz w:val="32"/>
          <w:szCs w:val="32"/>
          <w:lang w:eastAsia="zh-CN"/>
        </w:rPr>
        <w:t>暂未</w:t>
      </w:r>
      <w:r>
        <w:rPr>
          <w:rFonts w:hint="eastAsia" w:ascii="仿宋" w:hAnsi="仿宋" w:eastAsia="仿宋" w:cs="仿宋"/>
          <w:sz w:val="32"/>
          <w:szCs w:val="32"/>
        </w:rPr>
        <w:t>安排政府采购项</w:t>
      </w:r>
      <w:r>
        <w:rPr>
          <w:rFonts w:hint="eastAsia" w:ascii="仿宋" w:hAnsi="仿宋" w:eastAsia="仿宋" w:cs="仿宋"/>
          <w:sz w:val="32"/>
          <w:szCs w:val="32"/>
          <w:lang w:eastAsia="zh-CN"/>
        </w:rPr>
        <w:t>目。</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楷体" w:hAnsi="楷体" w:eastAsia="楷体"/>
          <w:sz w:val="32"/>
          <w:szCs w:val="32"/>
        </w:rPr>
        <w:t>（三）国有资产占有使用情况</w:t>
      </w:r>
    </w:p>
    <w:p>
      <w:pPr>
        <w:rPr>
          <w:rFonts w:hint="eastAsia" w:ascii="仿宋" w:hAnsi="仿宋" w:eastAsia="仿宋" w:cs="仿宋"/>
          <w:sz w:val="32"/>
          <w:szCs w:val="32"/>
        </w:rPr>
      </w:pPr>
      <w:r>
        <w:rPr>
          <w:rFonts w:hint="eastAsia" w:ascii="仿宋" w:hAnsi="仿宋" w:eastAsia="仿宋"/>
          <w:sz w:val="32"/>
          <w:szCs w:val="32"/>
        </w:rPr>
        <w:t xml:space="preserve">    </w:t>
      </w:r>
      <w:r>
        <w:rPr>
          <w:rFonts w:hint="eastAsia" w:ascii="仿宋" w:hAnsi="仿宋" w:eastAsia="仿宋" w:cs="仿宋"/>
          <w:sz w:val="32"/>
          <w:szCs w:val="32"/>
        </w:rPr>
        <w:t>截至202</w:t>
      </w:r>
      <w:r>
        <w:rPr>
          <w:rFonts w:hint="eastAsia" w:ascii="仿宋" w:hAnsi="仿宋" w:eastAsia="仿宋" w:cs="仿宋"/>
          <w:sz w:val="32"/>
          <w:szCs w:val="32"/>
          <w:lang w:val="en-US" w:eastAsia="zh-CN"/>
        </w:rPr>
        <w:t>6</w:t>
      </w:r>
      <w:r>
        <w:rPr>
          <w:rFonts w:hint="eastAsia" w:ascii="仿宋" w:hAnsi="仿宋" w:eastAsia="仿宋" w:cs="仿宋"/>
          <w:sz w:val="32"/>
          <w:szCs w:val="32"/>
        </w:rPr>
        <w:t>年，我部门共有公务用车</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 辆。</w:t>
      </w:r>
    </w:p>
    <w:p>
      <w:pPr>
        <w:pStyle w:val="8"/>
        <w:ind w:left="0" w:leftChars="0" w:firstLine="0" w:firstLineChars="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年部门预算安排购置车辆及价值200万元以上大型设备</w:t>
      </w:r>
      <w:r>
        <w:rPr>
          <w:rFonts w:hint="eastAsia" w:ascii="仿宋" w:hAnsi="仿宋" w:eastAsia="仿宋" w:cs="仿宋"/>
          <w:sz w:val="32"/>
          <w:szCs w:val="32"/>
          <w:lang w:eastAsia="zh-CN"/>
        </w:rPr>
        <w:t>预算暂未安排</w:t>
      </w:r>
      <w:r>
        <w:rPr>
          <w:rFonts w:hint="eastAsia" w:ascii="仿宋" w:hAnsi="仿宋" w:eastAsia="仿宋" w:cs="仿宋"/>
          <w:sz w:val="32"/>
          <w:szCs w:val="32"/>
        </w:rPr>
        <w:t>。</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ind w:firstLine="640" w:firstLineChars="200"/>
        <w:rPr>
          <w:rFonts w:hint="eastAsia" w:ascii="仿宋" w:hAnsi="仿宋" w:eastAsia="仿宋" w:cs="仿宋"/>
          <w:color w:val="FF0000"/>
          <w:sz w:val="32"/>
          <w:szCs w:val="32"/>
        </w:rPr>
      </w:pPr>
      <w:r>
        <w:rPr>
          <w:rFonts w:hint="eastAsia" w:ascii="仿宋" w:hAnsi="仿宋" w:eastAsia="仿宋"/>
          <w:sz w:val="32"/>
          <w:szCs w:val="32"/>
        </w:rPr>
        <w:t xml:space="preserve">   </w:t>
      </w:r>
      <w:r>
        <w:rPr>
          <w:rFonts w:hint="eastAsia" w:ascii="仿宋" w:hAnsi="仿宋" w:eastAsia="仿宋" w:cs="仿宋"/>
          <w:sz w:val="32"/>
          <w:szCs w:val="32"/>
        </w:rPr>
        <w:t>按照全面实施预算绩效管理的要求，结合本部门职能和重点工作，</w:t>
      </w:r>
      <w:r>
        <w:rPr>
          <w:rFonts w:hint="eastAsia" w:ascii="仿宋" w:hAnsi="仿宋" w:eastAsia="仿宋" w:cs="仿宋"/>
          <w:color w:val="000000" w:themeColor="text1"/>
          <w:sz w:val="32"/>
          <w:szCs w:val="32"/>
          <w14:textFill>
            <w14:solidFill>
              <w14:schemeClr w14:val="tx1"/>
            </w14:solidFill>
          </w14:textFill>
        </w:rPr>
        <w:t>202</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eastAsia="zh-CN"/>
          <w14:textFill>
            <w14:solidFill>
              <w14:schemeClr w14:val="tx1"/>
            </w14:solidFill>
          </w14:textFill>
        </w:rPr>
        <w:t>我单位</w:t>
      </w:r>
      <w:r>
        <w:rPr>
          <w:rFonts w:hint="eastAsia" w:ascii="仿宋" w:hAnsi="仿宋" w:eastAsia="仿宋" w:cs="仿宋"/>
          <w:color w:val="000000" w:themeColor="text1"/>
          <w:sz w:val="32"/>
          <w:szCs w:val="32"/>
          <w14:textFill>
            <w14:solidFill>
              <w14:schemeClr w14:val="tx1"/>
            </w14:solidFill>
          </w14:textFill>
        </w:rPr>
        <w:t>预算暂未安排重点项目</w:t>
      </w:r>
    </w:p>
    <w:p>
      <w:pPr>
        <w:jc w:val="left"/>
        <w:rPr>
          <w:rFonts w:hint="eastAsia" w:ascii="仿宋" w:hAnsi="仿宋" w:eastAsia="仿宋" w:cs="仿宋"/>
          <w:sz w:val="32"/>
          <w:szCs w:val="32"/>
        </w:rPr>
      </w:pP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hint="eastAsia" w:ascii="仿宋" w:hAnsi="仿宋" w:eastAsia="仿宋" w:cs="仿宋"/>
          <w:sz w:val="32"/>
          <w:szCs w:val="32"/>
        </w:rPr>
      </w:pPr>
      <w:r>
        <w:rPr>
          <w:rFonts w:hint="eastAsia" w:ascii="仿宋_GB2312" w:eastAsia="仿宋_GB2312"/>
          <w:sz w:val="32"/>
          <w:szCs w:val="32"/>
        </w:rPr>
        <w:t>一、</w:t>
      </w:r>
      <w:r>
        <w:rPr>
          <w:rFonts w:hint="eastAsia" w:ascii="仿宋" w:hAnsi="仿宋" w:eastAsia="仿宋" w:cs="仿宋"/>
          <w:sz w:val="32"/>
          <w:szCs w:val="32"/>
        </w:rPr>
        <w:t>一般公共预算拨款收入：指本级财政通过当年一般公共预算拨付的资金。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二、政府性基金预算拨款收入：指本级财政通过当年政府性基金预算拨付的资金。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三、国有资本经营预算拨款收入：指本级财政通过当年国有资本经营预算拨付的资金。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四、其他收入：指除上述收入以外的各项收入。包括银行存款利息收入。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五、基本支出：指为保障机构正常运转、完成日常工作任务而发生的人员支出和公用支出等各项支出。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六、项目支出：指在基本支出之外为完成特定行政工作任务和事业发展目标所发生的各项支出。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七、年初结转和结余：指以前年度尚未完成、结转到本年仍按原规定用途继续使用的资金，或项目已完成等产生的结余资金。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八、年末结转和结余：指事业单位按有关规定结转到下年或以后年度继续使用的资金，或项目已完成等产生的结余资金。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十二、项目支出绩效目标：</w:t>
      </w:r>
      <w:r>
        <w:rPr>
          <w:rFonts w:hint="eastAsia" w:ascii="仿宋" w:hAnsi="仿宋" w:eastAsia="仿宋" w:cs="仿宋"/>
          <w:kern w:val="0"/>
          <w:sz w:val="32"/>
          <w:szCs w:val="32"/>
        </w:rPr>
        <w:t>是以项目支出为对象，以项目实施所带来的产出和结果为主要内容，为促进预算单位完成特定工作任务或事业发展所制定的目标。</w:t>
      </w:r>
    </w:p>
    <w:p>
      <w:pPr>
        <w:jc w:val="center"/>
        <w:rPr>
          <w:rFonts w:hint="eastAsia" w:ascii="仿宋" w:hAnsi="仿宋" w:eastAsia="仿宋"/>
          <w:sz w:val="32"/>
          <w:szCs w:val="32"/>
        </w:rPr>
      </w:pPr>
    </w:p>
    <w:p>
      <w:pPr>
        <w:jc w:val="center"/>
        <w:rPr>
          <w:rFonts w:hint="eastAsia" w:ascii="仿宋" w:hAnsi="仿宋" w:eastAsia="仿宋"/>
          <w:sz w:val="32"/>
          <w:szCs w:val="32"/>
        </w:rPr>
      </w:pPr>
    </w:p>
    <w:p>
      <w:pPr>
        <w:jc w:val="center"/>
        <w:rPr>
          <w:rFonts w:hint="eastAsia" w:ascii="仿宋" w:hAnsi="仿宋" w:eastAsia="仿宋"/>
          <w:sz w:val="32"/>
          <w:szCs w:val="32"/>
        </w:rPr>
      </w:pPr>
    </w:p>
    <w:p>
      <w:pPr>
        <w:jc w:val="center"/>
        <w:rPr>
          <w:rFonts w:hint="eastAsia" w:ascii="仿宋" w:hAnsi="仿宋" w:eastAsia="仿宋"/>
          <w:sz w:val="32"/>
          <w:szCs w:val="32"/>
        </w:rPr>
      </w:pPr>
    </w:p>
    <w:p>
      <w:pPr>
        <w:jc w:val="center"/>
        <w:rPr>
          <w:rFonts w:hint="eastAsia" w:ascii="仿宋" w:hAnsi="仿宋" w:eastAsia="仿宋"/>
          <w:sz w:val="32"/>
          <w:szCs w:val="32"/>
        </w:rPr>
      </w:pPr>
    </w:p>
    <w:p>
      <w:pPr>
        <w:jc w:val="center"/>
        <w:rPr>
          <w:rFonts w:hint="eastAsia" w:ascii="仿宋" w:hAnsi="仿宋" w:eastAsia="仿宋"/>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r>
        <w:rPr>
          <w:rFonts w:hint="eastAsia" w:ascii="黑体" w:hAnsi="黑体" w:eastAsia="黑体" w:cs="黑体"/>
          <w:sz w:val="32"/>
          <w:szCs w:val="32"/>
        </w:rPr>
        <w:t>第四部分  预算表格</w:t>
      </w:r>
    </w:p>
    <w:p>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3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zNDZjY2VkNTQwODFhYzgyYjljZThjZmJmZDZiYm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381FF2"/>
    <w:rsid w:val="12C62CA4"/>
    <w:rsid w:val="133333FE"/>
    <w:rsid w:val="13975E35"/>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8A86E84"/>
    <w:rsid w:val="49B81F53"/>
    <w:rsid w:val="4AAC7860"/>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EF10A01"/>
    <w:rsid w:val="5FB128C2"/>
    <w:rsid w:val="60731B65"/>
    <w:rsid w:val="60D72763"/>
    <w:rsid w:val="60D97724"/>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596DA7"/>
    <w:rsid w:val="729E55FD"/>
    <w:rsid w:val="73D62900"/>
    <w:rsid w:val="73FA7C77"/>
    <w:rsid w:val="744F0BEE"/>
    <w:rsid w:val="746E51AC"/>
    <w:rsid w:val="74A55A8E"/>
    <w:rsid w:val="7539654A"/>
    <w:rsid w:val="75836739"/>
    <w:rsid w:val="76C753DE"/>
    <w:rsid w:val="76C775D8"/>
    <w:rsid w:val="77FC6956"/>
    <w:rsid w:val="78B31A15"/>
    <w:rsid w:val="7A64282A"/>
    <w:rsid w:val="7A8D6ADA"/>
    <w:rsid w:val="7B2E0496"/>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semiHidden/>
    <w:qFormat/>
    <w:uiPriority w:val="99"/>
    <w:rPr>
      <w:sz w:val="18"/>
      <w:szCs w:val="18"/>
    </w:rPr>
  </w:style>
  <w:style w:type="character" w:customStyle="1" w:styleId="7">
    <w:name w:val="页脚 字符"/>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2575</Words>
  <Characters>2828</Characters>
  <Lines>22</Lines>
  <Paragraphs>6</Paragraphs>
  <TotalTime>27</TotalTime>
  <ScaleCrop>false</ScaleCrop>
  <LinksUpToDate>false</LinksUpToDate>
  <CharactersWithSpaces>2977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abandon</cp:lastModifiedBy>
  <dcterms:modified xsi:type="dcterms:W3CDTF">2026-03-23T07:27:22Z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4181DDBD769642DDAEE211A3C08BACB3_13</vt:lpwstr>
  </property>
</Properties>
</file>