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highlight w:val="none"/>
        </w:rPr>
      </w:pPr>
    </w:p>
    <w:p w14:paraId="0722EA08">
      <w:pPr>
        <w:jc w:val="center"/>
        <w:rPr>
          <w:rFonts w:ascii="黑体" w:hAnsi="黑体" w:eastAsia="黑体"/>
          <w:sz w:val="44"/>
          <w:szCs w:val="44"/>
          <w:highlight w:val="none"/>
        </w:rPr>
      </w:pPr>
    </w:p>
    <w:p w14:paraId="5712AD97">
      <w:pPr>
        <w:jc w:val="center"/>
        <w:rPr>
          <w:rFonts w:ascii="黑体" w:hAnsi="黑体" w:eastAsia="黑体"/>
          <w:sz w:val="44"/>
          <w:szCs w:val="44"/>
          <w:highlight w:val="none"/>
        </w:rPr>
      </w:pPr>
    </w:p>
    <w:p w14:paraId="4DAE025F">
      <w:pPr>
        <w:jc w:val="center"/>
        <w:rPr>
          <w:rFonts w:ascii="黑体" w:hAnsi="黑体" w:eastAsia="黑体"/>
          <w:sz w:val="44"/>
          <w:szCs w:val="44"/>
          <w:highlight w:val="none"/>
        </w:rPr>
      </w:pPr>
    </w:p>
    <w:p w14:paraId="5C6FEE61">
      <w:pPr>
        <w:jc w:val="center"/>
        <w:rPr>
          <w:rFonts w:ascii="黑体" w:hAnsi="黑体" w:eastAsia="黑体"/>
          <w:sz w:val="44"/>
          <w:szCs w:val="44"/>
          <w:highlight w:val="none"/>
        </w:rPr>
      </w:pPr>
    </w:p>
    <w:p w14:paraId="0050A5F4">
      <w:pPr>
        <w:jc w:val="center"/>
        <w:rPr>
          <w:rFonts w:ascii="黑体" w:hAnsi="黑体" w:eastAsia="黑体"/>
          <w:sz w:val="52"/>
          <w:szCs w:val="52"/>
          <w:highlight w:val="none"/>
        </w:rPr>
      </w:pPr>
      <w:r>
        <w:rPr>
          <w:rFonts w:hint="eastAsia" w:ascii="黑体" w:hAnsi="黑体" w:eastAsia="黑体"/>
          <w:sz w:val="52"/>
          <w:szCs w:val="52"/>
          <w:highlight w:val="none"/>
          <w:lang w:eastAsia="zh-CN"/>
        </w:rPr>
        <w:t>永吉县教育局</w:t>
      </w:r>
      <w:r>
        <w:rPr>
          <w:rFonts w:hint="eastAsia" w:ascii="黑体" w:hAnsi="黑体" w:eastAsia="黑体"/>
          <w:sz w:val="52"/>
          <w:szCs w:val="52"/>
          <w:highlight w:val="none"/>
        </w:rPr>
        <w:t>2026年</w:t>
      </w:r>
      <w:r>
        <w:rPr>
          <w:rFonts w:hint="eastAsia" w:ascii="黑体" w:hAnsi="黑体" w:eastAsia="黑体"/>
          <w:sz w:val="52"/>
          <w:szCs w:val="52"/>
          <w:highlight w:val="none"/>
        </w:rPr>
        <w:t>部门预算</w:t>
      </w:r>
    </w:p>
    <w:p w14:paraId="5C42AB12">
      <w:pPr>
        <w:jc w:val="center"/>
        <w:rPr>
          <w:rFonts w:ascii="黑体" w:hAnsi="黑体" w:eastAsia="黑体"/>
          <w:sz w:val="44"/>
          <w:szCs w:val="44"/>
          <w:highlight w:val="none"/>
        </w:rPr>
      </w:pPr>
    </w:p>
    <w:p w14:paraId="5EF162CE">
      <w:pPr>
        <w:jc w:val="center"/>
        <w:rPr>
          <w:rFonts w:ascii="黑体" w:hAnsi="黑体" w:eastAsia="黑体"/>
          <w:sz w:val="44"/>
          <w:szCs w:val="44"/>
          <w:highlight w:val="none"/>
        </w:rPr>
      </w:pPr>
    </w:p>
    <w:p w14:paraId="6D7738A2">
      <w:pPr>
        <w:jc w:val="center"/>
        <w:rPr>
          <w:rFonts w:ascii="黑体" w:hAnsi="黑体" w:eastAsia="黑体"/>
          <w:sz w:val="44"/>
          <w:szCs w:val="44"/>
          <w:highlight w:val="none"/>
        </w:rPr>
      </w:pPr>
    </w:p>
    <w:p w14:paraId="1997C969">
      <w:pPr>
        <w:jc w:val="center"/>
        <w:rPr>
          <w:rFonts w:ascii="黑体" w:hAnsi="黑体" w:eastAsia="黑体"/>
          <w:sz w:val="44"/>
          <w:szCs w:val="44"/>
          <w:highlight w:val="none"/>
        </w:rPr>
      </w:pPr>
    </w:p>
    <w:p w14:paraId="4F4ABFCB">
      <w:pPr>
        <w:jc w:val="center"/>
        <w:rPr>
          <w:rFonts w:ascii="黑体" w:hAnsi="黑体" w:eastAsia="黑体"/>
          <w:sz w:val="44"/>
          <w:szCs w:val="44"/>
          <w:highlight w:val="none"/>
        </w:rPr>
      </w:pPr>
    </w:p>
    <w:p w14:paraId="6E03DA41">
      <w:pPr>
        <w:jc w:val="center"/>
        <w:rPr>
          <w:rFonts w:ascii="黑体" w:hAnsi="黑体" w:eastAsia="黑体"/>
          <w:sz w:val="44"/>
          <w:szCs w:val="44"/>
          <w:highlight w:val="none"/>
        </w:rPr>
      </w:pPr>
    </w:p>
    <w:p w14:paraId="34D8D65D">
      <w:pPr>
        <w:jc w:val="center"/>
        <w:rPr>
          <w:rFonts w:ascii="黑体" w:hAnsi="黑体" w:eastAsia="黑体"/>
          <w:sz w:val="44"/>
          <w:szCs w:val="44"/>
          <w:highlight w:val="none"/>
        </w:rPr>
      </w:pPr>
    </w:p>
    <w:p w14:paraId="01FD5D38">
      <w:pPr>
        <w:jc w:val="center"/>
        <w:rPr>
          <w:rFonts w:ascii="黑体" w:hAnsi="黑体" w:eastAsia="黑体"/>
          <w:sz w:val="44"/>
          <w:szCs w:val="44"/>
          <w:highlight w:val="none"/>
        </w:rPr>
      </w:pPr>
    </w:p>
    <w:p w14:paraId="380AB34E">
      <w:pPr>
        <w:jc w:val="center"/>
        <w:rPr>
          <w:rFonts w:ascii="黑体" w:hAnsi="黑体" w:eastAsia="黑体"/>
          <w:sz w:val="44"/>
          <w:szCs w:val="44"/>
          <w:highlight w:val="none"/>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highlight w:val="none"/>
        </w:rPr>
      </w:pPr>
    </w:p>
    <w:p w14:paraId="357EC0AC">
      <w:pPr>
        <w:jc w:val="center"/>
        <w:rPr>
          <w:rFonts w:ascii="黑体" w:hAnsi="黑体" w:eastAsia="黑体"/>
          <w:sz w:val="44"/>
          <w:szCs w:val="44"/>
          <w:highlight w:val="none"/>
        </w:rPr>
      </w:pPr>
    </w:p>
    <w:p w14:paraId="661A2997">
      <w:pPr>
        <w:jc w:val="center"/>
        <w:rPr>
          <w:rFonts w:ascii="黑体" w:hAnsi="黑体" w:eastAsia="黑体"/>
          <w:sz w:val="44"/>
          <w:szCs w:val="44"/>
          <w:highlight w:val="none"/>
        </w:rPr>
      </w:pPr>
    </w:p>
    <w:p w14:paraId="60FA0F16">
      <w:pPr>
        <w:jc w:val="center"/>
        <w:rPr>
          <w:rFonts w:ascii="黑体" w:hAnsi="黑体" w:eastAsia="黑体"/>
          <w:sz w:val="44"/>
          <w:szCs w:val="44"/>
          <w:highlight w:val="none"/>
        </w:rPr>
      </w:pPr>
    </w:p>
    <w:p w14:paraId="74A34429">
      <w:pPr>
        <w:jc w:val="center"/>
        <w:rPr>
          <w:rFonts w:ascii="黑体" w:hAnsi="黑体" w:eastAsia="黑体"/>
          <w:sz w:val="44"/>
          <w:szCs w:val="44"/>
          <w:highlight w:val="none"/>
        </w:rPr>
      </w:pPr>
    </w:p>
    <w:p w14:paraId="18C3CAAE">
      <w:pPr>
        <w:jc w:val="center"/>
        <w:rPr>
          <w:rFonts w:ascii="黑体" w:hAnsi="黑体" w:eastAsia="黑体"/>
          <w:sz w:val="44"/>
          <w:szCs w:val="44"/>
          <w:highlight w:val="none"/>
        </w:rPr>
      </w:pPr>
    </w:p>
    <w:p w14:paraId="406F54B2">
      <w:pPr>
        <w:jc w:val="center"/>
        <w:rPr>
          <w:rFonts w:hint="eastAsia" w:ascii="黑体" w:hAnsi="黑体" w:eastAsia="黑体"/>
          <w:sz w:val="44"/>
          <w:szCs w:val="44"/>
          <w:highlight w:val="none"/>
        </w:rPr>
      </w:pPr>
      <w:r>
        <w:rPr>
          <w:rFonts w:hint="eastAsia" w:ascii="黑体" w:hAnsi="黑体" w:eastAsia="黑体"/>
          <w:sz w:val="44"/>
          <w:szCs w:val="44"/>
          <w:highlight w:val="none"/>
          <w:lang w:eastAsia="zh-CN"/>
        </w:rPr>
        <w:t>永吉县教育局</w:t>
      </w:r>
      <w:r>
        <w:rPr>
          <w:rFonts w:hint="eastAsia" w:ascii="黑体" w:hAnsi="黑体" w:eastAsia="黑体"/>
          <w:sz w:val="44"/>
          <w:szCs w:val="44"/>
          <w:highlight w:val="none"/>
        </w:rPr>
        <w:t>2026年预算</w:t>
      </w:r>
    </w:p>
    <w:p w14:paraId="1F07C9F7">
      <w:pPr>
        <w:jc w:val="center"/>
        <w:rPr>
          <w:rFonts w:ascii="黑体" w:hAnsi="黑体" w:eastAsia="黑体"/>
          <w:sz w:val="44"/>
          <w:szCs w:val="44"/>
          <w:highlight w:val="none"/>
        </w:rPr>
      </w:pPr>
    </w:p>
    <w:p w14:paraId="63B0757E">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3BC81682">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73DDC628">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F6E16B9">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5EE08171">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6F11FF87">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7BA36606">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7E4B53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收支总表</w:t>
      </w:r>
    </w:p>
    <w:p w14:paraId="257AF4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收入总表</w:t>
      </w:r>
    </w:p>
    <w:p w14:paraId="490A2BE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支出总表</w:t>
      </w:r>
    </w:p>
    <w:p w14:paraId="5F6425A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财政拨款收支总表</w:t>
      </w:r>
    </w:p>
    <w:p w14:paraId="5006371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6CBA4F0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534C5B2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一般公共预算“三公”经费支出表</w:t>
      </w:r>
    </w:p>
    <w:p w14:paraId="4685FD4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政府性基金预算支出表</w:t>
      </w:r>
    </w:p>
    <w:p w14:paraId="696DB8A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国有资本经营预算支出表</w:t>
      </w:r>
    </w:p>
    <w:p w14:paraId="2C937F0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项目支出表</w:t>
      </w:r>
    </w:p>
    <w:p w14:paraId="3CED8429">
      <w:pPr>
        <w:rPr>
          <w:rFonts w:ascii="仿宋" w:hAnsi="仿宋" w:eastAsia="仿宋"/>
          <w:sz w:val="32"/>
          <w:szCs w:val="32"/>
          <w:highlight w:val="none"/>
        </w:rPr>
      </w:pPr>
    </w:p>
    <w:p w14:paraId="69BD7CEA">
      <w:pPr>
        <w:rPr>
          <w:rFonts w:ascii="仿宋" w:hAnsi="仿宋" w:eastAsia="仿宋"/>
          <w:sz w:val="32"/>
          <w:szCs w:val="32"/>
          <w:highlight w:val="none"/>
        </w:rPr>
      </w:pPr>
    </w:p>
    <w:p w14:paraId="549DAA5E">
      <w:pPr>
        <w:rPr>
          <w:rFonts w:ascii="仿宋" w:hAnsi="仿宋" w:eastAsia="仿宋"/>
          <w:sz w:val="32"/>
          <w:szCs w:val="32"/>
          <w:highlight w:val="none"/>
        </w:rPr>
      </w:pPr>
    </w:p>
    <w:p w14:paraId="4E48F873">
      <w:pPr>
        <w:jc w:val="center"/>
        <w:rPr>
          <w:rFonts w:ascii="黑体" w:hAnsi="黑体" w:eastAsia="黑体"/>
          <w:sz w:val="32"/>
          <w:szCs w:val="32"/>
          <w:highlight w:val="none"/>
        </w:rPr>
      </w:pPr>
      <w:r>
        <w:rPr>
          <w:rFonts w:hint="eastAsia" w:ascii="黑体" w:hAnsi="黑体" w:eastAsia="黑体"/>
          <w:sz w:val="32"/>
          <w:szCs w:val="32"/>
          <w:highlight w:val="none"/>
        </w:rPr>
        <w:t>第一部分    部门（单位）概况</w:t>
      </w:r>
    </w:p>
    <w:p w14:paraId="519B9A3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6AD7C00">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53650C0E">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名称：永吉县教育局</w:t>
      </w:r>
    </w:p>
    <w:p w14:paraId="09235EBC">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：国家行政机关</w:t>
      </w:r>
    </w:p>
    <w:p w14:paraId="77D099EF">
      <w:pPr>
        <w:ind w:firstLine="640" w:firstLineChars="200"/>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p>
    <w:p w14:paraId="0185D784">
      <w:pPr>
        <w:ind w:firstLine="640" w:firstLineChars="200"/>
        <w:rPr>
          <w:rFonts w:ascii="仿宋_GB2312" w:eastAsia="仿宋_GB2312"/>
          <w:sz w:val="32"/>
          <w:szCs w:val="32"/>
          <w:highlight w:val="none"/>
        </w:rPr>
      </w:pPr>
      <w:r>
        <w:rPr>
          <w:rFonts w:hint="eastAsia" w:ascii="仿宋_GB2312" w:eastAsia="仿宋_GB2312"/>
          <w:sz w:val="32"/>
          <w:szCs w:val="32"/>
          <w:highlight w:val="none"/>
        </w:rPr>
        <w:t>（1）贯彻执行党和国家、省、市的教育方针、政策和法律法规。</w:t>
      </w:r>
    </w:p>
    <w:p w14:paraId="06A98426">
      <w:pPr>
        <w:ind w:firstLine="640" w:firstLineChars="200"/>
        <w:rPr>
          <w:rFonts w:ascii="仿宋_GB2312" w:eastAsia="仿宋_GB2312"/>
          <w:sz w:val="32"/>
          <w:szCs w:val="32"/>
          <w:highlight w:val="none"/>
        </w:rPr>
      </w:pPr>
      <w:r>
        <w:rPr>
          <w:rFonts w:hint="eastAsia" w:ascii="仿宋_GB2312" w:eastAsia="仿宋_GB2312"/>
          <w:sz w:val="32"/>
          <w:szCs w:val="32"/>
          <w:highlight w:val="none"/>
        </w:rPr>
        <w:t>（2）研究提出教育改革与发展的重点、规模、结构、速度并组织实施工作。</w:t>
      </w:r>
    </w:p>
    <w:p w14:paraId="303F6B31">
      <w:pPr>
        <w:ind w:firstLine="640" w:firstLineChars="200"/>
        <w:rPr>
          <w:rFonts w:ascii="仿宋_GB2312" w:eastAsia="仿宋_GB2312"/>
          <w:sz w:val="32"/>
          <w:szCs w:val="32"/>
          <w:highlight w:val="none"/>
        </w:rPr>
      </w:pPr>
      <w:r>
        <w:rPr>
          <w:rFonts w:hint="eastAsia" w:ascii="仿宋_GB2312" w:eastAsia="仿宋_GB2312"/>
          <w:sz w:val="32"/>
          <w:szCs w:val="32"/>
          <w:highlight w:val="none"/>
        </w:rPr>
        <w:t>（3）监管各乡（镇）教育经费筹措和使用情况。会同有关部门制定筹措教育经费、教育拨款、教育基建投资的办法和原则，配合有关部门制定县属各级各类学校收费项目和标准；管理国际和有关方面对全县教育的援助和教育贷款。</w:t>
      </w:r>
    </w:p>
    <w:p w14:paraId="0BFFFD6B">
      <w:pPr>
        <w:ind w:firstLine="640" w:firstLineChars="200"/>
        <w:rPr>
          <w:rFonts w:ascii="仿宋_GB2312" w:eastAsia="仿宋_GB2312"/>
          <w:sz w:val="32"/>
          <w:szCs w:val="32"/>
          <w:highlight w:val="none"/>
        </w:rPr>
      </w:pPr>
      <w:r>
        <w:rPr>
          <w:rFonts w:hint="eastAsia" w:ascii="仿宋_GB2312" w:eastAsia="仿宋_GB2312"/>
          <w:sz w:val="32"/>
          <w:szCs w:val="32"/>
          <w:highlight w:val="none"/>
        </w:rPr>
        <w:t>（4）指导全县各类学校的教育教学改革。组织对职工职业技术教育、普及九年义务教育、扫除青壮年文盲工作的检查督导与评估。</w:t>
      </w:r>
    </w:p>
    <w:p w14:paraId="76A9B86A">
      <w:pPr>
        <w:pStyle w:val="10"/>
        <w:widowControl/>
        <w:spacing w:line="620" w:lineRule="exact"/>
        <w:ind w:firstLine="627" w:firstLineChars="196"/>
        <w:contextualSpacing/>
        <w:rPr>
          <w:rFonts w:ascii="仿宋_GB2312" w:eastAsia="仿宋_GB2312"/>
          <w:sz w:val="32"/>
          <w:szCs w:val="32"/>
          <w:highlight w:val="none"/>
        </w:rPr>
      </w:pPr>
      <w:r>
        <w:rPr>
          <w:rFonts w:hint="eastAsia" w:ascii="仿宋" w:hAnsi="仿宋" w:eastAsia="仿宋"/>
          <w:bCs/>
          <w:kern w:val="0"/>
          <w:sz w:val="32"/>
          <w:szCs w:val="32"/>
          <w:highlight w:val="none"/>
        </w:rPr>
        <w:t>主要业务：</w:t>
      </w:r>
    </w:p>
    <w:p w14:paraId="6814A817">
      <w:pPr>
        <w:ind w:firstLine="640" w:firstLineChars="200"/>
        <w:rPr>
          <w:rFonts w:ascii="仿宋_GB2312" w:eastAsia="仿宋_GB2312"/>
          <w:sz w:val="32"/>
          <w:szCs w:val="32"/>
          <w:highlight w:val="none"/>
        </w:rPr>
      </w:pPr>
      <w:r>
        <w:rPr>
          <w:rFonts w:hint="eastAsia" w:ascii="仿宋_GB2312" w:eastAsia="仿宋_GB2312"/>
          <w:sz w:val="32"/>
          <w:szCs w:val="32"/>
          <w:highlight w:val="none"/>
        </w:rPr>
        <w:t>（1）统筹管理全县幼儿教育、基础教育、中等职业教育、特殊教育、成人教育、民办教育和继续教育。决策基础教育的改革和发展；指导教育教学改革，管理直属事业单位（学校）的全面工作，负责县内教育的督导与评估。</w:t>
      </w:r>
    </w:p>
    <w:p w14:paraId="7B815A09">
      <w:pPr>
        <w:ind w:firstLine="640" w:firstLineChars="200"/>
        <w:rPr>
          <w:rFonts w:ascii="仿宋_GB2312" w:eastAsia="仿宋_GB2312"/>
          <w:sz w:val="32"/>
          <w:szCs w:val="32"/>
          <w:highlight w:val="none"/>
        </w:rPr>
      </w:pPr>
      <w:r>
        <w:rPr>
          <w:rFonts w:hint="eastAsia" w:ascii="仿宋_GB2312" w:eastAsia="仿宋_GB2312"/>
          <w:sz w:val="32"/>
          <w:szCs w:val="32"/>
          <w:highlight w:val="none"/>
        </w:rPr>
        <w:t>（2）主管全县的教师工作，负责贯彻落实教师资格制度，指导教育系统人才队伍建设。开展教育与国内外交流工作。</w:t>
      </w:r>
    </w:p>
    <w:p w14:paraId="2C6809C0">
      <w:pPr>
        <w:ind w:firstLine="640" w:firstLineChars="200"/>
        <w:rPr>
          <w:rFonts w:ascii="仿宋_GB2312" w:eastAsia="仿宋_GB2312"/>
          <w:sz w:val="32"/>
          <w:szCs w:val="32"/>
          <w:highlight w:val="none"/>
        </w:rPr>
      </w:pPr>
      <w:r>
        <w:rPr>
          <w:rFonts w:hint="eastAsia" w:ascii="仿宋_GB2312" w:eastAsia="仿宋_GB2312"/>
          <w:sz w:val="32"/>
          <w:szCs w:val="32"/>
          <w:highlight w:val="none"/>
        </w:rPr>
        <w:t>（3）规划并指导各级各类学校的德育工作、思想政治工作、体育卫生与艺术教育工作、国防教育工作。协调并指导各级各类学校安全文明校园建设工作和社会综合治理工作。</w:t>
      </w:r>
    </w:p>
    <w:p w14:paraId="2E4AD59B">
      <w:pPr>
        <w:ind w:firstLine="640" w:firstLineChars="200"/>
        <w:rPr>
          <w:rFonts w:ascii="仿宋_GB2312" w:eastAsia="仿宋_GB2312"/>
          <w:sz w:val="32"/>
          <w:szCs w:val="32"/>
          <w:highlight w:val="none"/>
        </w:rPr>
      </w:pPr>
      <w:r>
        <w:rPr>
          <w:rFonts w:hint="eastAsia" w:ascii="仿宋_GB2312" w:eastAsia="仿宋_GB2312"/>
          <w:sz w:val="32"/>
          <w:szCs w:val="32"/>
          <w:highlight w:val="none"/>
        </w:rPr>
        <w:t>（4）指导学校、直属单位党的建设和党员管理教育工作、群团工作。</w:t>
      </w:r>
    </w:p>
    <w:p w14:paraId="07F16065">
      <w:pPr>
        <w:ind w:firstLine="640" w:firstLineChars="200"/>
        <w:rPr>
          <w:rFonts w:ascii="仿宋_GB2312" w:eastAsia="仿宋_GB2312"/>
          <w:sz w:val="32"/>
          <w:szCs w:val="32"/>
          <w:highlight w:val="none"/>
        </w:rPr>
      </w:pPr>
      <w:r>
        <w:rPr>
          <w:rFonts w:hint="eastAsia" w:ascii="仿宋_GB2312" w:eastAsia="仿宋_GB2312"/>
          <w:sz w:val="32"/>
          <w:szCs w:val="32"/>
          <w:highlight w:val="none"/>
        </w:rPr>
        <w:t>（5）统筹管理全县的招生考试工作。制定高中、职业高中及以下学校招生政策和招生计划；组织高中、职业高中、中等专业学校、成人自学考试；负责相关的学籍管理工作。</w:t>
      </w:r>
    </w:p>
    <w:p w14:paraId="520BC84D">
      <w:pPr>
        <w:ind w:firstLine="640" w:firstLineChars="200"/>
        <w:rPr>
          <w:rFonts w:ascii="仿宋_GB2312" w:eastAsia="仿宋_GB2312"/>
          <w:sz w:val="32"/>
          <w:szCs w:val="32"/>
          <w:highlight w:val="none"/>
        </w:rPr>
      </w:pPr>
      <w:r>
        <w:rPr>
          <w:rFonts w:hint="eastAsia" w:ascii="仿宋_GB2312" w:eastAsia="仿宋_GB2312"/>
          <w:sz w:val="32"/>
          <w:szCs w:val="32"/>
          <w:highlight w:val="none"/>
        </w:rPr>
        <w:t>（6）规划并指导各级各类学校的教育科研工作。</w:t>
      </w:r>
    </w:p>
    <w:p w14:paraId="291001FF">
      <w:pPr>
        <w:ind w:firstLine="640" w:firstLineChars="200"/>
        <w:rPr>
          <w:rFonts w:ascii="仿宋_GB2312" w:eastAsia="仿宋_GB2312"/>
          <w:sz w:val="32"/>
          <w:szCs w:val="32"/>
          <w:highlight w:val="none"/>
        </w:rPr>
      </w:pPr>
      <w:r>
        <w:rPr>
          <w:rFonts w:hint="eastAsia" w:ascii="仿宋_GB2312" w:eastAsia="仿宋_GB2312"/>
          <w:sz w:val="32"/>
          <w:szCs w:val="32"/>
          <w:highlight w:val="none"/>
        </w:rPr>
        <w:t>（7）负责全县教育信息技术的使用、教育信息系统的开发和建设工作。</w:t>
      </w:r>
    </w:p>
    <w:p w14:paraId="66296D2D">
      <w:pPr>
        <w:ind w:firstLine="640" w:firstLineChars="200"/>
        <w:rPr>
          <w:rFonts w:ascii="仿宋_GB2312" w:eastAsia="仿宋_GB2312"/>
          <w:sz w:val="32"/>
          <w:szCs w:val="32"/>
          <w:highlight w:val="none"/>
        </w:rPr>
      </w:pPr>
      <w:r>
        <w:rPr>
          <w:rFonts w:hint="eastAsia" w:ascii="仿宋_GB2312" w:eastAsia="仿宋_GB2312"/>
          <w:sz w:val="32"/>
          <w:szCs w:val="32"/>
          <w:highlight w:val="none"/>
        </w:rPr>
        <w:t>（8）贯彻执行国家语言文字工作的方针、政策，指导推广普通话工作。</w:t>
      </w:r>
    </w:p>
    <w:p w14:paraId="5E4E3382">
      <w:pPr>
        <w:ind w:firstLine="640" w:firstLineChars="200"/>
        <w:rPr>
          <w:rFonts w:ascii="仿宋_GB2312" w:eastAsia="仿宋_GB2312"/>
          <w:sz w:val="32"/>
          <w:szCs w:val="32"/>
          <w:highlight w:val="none"/>
        </w:rPr>
      </w:pPr>
      <w:r>
        <w:rPr>
          <w:rFonts w:hint="eastAsia" w:ascii="仿宋_GB2312" w:eastAsia="仿宋_GB2312"/>
          <w:sz w:val="32"/>
          <w:szCs w:val="32"/>
          <w:highlight w:val="none"/>
        </w:rPr>
        <w:t>（9）负责全县民办教育工作的统筹规划、综合协调和管理工作。</w:t>
      </w:r>
    </w:p>
    <w:p w14:paraId="791AEC19">
      <w:pPr>
        <w:ind w:firstLine="640" w:firstLineChars="200"/>
        <w:rPr>
          <w:rFonts w:ascii="仿宋_GB2312" w:eastAsia="仿宋_GB2312"/>
          <w:sz w:val="32"/>
          <w:szCs w:val="32"/>
          <w:highlight w:val="none"/>
        </w:rPr>
      </w:pPr>
      <w:r>
        <w:rPr>
          <w:rFonts w:hint="eastAsia" w:ascii="仿宋_GB2312" w:eastAsia="仿宋_GB2312"/>
          <w:sz w:val="32"/>
          <w:szCs w:val="32"/>
          <w:highlight w:val="none"/>
        </w:rPr>
        <w:t>（10）承担主管行业领域的安全生产管理，指导督促企事业单位加强安全管理。依据有关法律、法规的规定履行安全生产监督管理职责，开展监管执法工作等职责。配合有关部门指导学校应对处置突发事件；对学校安全工作责任制落实情况进行考核。</w:t>
      </w:r>
    </w:p>
    <w:p w14:paraId="18E06E2D">
      <w:pPr>
        <w:ind w:firstLine="640" w:firstLineChars="200"/>
        <w:rPr>
          <w:rFonts w:ascii="仿宋_GB2312" w:eastAsia="仿宋_GB2312"/>
          <w:sz w:val="32"/>
          <w:szCs w:val="32"/>
          <w:highlight w:val="none"/>
        </w:rPr>
      </w:pPr>
      <w:r>
        <w:rPr>
          <w:rFonts w:hint="eastAsia" w:ascii="仿宋_GB2312" w:eastAsia="仿宋_GB2312"/>
          <w:sz w:val="32"/>
          <w:szCs w:val="32"/>
          <w:highlight w:val="none"/>
        </w:rPr>
        <w:t>（11）负责利用互联网实施远程学历教育及民办非学历教育机构的审批。</w:t>
      </w:r>
    </w:p>
    <w:p w14:paraId="74EF67D2">
      <w:pPr>
        <w:ind w:firstLine="640" w:firstLineChars="200"/>
        <w:rPr>
          <w:rFonts w:ascii="仿宋_GB2312" w:eastAsia="仿宋_GB2312"/>
          <w:sz w:val="32"/>
          <w:szCs w:val="32"/>
          <w:highlight w:val="none"/>
        </w:rPr>
      </w:pPr>
      <w:r>
        <w:rPr>
          <w:rFonts w:hint="eastAsia" w:ascii="仿宋_GB2312" w:eastAsia="仿宋_GB2312"/>
          <w:sz w:val="32"/>
          <w:szCs w:val="32"/>
          <w:highlight w:val="none"/>
        </w:rPr>
        <w:t>（12）完成县委、县政府交办的其他任务。</w:t>
      </w:r>
    </w:p>
    <w:p w14:paraId="6D752CA2">
      <w:pPr>
        <w:pStyle w:val="10"/>
        <w:widowControl/>
        <w:spacing w:line="620" w:lineRule="exact"/>
        <w:ind w:firstLine="320" w:firstLineChars="100"/>
        <w:contextualSpacing/>
        <w:rPr>
          <w:rFonts w:ascii="仿宋" w:hAnsi="仿宋" w:eastAsia="仿宋"/>
          <w:sz w:val="32"/>
          <w:szCs w:val="32"/>
          <w:highlight w:val="none"/>
        </w:rPr>
      </w:pPr>
      <w:r>
        <w:rPr>
          <w:rFonts w:hint="eastAsia" w:ascii="仿宋" w:hAnsi="仿宋" w:eastAsia="仿宋"/>
          <w:sz w:val="32"/>
          <w:szCs w:val="32"/>
          <w:highlight w:val="none"/>
        </w:rPr>
        <w:t>二、机构设置</w:t>
      </w:r>
    </w:p>
    <w:p w14:paraId="7AE0D8B0">
      <w:pPr>
        <w:pStyle w:val="12"/>
        <w:ind w:firstLine="627" w:firstLineChars="196"/>
        <w:rPr>
          <w:rFonts w:ascii="仿宋_GB2312"/>
          <w:szCs w:val="32"/>
          <w:highlight w:val="none"/>
        </w:rPr>
      </w:pPr>
      <w:r>
        <w:rPr>
          <w:rFonts w:hint="eastAsia" w:ascii="仿宋" w:hAnsi="仿宋" w:eastAsia="仿宋"/>
          <w:kern w:val="0"/>
          <w:szCs w:val="32"/>
          <w:highlight w:val="none"/>
        </w:rPr>
        <w:t>机构设置包括：</w:t>
      </w:r>
      <w:r>
        <w:rPr>
          <w:rFonts w:hint="eastAsia" w:ascii="仿宋_GB2312"/>
          <w:szCs w:val="32"/>
          <w:highlight w:val="none"/>
        </w:rPr>
        <w:t>综合科、人事科、基础教育科（安全生产监督管理科）、政策法规科（行政审批办公室）、职业与成人教育科。</w:t>
      </w:r>
    </w:p>
    <w:p w14:paraId="1EE5DA77">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人员情况：在职人员14人，编制数15人，领导职数5个。</w:t>
      </w:r>
    </w:p>
    <w:p w14:paraId="3F194C91">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731B470">
      <w:pPr>
        <w:jc w:val="left"/>
        <w:rPr>
          <w:rFonts w:ascii="仿宋" w:hAnsi="仿宋" w:eastAsia="仿宋"/>
          <w:sz w:val="32"/>
          <w:szCs w:val="32"/>
          <w:highlight w:val="none"/>
        </w:rPr>
      </w:pPr>
    </w:p>
    <w:p w14:paraId="2327A84A">
      <w:pPr>
        <w:jc w:val="left"/>
        <w:rPr>
          <w:rFonts w:ascii="仿宋" w:hAnsi="仿宋" w:eastAsia="仿宋"/>
          <w:sz w:val="32"/>
          <w:szCs w:val="32"/>
          <w:highlight w:val="none"/>
        </w:rPr>
      </w:pPr>
    </w:p>
    <w:p w14:paraId="30EC7C30">
      <w:pPr>
        <w:jc w:val="left"/>
        <w:rPr>
          <w:rFonts w:ascii="仿宋" w:hAnsi="仿宋" w:eastAsia="仿宋"/>
          <w:sz w:val="32"/>
          <w:szCs w:val="32"/>
          <w:highlight w:val="none"/>
        </w:rPr>
      </w:pPr>
    </w:p>
    <w:p w14:paraId="22022DA2">
      <w:pPr>
        <w:jc w:val="left"/>
        <w:rPr>
          <w:rFonts w:ascii="仿宋" w:hAnsi="仿宋" w:eastAsia="仿宋"/>
          <w:sz w:val="32"/>
          <w:szCs w:val="32"/>
          <w:highlight w:val="none"/>
        </w:rPr>
      </w:pPr>
    </w:p>
    <w:p w14:paraId="4494DF1B">
      <w:pPr>
        <w:jc w:val="left"/>
        <w:rPr>
          <w:rFonts w:ascii="仿宋" w:hAnsi="仿宋" w:eastAsia="仿宋"/>
          <w:sz w:val="32"/>
          <w:szCs w:val="32"/>
          <w:highlight w:val="none"/>
        </w:rPr>
      </w:pPr>
    </w:p>
    <w:p w14:paraId="57CB687A">
      <w:pPr>
        <w:jc w:val="left"/>
        <w:rPr>
          <w:rFonts w:ascii="仿宋" w:hAnsi="仿宋" w:eastAsia="仿宋"/>
          <w:sz w:val="32"/>
          <w:szCs w:val="32"/>
          <w:highlight w:val="none"/>
        </w:rPr>
      </w:pPr>
    </w:p>
    <w:p w14:paraId="00B77722">
      <w:pPr>
        <w:jc w:val="left"/>
        <w:rPr>
          <w:rFonts w:ascii="仿宋" w:hAnsi="仿宋" w:eastAsia="仿宋"/>
          <w:sz w:val="32"/>
          <w:szCs w:val="32"/>
          <w:highlight w:val="none"/>
        </w:rPr>
      </w:pPr>
    </w:p>
    <w:p w14:paraId="546B2C04">
      <w:pPr>
        <w:jc w:val="center"/>
        <w:rPr>
          <w:rFonts w:ascii="黑体" w:hAnsi="黑体" w:eastAsia="黑体"/>
          <w:sz w:val="32"/>
          <w:szCs w:val="32"/>
          <w:highlight w:val="none"/>
        </w:rPr>
      </w:pPr>
    </w:p>
    <w:p w14:paraId="6FD1930E">
      <w:pPr>
        <w:jc w:val="center"/>
        <w:rPr>
          <w:rFonts w:ascii="黑体" w:hAnsi="黑体" w:eastAsia="黑体"/>
          <w:sz w:val="32"/>
          <w:szCs w:val="32"/>
          <w:highlight w:val="none"/>
        </w:rPr>
      </w:pPr>
    </w:p>
    <w:p w14:paraId="08C38348">
      <w:pPr>
        <w:jc w:val="center"/>
        <w:rPr>
          <w:rFonts w:ascii="黑体" w:hAnsi="黑体" w:eastAsia="黑体"/>
          <w:sz w:val="32"/>
          <w:szCs w:val="32"/>
          <w:highlight w:val="none"/>
        </w:rPr>
      </w:pPr>
    </w:p>
    <w:p w14:paraId="653D2C6B">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1A61294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4665F96">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一、2026年收支预算总体情况</w:t>
      </w:r>
    </w:p>
    <w:p w14:paraId="790B2477">
      <w:pPr>
        <w:pStyle w:val="11"/>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highlight w:val="none"/>
          <w:lang w:val="en-US" w:eastAsia="zh-CN"/>
        </w:rPr>
        <w:t>388.75</w:t>
      </w:r>
      <w:r>
        <w:rPr>
          <w:rFonts w:hint="eastAsia" w:ascii="仿宋" w:hAnsi="仿宋" w:eastAsia="仿宋"/>
          <w:sz w:val="32"/>
          <w:szCs w:val="32"/>
          <w:highlight w:val="none"/>
        </w:rPr>
        <w:t>万元，比 2025年预算数216.10万元增</w:t>
      </w:r>
      <w:r>
        <w:rPr>
          <w:rFonts w:hint="eastAsia" w:ascii="仿宋" w:hAnsi="仿宋" w:eastAsia="仿宋"/>
          <w:sz w:val="32"/>
          <w:szCs w:val="32"/>
          <w:highlight w:val="none"/>
          <w:lang w:eastAsia="zh-CN"/>
        </w:rPr>
        <w:t>加</w:t>
      </w:r>
      <w:r>
        <w:rPr>
          <w:rFonts w:hint="eastAsia" w:ascii="仿宋" w:hAnsi="仿宋" w:eastAsia="仿宋"/>
          <w:sz w:val="32"/>
          <w:szCs w:val="32"/>
          <w:highlight w:val="none"/>
        </w:rPr>
        <w:t>172.65万元，主要原因：</w:t>
      </w:r>
      <w:r>
        <w:rPr>
          <w:rFonts w:hint="eastAsia" w:ascii="仿宋" w:hAnsi="仿宋" w:eastAsia="仿宋"/>
          <w:sz w:val="32"/>
          <w:szCs w:val="32"/>
          <w:highlight w:val="none"/>
          <w:lang w:eastAsia="zh-CN"/>
        </w:rPr>
        <w:t>本年度增加</w:t>
      </w:r>
      <w:r>
        <w:rPr>
          <w:rFonts w:hint="eastAsia" w:ascii="仿宋" w:hAnsi="仿宋" w:eastAsia="仿宋"/>
          <w:sz w:val="32"/>
          <w:szCs w:val="32"/>
          <w:highlight w:val="none"/>
          <w:lang w:val="en-US" w:eastAsia="zh-CN"/>
        </w:rPr>
        <w:t>2026年已辞退代课教师加发养老保险教龄补贴123万元，普惠园生均公用经费9.64万元，学前免保教费31.05万元。</w:t>
      </w:r>
    </w:p>
    <w:p w14:paraId="0594D500">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二、2026年收入预算情况</w:t>
      </w:r>
    </w:p>
    <w:p w14:paraId="5BB9355F">
      <w:pPr>
        <w:pStyle w:val="11"/>
        <w:ind w:left="319" w:leftChars="152" w:firstLine="320" w:firstLineChars="100"/>
        <w:jc w:val="left"/>
        <w:rPr>
          <w:rFonts w:ascii="仿宋" w:hAnsi="仿宋" w:eastAsia="仿宋"/>
          <w:sz w:val="32"/>
          <w:szCs w:val="32"/>
          <w:highlight w:val="none"/>
        </w:rPr>
      </w:pPr>
      <w:r>
        <w:rPr>
          <w:rFonts w:hint="eastAsia" w:ascii="仿宋" w:hAnsi="仿宋" w:eastAsia="仿宋"/>
          <w:sz w:val="32"/>
          <w:szCs w:val="32"/>
          <w:highlight w:val="none"/>
        </w:rPr>
        <w:t>2026年本单位收入预算</w:t>
      </w:r>
      <w:r>
        <w:rPr>
          <w:rFonts w:hint="eastAsia" w:ascii="仿宋" w:hAnsi="仿宋" w:eastAsia="仿宋"/>
          <w:sz w:val="32"/>
          <w:szCs w:val="32"/>
          <w:highlight w:val="none"/>
          <w:lang w:val="en-US" w:eastAsia="zh-CN"/>
        </w:rPr>
        <w:t>388.75</w:t>
      </w:r>
      <w:r>
        <w:rPr>
          <w:rFonts w:hint="eastAsia" w:ascii="仿宋" w:hAnsi="仿宋" w:eastAsia="仿宋"/>
          <w:sz w:val="32"/>
          <w:szCs w:val="32"/>
          <w:highlight w:val="none"/>
        </w:rPr>
        <w:t xml:space="preserve">万元，其中：一般公共预算收入 </w:t>
      </w:r>
      <w:r>
        <w:rPr>
          <w:rFonts w:hint="eastAsia" w:ascii="仿宋" w:hAnsi="仿宋" w:eastAsia="仿宋"/>
          <w:sz w:val="32"/>
          <w:szCs w:val="32"/>
          <w:highlight w:val="none"/>
          <w:lang w:val="en-US" w:eastAsia="zh-CN"/>
        </w:rPr>
        <w:t>388.75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%；政府性基金收入</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14:paraId="262A2F8F">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三、2026年支出预算情况</w:t>
      </w:r>
    </w:p>
    <w:p w14:paraId="25859D74">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rPr>
        <w:t>2026年支出预算</w:t>
      </w:r>
      <w:r>
        <w:rPr>
          <w:rFonts w:hint="eastAsia" w:ascii="仿宋" w:hAnsi="仿宋" w:eastAsia="仿宋"/>
          <w:sz w:val="32"/>
          <w:szCs w:val="32"/>
          <w:highlight w:val="none"/>
          <w:lang w:val="en-US" w:eastAsia="zh-CN"/>
        </w:rPr>
        <w:t>388.75</w:t>
      </w:r>
      <w:r>
        <w:rPr>
          <w:rFonts w:hint="eastAsia" w:ascii="仿宋" w:hAnsi="仿宋" w:eastAsia="仿宋"/>
          <w:sz w:val="32"/>
          <w:szCs w:val="32"/>
          <w:highlight w:val="none"/>
        </w:rPr>
        <w:t xml:space="preserve">万元，其中：基本支出 </w:t>
      </w:r>
      <w:r>
        <w:rPr>
          <w:rFonts w:hint="eastAsia" w:ascii="仿宋" w:hAnsi="仿宋" w:eastAsia="仿宋"/>
          <w:sz w:val="32"/>
          <w:szCs w:val="32"/>
          <w:highlight w:val="none"/>
          <w:lang w:val="en-US" w:eastAsia="zh-CN"/>
        </w:rPr>
        <w:t>221.22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56.91</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167.53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43.09</w:t>
      </w:r>
      <w:r>
        <w:rPr>
          <w:rFonts w:hint="eastAsia" w:ascii="仿宋" w:hAnsi="仿宋" w:eastAsia="仿宋"/>
          <w:sz w:val="32"/>
          <w:szCs w:val="32"/>
          <w:highlight w:val="none"/>
        </w:rPr>
        <w:t>%。</w:t>
      </w:r>
    </w:p>
    <w:p w14:paraId="51040F2B">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四、2026年财政拨款收支预算情况</w:t>
      </w:r>
    </w:p>
    <w:p w14:paraId="032F5B2D">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rPr>
        <w:t>2026年财政拨款收支总预算</w:t>
      </w:r>
      <w:r>
        <w:rPr>
          <w:rFonts w:hint="eastAsia" w:ascii="仿宋" w:hAnsi="仿宋" w:eastAsia="仿宋"/>
          <w:sz w:val="32"/>
          <w:szCs w:val="32"/>
          <w:highlight w:val="none"/>
          <w:lang w:val="en-US" w:eastAsia="zh-CN"/>
        </w:rPr>
        <w:t>388.75</w:t>
      </w:r>
      <w:r>
        <w:rPr>
          <w:rFonts w:hint="eastAsia" w:ascii="仿宋" w:hAnsi="仿宋" w:eastAsia="仿宋"/>
          <w:sz w:val="32"/>
          <w:szCs w:val="32"/>
          <w:highlight w:val="none"/>
        </w:rPr>
        <w:t>万元，其中：本年收入</w:t>
      </w:r>
      <w:r>
        <w:rPr>
          <w:rFonts w:hint="eastAsia" w:ascii="仿宋" w:hAnsi="仿宋" w:eastAsia="仿宋"/>
          <w:sz w:val="32"/>
          <w:szCs w:val="32"/>
          <w:highlight w:val="none"/>
          <w:lang w:val="en-US" w:eastAsia="zh-CN"/>
        </w:rPr>
        <w:t>388.75</w:t>
      </w:r>
      <w:r>
        <w:rPr>
          <w:rFonts w:hint="eastAsia" w:ascii="仿宋" w:hAnsi="仿宋" w:eastAsia="仿宋"/>
          <w:sz w:val="32"/>
          <w:szCs w:val="32"/>
          <w:highlight w:val="none"/>
        </w:rPr>
        <w:t>万元。本年支出</w:t>
      </w:r>
      <w:r>
        <w:rPr>
          <w:rFonts w:hint="eastAsia" w:ascii="仿宋" w:hAnsi="仿宋" w:eastAsia="仿宋"/>
          <w:sz w:val="32"/>
          <w:szCs w:val="32"/>
          <w:highlight w:val="none"/>
          <w:lang w:val="en-US" w:eastAsia="zh-CN"/>
        </w:rPr>
        <w:t>388.75</w:t>
      </w:r>
      <w:r>
        <w:rPr>
          <w:rFonts w:hint="eastAsia" w:ascii="仿宋" w:hAnsi="仿宋" w:eastAsia="仿宋"/>
          <w:sz w:val="32"/>
          <w:szCs w:val="32"/>
          <w:highlight w:val="none"/>
        </w:rPr>
        <w:t>万元，支出包括：</w:t>
      </w:r>
      <w:r>
        <w:rPr>
          <w:rFonts w:hint="eastAsia" w:ascii="仿宋" w:hAnsi="仿宋" w:eastAsia="仿宋"/>
          <w:sz w:val="32"/>
          <w:szCs w:val="32"/>
          <w:highlight w:val="none"/>
          <w:lang w:eastAsia="zh-CN"/>
        </w:rPr>
        <w:t>教育</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352.95</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19.92</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15.88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14:paraId="113EA7E6">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rPr>
        <w:t>五、2026</w:t>
      </w:r>
      <w:r>
        <w:rPr>
          <w:rFonts w:hint="eastAsia" w:ascii="楷体" w:hAnsi="楷体" w:eastAsia="楷体"/>
          <w:kern w:val="0"/>
          <w:sz w:val="32"/>
          <w:szCs w:val="32"/>
          <w:highlight w:val="none"/>
        </w:rPr>
        <w:t>年一般公共预算支出情况</w:t>
      </w:r>
    </w:p>
    <w:p w14:paraId="362C178E">
      <w:pPr>
        <w:ind w:firstLine="640" w:firstLineChars="200"/>
        <w:rPr>
          <w:rFonts w:ascii="仿宋" w:hAnsi="仿宋" w:eastAsia="仿宋"/>
          <w:sz w:val="32"/>
          <w:szCs w:val="32"/>
          <w:highlight w:val="none"/>
        </w:rPr>
      </w:pPr>
      <w:r>
        <w:rPr>
          <w:rFonts w:hint="eastAsia" w:ascii="仿宋" w:hAnsi="仿宋" w:eastAsia="仿宋"/>
          <w:sz w:val="32"/>
          <w:szCs w:val="32"/>
          <w:highlight w:val="none"/>
        </w:rPr>
        <w:t>2026年一般公共预算当年拨款</w:t>
      </w:r>
      <w:r>
        <w:rPr>
          <w:rFonts w:hint="eastAsia" w:ascii="仿宋" w:hAnsi="仿宋" w:eastAsia="仿宋"/>
          <w:sz w:val="32"/>
          <w:szCs w:val="32"/>
          <w:highlight w:val="none"/>
          <w:lang w:val="en-US" w:eastAsia="zh-CN"/>
        </w:rPr>
        <w:t>388.75</w:t>
      </w:r>
      <w:r>
        <w:rPr>
          <w:rFonts w:hint="eastAsia" w:ascii="仿宋" w:hAnsi="仿宋" w:eastAsia="仿宋"/>
          <w:sz w:val="32"/>
          <w:szCs w:val="32"/>
          <w:highlight w:val="none"/>
        </w:rPr>
        <w:t>万元，其中：基本支出</w:t>
      </w:r>
      <w:r>
        <w:rPr>
          <w:rFonts w:hint="eastAsia" w:ascii="仿宋" w:hAnsi="仿宋" w:eastAsia="仿宋"/>
          <w:sz w:val="32"/>
          <w:szCs w:val="32"/>
          <w:highlight w:val="none"/>
          <w:lang w:val="en-US" w:eastAsia="zh-CN"/>
        </w:rPr>
        <w:t>221.22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56.91</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167.53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43.09</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186.93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84.50</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34.29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15.50</w:t>
      </w:r>
      <w:r>
        <w:rPr>
          <w:rFonts w:hint="eastAsia" w:ascii="仿宋" w:hAnsi="仿宋" w:eastAsia="仿宋"/>
          <w:sz w:val="32"/>
          <w:szCs w:val="32"/>
          <w:highlight w:val="none"/>
        </w:rPr>
        <w:t>%。</w:t>
      </w:r>
    </w:p>
    <w:p w14:paraId="1DFB71D9">
      <w:pPr>
        <w:ind w:firstLine="640" w:firstLineChars="200"/>
        <w:rPr>
          <w:rFonts w:ascii="仿宋" w:hAnsi="仿宋" w:eastAsia="仿宋"/>
          <w:sz w:val="32"/>
          <w:szCs w:val="32"/>
          <w:highlight w:val="none"/>
        </w:rPr>
      </w:pPr>
      <w:r>
        <w:rPr>
          <w:rFonts w:hint="eastAsia" w:ascii="仿宋" w:hAnsi="仿宋" w:eastAsia="仿宋" w:cstheme="minorBidi"/>
          <w:kern w:val="2"/>
          <w:sz w:val="32"/>
          <w:szCs w:val="32"/>
          <w:highlight w:val="none"/>
          <w:lang w:val="en-US" w:eastAsia="zh-CN" w:bidi="ar-SA"/>
        </w:rPr>
        <w:t>教育支出352.95万元</w:t>
      </w:r>
      <w:r>
        <w:rPr>
          <w:rFonts w:hint="eastAsia" w:ascii="仿宋" w:hAnsi="仿宋" w:eastAsia="仿宋"/>
          <w:sz w:val="32"/>
          <w:szCs w:val="32"/>
          <w:highlight w:val="none"/>
        </w:rPr>
        <w:t>，占90.79 %，主要用于：人员经费和公用经费支出。</w:t>
      </w:r>
    </w:p>
    <w:p w14:paraId="59F47C99">
      <w:pPr>
        <w:ind w:firstLine="640" w:firstLineChars="200"/>
        <w:rPr>
          <w:rFonts w:ascii="仿宋" w:hAnsi="仿宋" w:eastAsia="仿宋"/>
          <w:sz w:val="32"/>
          <w:szCs w:val="32"/>
          <w:highlight w:val="none"/>
        </w:rPr>
      </w:pPr>
      <w:r>
        <w:rPr>
          <w:rFonts w:hint="eastAsia" w:ascii="仿宋" w:hAnsi="仿宋" w:eastAsia="仿宋"/>
          <w:sz w:val="32"/>
          <w:szCs w:val="32"/>
          <w:highlight w:val="none"/>
        </w:rPr>
        <w:t>社会保障和就业（类）支出</w:t>
      </w:r>
      <w:r>
        <w:rPr>
          <w:rFonts w:hint="eastAsia" w:ascii="仿宋" w:hAnsi="仿宋" w:eastAsia="仿宋"/>
          <w:sz w:val="32"/>
          <w:szCs w:val="32"/>
          <w:highlight w:val="none"/>
          <w:lang w:val="en-US" w:eastAsia="zh-CN"/>
        </w:rPr>
        <w:t>19.92</w:t>
      </w:r>
      <w:r>
        <w:rPr>
          <w:rFonts w:hint="eastAsia" w:ascii="仿宋" w:hAnsi="仿宋" w:eastAsia="仿宋"/>
          <w:sz w:val="32"/>
          <w:szCs w:val="32"/>
          <w:highlight w:val="none"/>
        </w:rPr>
        <w:t>万元，占5.12 %，主要用于：机关在职人员住房养老保险及职业年金缴费支出。</w:t>
      </w:r>
    </w:p>
    <w:p w14:paraId="388771D0">
      <w:pPr>
        <w:ind w:firstLine="640" w:firstLineChars="200"/>
        <w:rPr>
          <w:rFonts w:ascii="仿宋" w:hAnsi="仿宋" w:eastAsia="仿宋"/>
          <w:sz w:val="32"/>
          <w:szCs w:val="32"/>
          <w:highlight w:val="none"/>
        </w:rPr>
      </w:pPr>
      <w:r>
        <w:rPr>
          <w:rFonts w:hint="eastAsia" w:ascii="仿宋" w:hAnsi="仿宋" w:eastAsia="仿宋"/>
          <w:sz w:val="32"/>
          <w:szCs w:val="32"/>
          <w:highlight w:val="none"/>
        </w:rPr>
        <w:t>住房保障（类）支出</w:t>
      </w:r>
      <w:r>
        <w:rPr>
          <w:rFonts w:hint="eastAsia" w:ascii="仿宋" w:hAnsi="仿宋" w:eastAsia="仿宋"/>
          <w:sz w:val="32"/>
          <w:szCs w:val="32"/>
          <w:highlight w:val="none"/>
          <w:lang w:val="en-US" w:eastAsia="zh-CN"/>
        </w:rPr>
        <w:t>15.88</w:t>
      </w:r>
      <w:r>
        <w:rPr>
          <w:rFonts w:hint="eastAsia" w:ascii="仿宋" w:hAnsi="仿宋" w:eastAsia="仿宋"/>
          <w:sz w:val="32"/>
          <w:szCs w:val="32"/>
          <w:highlight w:val="none"/>
        </w:rPr>
        <w:t>万元，占4.08 %，主要用于：机关在职人员住房公积金缴费支出。</w:t>
      </w:r>
    </w:p>
    <w:p w14:paraId="1D655B29">
      <w:pPr>
        <w:pStyle w:val="9"/>
        <w:rPr>
          <w:rFonts w:ascii="楷体" w:hAnsi="楷体" w:eastAsia="楷体"/>
          <w:kern w:val="0"/>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rPr>
        <w:t>六、2026年一般公共预算基本支出情况</w:t>
      </w:r>
    </w:p>
    <w:p w14:paraId="28556014">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2026年一般公共预算基本支出 </w:t>
      </w:r>
      <w:r>
        <w:rPr>
          <w:rFonts w:hint="eastAsia" w:ascii="仿宋" w:hAnsi="仿宋" w:eastAsia="仿宋"/>
          <w:sz w:val="32"/>
          <w:szCs w:val="32"/>
          <w:highlight w:val="none"/>
          <w:lang w:val="en-US" w:eastAsia="zh-CN"/>
        </w:rPr>
        <w:t>221.22</w:t>
      </w:r>
      <w:r>
        <w:rPr>
          <w:rFonts w:hint="eastAsia" w:ascii="仿宋" w:hAnsi="仿宋" w:eastAsia="仿宋"/>
          <w:sz w:val="32"/>
          <w:szCs w:val="32"/>
          <w:highlight w:val="none"/>
        </w:rPr>
        <w:t>万元，其中：</w:t>
      </w:r>
    </w:p>
    <w:p w14:paraId="03F4859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186.93</w:t>
      </w:r>
      <w:r>
        <w:rPr>
          <w:rFonts w:hint="eastAsia" w:ascii="仿宋" w:hAnsi="仿宋" w:eastAsia="仿宋"/>
          <w:sz w:val="32"/>
          <w:szCs w:val="32"/>
          <w:highlight w:val="none"/>
        </w:rPr>
        <w:t>万元，主要包括：基本工资、津贴补贴、奖金、机关事业单位基本养老保险缴费、职工基本医疗保险缴费、其他社会保障缴费、住房公积金等；</w:t>
      </w:r>
    </w:p>
    <w:p w14:paraId="5C92AD13">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34.29</w:t>
      </w:r>
      <w:r>
        <w:rPr>
          <w:rFonts w:hint="eastAsia" w:ascii="仿宋" w:hAnsi="仿宋" w:eastAsia="仿宋"/>
          <w:sz w:val="32"/>
          <w:szCs w:val="32"/>
          <w:highlight w:val="none"/>
        </w:rPr>
        <w:t>万元，主要包括：办公费、水费、电费、邮电费、取暖费、差旅费、公务接待费、工会经费、</w:t>
      </w:r>
      <w:r>
        <w:rPr>
          <w:rFonts w:hint="eastAsia" w:ascii="仿宋" w:hAnsi="仿宋" w:eastAsia="仿宋"/>
          <w:sz w:val="32"/>
          <w:szCs w:val="32"/>
          <w:highlight w:val="none"/>
          <w:lang w:eastAsia="zh-CN"/>
        </w:rPr>
        <w:t>其他商品和服务支出</w:t>
      </w:r>
      <w:r>
        <w:rPr>
          <w:rFonts w:hint="eastAsia" w:ascii="仿宋" w:hAnsi="仿宋" w:eastAsia="仿宋"/>
          <w:sz w:val="32"/>
          <w:szCs w:val="32"/>
          <w:highlight w:val="none"/>
        </w:rPr>
        <w:t>等。</w:t>
      </w:r>
    </w:p>
    <w:p w14:paraId="5080A63D">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rPr>
        <w:t>七、2026年一般公共预算财政拨款“三公经费”情况</w:t>
      </w:r>
    </w:p>
    <w:p w14:paraId="2ABE82ED">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2026年“三公”经费预算数</w:t>
      </w:r>
      <w:r>
        <w:rPr>
          <w:rFonts w:hint="eastAsia" w:ascii="仿宋" w:hAnsi="仿宋" w:eastAsia="仿宋"/>
          <w:kern w:val="0"/>
          <w:sz w:val="32"/>
          <w:szCs w:val="32"/>
          <w:highlight w:val="none"/>
          <w:lang w:val="en-US" w:eastAsia="zh-CN"/>
        </w:rPr>
        <w:t>0.72</w:t>
      </w:r>
      <w:r>
        <w:rPr>
          <w:rFonts w:hint="eastAsia" w:ascii="仿宋" w:hAnsi="仿宋" w:eastAsia="仿宋"/>
          <w:kern w:val="0"/>
          <w:sz w:val="32"/>
          <w:szCs w:val="32"/>
          <w:highlight w:val="none"/>
        </w:rPr>
        <w:t>万元，比2025年预算减少</w:t>
      </w:r>
      <w:r>
        <w:rPr>
          <w:rFonts w:hint="eastAsia" w:ascii="仿宋" w:hAnsi="仿宋" w:eastAsia="仿宋"/>
          <w:kern w:val="0"/>
          <w:sz w:val="32"/>
          <w:szCs w:val="32"/>
          <w:highlight w:val="none"/>
          <w:lang w:val="en-US" w:eastAsia="zh-CN"/>
        </w:rPr>
        <w:t>0.07</w:t>
      </w:r>
      <w:r>
        <w:rPr>
          <w:rFonts w:hint="eastAsia" w:ascii="仿宋" w:hAnsi="仿宋" w:eastAsia="仿宋"/>
          <w:kern w:val="0"/>
          <w:sz w:val="32"/>
          <w:szCs w:val="32"/>
          <w:highlight w:val="none"/>
        </w:rPr>
        <w:t>万元。其中：</w:t>
      </w:r>
    </w:p>
    <w:p w14:paraId="1319EA80">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1.因公出国（境）费 0 万元，与 2025年预算数相同。</w:t>
      </w:r>
    </w:p>
    <w:p w14:paraId="02CC5C98">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0.72</w:t>
      </w:r>
      <w:r>
        <w:rPr>
          <w:rFonts w:hint="eastAsia" w:ascii="仿宋" w:hAnsi="仿宋" w:eastAsia="仿宋"/>
          <w:kern w:val="0"/>
          <w:sz w:val="32"/>
          <w:szCs w:val="32"/>
          <w:highlight w:val="none"/>
        </w:rPr>
        <w:t>万元，比 2025年预算数减少</w:t>
      </w:r>
      <w:r>
        <w:rPr>
          <w:rFonts w:hint="eastAsia" w:ascii="仿宋" w:hAnsi="仿宋" w:eastAsia="仿宋"/>
          <w:kern w:val="0"/>
          <w:sz w:val="32"/>
          <w:szCs w:val="32"/>
          <w:highlight w:val="none"/>
          <w:lang w:val="en-US" w:eastAsia="zh-CN"/>
        </w:rPr>
        <w:t>0.07</w:t>
      </w:r>
      <w:r>
        <w:rPr>
          <w:rFonts w:hint="eastAsia" w:ascii="仿宋" w:hAnsi="仿宋" w:eastAsia="仿宋"/>
          <w:kern w:val="0"/>
          <w:sz w:val="32"/>
          <w:szCs w:val="32"/>
          <w:highlight w:val="none"/>
        </w:rPr>
        <w:t>万元，主要原因是</w:t>
      </w:r>
      <w:r>
        <w:rPr>
          <w:rFonts w:hint="eastAsia" w:ascii="仿宋_GB2312" w:eastAsia="仿宋_GB2312"/>
          <w:sz w:val="32"/>
          <w:szCs w:val="32"/>
          <w:highlight w:val="none"/>
        </w:rPr>
        <w:t>按照政府统一要求，对三公经费进行了压减</w:t>
      </w:r>
      <w:r>
        <w:rPr>
          <w:rFonts w:hint="eastAsia" w:ascii="仿宋" w:hAnsi="仿宋" w:eastAsia="仿宋"/>
          <w:kern w:val="0"/>
          <w:sz w:val="32"/>
          <w:szCs w:val="32"/>
          <w:highlight w:val="none"/>
        </w:rPr>
        <w:t>。</w:t>
      </w:r>
    </w:p>
    <w:p w14:paraId="372830BC">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 2025 年预算数减</w:t>
      </w:r>
    </w:p>
    <w:p w14:paraId="4F6BF84A">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p>
    <w:p w14:paraId="60353E9A">
      <w:pPr>
        <w:pStyle w:val="9"/>
        <w:rPr>
          <w:rFonts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rPr>
        <w:t>八、2026年政府性基金预算支出情况</w:t>
      </w:r>
    </w:p>
    <w:p w14:paraId="6CFED0B9">
      <w:pPr>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2026年本单位无政府性基金预算支出</w:t>
      </w:r>
      <w:r>
        <w:rPr>
          <w:rFonts w:hint="eastAsia" w:ascii="仿宋" w:hAnsi="仿宋" w:eastAsia="仿宋"/>
          <w:sz w:val="32"/>
          <w:szCs w:val="32"/>
          <w:highlight w:val="none"/>
          <w:lang w:eastAsia="zh-CN"/>
        </w:rPr>
        <w:t>。</w:t>
      </w:r>
    </w:p>
    <w:p w14:paraId="39906816">
      <w:pPr>
        <w:pStyle w:val="9"/>
        <w:ind w:firstLine="640"/>
        <w:rPr>
          <w:rFonts w:ascii="楷体" w:hAnsi="楷体" w:eastAsia="楷体" w:cs="楷体"/>
          <w:sz w:val="32"/>
          <w:szCs w:val="32"/>
          <w:highlight w:val="none"/>
        </w:rPr>
      </w:pPr>
      <w:r>
        <w:rPr>
          <w:rFonts w:hint="eastAsia" w:ascii="楷体" w:hAnsi="楷体" w:eastAsia="楷体" w:cs="楷体"/>
          <w:sz w:val="32"/>
          <w:szCs w:val="32"/>
          <w:highlight w:val="none"/>
        </w:rPr>
        <w:t>九、2026年国有资本经营预算支出情况</w:t>
      </w:r>
    </w:p>
    <w:p w14:paraId="78271549">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2026年本单位无国有资本经营预算支出。</w:t>
      </w:r>
    </w:p>
    <w:p w14:paraId="028EDDC6">
      <w:pPr>
        <w:numPr>
          <w:ilvl w:val="0"/>
          <w:numId w:val="3"/>
        </w:numPr>
        <w:jc w:val="left"/>
        <w:rPr>
          <w:rFonts w:ascii="楷体" w:hAnsi="楷体" w:eastAsia="楷体" w:cs="楷体"/>
          <w:sz w:val="32"/>
          <w:szCs w:val="32"/>
          <w:highlight w:val="none"/>
        </w:rPr>
      </w:pPr>
      <w:r>
        <w:rPr>
          <w:rFonts w:hint="eastAsia" w:ascii="楷体" w:hAnsi="楷体" w:eastAsia="楷体" w:cs="楷体"/>
          <w:sz w:val="32"/>
          <w:szCs w:val="32"/>
          <w:highlight w:val="none"/>
        </w:rPr>
        <w:t>其他重要事项的说明情况</w:t>
      </w:r>
    </w:p>
    <w:p w14:paraId="4DBB8460">
      <w:pPr>
        <w:ind w:firstLine="640" w:firstLineChars="200"/>
        <w:jc w:val="left"/>
        <w:rPr>
          <w:rFonts w:ascii="楷体" w:hAnsi="楷体" w:eastAsia="楷体" w:cs="楷体"/>
          <w:sz w:val="32"/>
          <w:szCs w:val="32"/>
          <w:highlight w:val="none"/>
        </w:rPr>
      </w:pPr>
      <w:r>
        <w:rPr>
          <w:rFonts w:hint="eastAsia" w:ascii="楷体" w:hAnsi="楷体" w:eastAsia="楷体" w:cs="楷体"/>
          <w:sz w:val="32"/>
          <w:szCs w:val="32"/>
          <w:highlight w:val="none"/>
        </w:rPr>
        <w:t>（一）机关运行经费</w:t>
      </w:r>
    </w:p>
    <w:p w14:paraId="33FE9514">
      <w:pPr>
        <w:pStyle w:val="8"/>
        <w:ind w:firstLine="640"/>
        <w:rPr>
          <w:rFonts w:ascii="仿宋" w:hAnsi="仿宋" w:eastAsia="仿宋"/>
          <w:sz w:val="32"/>
          <w:szCs w:val="32"/>
          <w:highlight w:val="none"/>
        </w:rPr>
      </w:pPr>
      <w:r>
        <w:rPr>
          <w:rFonts w:hint="eastAsia" w:ascii="仿宋" w:hAnsi="仿宋" w:eastAsia="仿宋"/>
          <w:sz w:val="32"/>
          <w:szCs w:val="32"/>
          <w:highlight w:val="none"/>
        </w:rPr>
        <w:t>2026年本单位机关运行经费财政拨款预算</w:t>
      </w:r>
      <w:r>
        <w:rPr>
          <w:rFonts w:hint="eastAsia" w:ascii="仿宋" w:hAnsi="仿宋" w:eastAsia="仿宋"/>
          <w:sz w:val="32"/>
          <w:szCs w:val="32"/>
          <w:highlight w:val="none"/>
          <w:lang w:val="en-US" w:eastAsia="zh-CN"/>
        </w:rPr>
        <w:t>34.29</w:t>
      </w:r>
      <w:r>
        <w:rPr>
          <w:rFonts w:hint="eastAsia" w:ascii="仿宋" w:hAnsi="仿宋" w:eastAsia="仿宋"/>
          <w:sz w:val="32"/>
          <w:szCs w:val="32"/>
          <w:highlight w:val="none"/>
        </w:rPr>
        <w:t>万元，比 2025年预算增加0.61万元，增长1.81 %，主要原因是水电等费用按照10%缩减</w:t>
      </w:r>
      <w:r>
        <w:rPr>
          <w:rFonts w:hint="eastAsia" w:ascii="仿宋" w:hAnsi="仿宋" w:eastAsia="仿宋"/>
          <w:sz w:val="32"/>
          <w:szCs w:val="32"/>
          <w:highlight w:val="none"/>
          <w:lang w:eastAsia="zh-CN"/>
        </w:rPr>
        <w:t>，增加残保金</w:t>
      </w:r>
      <w:r>
        <w:rPr>
          <w:rFonts w:hint="eastAsia" w:ascii="仿宋" w:hAnsi="仿宋" w:eastAsia="仿宋"/>
          <w:sz w:val="32"/>
          <w:szCs w:val="32"/>
          <w:highlight w:val="none"/>
          <w:lang w:val="en-US" w:eastAsia="zh-CN"/>
        </w:rPr>
        <w:t>1.81万元至基本商品和服务支出科目</w:t>
      </w:r>
      <w:r>
        <w:rPr>
          <w:rFonts w:hint="eastAsia" w:ascii="仿宋" w:hAnsi="仿宋" w:eastAsia="仿宋"/>
          <w:sz w:val="32"/>
          <w:szCs w:val="32"/>
          <w:highlight w:val="none"/>
        </w:rPr>
        <w:t>。</w:t>
      </w:r>
    </w:p>
    <w:p w14:paraId="3C4DC5A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（二）政府采购情况</w:t>
      </w:r>
    </w:p>
    <w:p w14:paraId="5E4EE068">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2026年政府采购预算总额</w:t>
      </w:r>
      <w:r>
        <w:rPr>
          <w:rFonts w:hint="eastAsia" w:ascii="仿宋" w:hAnsi="仿宋" w:eastAsia="仿宋"/>
          <w:sz w:val="32"/>
          <w:szCs w:val="32"/>
          <w:highlight w:val="none"/>
          <w:lang w:val="en-US" w:eastAsia="zh-CN"/>
        </w:rPr>
        <w:t>1.83</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万元，政府采购工程预算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2E1CB5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（三）国有资产占有使用情况</w:t>
      </w:r>
    </w:p>
    <w:p w14:paraId="6E80D1C3">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截至2026年1月，部门本级和所属各预算单位共有车辆</w:t>
      </w:r>
      <w:r>
        <w:rPr>
          <w:rFonts w:ascii="仿宋" w:hAnsi="仿宋" w:eastAsia="仿宋"/>
          <w:sz w:val="32"/>
          <w:szCs w:val="32"/>
          <w:highlight w:val="none"/>
        </w:rPr>
        <w:t>0</w:t>
      </w:r>
      <w:r>
        <w:rPr>
          <w:rFonts w:hint="eastAsia" w:ascii="仿宋" w:hAnsi="仿宋" w:eastAsia="仿宋"/>
          <w:sz w:val="32"/>
          <w:szCs w:val="32"/>
          <w:highlight w:val="none"/>
        </w:rPr>
        <w:t>辆，其中，领导干部用车</w:t>
      </w:r>
      <w:r>
        <w:rPr>
          <w:rFonts w:ascii="仿宋" w:hAnsi="仿宋" w:eastAsia="仿宋"/>
          <w:sz w:val="32"/>
          <w:szCs w:val="32"/>
          <w:highlight w:val="none"/>
        </w:rPr>
        <w:t>0</w:t>
      </w:r>
      <w:r>
        <w:rPr>
          <w:rFonts w:hint="eastAsia" w:ascii="仿宋" w:hAnsi="仿宋" w:eastAsia="仿宋"/>
          <w:sz w:val="32"/>
          <w:szCs w:val="32"/>
          <w:highlight w:val="none"/>
        </w:rPr>
        <w:t>辆、一般公务用车</w:t>
      </w:r>
      <w:r>
        <w:rPr>
          <w:rFonts w:ascii="仿宋" w:hAnsi="仿宋" w:eastAsia="仿宋"/>
          <w:sz w:val="32"/>
          <w:szCs w:val="32"/>
          <w:highlight w:val="none"/>
        </w:rPr>
        <w:t>0</w:t>
      </w:r>
      <w:r>
        <w:rPr>
          <w:rFonts w:hint="eastAsia" w:ascii="仿宋" w:hAnsi="仿宋" w:eastAsia="仿宋"/>
          <w:sz w:val="32"/>
          <w:szCs w:val="32"/>
          <w:highlight w:val="none"/>
        </w:rPr>
        <w:t>辆,一般执法执勤用车</w:t>
      </w:r>
      <w:r>
        <w:rPr>
          <w:rFonts w:ascii="仿宋" w:hAnsi="仿宋" w:eastAsia="仿宋"/>
          <w:sz w:val="32"/>
          <w:szCs w:val="32"/>
          <w:highlight w:val="none"/>
        </w:rPr>
        <w:t>0</w:t>
      </w:r>
      <w:r>
        <w:rPr>
          <w:rFonts w:hint="eastAsia" w:ascii="仿宋" w:hAnsi="仿宋" w:eastAsia="仿宋"/>
          <w:sz w:val="32"/>
          <w:szCs w:val="32"/>
          <w:highlight w:val="none"/>
        </w:rPr>
        <w:t>辆、特种专业技术用车</w:t>
      </w:r>
      <w:r>
        <w:rPr>
          <w:rFonts w:ascii="仿宋" w:hAnsi="仿宋" w:eastAsia="仿宋"/>
          <w:sz w:val="32"/>
          <w:szCs w:val="32"/>
          <w:highlight w:val="none"/>
        </w:rPr>
        <w:t>0</w:t>
      </w:r>
      <w:r>
        <w:rPr>
          <w:rFonts w:hint="eastAsia" w:ascii="仿宋" w:hAnsi="仿宋" w:eastAsia="仿宋"/>
          <w:sz w:val="32"/>
          <w:szCs w:val="32"/>
          <w:highlight w:val="none"/>
        </w:rPr>
        <w:t>辆、其他用车</w:t>
      </w:r>
      <w:r>
        <w:rPr>
          <w:rFonts w:ascii="仿宋" w:hAnsi="仿宋" w:eastAsia="仿宋"/>
          <w:sz w:val="32"/>
          <w:szCs w:val="32"/>
          <w:highlight w:val="none"/>
        </w:rPr>
        <w:t>0</w:t>
      </w:r>
      <w:r>
        <w:rPr>
          <w:rFonts w:hint="eastAsia" w:ascii="仿宋" w:hAnsi="仿宋" w:eastAsia="仿宋"/>
          <w:sz w:val="32"/>
          <w:szCs w:val="32"/>
          <w:highlight w:val="none"/>
        </w:rPr>
        <w:t>辆，价值200万元以上大型设备</w:t>
      </w:r>
      <w:r>
        <w:rPr>
          <w:rFonts w:ascii="仿宋" w:hAnsi="仿宋" w:eastAsia="仿宋"/>
          <w:sz w:val="32"/>
          <w:szCs w:val="32"/>
          <w:highlight w:val="none"/>
        </w:rPr>
        <w:t>0</w:t>
      </w:r>
      <w:r>
        <w:rPr>
          <w:rFonts w:hint="eastAsia" w:ascii="仿宋" w:hAnsi="仿宋" w:eastAsia="仿宋"/>
          <w:sz w:val="32"/>
          <w:szCs w:val="32"/>
          <w:highlight w:val="none"/>
        </w:rPr>
        <w:t>台（套）。</w:t>
      </w:r>
    </w:p>
    <w:p w14:paraId="7CFB465B">
      <w:pPr>
        <w:pStyle w:val="8"/>
        <w:ind w:firstLine="640"/>
        <w:jc w:val="left"/>
        <w:rPr>
          <w:rFonts w:ascii="仿宋" w:hAnsi="仿宋" w:eastAsia="仿宋"/>
          <w:sz w:val="32"/>
          <w:szCs w:val="32"/>
          <w:highlight w:val="none"/>
        </w:rPr>
      </w:pPr>
      <w:r>
        <w:rPr>
          <w:rFonts w:hint="eastAsia" w:ascii="仿宋" w:hAnsi="仿宋" w:eastAsia="仿宋"/>
          <w:sz w:val="32"/>
          <w:szCs w:val="32"/>
          <w:highlight w:val="none"/>
        </w:rPr>
        <w:t>2026年部门预算安排购置车辆及价值200万元以上大型设备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6C4F4062">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预算项目绩效目标管理情况</w:t>
      </w:r>
    </w:p>
    <w:p w14:paraId="2A5558C3">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按照全面实施预算绩效管理的要求，结合本部门职能和重点工作，2026年将</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 xml:space="preserve">个项目支出的绩效目标和指标向社会公开，涉及金额 </w:t>
      </w:r>
      <w:r>
        <w:rPr>
          <w:rFonts w:hint="eastAsia" w:ascii="仿宋" w:hAnsi="仿宋" w:eastAsia="仿宋"/>
          <w:sz w:val="32"/>
          <w:szCs w:val="32"/>
          <w:highlight w:val="none"/>
          <w:lang w:val="en-US" w:eastAsia="zh-CN"/>
        </w:rPr>
        <w:t>167.53</w:t>
      </w:r>
      <w:r>
        <w:rPr>
          <w:rFonts w:hint="eastAsia" w:ascii="仿宋" w:hAnsi="仿宋" w:eastAsia="仿宋"/>
          <w:sz w:val="32"/>
          <w:szCs w:val="32"/>
          <w:highlight w:val="none"/>
        </w:rPr>
        <w:t>万元。</w:t>
      </w:r>
    </w:p>
    <w:p w14:paraId="3C527A83">
      <w:pPr>
        <w:jc w:val="center"/>
        <w:rPr>
          <w:rFonts w:ascii="仿宋" w:hAnsi="仿宋" w:eastAsia="仿宋"/>
          <w:sz w:val="32"/>
          <w:szCs w:val="32"/>
          <w:highlight w:val="none"/>
        </w:rPr>
      </w:pPr>
    </w:p>
    <w:p w14:paraId="6439DEC0">
      <w:pPr>
        <w:jc w:val="center"/>
        <w:rPr>
          <w:rFonts w:ascii="仿宋" w:hAnsi="仿宋" w:eastAsia="仿宋"/>
          <w:sz w:val="32"/>
          <w:szCs w:val="32"/>
          <w:highlight w:val="none"/>
        </w:rPr>
      </w:pPr>
    </w:p>
    <w:p w14:paraId="2855062F">
      <w:pPr>
        <w:jc w:val="center"/>
        <w:rPr>
          <w:rFonts w:ascii="仿宋" w:hAnsi="仿宋" w:eastAsia="仿宋"/>
          <w:sz w:val="32"/>
          <w:szCs w:val="32"/>
          <w:highlight w:val="none"/>
        </w:rPr>
      </w:pPr>
    </w:p>
    <w:p w14:paraId="74203E27">
      <w:pPr>
        <w:jc w:val="center"/>
        <w:rPr>
          <w:rFonts w:ascii="仿宋" w:hAnsi="仿宋" w:eastAsia="仿宋"/>
          <w:sz w:val="32"/>
          <w:szCs w:val="32"/>
          <w:highlight w:val="none"/>
        </w:rPr>
      </w:pPr>
    </w:p>
    <w:p w14:paraId="4EF04A6D">
      <w:pPr>
        <w:jc w:val="center"/>
        <w:rPr>
          <w:rFonts w:ascii="仿宋" w:hAnsi="仿宋" w:eastAsia="仿宋"/>
          <w:sz w:val="32"/>
          <w:szCs w:val="32"/>
          <w:highlight w:val="none"/>
        </w:rPr>
      </w:pPr>
    </w:p>
    <w:p w14:paraId="24ED3918">
      <w:pPr>
        <w:jc w:val="center"/>
        <w:rPr>
          <w:rFonts w:ascii="仿宋" w:hAnsi="仿宋" w:eastAsia="仿宋"/>
          <w:sz w:val="32"/>
          <w:szCs w:val="32"/>
          <w:highlight w:val="none"/>
        </w:rPr>
      </w:pPr>
    </w:p>
    <w:p w14:paraId="18B1C0E5">
      <w:pPr>
        <w:jc w:val="center"/>
        <w:rPr>
          <w:rFonts w:ascii="仿宋" w:hAnsi="仿宋" w:eastAsia="仿宋"/>
          <w:sz w:val="32"/>
          <w:szCs w:val="32"/>
          <w:highlight w:val="none"/>
        </w:rPr>
      </w:pPr>
    </w:p>
    <w:p w14:paraId="0757DF48">
      <w:pPr>
        <w:jc w:val="center"/>
        <w:rPr>
          <w:rFonts w:ascii="仿宋" w:hAnsi="仿宋" w:eastAsia="仿宋"/>
          <w:sz w:val="32"/>
          <w:szCs w:val="32"/>
          <w:highlight w:val="none"/>
        </w:rPr>
      </w:pPr>
    </w:p>
    <w:p w14:paraId="37833CFE">
      <w:pPr>
        <w:jc w:val="center"/>
        <w:rPr>
          <w:rFonts w:ascii="仿宋" w:hAnsi="仿宋" w:eastAsia="仿宋"/>
          <w:sz w:val="32"/>
          <w:szCs w:val="32"/>
          <w:highlight w:val="none"/>
        </w:rPr>
      </w:pPr>
    </w:p>
    <w:p w14:paraId="3494547D">
      <w:pPr>
        <w:jc w:val="center"/>
        <w:rPr>
          <w:rFonts w:ascii="仿宋" w:hAnsi="仿宋" w:eastAsia="仿宋"/>
          <w:sz w:val="32"/>
          <w:szCs w:val="32"/>
          <w:highlight w:val="none"/>
        </w:rPr>
      </w:pPr>
    </w:p>
    <w:p w14:paraId="0B4CA98D">
      <w:pPr>
        <w:jc w:val="center"/>
        <w:rPr>
          <w:rFonts w:ascii="仿宋" w:hAnsi="仿宋" w:eastAsia="仿宋"/>
          <w:sz w:val="32"/>
          <w:szCs w:val="32"/>
          <w:highlight w:val="none"/>
        </w:rPr>
      </w:pPr>
    </w:p>
    <w:p w14:paraId="78BC91D7">
      <w:pPr>
        <w:jc w:val="center"/>
        <w:rPr>
          <w:rFonts w:ascii="仿宋" w:hAnsi="仿宋" w:eastAsia="仿宋"/>
          <w:sz w:val="32"/>
          <w:szCs w:val="32"/>
          <w:highlight w:val="none"/>
        </w:rPr>
      </w:pPr>
    </w:p>
    <w:p w14:paraId="578E30A4">
      <w:pPr>
        <w:jc w:val="center"/>
        <w:rPr>
          <w:rFonts w:ascii="仿宋" w:hAnsi="仿宋" w:eastAsia="仿宋"/>
          <w:sz w:val="32"/>
          <w:szCs w:val="32"/>
          <w:highlight w:val="none"/>
        </w:rPr>
      </w:pPr>
    </w:p>
    <w:p w14:paraId="5BEAB39C">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2BA8D45">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一、一般公共预算拨款收入：指本级财政通过当年一般公共预算拨付的资金。</w:t>
      </w:r>
    </w:p>
    <w:p w14:paraId="2B7CFECE">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二、政府性基金预算拨款收入：指本级财政通过当年政府性基金预算拨付的资金。</w:t>
      </w:r>
    </w:p>
    <w:p w14:paraId="19E1AEFC">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三、国有资本经营预算拨款收入：指本级财政通过当年国有资本经营预算拨付的资金。</w:t>
      </w:r>
    </w:p>
    <w:p w14:paraId="253786D9">
      <w:pPr>
        <w:ind w:firstLine="640" w:firstLineChars="200"/>
        <w:rPr>
          <w:rFonts w:ascii="仿宋_GB2312" w:eastAsia="仿宋_GB2312"/>
          <w:sz w:val="32"/>
          <w:szCs w:val="32"/>
          <w:highlight w:val="none"/>
        </w:rPr>
      </w:pPr>
      <w:r>
        <w:rPr>
          <w:rFonts w:hint="eastAsia" w:ascii="仿宋_GB2312" w:eastAsia="仿宋_GB2312"/>
          <w:sz w:val="32"/>
          <w:szCs w:val="32"/>
          <w:highlight w:val="none"/>
        </w:rPr>
        <w:t>四、其他收入：指除上述收入以外的各项收入。包括银行存款利息收入。</w:t>
      </w:r>
    </w:p>
    <w:p w14:paraId="2EE06A32">
      <w:pPr>
        <w:ind w:firstLine="640" w:firstLineChars="200"/>
        <w:rPr>
          <w:rFonts w:ascii="仿宋_GB2312" w:eastAsia="仿宋_GB2312"/>
          <w:sz w:val="32"/>
          <w:szCs w:val="32"/>
          <w:highlight w:val="none"/>
        </w:rPr>
      </w:pPr>
      <w:r>
        <w:rPr>
          <w:rFonts w:hint="eastAsia" w:ascii="仿宋_GB2312" w:eastAsia="仿宋_GB2312"/>
          <w:sz w:val="32"/>
          <w:szCs w:val="32"/>
          <w:highlight w:val="none"/>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highlight w:val="none"/>
        </w:rPr>
      </w:pPr>
      <w:r>
        <w:rPr>
          <w:rFonts w:hint="eastAsia" w:ascii="仿宋_GB2312" w:eastAsia="仿宋_GB2312"/>
          <w:sz w:val="32"/>
          <w:szCs w:val="32"/>
          <w:highlight w:val="none"/>
        </w:rPr>
        <w:t>六、项目支出：指在基本支出之外为完成特定行政工作任务和事业发展目标所发生的各项支出。</w:t>
      </w:r>
    </w:p>
    <w:p w14:paraId="0FD705C5">
      <w:pPr>
        <w:ind w:firstLine="640" w:firstLineChars="200"/>
        <w:rPr>
          <w:rFonts w:ascii="仿宋_GB2312" w:eastAsia="仿宋_GB2312"/>
          <w:sz w:val="32"/>
          <w:szCs w:val="32"/>
          <w:highlight w:val="none"/>
        </w:rPr>
      </w:pPr>
      <w:r>
        <w:rPr>
          <w:rFonts w:hint="eastAsia" w:ascii="仿宋_GB2312" w:eastAsia="仿宋_GB2312"/>
          <w:sz w:val="32"/>
          <w:szCs w:val="32"/>
          <w:highlight w:val="none"/>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highlight w:val="none"/>
        </w:rPr>
      </w:pPr>
      <w:r>
        <w:rPr>
          <w:rFonts w:hint="eastAsia" w:ascii="仿宋_GB2312" w:eastAsia="仿宋_GB2312"/>
          <w:sz w:val="32"/>
          <w:szCs w:val="32"/>
          <w:highlight w:val="none"/>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highlight w:val="none"/>
        </w:rPr>
      </w:pPr>
      <w:r>
        <w:rPr>
          <w:rFonts w:hint="eastAsia" w:ascii="仿宋_GB2312" w:eastAsia="仿宋_GB2312"/>
          <w:sz w:val="32"/>
          <w:szCs w:val="32"/>
          <w:highlight w:val="none"/>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highlight w:val="none"/>
        </w:rPr>
      </w:pPr>
      <w:r>
        <w:rPr>
          <w:rFonts w:hint="eastAsia" w:ascii="仿宋_GB2312" w:eastAsia="仿宋_GB2312"/>
          <w:sz w:val="32"/>
          <w:szCs w:val="32"/>
          <w:highlight w:val="none"/>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highlight w:val="none"/>
        </w:rPr>
      </w:pPr>
      <w:r>
        <w:rPr>
          <w:rFonts w:hint="eastAsia" w:ascii="仿宋_GB2312" w:eastAsia="仿宋_GB2312"/>
          <w:sz w:val="32"/>
          <w:szCs w:val="32"/>
          <w:highlight w:val="none"/>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十二、项目支出绩效目标：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E9CC6">
      <w:pPr>
        <w:ind w:firstLine="640" w:firstLineChars="200"/>
        <w:rPr>
          <w:rFonts w:ascii="仿宋_GB2312" w:eastAsia="仿宋_GB2312"/>
          <w:sz w:val="32"/>
          <w:szCs w:val="32"/>
          <w:highlight w:val="none"/>
        </w:rPr>
      </w:pPr>
    </w:p>
    <w:p w14:paraId="38433E3C">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8250850">
      <w:pPr>
        <w:jc w:val="left"/>
        <w:rPr>
          <w:rFonts w:ascii="仿宋" w:hAnsi="仿宋" w:eastAsia="仿宋"/>
          <w:sz w:val="32"/>
          <w:szCs w:val="32"/>
          <w:highlight w:val="none"/>
        </w:rPr>
      </w:pPr>
    </w:p>
    <w:p w14:paraId="36736E16">
      <w:pPr>
        <w:jc w:val="left"/>
        <w:rPr>
          <w:rFonts w:ascii="仿宋" w:hAnsi="仿宋" w:eastAsia="仿宋"/>
          <w:sz w:val="32"/>
          <w:szCs w:val="32"/>
          <w:highlight w:val="none"/>
        </w:rPr>
      </w:pPr>
    </w:p>
    <w:p w14:paraId="01ED0CB3">
      <w:pPr>
        <w:jc w:val="left"/>
        <w:rPr>
          <w:rFonts w:ascii="仿宋" w:hAnsi="仿宋" w:eastAsia="仿宋"/>
          <w:sz w:val="32"/>
          <w:szCs w:val="32"/>
          <w:highlight w:val="none"/>
        </w:rPr>
      </w:pPr>
    </w:p>
    <w:p w14:paraId="3A9EA518">
      <w:pPr>
        <w:jc w:val="left"/>
        <w:rPr>
          <w:rFonts w:ascii="仿宋" w:hAnsi="仿宋" w:eastAsia="仿宋"/>
          <w:sz w:val="32"/>
          <w:szCs w:val="32"/>
          <w:highlight w:val="none"/>
        </w:rPr>
      </w:pPr>
    </w:p>
    <w:p w14:paraId="757010AF">
      <w:pPr>
        <w:jc w:val="left"/>
        <w:rPr>
          <w:rFonts w:ascii="仿宋" w:hAnsi="仿宋" w:eastAsia="仿宋"/>
          <w:sz w:val="32"/>
          <w:szCs w:val="32"/>
          <w:highlight w:val="none"/>
        </w:rPr>
      </w:pPr>
    </w:p>
    <w:p w14:paraId="1B9DA4B3">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252C055">
      <w:pPr>
        <w:jc w:val="left"/>
        <w:rPr>
          <w:rFonts w:ascii="仿宋" w:hAnsi="仿宋" w:eastAsia="仿宋"/>
          <w:sz w:val="32"/>
          <w:szCs w:val="32"/>
          <w:highlight w:val="none"/>
        </w:rPr>
      </w:pPr>
      <w:r>
        <w:rPr>
          <w:rFonts w:hint="eastAsia" w:ascii="仿宋" w:hAnsi="仿宋" w:eastAsia="仿宋"/>
          <w:sz w:val="32"/>
          <w:szCs w:val="32"/>
          <w:highlight w:val="none"/>
        </w:rPr>
        <w:t>2026年部门预算表套表（预算一</w:t>
      </w:r>
      <w:bookmarkStart w:id="0" w:name="_GoBack"/>
      <w:bookmarkEnd w:id="0"/>
      <w:r>
        <w:rPr>
          <w:rFonts w:hint="eastAsia" w:ascii="仿宋" w:hAnsi="仿宋" w:eastAsia="仿宋"/>
          <w:sz w:val="32"/>
          <w:szCs w:val="32"/>
          <w:highlight w:val="none"/>
        </w:rPr>
        <w:t>体化-“预算编制”模块-预算编制帆软报表查询中提取相应数据）。</w:t>
      </w:r>
    </w:p>
    <w:p w14:paraId="00E3AD42">
      <w:pPr>
        <w:rPr>
          <w:rFonts w:ascii="仿宋" w:hAnsi="仿宋" w:eastAsia="仿宋"/>
          <w:sz w:val="32"/>
          <w:szCs w:val="32"/>
          <w:highlight w:val="none"/>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85848B8"/>
    <w:rsid w:val="0A450E4E"/>
    <w:rsid w:val="0A7F599D"/>
    <w:rsid w:val="0B4115AF"/>
    <w:rsid w:val="0B9C6BE0"/>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1644155"/>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3336</Words>
  <Characters>3654</Characters>
  <Lines>21</Lines>
  <Paragraphs>6</Paragraphs>
  <TotalTime>1</TotalTime>
  <ScaleCrop>false</ScaleCrop>
  <LinksUpToDate>false</LinksUpToDate>
  <CharactersWithSpaces>3737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李晨爽</cp:lastModifiedBy>
  <dcterms:modified xsi:type="dcterms:W3CDTF">2026-03-23T03:14:48Z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3AE64BDAC4C04008A9EC82F39124DD8E_13</vt:lpwstr>
  </property>
  <property fmtid="{D5CDD505-2E9C-101B-9397-08002B2CF9AE}" pid="4" name="KSOTemplateDocerSaveRecord">
    <vt:lpwstr>eyJoZGlkIjoiMzI0NDcyMjBkY2MzMTVlNzE3NThlM2NhZDc2N2ZkZTIiLCJ1c2VySWQiOiI1OTMyMjA5MzcifQ==</vt:lpwstr>
  </property>
</Properties>
</file>