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hint="eastAsia" w:ascii="黑体" w:hAnsi="黑体" w:eastAsia="黑体"/>
          <w:sz w:val="44"/>
          <w:szCs w:val="44"/>
          <w:highlight w:val="none"/>
          <w:lang w:val="en-US" w:eastAsia="zh-CN"/>
        </w:rPr>
      </w:pPr>
    </w:p>
    <w:p w14:paraId="0722EA08">
      <w:pPr>
        <w:jc w:val="center"/>
        <w:rPr>
          <w:rFonts w:ascii="黑体" w:hAnsi="黑体" w:eastAsia="黑体"/>
          <w:sz w:val="44"/>
          <w:szCs w:val="44"/>
          <w:highlight w:val="none"/>
        </w:rPr>
      </w:pPr>
    </w:p>
    <w:p w14:paraId="5712AD97">
      <w:pPr>
        <w:jc w:val="center"/>
        <w:rPr>
          <w:rFonts w:ascii="黑体" w:hAnsi="黑体" w:eastAsia="黑体"/>
          <w:sz w:val="44"/>
          <w:szCs w:val="44"/>
          <w:highlight w:val="none"/>
        </w:rPr>
      </w:pPr>
    </w:p>
    <w:p w14:paraId="4DAE025F">
      <w:pPr>
        <w:jc w:val="center"/>
        <w:rPr>
          <w:rFonts w:ascii="黑体" w:hAnsi="黑体" w:eastAsia="黑体"/>
          <w:sz w:val="44"/>
          <w:szCs w:val="44"/>
          <w:highlight w:val="none"/>
        </w:rPr>
      </w:pPr>
    </w:p>
    <w:p w14:paraId="5C6FEE61">
      <w:pPr>
        <w:jc w:val="center"/>
        <w:rPr>
          <w:rFonts w:ascii="黑体" w:hAnsi="黑体" w:eastAsia="黑体"/>
          <w:sz w:val="44"/>
          <w:szCs w:val="44"/>
          <w:highlight w:val="none"/>
        </w:rPr>
      </w:pPr>
    </w:p>
    <w:p w14:paraId="5E106C57">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永吉县教育局基建管理中心</w:t>
      </w:r>
    </w:p>
    <w:p w14:paraId="0050A5F4">
      <w:pPr>
        <w:jc w:val="center"/>
        <w:rPr>
          <w:rFonts w:ascii="黑体" w:hAnsi="黑体" w:eastAsia="黑体"/>
          <w:sz w:val="52"/>
          <w:szCs w:val="52"/>
          <w:highlight w:val="none"/>
        </w:rPr>
      </w:pPr>
      <w:r>
        <w:rPr>
          <w:rFonts w:hint="eastAsia" w:ascii="黑体" w:hAnsi="黑体" w:eastAsia="黑体"/>
          <w:sz w:val="52"/>
          <w:szCs w:val="52"/>
          <w:highlight w:val="none"/>
        </w:rPr>
        <w:t>2026年部门预算</w:t>
      </w:r>
    </w:p>
    <w:p w14:paraId="5C42AB12">
      <w:pPr>
        <w:jc w:val="center"/>
        <w:rPr>
          <w:rFonts w:ascii="黑体" w:hAnsi="黑体" w:eastAsia="黑体"/>
          <w:sz w:val="44"/>
          <w:szCs w:val="44"/>
          <w:highlight w:val="none"/>
        </w:rPr>
      </w:pPr>
    </w:p>
    <w:p w14:paraId="5EF162CE">
      <w:pPr>
        <w:jc w:val="center"/>
        <w:rPr>
          <w:rFonts w:ascii="黑体" w:hAnsi="黑体" w:eastAsia="黑体"/>
          <w:sz w:val="44"/>
          <w:szCs w:val="44"/>
          <w:highlight w:val="none"/>
        </w:rPr>
      </w:pPr>
    </w:p>
    <w:p w14:paraId="6D7738A2">
      <w:pPr>
        <w:jc w:val="center"/>
        <w:rPr>
          <w:rFonts w:ascii="黑体" w:hAnsi="黑体" w:eastAsia="黑体"/>
          <w:sz w:val="44"/>
          <w:szCs w:val="44"/>
          <w:highlight w:val="none"/>
        </w:rPr>
      </w:pPr>
    </w:p>
    <w:p w14:paraId="1997C969">
      <w:pPr>
        <w:jc w:val="center"/>
        <w:rPr>
          <w:rFonts w:ascii="黑体" w:hAnsi="黑体" w:eastAsia="黑体"/>
          <w:sz w:val="44"/>
          <w:szCs w:val="44"/>
          <w:highlight w:val="none"/>
        </w:rPr>
      </w:pPr>
    </w:p>
    <w:p w14:paraId="4F4ABFCB">
      <w:pPr>
        <w:jc w:val="center"/>
        <w:rPr>
          <w:rFonts w:ascii="黑体" w:hAnsi="黑体" w:eastAsia="黑体"/>
          <w:sz w:val="44"/>
          <w:szCs w:val="44"/>
          <w:highlight w:val="none"/>
        </w:rPr>
      </w:pPr>
    </w:p>
    <w:p w14:paraId="6E03DA41">
      <w:pPr>
        <w:jc w:val="center"/>
        <w:rPr>
          <w:rFonts w:ascii="黑体" w:hAnsi="黑体" w:eastAsia="黑体"/>
          <w:sz w:val="44"/>
          <w:szCs w:val="44"/>
          <w:highlight w:val="none"/>
        </w:rPr>
      </w:pPr>
    </w:p>
    <w:p w14:paraId="34D8D65D">
      <w:pPr>
        <w:jc w:val="center"/>
        <w:rPr>
          <w:rFonts w:ascii="黑体" w:hAnsi="黑体" w:eastAsia="黑体"/>
          <w:sz w:val="44"/>
          <w:szCs w:val="44"/>
          <w:highlight w:val="none"/>
        </w:rPr>
      </w:pPr>
    </w:p>
    <w:p w14:paraId="01FD5D38">
      <w:pPr>
        <w:jc w:val="center"/>
        <w:rPr>
          <w:rFonts w:ascii="黑体" w:hAnsi="黑体" w:eastAsia="黑体"/>
          <w:sz w:val="44"/>
          <w:szCs w:val="44"/>
          <w:highlight w:val="none"/>
        </w:rPr>
      </w:pPr>
    </w:p>
    <w:p w14:paraId="380AB34E">
      <w:pPr>
        <w:jc w:val="center"/>
        <w:rPr>
          <w:rFonts w:ascii="黑体" w:hAnsi="黑体" w:eastAsia="黑体"/>
          <w:sz w:val="44"/>
          <w:szCs w:val="44"/>
          <w:highlight w:val="none"/>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highlight w:val="none"/>
        </w:rPr>
      </w:pPr>
    </w:p>
    <w:p w14:paraId="357EC0AC">
      <w:pPr>
        <w:jc w:val="center"/>
        <w:rPr>
          <w:rFonts w:ascii="黑体" w:hAnsi="黑体" w:eastAsia="黑体"/>
          <w:sz w:val="44"/>
          <w:szCs w:val="44"/>
          <w:highlight w:val="none"/>
        </w:rPr>
      </w:pPr>
    </w:p>
    <w:p w14:paraId="661A2997">
      <w:pPr>
        <w:jc w:val="center"/>
        <w:rPr>
          <w:rFonts w:ascii="黑体" w:hAnsi="黑体" w:eastAsia="黑体"/>
          <w:sz w:val="44"/>
          <w:szCs w:val="44"/>
          <w:highlight w:val="none"/>
        </w:rPr>
      </w:pPr>
    </w:p>
    <w:p w14:paraId="60FA0F16">
      <w:pPr>
        <w:jc w:val="center"/>
        <w:rPr>
          <w:rFonts w:ascii="黑体" w:hAnsi="黑体" w:eastAsia="黑体"/>
          <w:sz w:val="44"/>
          <w:szCs w:val="44"/>
          <w:highlight w:val="none"/>
        </w:rPr>
      </w:pPr>
    </w:p>
    <w:p w14:paraId="74A34429">
      <w:pPr>
        <w:jc w:val="center"/>
        <w:rPr>
          <w:rFonts w:ascii="黑体" w:hAnsi="黑体" w:eastAsia="黑体"/>
          <w:sz w:val="44"/>
          <w:szCs w:val="44"/>
          <w:highlight w:val="none"/>
        </w:rPr>
      </w:pPr>
    </w:p>
    <w:p w14:paraId="18C3CAAE">
      <w:pPr>
        <w:jc w:val="center"/>
        <w:rPr>
          <w:rFonts w:ascii="黑体" w:hAnsi="黑体" w:eastAsia="黑体"/>
          <w:sz w:val="44"/>
          <w:szCs w:val="44"/>
          <w:highlight w:val="none"/>
        </w:rPr>
      </w:pPr>
    </w:p>
    <w:p w14:paraId="4A5711DE">
      <w:pPr>
        <w:jc w:val="center"/>
        <w:rPr>
          <w:rFonts w:hint="eastAsia" w:ascii="黑体" w:hAnsi="黑体" w:eastAsia="黑体"/>
          <w:sz w:val="44"/>
          <w:szCs w:val="44"/>
          <w:highlight w:val="none"/>
          <w:lang w:val="en-US" w:eastAsia="zh-CN"/>
        </w:rPr>
      </w:pPr>
      <w:r>
        <w:rPr>
          <w:rFonts w:hint="eastAsia" w:ascii="黑体" w:hAnsi="黑体" w:eastAsia="黑体"/>
          <w:sz w:val="44"/>
          <w:szCs w:val="44"/>
          <w:highlight w:val="none"/>
          <w:lang w:val="en-US" w:eastAsia="zh-CN"/>
        </w:rPr>
        <w:t>永吉县教育局基建管理中心</w:t>
      </w:r>
    </w:p>
    <w:p w14:paraId="1F07C9F7">
      <w:pPr>
        <w:jc w:val="center"/>
        <w:rPr>
          <w:rFonts w:ascii="黑体" w:hAnsi="黑体" w:eastAsia="黑体"/>
          <w:sz w:val="44"/>
          <w:szCs w:val="44"/>
          <w:highlight w:val="none"/>
        </w:rPr>
      </w:pPr>
      <w:r>
        <w:rPr>
          <w:rFonts w:hint="eastAsia" w:ascii="黑体" w:hAnsi="黑体" w:eastAsia="黑体"/>
          <w:sz w:val="44"/>
          <w:szCs w:val="44"/>
          <w:highlight w:val="none"/>
        </w:rPr>
        <w:t>2026年预算</w:t>
      </w:r>
    </w:p>
    <w:p w14:paraId="63B0757E">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3BC81682">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73DDC628">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0F6E16B9">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5EE08171">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6F11FF87">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7BA36606">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7E4B53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收支总表</w:t>
      </w:r>
    </w:p>
    <w:p w14:paraId="257AF4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收入总表</w:t>
      </w:r>
    </w:p>
    <w:p w14:paraId="490A2BE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支出总表</w:t>
      </w:r>
    </w:p>
    <w:p w14:paraId="5F6425A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财政拨款收支总表</w:t>
      </w:r>
    </w:p>
    <w:p w14:paraId="500637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6CBA4F0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534C5B2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一般公共预算“三公”经费支出表</w:t>
      </w:r>
    </w:p>
    <w:p w14:paraId="4685FD4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政府性基金预算支出表</w:t>
      </w:r>
    </w:p>
    <w:p w14:paraId="696DB8A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国有资本经营预算支出表</w:t>
      </w:r>
    </w:p>
    <w:p w14:paraId="2C937F0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项目支出表</w:t>
      </w:r>
    </w:p>
    <w:p w14:paraId="3CED8429">
      <w:pPr>
        <w:rPr>
          <w:rFonts w:ascii="仿宋" w:hAnsi="仿宋" w:eastAsia="仿宋"/>
          <w:sz w:val="32"/>
          <w:szCs w:val="32"/>
          <w:highlight w:val="none"/>
        </w:rPr>
      </w:pPr>
    </w:p>
    <w:p w14:paraId="69BD7CEA">
      <w:pPr>
        <w:rPr>
          <w:rFonts w:ascii="仿宋" w:hAnsi="仿宋" w:eastAsia="仿宋"/>
          <w:sz w:val="32"/>
          <w:szCs w:val="32"/>
          <w:highlight w:val="none"/>
        </w:rPr>
      </w:pPr>
    </w:p>
    <w:p w14:paraId="549DAA5E">
      <w:pPr>
        <w:rPr>
          <w:rFonts w:ascii="仿宋" w:hAnsi="仿宋" w:eastAsia="仿宋"/>
          <w:sz w:val="32"/>
          <w:szCs w:val="32"/>
          <w:highlight w:val="none"/>
        </w:rPr>
      </w:pPr>
    </w:p>
    <w:p w14:paraId="519B9A34">
      <w:pPr>
        <w:jc w:val="center"/>
        <w:rPr>
          <w:rFonts w:hint="eastAsia" w:ascii="仿宋" w:hAnsi="仿宋" w:eastAsia="仿宋"/>
          <w:sz w:val="32"/>
          <w:szCs w:val="32"/>
          <w:highlight w:val="none"/>
          <w:lang w:val="en-US" w:eastAsia="zh-CN"/>
        </w:rPr>
      </w:pPr>
      <w:r>
        <w:rPr>
          <w:rFonts w:hint="eastAsia" w:ascii="黑体" w:hAnsi="黑体" w:eastAsia="黑体"/>
          <w:sz w:val="32"/>
          <w:szCs w:val="32"/>
          <w:highlight w:val="none"/>
        </w:rPr>
        <w:t>第一部分    部门（单位）概况</w:t>
      </w:r>
    </w:p>
    <w:p w14:paraId="66AD7C00">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57A9EA95">
      <w:pPr>
        <w:pStyle w:val="10"/>
        <w:widowControl/>
        <w:spacing w:line="620" w:lineRule="exact"/>
        <w:ind w:firstLine="627" w:firstLineChars="196"/>
        <w:contextualSpacing/>
        <w:rPr>
          <w:rFonts w:ascii="仿宋" w:hAnsi="仿宋" w:eastAsia="仿宋"/>
          <w:bCs/>
          <w:sz w:val="32"/>
          <w:szCs w:val="32"/>
          <w:highlight w:val="none"/>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名称：永吉县教育局基建管理中心</w:t>
      </w:r>
    </w:p>
    <w:p w14:paraId="60C9ACBB">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：事业单位</w:t>
      </w:r>
    </w:p>
    <w:p w14:paraId="3BEF0A9A">
      <w:pPr>
        <w:pStyle w:val="10"/>
        <w:widowControl/>
        <w:spacing w:line="620" w:lineRule="exact"/>
        <w:ind w:firstLine="627" w:firstLineChars="196"/>
        <w:contextualSpacing/>
        <w:rPr>
          <w:rFonts w:ascii="仿宋_GB2312" w:eastAsia="仿宋_GB2312"/>
          <w:sz w:val="32"/>
          <w:szCs w:val="32"/>
          <w:highlight w:val="none"/>
        </w:rPr>
      </w:pPr>
      <w:r>
        <w:rPr>
          <w:rFonts w:hint="eastAsia" w:ascii="仿宋" w:hAnsi="仿宋" w:eastAsia="仿宋"/>
          <w:bCs/>
          <w:kern w:val="0"/>
          <w:sz w:val="32"/>
          <w:szCs w:val="32"/>
          <w:highlight w:val="none"/>
        </w:rPr>
        <w:t>主要职能：</w:t>
      </w:r>
      <w:r>
        <w:rPr>
          <w:rFonts w:hint="eastAsia" w:ascii="仿宋_GB2312" w:eastAsia="仿宋_GB2312"/>
          <w:sz w:val="32"/>
          <w:szCs w:val="32"/>
          <w:highlight w:val="none"/>
        </w:rPr>
        <w:t xml:space="preserve"> 管理全县各级各类学校校园校舍建设、维修；指导全县学校基建管理、后勤服务、技术装备、公平竞争和市场监督工作；负责学校功能室管理、实验教学及设施设备采购；负责全县中小学学生综合劳动实践教育；负责全县中小学标准化食堂、标准化宿舍、节能减排和绿色校园的创建工作；负责监督、指导教育系统校园安全管理和安全教育工作；负责校车、通勤车辆、校园治安保卫、校园消防、平安校园创建、综合治理及周边环境整治等综合监管工作。负责饮食饮水安全、民办幼儿园安全、国家安全以及网络安全工作。</w:t>
      </w:r>
    </w:p>
    <w:p w14:paraId="0492C650">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w:t>
      </w:r>
      <w:r>
        <w:rPr>
          <w:rFonts w:hint="eastAsia" w:ascii="仿宋_GB2312" w:eastAsia="仿宋_GB2312"/>
          <w:sz w:val="32"/>
          <w:szCs w:val="32"/>
          <w:highlight w:val="none"/>
        </w:rPr>
        <w:t>管理全县各级各类学校基建、装备、后勤管理及安全</w:t>
      </w:r>
      <w:r>
        <w:rPr>
          <w:rFonts w:ascii="仿宋" w:hAnsi="仿宋" w:eastAsia="仿宋"/>
          <w:kern w:val="0"/>
          <w:sz w:val="32"/>
          <w:szCs w:val="32"/>
          <w:highlight w:val="none"/>
        </w:rPr>
        <w:t>等各方面的工作</w:t>
      </w:r>
    </w:p>
    <w:p w14:paraId="4763E449">
      <w:pPr>
        <w:pStyle w:val="10"/>
        <w:widowControl/>
        <w:spacing w:line="620" w:lineRule="exact"/>
        <w:contextualSpacing/>
        <w:rPr>
          <w:rFonts w:ascii="仿宋" w:hAnsi="仿宋" w:eastAsia="仿宋"/>
          <w:sz w:val="32"/>
          <w:szCs w:val="32"/>
          <w:highlight w:val="none"/>
        </w:rPr>
      </w:pPr>
      <w:r>
        <w:rPr>
          <w:rFonts w:hint="eastAsia" w:ascii="仿宋" w:hAnsi="仿宋" w:eastAsia="仿宋"/>
          <w:sz w:val="32"/>
          <w:szCs w:val="32"/>
          <w:highlight w:val="none"/>
        </w:rPr>
        <w:t>二、机构设置</w:t>
      </w:r>
    </w:p>
    <w:p w14:paraId="73026FBF">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w:t>
      </w:r>
    </w:p>
    <w:p w14:paraId="72635B38">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5</w:t>
      </w:r>
      <w:r>
        <w:rPr>
          <w:rFonts w:hint="eastAsia" w:ascii="仿宋" w:hAnsi="仿宋" w:eastAsia="仿宋"/>
          <w:kern w:val="0"/>
          <w:szCs w:val="32"/>
          <w:highlight w:val="none"/>
        </w:rPr>
        <w:t>人，编制数6人，领导职数1个。</w:t>
      </w:r>
    </w:p>
    <w:p w14:paraId="08C38348">
      <w:pPr>
        <w:jc w:val="both"/>
        <w:rPr>
          <w:rFonts w:ascii="黑体" w:hAnsi="黑体" w:eastAsia="黑体"/>
          <w:sz w:val="32"/>
          <w:szCs w:val="32"/>
          <w:highlight w:val="none"/>
        </w:rPr>
      </w:pPr>
    </w:p>
    <w:p w14:paraId="653D2C6B">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1A612949">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4665F96">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一、2026年收支预算总体情况</w:t>
      </w:r>
    </w:p>
    <w:p w14:paraId="790B2477">
      <w:pPr>
        <w:pStyle w:val="11"/>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highlight w:val="none"/>
          <w:lang w:val="en-US" w:eastAsia="zh-CN"/>
        </w:rPr>
        <w:t>77.74</w:t>
      </w:r>
      <w:r>
        <w:rPr>
          <w:rFonts w:hint="eastAsia" w:ascii="仿宋" w:hAnsi="仿宋" w:eastAsia="仿宋"/>
          <w:sz w:val="32"/>
          <w:szCs w:val="32"/>
          <w:highlight w:val="none"/>
        </w:rPr>
        <w:t xml:space="preserve">万元，比 2025年预算数 </w:t>
      </w:r>
      <w:r>
        <w:rPr>
          <w:rFonts w:hint="eastAsia" w:ascii="仿宋" w:hAnsi="仿宋" w:eastAsia="仿宋"/>
          <w:sz w:val="32"/>
          <w:szCs w:val="32"/>
          <w:highlight w:val="none"/>
          <w:lang w:val="en-US" w:eastAsia="zh-CN"/>
        </w:rPr>
        <w:t>56.82</w:t>
      </w:r>
      <w:r>
        <w:rPr>
          <w:rFonts w:hint="eastAsia" w:ascii="仿宋" w:hAnsi="仿宋" w:eastAsia="仿宋"/>
          <w:sz w:val="32"/>
          <w:szCs w:val="32"/>
          <w:highlight w:val="none"/>
        </w:rPr>
        <w:t xml:space="preserve">万元增 </w:t>
      </w:r>
      <w:r>
        <w:rPr>
          <w:rFonts w:hint="eastAsia" w:ascii="仿宋" w:hAnsi="仿宋" w:eastAsia="仿宋"/>
          <w:sz w:val="32"/>
          <w:szCs w:val="32"/>
          <w:highlight w:val="none"/>
          <w:lang w:val="en-US" w:eastAsia="zh-CN"/>
        </w:rPr>
        <w:t>20.92</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调入三人，工资性支出增加</w:t>
      </w:r>
      <w:r>
        <w:rPr>
          <w:rFonts w:hint="eastAsia" w:ascii="仿宋" w:hAnsi="仿宋" w:eastAsia="仿宋"/>
          <w:sz w:val="32"/>
          <w:szCs w:val="32"/>
          <w:highlight w:val="none"/>
        </w:rPr>
        <w:t>。</w:t>
      </w:r>
    </w:p>
    <w:p w14:paraId="0594D500">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二、2026年收入预算情况</w:t>
      </w:r>
    </w:p>
    <w:p w14:paraId="5BB9355F">
      <w:pPr>
        <w:pStyle w:val="11"/>
        <w:ind w:left="319" w:leftChars="152" w:firstLine="320" w:firstLineChars="100"/>
        <w:jc w:val="left"/>
        <w:rPr>
          <w:rFonts w:ascii="仿宋" w:hAnsi="仿宋" w:eastAsia="仿宋"/>
          <w:sz w:val="32"/>
          <w:szCs w:val="32"/>
          <w:highlight w:val="none"/>
        </w:rPr>
      </w:pPr>
      <w:r>
        <w:rPr>
          <w:rFonts w:hint="eastAsia" w:ascii="仿宋" w:hAnsi="仿宋" w:eastAsia="仿宋"/>
          <w:sz w:val="32"/>
          <w:szCs w:val="32"/>
          <w:highlight w:val="none"/>
        </w:rPr>
        <w:t xml:space="preserve">2026年本单位收入预算 </w:t>
      </w:r>
      <w:r>
        <w:rPr>
          <w:rFonts w:hint="eastAsia" w:ascii="仿宋" w:hAnsi="仿宋" w:eastAsia="仿宋"/>
          <w:sz w:val="32"/>
          <w:szCs w:val="32"/>
          <w:highlight w:val="none"/>
          <w:lang w:val="en-US" w:eastAsia="zh-CN"/>
        </w:rPr>
        <w:t>77.74</w:t>
      </w:r>
      <w:r>
        <w:rPr>
          <w:rFonts w:hint="eastAsia" w:ascii="仿宋" w:hAnsi="仿宋" w:eastAsia="仿宋"/>
          <w:sz w:val="32"/>
          <w:szCs w:val="32"/>
          <w:highlight w:val="none"/>
        </w:rPr>
        <w:t>万元，其中：一般公共预算收入</w:t>
      </w:r>
      <w:r>
        <w:rPr>
          <w:rFonts w:hint="eastAsia" w:ascii="仿宋" w:hAnsi="仿宋" w:eastAsia="仿宋"/>
          <w:sz w:val="32"/>
          <w:szCs w:val="32"/>
          <w:highlight w:val="none"/>
          <w:lang w:val="en-US" w:eastAsia="zh-CN"/>
        </w:rPr>
        <w:t>77.74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 xml:space="preserve">%；政府性基金收入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14:paraId="262A2F8F">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三、2026年支出预算情况</w:t>
      </w:r>
    </w:p>
    <w:p w14:paraId="25859D74">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rPr>
        <w:t>2026年支出预算</w:t>
      </w:r>
      <w:r>
        <w:rPr>
          <w:rFonts w:hint="eastAsia" w:ascii="仿宋" w:hAnsi="仿宋" w:eastAsia="仿宋"/>
          <w:sz w:val="32"/>
          <w:szCs w:val="32"/>
          <w:highlight w:val="none"/>
          <w:lang w:val="en-US" w:eastAsia="zh-CN"/>
        </w:rPr>
        <w:t>77.74</w:t>
      </w:r>
      <w:r>
        <w:rPr>
          <w:rFonts w:hint="eastAsia" w:ascii="仿宋" w:hAnsi="仿宋" w:eastAsia="仿宋"/>
          <w:sz w:val="32"/>
          <w:szCs w:val="32"/>
          <w:highlight w:val="none"/>
        </w:rPr>
        <w:t xml:space="preserve">万元，其中：基本支出 </w:t>
      </w:r>
      <w:r>
        <w:rPr>
          <w:rFonts w:hint="eastAsia" w:ascii="仿宋" w:hAnsi="仿宋" w:eastAsia="仿宋"/>
          <w:sz w:val="32"/>
          <w:szCs w:val="32"/>
          <w:highlight w:val="none"/>
          <w:lang w:val="en-US" w:eastAsia="zh-CN"/>
        </w:rPr>
        <w:t>77.74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14:paraId="51040F2B">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四、2026年财政拨款收支预算情况</w:t>
      </w:r>
    </w:p>
    <w:p w14:paraId="032F5B2D">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rPr>
        <w:t>2026年财政拨款收支总预算</w:t>
      </w:r>
      <w:r>
        <w:rPr>
          <w:rFonts w:hint="eastAsia" w:ascii="仿宋" w:hAnsi="仿宋" w:eastAsia="仿宋"/>
          <w:sz w:val="32"/>
          <w:szCs w:val="32"/>
          <w:highlight w:val="none"/>
          <w:lang w:val="en-US" w:eastAsia="zh-CN"/>
        </w:rPr>
        <w:t>77.74</w:t>
      </w:r>
      <w:r>
        <w:rPr>
          <w:rFonts w:hint="eastAsia" w:ascii="仿宋" w:hAnsi="仿宋" w:eastAsia="仿宋"/>
          <w:sz w:val="32"/>
          <w:szCs w:val="32"/>
          <w:highlight w:val="none"/>
        </w:rPr>
        <w:t xml:space="preserve">万元，其中：本年收入 </w:t>
      </w:r>
      <w:r>
        <w:rPr>
          <w:rFonts w:hint="eastAsia" w:ascii="仿宋" w:hAnsi="仿宋" w:eastAsia="仿宋"/>
          <w:sz w:val="32"/>
          <w:szCs w:val="32"/>
          <w:highlight w:val="none"/>
          <w:lang w:val="en-US" w:eastAsia="zh-CN"/>
        </w:rPr>
        <w:t>77.74</w:t>
      </w:r>
      <w:r>
        <w:rPr>
          <w:rFonts w:hint="eastAsia" w:ascii="仿宋" w:hAnsi="仿宋" w:eastAsia="仿宋"/>
          <w:sz w:val="32"/>
          <w:szCs w:val="32"/>
          <w:highlight w:val="none"/>
        </w:rPr>
        <w:t>万元。本年支出</w:t>
      </w:r>
      <w:r>
        <w:rPr>
          <w:rFonts w:hint="eastAsia" w:ascii="仿宋" w:hAnsi="仿宋" w:eastAsia="仿宋"/>
          <w:sz w:val="32"/>
          <w:szCs w:val="32"/>
          <w:highlight w:val="none"/>
          <w:lang w:val="en-US" w:eastAsia="zh-CN"/>
        </w:rPr>
        <w:t>77.74</w:t>
      </w:r>
      <w:r>
        <w:rPr>
          <w:rFonts w:hint="eastAsia" w:ascii="仿宋" w:hAnsi="仿宋" w:eastAsia="仿宋"/>
          <w:sz w:val="32"/>
          <w:szCs w:val="32"/>
          <w:highlight w:val="none"/>
        </w:rPr>
        <w:t>万元，支出包括：</w:t>
      </w:r>
      <w:r>
        <w:rPr>
          <w:rFonts w:hint="eastAsia" w:ascii="仿宋" w:hAnsi="仿宋" w:eastAsia="仿宋"/>
          <w:sz w:val="32"/>
          <w:szCs w:val="32"/>
          <w:highlight w:val="none"/>
          <w:lang w:eastAsia="zh-CN"/>
        </w:rPr>
        <w:t>教育</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63.7</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8</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6.04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14:paraId="113EA7E6">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rPr>
        <w:t>五、2026</w:t>
      </w:r>
      <w:r>
        <w:rPr>
          <w:rFonts w:hint="eastAsia" w:ascii="楷体" w:hAnsi="楷体" w:eastAsia="楷体"/>
          <w:kern w:val="0"/>
          <w:sz w:val="32"/>
          <w:szCs w:val="32"/>
          <w:highlight w:val="none"/>
        </w:rPr>
        <w:t>年一般公共预算支出情况</w:t>
      </w:r>
    </w:p>
    <w:p w14:paraId="7AE3769D">
      <w:pPr>
        <w:ind w:firstLine="640" w:firstLineChars="200"/>
        <w:rPr>
          <w:rFonts w:ascii="仿宋" w:hAnsi="仿宋" w:eastAsia="仿宋"/>
          <w:sz w:val="32"/>
          <w:szCs w:val="32"/>
          <w:highlight w:val="none"/>
        </w:rPr>
      </w:pPr>
      <w:r>
        <w:rPr>
          <w:rFonts w:hint="eastAsia" w:ascii="仿宋" w:hAnsi="仿宋" w:eastAsia="仿宋"/>
          <w:sz w:val="32"/>
          <w:szCs w:val="32"/>
          <w:highlight w:val="none"/>
        </w:rPr>
        <w:t>2026年一般公共预算当年拨款</w:t>
      </w:r>
      <w:r>
        <w:rPr>
          <w:rFonts w:hint="eastAsia" w:ascii="仿宋" w:hAnsi="仿宋" w:eastAsia="仿宋"/>
          <w:sz w:val="32"/>
          <w:szCs w:val="32"/>
          <w:highlight w:val="none"/>
          <w:lang w:val="en-US" w:eastAsia="zh-CN"/>
        </w:rPr>
        <w:t>77.74</w:t>
      </w:r>
      <w:r>
        <w:rPr>
          <w:rFonts w:hint="eastAsia" w:ascii="仿宋" w:hAnsi="仿宋" w:eastAsia="仿宋"/>
          <w:sz w:val="32"/>
          <w:szCs w:val="32"/>
          <w:highlight w:val="none"/>
        </w:rPr>
        <w:t>万元，其中：基本支出</w:t>
      </w:r>
      <w:r>
        <w:rPr>
          <w:rFonts w:hint="eastAsia" w:ascii="仿宋" w:hAnsi="仿宋" w:eastAsia="仿宋"/>
          <w:sz w:val="32"/>
          <w:szCs w:val="32"/>
          <w:highlight w:val="none"/>
          <w:lang w:val="en-US" w:eastAsia="zh-CN"/>
        </w:rPr>
        <w:t>77.74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68.98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88.73</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8.76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11.27</w:t>
      </w:r>
      <w:r>
        <w:rPr>
          <w:rFonts w:hint="eastAsia" w:ascii="仿宋" w:hAnsi="仿宋" w:eastAsia="仿宋"/>
          <w:sz w:val="32"/>
          <w:szCs w:val="32"/>
          <w:highlight w:val="none"/>
        </w:rPr>
        <w:t>%。</w:t>
      </w:r>
    </w:p>
    <w:p w14:paraId="1DFB71D9">
      <w:pPr>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教育</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63.7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r>
        <w:rPr>
          <w:rFonts w:hint="eastAsia" w:ascii="仿宋" w:hAnsi="仿宋" w:eastAsia="仿宋"/>
          <w:sz w:val="32"/>
          <w:szCs w:val="32"/>
          <w:highlight w:val="none"/>
        </w:rPr>
        <w:t>占</w:t>
      </w:r>
      <w:r>
        <w:rPr>
          <w:rFonts w:hint="eastAsia" w:ascii="仿宋" w:hAnsi="仿宋" w:eastAsia="仿宋"/>
          <w:sz w:val="32"/>
          <w:szCs w:val="32"/>
          <w:highlight w:val="none"/>
          <w:lang w:val="en-US" w:eastAsia="zh-CN"/>
        </w:rPr>
        <w:t>81.94</w:t>
      </w:r>
      <w:r>
        <w:rPr>
          <w:rFonts w:hint="eastAsia" w:ascii="仿宋" w:hAnsi="仿宋" w:eastAsia="仿宋"/>
          <w:sz w:val="32"/>
          <w:szCs w:val="32"/>
          <w:highlight w:val="none"/>
        </w:rPr>
        <w:t>%，主要用于：人员经费和公用经费支出。</w:t>
      </w:r>
    </w:p>
    <w:p w14:paraId="59F47C99">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社会保障和就业（类）支出 </w:t>
      </w:r>
      <w:r>
        <w:rPr>
          <w:rFonts w:hint="eastAsia" w:ascii="仿宋" w:hAnsi="仿宋" w:eastAsia="仿宋"/>
          <w:sz w:val="32"/>
          <w:szCs w:val="32"/>
          <w:highlight w:val="none"/>
          <w:lang w:val="en-US" w:eastAsia="zh-CN"/>
        </w:rPr>
        <w:t>8</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10.29</w:t>
      </w:r>
      <w:r>
        <w:rPr>
          <w:rFonts w:hint="eastAsia" w:ascii="仿宋" w:hAnsi="仿宋" w:eastAsia="仿宋"/>
          <w:sz w:val="32"/>
          <w:szCs w:val="32"/>
          <w:highlight w:val="none"/>
        </w:rPr>
        <w:t>%，主要用于：</w:t>
      </w:r>
      <w:r>
        <w:rPr>
          <w:rFonts w:hint="eastAsia" w:ascii="仿宋" w:hAnsi="仿宋" w:eastAsia="仿宋"/>
          <w:sz w:val="32"/>
          <w:szCs w:val="32"/>
          <w:highlight w:val="none"/>
          <w:lang w:eastAsia="zh-CN"/>
        </w:rPr>
        <w:t>在职人员养老保险缴费支出。</w:t>
      </w:r>
    </w:p>
    <w:p w14:paraId="752A0F73">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住房保障（类）支出 </w:t>
      </w:r>
      <w:r>
        <w:rPr>
          <w:rFonts w:hint="eastAsia" w:ascii="仿宋" w:hAnsi="仿宋" w:eastAsia="仿宋"/>
          <w:sz w:val="32"/>
          <w:szCs w:val="32"/>
          <w:highlight w:val="none"/>
          <w:lang w:val="en-US" w:eastAsia="zh-CN"/>
        </w:rPr>
        <w:t>6.04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7.77</w:t>
      </w:r>
      <w:r>
        <w:rPr>
          <w:rFonts w:hint="eastAsia" w:ascii="仿宋" w:hAnsi="仿宋" w:eastAsia="仿宋"/>
          <w:sz w:val="32"/>
          <w:szCs w:val="32"/>
          <w:highlight w:val="none"/>
        </w:rPr>
        <w:t>%，主要用于：</w:t>
      </w:r>
      <w:r>
        <w:rPr>
          <w:rFonts w:hint="eastAsia" w:ascii="仿宋" w:hAnsi="仿宋" w:eastAsia="仿宋"/>
          <w:sz w:val="32"/>
          <w:szCs w:val="32"/>
          <w:highlight w:val="none"/>
          <w:lang w:eastAsia="zh-CN"/>
        </w:rPr>
        <w:t>在职人员</w:t>
      </w:r>
      <w:r>
        <w:rPr>
          <w:rFonts w:hint="eastAsia" w:ascii="仿宋" w:hAnsi="仿宋" w:eastAsia="仿宋"/>
          <w:sz w:val="32"/>
          <w:szCs w:val="32"/>
          <w:highlight w:val="none"/>
        </w:rPr>
        <w:t>住房公积金</w:t>
      </w:r>
      <w:r>
        <w:rPr>
          <w:rFonts w:hint="eastAsia" w:ascii="仿宋" w:hAnsi="仿宋" w:eastAsia="仿宋"/>
          <w:sz w:val="32"/>
          <w:szCs w:val="32"/>
          <w:highlight w:val="none"/>
          <w:lang w:eastAsia="zh-CN"/>
        </w:rPr>
        <w:t>缴费支出</w:t>
      </w:r>
      <w:r>
        <w:rPr>
          <w:rFonts w:hint="eastAsia" w:ascii="仿宋" w:hAnsi="仿宋" w:eastAsia="仿宋"/>
          <w:sz w:val="32"/>
          <w:szCs w:val="32"/>
          <w:highlight w:val="none"/>
        </w:rPr>
        <w:t>。</w:t>
      </w:r>
    </w:p>
    <w:p w14:paraId="1D655B29">
      <w:pPr>
        <w:pStyle w:val="9"/>
        <w:rPr>
          <w:rFonts w:ascii="楷体" w:hAnsi="楷体" w:eastAsia="楷体"/>
          <w:kern w:val="0"/>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rPr>
        <w:t>六、2026年一般公共预算基本支出情况</w:t>
      </w:r>
    </w:p>
    <w:p w14:paraId="28556014">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2026年一般公共预算基本支出 </w:t>
      </w:r>
      <w:r>
        <w:rPr>
          <w:rFonts w:hint="eastAsia" w:ascii="仿宋" w:hAnsi="仿宋" w:eastAsia="仿宋"/>
          <w:sz w:val="32"/>
          <w:szCs w:val="32"/>
          <w:highlight w:val="none"/>
          <w:lang w:val="en-US" w:eastAsia="zh-CN"/>
        </w:rPr>
        <w:t>77.74</w:t>
      </w:r>
      <w:r>
        <w:rPr>
          <w:rFonts w:hint="eastAsia" w:ascii="仿宋" w:hAnsi="仿宋" w:eastAsia="仿宋"/>
          <w:sz w:val="32"/>
          <w:szCs w:val="32"/>
          <w:highlight w:val="none"/>
        </w:rPr>
        <w:t>万元，其中：</w:t>
      </w:r>
    </w:p>
    <w:p w14:paraId="03F48596">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68.98</w:t>
      </w:r>
      <w:r>
        <w:rPr>
          <w:rFonts w:hint="eastAsia" w:ascii="仿宋" w:hAnsi="仿宋" w:eastAsia="仿宋"/>
          <w:sz w:val="32"/>
          <w:szCs w:val="32"/>
          <w:highlight w:val="none"/>
        </w:rPr>
        <w:t>万元，主要包括：基本工资、津贴补贴、奖金、绩效工资、机关事业单位基本养老保险缴费、职工基本医疗保险缴费、其他社会保障缴费、住房公积金、生活补助等；</w:t>
      </w:r>
    </w:p>
    <w:p w14:paraId="5C92AD13">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8.76</w:t>
      </w:r>
      <w:r>
        <w:rPr>
          <w:rFonts w:hint="eastAsia" w:ascii="仿宋" w:hAnsi="仿宋" w:eastAsia="仿宋"/>
          <w:sz w:val="32"/>
          <w:szCs w:val="32"/>
          <w:highlight w:val="none"/>
        </w:rPr>
        <w:t>万元，主要包括：办公费、印刷费、差旅费、工会经费、</w:t>
      </w:r>
      <w:r>
        <w:rPr>
          <w:rFonts w:hint="eastAsia" w:ascii="仿宋" w:hAnsi="仿宋" w:eastAsia="仿宋"/>
          <w:sz w:val="32"/>
          <w:szCs w:val="32"/>
          <w:highlight w:val="none"/>
          <w:lang w:eastAsia="zh-CN"/>
        </w:rPr>
        <w:t>其他商品和服务支出</w:t>
      </w:r>
      <w:r>
        <w:rPr>
          <w:rFonts w:hint="eastAsia" w:ascii="仿宋" w:hAnsi="仿宋" w:eastAsia="仿宋"/>
          <w:sz w:val="32"/>
          <w:szCs w:val="32"/>
          <w:highlight w:val="none"/>
        </w:rPr>
        <w:t>等。</w:t>
      </w:r>
    </w:p>
    <w:p w14:paraId="5080A63D">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rPr>
        <w:t>七、2026年一般公共预算财政拨款“三公经费”情况</w:t>
      </w:r>
    </w:p>
    <w:p w14:paraId="74D9A0A6">
      <w:pPr>
        <w:pStyle w:val="9"/>
        <w:ind w:firstLine="640" w:firstLineChars="200"/>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lang w:val="en-US" w:eastAsia="zh-CN"/>
        </w:rPr>
        <w:t>2026年本单位无“三公经费”预算支出。</w:t>
      </w:r>
    </w:p>
    <w:p w14:paraId="60353E9A">
      <w:pPr>
        <w:pStyle w:val="9"/>
        <w:rPr>
          <w:rFonts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rPr>
        <w:t>八、2026年政府性基金预算支出情况</w:t>
      </w:r>
    </w:p>
    <w:p w14:paraId="6CFED0B9">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2026年本单位无政府性基金预算支出</w:t>
      </w:r>
    </w:p>
    <w:p w14:paraId="39906816">
      <w:pPr>
        <w:pStyle w:val="9"/>
        <w:ind w:firstLine="640"/>
        <w:rPr>
          <w:rFonts w:ascii="楷体" w:hAnsi="楷体" w:eastAsia="楷体" w:cs="楷体"/>
          <w:sz w:val="32"/>
          <w:szCs w:val="32"/>
          <w:highlight w:val="none"/>
        </w:rPr>
      </w:pPr>
      <w:r>
        <w:rPr>
          <w:rFonts w:hint="eastAsia" w:ascii="楷体" w:hAnsi="楷体" w:eastAsia="楷体" w:cs="楷体"/>
          <w:sz w:val="32"/>
          <w:szCs w:val="32"/>
          <w:highlight w:val="none"/>
        </w:rPr>
        <w:t>九、2026年国有资本经营预算支出情况</w:t>
      </w:r>
    </w:p>
    <w:p w14:paraId="78271549">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2026年本单位无国有资本经营预算支出。</w:t>
      </w:r>
    </w:p>
    <w:p w14:paraId="028EDDC6">
      <w:pPr>
        <w:numPr>
          <w:ilvl w:val="0"/>
          <w:numId w:val="3"/>
        </w:numPr>
        <w:jc w:val="left"/>
        <w:rPr>
          <w:rFonts w:ascii="楷体" w:hAnsi="楷体" w:eastAsia="楷体" w:cs="楷体"/>
          <w:sz w:val="32"/>
          <w:szCs w:val="32"/>
          <w:highlight w:val="none"/>
        </w:rPr>
      </w:pPr>
      <w:r>
        <w:rPr>
          <w:rFonts w:hint="eastAsia" w:ascii="楷体" w:hAnsi="楷体" w:eastAsia="楷体" w:cs="楷体"/>
          <w:sz w:val="32"/>
          <w:szCs w:val="32"/>
          <w:highlight w:val="none"/>
        </w:rPr>
        <w:t>其他重要事项的说明情况</w:t>
      </w:r>
    </w:p>
    <w:p w14:paraId="4DBB8460">
      <w:pPr>
        <w:ind w:firstLine="640" w:firstLineChars="200"/>
        <w:jc w:val="left"/>
        <w:rPr>
          <w:rFonts w:ascii="楷体" w:hAnsi="楷体" w:eastAsia="楷体" w:cs="楷体"/>
          <w:sz w:val="32"/>
          <w:szCs w:val="32"/>
          <w:highlight w:val="none"/>
        </w:rPr>
      </w:pPr>
      <w:r>
        <w:rPr>
          <w:rFonts w:hint="eastAsia" w:ascii="楷体" w:hAnsi="楷体" w:eastAsia="楷体" w:cs="楷体"/>
          <w:sz w:val="32"/>
          <w:szCs w:val="32"/>
          <w:highlight w:val="none"/>
        </w:rPr>
        <w:t>（一）机关运行经费</w:t>
      </w:r>
    </w:p>
    <w:p w14:paraId="33FE9514">
      <w:pPr>
        <w:pStyle w:val="8"/>
        <w:ind w:firstLine="640"/>
        <w:rPr>
          <w:rFonts w:ascii="仿宋" w:hAnsi="仿宋" w:eastAsia="仿宋"/>
          <w:sz w:val="32"/>
          <w:szCs w:val="32"/>
          <w:highlight w:val="none"/>
        </w:rPr>
      </w:pPr>
      <w:r>
        <w:rPr>
          <w:rFonts w:hint="eastAsia" w:ascii="仿宋" w:hAnsi="仿宋" w:eastAsia="仿宋"/>
          <w:sz w:val="32"/>
          <w:szCs w:val="32"/>
          <w:highlight w:val="none"/>
        </w:rPr>
        <w:t xml:space="preserve">2026年本单位机关运行经费财政拨款预算 </w:t>
      </w:r>
      <w:r>
        <w:rPr>
          <w:rFonts w:hint="eastAsia" w:ascii="仿宋" w:hAnsi="仿宋" w:eastAsia="仿宋"/>
          <w:sz w:val="32"/>
          <w:szCs w:val="32"/>
          <w:highlight w:val="none"/>
          <w:lang w:val="en-US" w:eastAsia="zh-CN"/>
        </w:rPr>
        <w:t>8.76</w:t>
      </w:r>
      <w:r>
        <w:rPr>
          <w:rFonts w:hint="eastAsia" w:ascii="仿宋" w:hAnsi="仿宋" w:eastAsia="仿宋"/>
          <w:sz w:val="32"/>
          <w:szCs w:val="32"/>
          <w:highlight w:val="none"/>
        </w:rPr>
        <w:t>万元，比 2025年预算增加</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12.5</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人员增加</w:t>
      </w:r>
      <w:r>
        <w:rPr>
          <w:rFonts w:hint="eastAsia" w:ascii="仿宋" w:hAnsi="仿宋" w:eastAsia="仿宋"/>
          <w:sz w:val="32"/>
          <w:szCs w:val="32"/>
          <w:highlight w:val="none"/>
        </w:rPr>
        <w:t>。</w:t>
      </w:r>
    </w:p>
    <w:p w14:paraId="3C4DC5AB">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（二）政府采购情况</w:t>
      </w:r>
    </w:p>
    <w:p w14:paraId="5E4EE068">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2026年政府采购预算总额</w:t>
      </w:r>
      <w:r>
        <w:rPr>
          <w:rFonts w:hint="eastAsia" w:ascii="仿宋" w:hAnsi="仿宋" w:eastAsia="仿宋"/>
          <w:sz w:val="32"/>
          <w:szCs w:val="32"/>
          <w:highlight w:val="none"/>
          <w:lang w:val="en-US" w:eastAsia="zh-CN"/>
        </w:rPr>
        <w:t>1.06</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2E1CB5D">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（三）国有资产占有使用情况</w:t>
      </w:r>
    </w:p>
    <w:p w14:paraId="6E80D1C3">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截至2026年1月，部门本级和所属各预算单位共有车辆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7CFB465B">
      <w:pPr>
        <w:pStyle w:val="8"/>
        <w:ind w:firstLine="640"/>
        <w:jc w:val="left"/>
        <w:rPr>
          <w:rFonts w:ascii="仿宋" w:hAnsi="仿宋" w:eastAsia="仿宋"/>
          <w:sz w:val="32"/>
          <w:szCs w:val="32"/>
          <w:highlight w:val="none"/>
        </w:rPr>
      </w:pPr>
      <w:r>
        <w:rPr>
          <w:rFonts w:hint="eastAsia" w:ascii="仿宋" w:hAnsi="仿宋" w:eastAsia="仿宋"/>
          <w:sz w:val="32"/>
          <w:szCs w:val="32"/>
          <w:highlight w:val="none"/>
        </w:rPr>
        <w:t xml:space="preserve">2026年部门预算安排购置车辆及价值200万元以上大型设备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6C4F4062">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预算项目绩效目标管理情况</w:t>
      </w:r>
    </w:p>
    <w:p w14:paraId="2A5558C3">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按照全面实施预算绩效管理的要求，结合本部门职能和重点工作，2026年将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个项目支出的绩效目标和指标向社会公开，涉及金额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C527A83">
      <w:pPr>
        <w:jc w:val="center"/>
        <w:rPr>
          <w:rFonts w:ascii="仿宋" w:hAnsi="仿宋" w:eastAsia="仿宋"/>
          <w:sz w:val="32"/>
          <w:szCs w:val="32"/>
          <w:highlight w:val="none"/>
        </w:rPr>
      </w:pPr>
    </w:p>
    <w:p w14:paraId="6E9D2491">
      <w:pPr>
        <w:jc w:val="center"/>
        <w:rPr>
          <w:rFonts w:ascii="仿宋" w:hAnsi="仿宋" w:eastAsia="仿宋"/>
          <w:sz w:val="32"/>
          <w:szCs w:val="32"/>
          <w:highlight w:val="none"/>
        </w:rPr>
      </w:pPr>
    </w:p>
    <w:p w14:paraId="5BEAB39C">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2BA8D45">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一、一般公共预算拨款收入：指本级财政通过当年一般公共预算拨付的资金。</w:t>
      </w:r>
    </w:p>
    <w:p w14:paraId="2B7CFECE">
      <w:pPr>
        <w:ind w:firstLine="640" w:firstLineChars="200"/>
        <w:rPr>
          <w:rFonts w:ascii="仿宋_GB2312" w:eastAsia="仿宋_GB2312"/>
          <w:sz w:val="32"/>
          <w:szCs w:val="32"/>
          <w:highlight w:val="none"/>
        </w:rPr>
      </w:pPr>
      <w:r>
        <w:rPr>
          <w:rFonts w:hint="eastAsia" w:ascii="仿宋_GB2312" w:eastAsia="仿宋_GB2312"/>
          <w:sz w:val="32"/>
          <w:szCs w:val="32"/>
          <w:highlight w:val="none"/>
        </w:rPr>
        <w:t>二、政府性基金预算拨款收入：指本级财政通过当年政府性基金预算拨付的资金。</w:t>
      </w:r>
    </w:p>
    <w:p w14:paraId="19E1AEFC">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三、国有资本经营预算拨款收入：指本级财政通过当年国有资本经营预算拨付的资金。</w:t>
      </w:r>
    </w:p>
    <w:p w14:paraId="253786D9">
      <w:pPr>
        <w:ind w:firstLine="640" w:firstLineChars="200"/>
        <w:rPr>
          <w:rFonts w:ascii="仿宋_GB2312" w:eastAsia="仿宋_GB2312"/>
          <w:sz w:val="32"/>
          <w:szCs w:val="32"/>
          <w:highlight w:val="none"/>
        </w:rPr>
      </w:pPr>
      <w:r>
        <w:rPr>
          <w:rFonts w:hint="eastAsia" w:ascii="仿宋_GB2312" w:eastAsia="仿宋_GB2312"/>
          <w:sz w:val="32"/>
          <w:szCs w:val="32"/>
          <w:highlight w:val="none"/>
        </w:rPr>
        <w:t>四、其他收入：指除上述收入以外的各项收入。包括银行存款利息收入。</w:t>
      </w:r>
    </w:p>
    <w:p w14:paraId="2EE06A32">
      <w:pPr>
        <w:ind w:firstLine="640" w:firstLineChars="200"/>
        <w:rPr>
          <w:rFonts w:ascii="仿宋_GB2312" w:eastAsia="仿宋_GB2312"/>
          <w:sz w:val="32"/>
          <w:szCs w:val="32"/>
          <w:highlight w:val="none"/>
        </w:rPr>
      </w:pPr>
      <w:r>
        <w:rPr>
          <w:rFonts w:hint="eastAsia" w:ascii="仿宋_GB2312" w:eastAsia="仿宋_GB2312"/>
          <w:sz w:val="32"/>
          <w:szCs w:val="32"/>
          <w:highlight w:val="none"/>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highlight w:val="none"/>
        </w:rPr>
      </w:pPr>
      <w:r>
        <w:rPr>
          <w:rFonts w:hint="eastAsia" w:ascii="仿宋_GB2312" w:eastAsia="仿宋_GB2312"/>
          <w:sz w:val="32"/>
          <w:szCs w:val="32"/>
          <w:highlight w:val="none"/>
        </w:rPr>
        <w:t>六、项目支出：指在基本支出之外为完成特定行政工作任务和事业发展目标所发生的各项支出。</w:t>
      </w:r>
    </w:p>
    <w:p w14:paraId="0FD705C5">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highlight w:val="none"/>
        </w:rPr>
      </w:pPr>
      <w:r>
        <w:rPr>
          <w:rFonts w:hint="eastAsia" w:ascii="仿宋_GB2312" w:eastAsia="仿宋_GB2312"/>
          <w:sz w:val="32"/>
          <w:szCs w:val="32"/>
          <w:highlight w:val="none"/>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highlight w:val="none"/>
        </w:rPr>
      </w:pPr>
      <w:r>
        <w:rPr>
          <w:rFonts w:hint="eastAsia" w:ascii="仿宋_GB2312" w:eastAsia="仿宋_GB2312"/>
          <w:sz w:val="32"/>
          <w:szCs w:val="32"/>
          <w:highlight w:val="none"/>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highlight w:val="none"/>
        </w:rPr>
      </w:pPr>
      <w:r>
        <w:rPr>
          <w:rFonts w:hint="eastAsia" w:ascii="仿宋_GB2312" w:eastAsia="仿宋_GB2312"/>
          <w:sz w:val="32"/>
          <w:szCs w:val="32"/>
          <w:highlight w:val="none"/>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highlight w:val="none"/>
        </w:rPr>
      </w:pPr>
      <w:r>
        <w:rPr>
          <w:rFonts w:hint="eastAsia" w:ascii="仿宋_GB2312" w:eastAsia="仿宋_GB2312"/>
          <w:sz w:val="32"/>
          <w:szCs w:val="32"/>
          <w:highlight w:val="none"/>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十二、项目支出绩效目标：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E9CC6">
      <w:pPr>
        <w:ind w:firstLine="640" w:firstLineChars="200"/>
        <w:rPr>
          <w:rFonts w:ascii="仿宋_GB2312" w:eastAsia="仿宋_GB2312"/>
          <w:sz w:val="32"/>
          <w:szCs w:val="32"/>
          <w:highlight w:val="none"/>
        </w:rPr>
      </w:pPr>
    </w:p>
    <w:p w14:paraId="38433E3C">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8250850">
      <w:pPr>
        <w:jc w:val="left"/>
        <w:rPr>
          <w:rFonts w:ascii="仿宋" w:hAnsi="仿宋" w:eastAsia="仿宋"/>
          <w:sz w:val="32"/>
          <w:szCs w:val="32"/>
          <w:highlight w:val="none"/>
        </w:rPr>
      </w:pPr>
    </w:p>
    <w:p w14:paraId="6F49AC7E">
      <w:pPr>
        <w:jc w:val="left"/>
        <w:rPr>
          <w:rFonts w:ascii="仿宋" w:hAnsi="仿宋" w:eastAsia="仿宋"/>
          <w:sz w:val="32"/>
          <w:szCs w:val="32"/>
          <w:highlight w:val="none"/>
        </w:rPr>
      </w:pPr>
    </w:p>
    <w:p w14:paraId="250633BF">
      <w:pPr>
        <w:jc w:val="left"/>
        <w:rPr>
          <w:rFonts w:ascii="仿宋" w:hAnsi="仿宋" w:eastAsia="仿宋"/>
          <w:sz w:val="32"/>
          <w:szCs w:val="32"/>
          <w:highlight w:val="none"/>
        </w:rPr>
      </w:pPr>
    </w:p>
    <w:p w14:paraId="7207E5CA">
      <w:pPr>
        <w:jc w:val="left"/>
        <w:rPr>
          <w:rFonts w:ascii="仿宋" w:hAnsi="仿宋" w:eastAsia="仿宋"/>
          <w:sz w:val="32"/>
          <w:szCs w:val="32"/>
          <w:highlight w:val="none"/>
        </w:rPr>
      </w:pPr>
    </w:p>
    <w:p w14:paraId="757010AF">
      <w:pPr>
        <w:jc w:val="left"/>
        <w:rPr>
          <w:rFonts w:ascii="仿宋" w:hAnsi="仿宋" w:eastAsia="仿宋"/>
          <w:sz w:val="32"/>
          <w:szCs w:val="32"/>
          <w:highlight w:val="none"/>
        </w:rPr>
      </w:pPr>
    </w:p>
    <w:p w14:paraId="1B9DA4B3">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252C055">
      <w:pPr>
        <w:jc w:val="left"/>
        <w:rPr>
          <w:rFonts w:ascii="仿宋" w:hAnsi="仿宋" w:eastAsia="仿宋"/>
          <w:sz w:val="32"/>
          <w:szCs w:val="32"/>
          <w:highlight w:val="none"/>
        </w:rPr>
      </w:pPr>
      <w:r>
        <w:rPr>
          <w:rFonts w:hint="eastAsia" w:ascii="仿宋" w:hAnsi="仿宋" w:eastAsia="仿宋"/>
          <w:sz w:val="32"/>
          <w:szCs w:val="32"/>
          <w:highlight w:val="none"/>
        </w:rPr>
        <w:t>2026年部门预算表套表（预算一体化-“预算编制”模块-预算编制帆软报表查询中提取相应数据）。</w:t>
      </w:r>
    </w:p>
    <w:p w14:paraId="00E3AD42">
      <w:pPr>
        <w:rPr>
          <w:rFonts w:ascii="仿宋" w:hAnsi="仿宋" w:eastAsia="仿宋"/>
          <w:sz w:val="32"/>
          <w:szCs w:val="32"/>
          <w:highlight w:val="none"/>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3C17B73"/>
    <w:rsid w:val="15DA5399"/>
    <w:rsid w:val="187E3884"/>
    <w:rsid w:val="18F97B94"/>
    <w:rsid w:val="191A0446"/>
    <w:rsid w:val="19651281"/>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9F1810"/>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2747</Words>
  <Characters>2982</Characters>
  <Lines>21</Lines>
  <Paragraphs>6</Paragraphs>
  <TotalTime>4</TotalTime>
  <ScaleCrop>false</ScaleCrop>
  <LinksUpToDate>false</LinksUpToDate>
  <CharactersWithSpaces>3085</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李晨爽</cp:lastModifiedBy>
  <dcterms:modified xsi:type="dcterms:W3CDTF">2026-03-24T06:31:29Z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015E53AB75C04A42A540DA5266089B66</vt:lpwstr>
  </property>
  <property fmtid="{D5CDD505-2E9C-101B-9397-08002B2CF9AE}" pid="4" name="KSOTemplateDocerSaveRecord">
    <vt:lpwstr>eyJoZGlkIjoiMzI0NDcyMjBkY2MzMTVlNzE3NThlM2NhZDc2N2ZkZTIiLCJ1c2VySWQiOiI1OTMyMjA5MzcifQ==</vt:lpwstr>
  </property>
</Properties>
</file>