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B9A06">
      <w:pPr>
        <w:jc w:val="center"/>
        <w:rPr>
          <w:rFonts w:ascii="黑体" w:hAnsi="黑体" w:eastAsia="黑体"/>
          <w:sz w:val="44"/>
          <w:szCs w:val="44"/>
        </w:rPr>
      </w:pPr>
    </w:p>
    <w:p w14:paraId="6A894B84">
      <w:pPr>
        <w:jc w:val="center"/>
        <w:rPr>
          <w:rFonts w:ascii="黑体" w:hAnsi="黑体" w:eastAsia="黑体"/>
          <w:sz w:val="44"/>
          <w:szCs w:val="44"/>
        </w:rPr>
      </w:pPr>
    </w:p>
    <w:p w14:paraId="2EA85230">
      <w:pPr>
        <w:jc w:val="center"/>
        <w:rPr>
          <w:rFonts w:ascii="黑体" w:hAnsi="黑体" w:eastAsia="黑体"/>
          <w:sz w:val="44"/>
          <w:szCs w:val="44"/>
        </w:rPr>
      </w:pPr>
    </w:p>
    <w:p w14:paraId="1C1656E3">
      <w:pPr>
        <w:jc w:val="center"/>
        <w:rPr>
          <w:rFonts w:ascii="黑体" w:hAnsi="黑体" w:eastAsia="黑体"/>
          <w:sz w:val="44"/>
          <w:szCs w:val="44"/>
        </w:rPr>
      </w:pPr>
    </w:p>
    <w:p w14:paraId="191233FA">
      <w:pPr>
        <w:jc w:val="center"/>
        <w:rPr>
          <w:rFonts w:ascii="黑体" w:hAnsi="黑体" w:eastAsia="黑体"/>
          <w:sz w:val="44"/>
          <w:szCs w:val="44"/>
        </w:rPr>
      </w:pPr>
    </w:p>
    <w:p w14:paraId="561415A1">
      <w:pPr>
        <w:jc w:val="center"/>
        <w:rPr>
          <w:rFonts w:hint="eastAsia" w:ascii="黑体" w:hAnsi="黑体" w:eastAsia="黑体"/>
          <w:sz w:val="52"/>
          <w:szCs w:val="52"/>
          <w:lang w:eastAsia="zh-CN"/>
        </w:rPr>
      </w:pPr>
      <w:r>
        <w:rPr>
          <w:rFonts w:hint="eastAsia" w:ascii="黑体" w:hAnsi="黑体" w:eastAsia="黑体"/>
          <w:sz w:val="52"/>
          <w:szCs w:val="52"/>
          <w:lang w:eastAsia="zh-CN"/>
        </w:rPr>
        <w:t>永吉县机关事务服务中心</w:t>
      </w:r>
    </w:p>
    <w:p w14:paraId="47404C3A">
      <w:pPr>
        <w:jc w:val="center"/>
        <w:rPr>
          <w:rFonts w:ascii="黑体" w:hAnsi="黑体" w:eastAsia="黑体"/>
          <w:sz w:val="52"/>
          <w:szCs w:val="52"/>
        </w:rPr>
      </w:pPr>
      <w:r>
        <w:rPr>
          <w:rFonts w:hint="eastAsia" w:ascii="黑体" w:hAnsi="黑体" w:eastAsia="黑体"/>
          <w:sz w:val="52"/>
          <w:szCs w:val="52"/>
        </w:rPr>
        <w:t>2026年部门预算</w:t>
      </w:r>
    </w:p>
    <w:p w14:paraId="52EBBFA5">
      <w:pPr>
        <w:jc w:val="center"/>
        <w:rPr>
          <w:rFonts w:ascii="黑体" w:hAnsi="黑体" w:eastAsia="黑体"/>
          <w:sz w:val="44"/>
          <w:szCs w:val="44"/>
        </w:rPr>
      </w:pPr>
    </w:p>
    <w:p w14:paraId="5AEB5D88">
      <w:pPr>
        <w:jc w:val="center"/>
        <w:rPr>
          <w:rFonts w:ascii="黑体" w:hAnsi="黑体" w:eastAsia="黑体"/>
          <w:sz w:val="44"/>
          <w:szCs w:val="44"/>
        </w:rPr>
      </w:pPr>
    </w:p>
    <w:p w14:paraId="034F46E7">
      <w:pPr>
        <w:jc w:val="center"/>
        <w:rPr>
          <w:rFonts w:ascii="黑体" w:hAnsi="黑体" w:eastAsia="黑体"/>
          <w:sz w:val="44"/>
          <w:szCs w:val="44"/>
        </w:rPr>
      </w:pPr>
    </w:p>
    <w:p w14:paraId="0FFD4DEE">
      <w:pPr>
        <w:jc w:val="center"/>
        <w:rPr>
          <w:rFonts w:ascii="黑体" w:hAnsi="黑体" w:eastAsia="黑体"/>
          <w:sz w:val="44"/>
          <w:szCs w:val="44"/>
        </w:rPr>
      </w:pPr>
    </w:p>
    <w:p w14:paraId="749872C9">
      <w:pPr>
        <w:jc w:val="center"/>
        <w:rPr>
          <w:rFonts w:ascii="黑体" w:hAnsi="黑体" w:eastAsia="黑体"/>
          <w:sz w:val="44"/>
          <w:szCs w:val="44"/>
        </w:rPr>
      </w:pPr>
    </w:p>
    <w:p w14:paraId="35877ED2">
      <w:pPr>
        <w:jc w:val="center"/>
        <w:rPr>
          <w:rFonts w:ascii="黑体" w:hAnsi="黑体" w:eastAsia="黑体"/>
          <w:sz w:val="44"/>
          <w:szCs w:val="44"/>
        </w:rPr>
      </w:pPr>
    </w:p>
    <w:p w14:paraId="2000122D">
      <w:pPr>
        <w:jc w:val="center"/>
        <w:rPr>
          <w:rFonts w:ascii="黑体" w:hAnsi="黑体" w:eastAsia="黑体"/>
          <w:sz w:val="44"/>
          <w:szCs w:val="44"/>
        </w:rPr>
      </w:pPr>
    </w:p>
    <w:p w14:paraId="36014B40">
      <w:pPr>
        <w:jc w:val="center"/>
        <w:rPr>
          <w:rFonts w:ascii="黑体" w:hAnsi="黑体" w:eastAsia="黑体"/>
          <w:sz w:val="44"/>
          <w:szCs w:val="44"/>
        </w:rPr>
      </w:pPr>
    </w:p>
    <w:p w14:paraId="36CBCE23">
      <w:pPr>
        <w:jc w:val="center"/>
        <w:rPr>
          <w:rFonts w:ascii="黑体" w:hAnsi="黑体" w:eastAsia="黑体"/>
          <w:sz w:val="44"/>
          <w:szCs w:val="44"/>
        </w:rPr>
      </w:pPr>
    </w:p>
    <w:p w14:paraId="58DDA94F">
      <w:pPr>
        <w:jc w:val="center"/>
        <w:rPr>
          <w:rFonts w:ascii="黑体" w:hAnsi="黑体" w:eastAsia="黑体"/>
          <w:sz w:val="44"/>
          <w:szCs w:val="44"/>
        </w:rPr>
      </w:pPr>
    </w:p>
    <w:p w14:paraId="43DEF0AE">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3D5C3911">
      <w:pPr>
        <w:jc w:val="center"/>
        <w:rPr>
          <w:rFonts w:ascii="黑体" w:hAnsi="黑体" w:eastAsia="黑体"/>
          <w:sz w:val="44"/>
          <w:szCs w:val="44"/>
        </w:rPr>
      </w:pPr>
    </w:p>
    <w:p w14:paraId="11CE153A">
      <w:pPr>
        <w:jc w:val="center"/>
        <w:rPr>
          <w:rFonts w:ascii="黑体" w:hAnsi="黑体" w:eastAsia="黑体"/>
          <w:sz w:val="44"/>
          <w:szCs w:val="44"/>
        </w:rPr>
      </w:pPr>
    </w:p>
    <w:p w14:paraId="3B3BE8E8">
      <w:pPr>
        <w:jc w:val="center"/>
        <w:rPr>
          <w:rFonts w:ascii="黑体" w:hAnsi="黑体" w:eastAsia="黑体"/>
          <w:sz w:val="44"/>
          <w:szCs w:val="44"/>
        </w:rPr>
      </w:pPr>
    </w:p>
    <w:p w14:paraId="0F146EDC">
      <w:pPr>
        <w:jc w:val="center"/>
        <w:rPr>
          <w:rFonts w:ascii="黑体" w:hAnsi="黑体" w:eastAsia="黑体"/>
          <w:sz w:val="44"/>
          <w:szCs w:val="44"/>
        </w:rPr>
      </w:pPr>
    </w:p>
    <w:p w14:paraId="5CFD9E6E">
      <w:pPr>
        <w:jc w:val="center"/>
        <w:rPr>
          <w:rFonts w:ascii="黑体" w:hAnsi="黑体" w:eastAsia="黑体"/>
          <w:sz w:val="44"/>
          <w:szCs w:val="44"/>
        </w:rPr>
      </w:pPr>
    </w:p>
    <w:p w14:paraId="4A47CAFB">
      <w:pPr>
        <w:jc w:val="center"/>
        <w:rPr>
          <w:rFonts w:hint="eastAsia" w:ascii="黑体" w:hAnsi="黑体" w:eastAsia="黑体"/>
          <w:sz w:val="52"/>
          <w:szCs w:val="52"/>
          <w:lang w:eastAsia="zh-CN"/>
        </w:rPr>
      </w:pPr>
      <w:r>
        <w:rPr>
          <w:rFonts w:hint="eastAsia" w:ascii="黑体" w:hAnsi="黑体" w:eastAsia="黑体"/>
          <w:sz w:val="52"/>
          <w:szCs w:val="52"/>
          <w:lang w:eastAsia="zh-CN"/>
        </w:rPr>
        <w:t>永吉县机关事务服务中心</w:t>
      </w:r>
    </w:p>
    <w:p w14:paraId="352BB4F0">
      <w:pPr>
        <w:jc w:val="center"/>
        <w:rPr>
          <w:rFonts w:hint="eastAsia" w:ascii="黑体" w:hAnsi="黑体" w:eastAsia="黑体"/>
          <w:sz w:val="44"/>
          <w:szCs w:val="44"/>
        </w:rPr>
      </w:pPr>
      <w:r>
        <w:rPr>
          <w:rFonts w:hint="eastAsia" w:ascii="黑体" w:hAnsi="黑体" w:eastAsia="黑体"/>
          <w:sz w:val="44"/>
          <w:szCs w:val="44"/>
        </w:rPr>
        <w:t>2026年预算</w:t>
      </w:r>
    </w:p>
    <w:p w14:paraId="5A52858F">
      <w:pPr>
        <w:jc w:val="center"/>
        <w:rPr>
          <w:rFonts w:ascii="黑体" w:hAnsi="黑体" w:eastAsia="黑体"/>
          <w:sz w:val="44"/>
          <w:szCs w:val="44"/>
        </w:rPr>
      </w:pPr>
    </w:p>
    <w:p w14:paraId="77FF7BAF">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2FCEB455">
      <w:pPr>
        <w:rPr>
          <w:rFonts w:ascii="仿宋" w:hAnsi="仿宋" w:eastAsia="仿宋"/>
          <w:sz w:val="32"/>
          <w:szCs w:val="32"/>
        </w:rPr>
      </w:pPr>
      <w:r>
        <w:rPr>
          <w:rFonts w:hint="eastAsia" w:ascii="仿宋" w:hAnsi="仿宋" w:eastAsia="仿宋"/>
          <w:sz w:val="32"/>
          <w:szCs w:val="32"/>
        </w:rPr>
        <w:t>第一部分  部门概况</w:t>
      </w:r>
    </w:p>
    <w:p w14:paraId="50D2B99F">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408A1D4B">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101CF2F5">
      <w:pPr>
        <w:rPr>
          <w:rFonts w:ascii="仿宋" w:hAnsi="仿宋" w:eastAsia="仿宋"/>
          <w:sz w:val="32"/>
          <w:szCs w:val="32"/>
        </w:rPr>
      </w:pPr>
      <w:r>
        <w:rPr>
          <w:rFonts w:hint="eastAsia" w:ascii="仿宋" w:hAnsi="仿宋" w:eastAsia="仿宋"/>
          <w:sz w:val="32"/>
          <w:szCs w:val="32"/>
        </w:rPr>
        <w:t>第二部分  情况说明</w:t>
      </w:r>
    </w:p>
    <w:p w14:paraId="710266F5">
      <w:pPr>
        <w:rPr>
          <w:rFonts w:ascii="仿宋" w:hAnsi="仿宋" w:eastAsia="仿宋"/>
          <w:sz w:val="32"/>
          <w:szCs w:val="32"/>
        </w:rPr>
      </w:pPr>
      <w:r>
        <w:rPr>
          <w:rFonts w:hint="eastAsia" w:ascii="仿宋" w:hAnsi="仿宋" w:eastAsia="仿宋"/>
          <w:sz w:val="32"/>
          <w:szCs w:val="32"/>
        </w:rPr>
        <w:t xml:space="preserve">第三部分  名词解释 </w:t>
      </w:r>
    </w:p>
    <w:p w14:paraId="5D31CBA4">
      <w:pPr>
        <w:rPr>
          <w:rFonts w:ascii="仿宋" w:hAnsi="仿宋" w:eastAsia="仿宋"/>
          <w:sz w:val="32"/>
          <w:szCs w:val="32"/>
        </w:rPr>
      </w:pPr>
      <w:r>
        <w:rPr>
          <w:rFonts w:hint="eastAsia" w:ascii="仿宋" w:hAnsi="仿宋" w:eastAsia="仿宋"/>
          <w:sz w:val="32"/>
          <w:szCs w:val="32"/>
        </w:rPr>
        <w:t>第四部分  预算表格</w:t>
      </w:r>
    </w:p>
    <w:p w14:paraId="32D40C22">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6FD71E4">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21912BB">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6249DB1B">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0E353512">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469043E9">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28611279">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371B7F7C">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39B6AF16">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03BB2141">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73381705">
      <w:pPr>
        <w:rPr>
          <w:rFonts w:ascii="仿宋" w:hAnsi="仿宋" w:eastAsia="仿宋"/>
          <w:sz w:val="32"/>
          <w:szCs w:val="32"/>
        </w:rPr>
      </w:pPr>
    </w:p>
    <w:p w14:paraId="1E2C6983">
      <w:pPr>
        <w:rPr>
          <w:rFonts w:ascii="仿宋" w:hAnsi="仿宋" w:eastAsia="仿宋"/>
          <w:sz w:val="32"/>
          <w:szCs w:val="32"/>
        </w:rPr>
      </w:pPr>
    </w:p>
    <w:p w14:paraId="14FE7325">
      <w:pPr>
        <w:rPr>
          <w:rFonts w:ascii="仿宋" w:hAnsi="仿宋" w:eastAsia="仿宋"/>
          <w:sz w:val="32"/>
          <w:szCs w:val="32"/>
        </w:rPr>
      </w:pPr>
    </w:p>
    <w:p w14:paraId="068F5C55">
      <w:pPr>
        <w:jc w:val="center"/>
        <w:rPr>
          <w:rFonts w:ascii="黑体" w:hAnsi="黑体" w:eastAsia="黑体"/>
          <w:sz w:val="32"/>
          <w:szCs w:val="32"/>
        </w:rPr>
      </w:pPr>
      <w:r>
        <w:rPr>
          <w:rFonts w:hint="eastAsia" w:ascii="黑体" w:hAnsi="黑体" w:eastAsia="黑体"/>
          <w:sz w:val="32"/>
          <w:szCs w:val="32"/>
        </w:rPr>
        <w:t>第一部分    部门（单位）概况</w:t>
      </w:r>
    </w:p>
    <w:p w14:paraId="5F10F7A3">
      <w:pPr>
        <w:jc w:val="left"/>
        <w:rPr>
          <w:rFonts w:ascii="仿宋" w:hAnsi="仿宋" w:eastAsia="仿宋"/>
          <w:sz w:val="32"/>
          <w:szCs w:val="32"/>
        </w:rPr>
      </w:pPr>
      <w:r>
        <w:rPr>
          <w:rFonts w:hint="eastAsia" w:ascii="仿宋" w:hAnsi="仿宋" w:eastAsia="仿宋"/>
          <w:sz w:val="32"/>
          <w:szCs w:val="32"/>
        </w:rPr>
        <w:t xml:space="preserve">  </w:t>
      </w:r>
    </w:p>
    <w:p w14:paraId="461D5702">
      <w:pPr>
        <w:jc w:val="lef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b/>
          <w:bCs/>
          <w:sz w:val="32"/>
          <w:szCs w:val="32"/>
        </w:rPr>
        <w:t>一、主要职能</w:t>
      </w:r>
    </w:p>
    <w:p w14:paraId="42B80DEF">
      <w:pPr>
        <w:pStyle w:val="11"/>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名称：永吉县机关事务服务中心</w:t>
      </w:r>
    </w:p>
    <w:p w14:paraId="6F4B6D03">
      <w:pPr>
        <w:pStyle w:val="11"/>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公益一类事业单位</w:t>
      </w:r>
    </w:p>
    <w:p w14:paraId="409FDF37">
      <w:pPr>
        <w:pStyle w:val="11"/>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p>
    <w:p w14:paraId="553B8DDC">
      <w:pPr>
        <w:pStyle w:val="4"/>
        <w:keepNext w:val="0"/>
        <w:keepLines w:val="0"/>
        <w:pageBreakBefore w:val="0"/>
        <w:kinsoku/>
        <w:wordWrap/>
        <w:overflowPunct/>
        <w:topLinePunct w:val="0"/>
        <w:autoSpaceDE/>
        <w:autoSpaceDN/>
        <w:bidi w:val="0"/>
        <w:adjustRightInd/>
        <w:snapToGrid/>
        <w:spacing w:before="0" w:beforeAutospacing="0" w:after="0" w:afterAutospacing="0" w:line="580" w:lineRule="exact"/>
        <w:ind w:firstLine="645"/>
        <w:jc w:val="both"/>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永吉县机关事务服务中心主要承担以下职责：</w:t>
      </w:r>
    </w:p>
    <w:p w14:paraId="70DA919C">
      <w:pPr>
        <w:keepNext w:val="0"/>
        <w:keepLines w:val="0"/>
        <w:pageBreakBefore w:val="0"/>
        <w:widowControl/>
        <w:tabs>
          <w:tab w:val="left" w:pos="735"/>
        </w:tabs>
        <w:kinsoku/>
        <w:wordWrap/>
        <w:overflowPunct/>
        <w:topLinePunct w:val="0"/>
        <w:autoSpaceDE/>
        <w:autoSpaceDN/>
        <w:bidi w:val="0"/>
        <w:adjustRightInd/>
        <w:snapToGrid/>
        <w:spacing w:line="580" w:lineRule="exact"/>
        <w:ind w:firstLine="645"/>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（一）贯彻执行国家和省、市有关机关事务工作的方针政策，负责落实全县机关事务服务工作的政策、规定和规章制度并组织实施；落实全县机关后勤体制改革的政策、规划和办法。</w:t>
      </w:r>
    </w:p>
    <w:p w14:paraId="10B3FEFC">
      <w:pPr>
        <w:keepNext w:val="0"/>
        <w:keepLines w:val="0"/>
        <w:pageBreakBefore w:val="0"/>
        <w:widowControl/>
        <w:tabs>
          <w:tab w:val="left" w:pos="735"/>
        </w:tabs>
        <w:kinsoku/>
        <w:wordWrap/>
        <w:overflowPunct/>
        <w:topLinePunct w:val="0"/>
        <w:autoSpaceDE/>
        <w:autoSpaceDN/>
        <w:bidi w:val="0"/>
        <w:adjustRightInd/>
        <w:snapToGrid/>
        <w:spacing w:line="580" w:lineRule="exact"/>
        <w:ind w:firstLine="645"/>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（二）负责县直机关、事业单位办公用房及业务用房的权属登记、使用调配和大修维护等工作。</w:t>
      </w:r>
    </w:p>
    <w:p w14:paraId="6FFBC97F">
      <w:pPr>
        <w:keepNext w:val="0"/>
        <w:keepLines w:val="0"/>
        <w:pageBreakBefore w:val="0"/>
        <w:widowControl/>
        <w:tabs>
          <w:tab w:val="left" w:pos="735"/>
        </w:tabs>
        <w:kinsoku/>
        <w:wordWrap/>
        <w:overflowPunct/>
        <w:topLinePunct w:val="0"/>
        <w:autoSpaceDE/>
        <w:autoSpaceDN/>
        <w:bidi w:val="0"/>
        <w:adjustRightInd/>
        <w:snapToGrid/>
        <w:spacing w:line="580" w:lineRule="exact"/>
        <w:ind w:firstLine="645"/>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（三）负责县直机关事业单位公务用车的编制、配备、更新、处置工作。</w:t>
      </w:r>
    </w:p>
    <w:p w14:paraId="75A86736">
      <w:pPr>
        <w:keepNext w:val="0"/>
        <w:keepLines w:val="0"/>
        <w:pageBreakBefore w:val="0"/>
        <w:widowControl/>
        <w:tabs>
          <w:tab w:val="left" w:pos="735"/>
        </w:tabs>
        <w:kinsoku/>
        <w:wordWrap/>
        <w:overflowPunct/>
        <w:topLinePunct w:val="0"/>
        <w:autoSpaceDE/>
        <w:autoSpaceDN/>
        <w:bidi w:val="0"/>
        <w:adjustRightInd/>
        <w:snapToGrid/>
        <w:spacing w:line="580" w:lineRule="exact"/>
        <w:ind w:firstLine="645"/>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（四）负责纳入永吉县机关事务服务中心范围内机关及事业单位行政经费、事业经费、重要会议经费的财务帐目管理。</w:t>
      </w:r>
    </w:p>
    <w:p w14:paraId="7C591425">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（五）拟定本级公务接待的范围和标准，负责本级公务接待工作。</w:t>
      </w:r>
    </w:p>
    <w:p w14:paraId="02132E4E">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（六）负责县委、县政府办公大楼的安全保卫和消防工作；协调机关驻地的社会综合治理、绿化、爱国卫生、交通安全、环境综合整治等社会事务工作。</w:t>
      </w:r>
    </w:p>
    <w:p w14:paraId="3A13DE47">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（七）管理机关在公务活动中按规定上缴的礼品、礼金。</w:t>
      </w:r>
    </w:p>
    <w:p w14:paraId="3FB05B94">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（八）加强对全县机关事务服务工作的指导，组织全县机关后勤人员岗位培训。</w:t>
      </w:r>
    </w:p>
    <w:p w14:paraId="16E182C4">
      <w:pPr>
        <w:pStyle w:val="11"/>
        <w:widowControl/>
        <w:spacing w:line="620" w:lineRule="exact"/>
        <w:ind w:firstLine="627" w:firstLineChars="196"/>
        <w:contextualSpacing/>
        <w:rPr>
          <w:rFonts w:hint="eastAsia"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（九）承办县委、县政府交办的其他事项。</w:t>
      </w:r>
    </w:p>
    <w:p w14:paraId="31EEC39B">
      <w:pPr>
        <w:pStyle w:val="11"/>
        <w:widowControl/>
        <w:spacing w:line="620" w:lineRule="exact"/>
        <w:ind w:firstLine="321" w:firstLineChars="100"/>
        <w:contextualSpacing/>
        <w:rPr>
          <w:rFonts w:ascii="仿宋" w:hAnsi="仿宋" w:eastAsia="仿宋"/>
          <w:b/>
          <w:bCs/>
          <w:sz w:val="32"/>
          <w:szCs w:val="32"/>
        </w:rPr>
      </w:pPr>
      <w:r>
        <w:rPr>
          <w:rFonts w:hint="eastAsia" w:ascii="仿宋" w:hAnsi="仿宋" w:eastAsia="仿宋"/>
          <w:b/>
          <w:bCs/>
          <w:sz w:val="32"/>
          <w:szCs w:val="32"/>
        </w:rPr>
        <w:t>二、机构设置</w:t>
      </w:r>
    </w:p>
    <w:p w14:paraId="4E4A9A83">
      <w:pPr>
        <w:pStyle w:val="13"/>
        <w:ind w:firstLine="627" w:firstLineChars="196"/>
        <w:rPr>
          <w:rFonts w:hint="eastAsia" w:ascii="仿宋" w:hAnsi="仿宋" w:eastAsia="仿宋"/>
          <w:kern w:val="0"/>
          <w:szCs w:val="32"/>
        </w:rPr>
      </w:pPr>
      <w:r>
        <w:rPr>
          <w:rFonts w:hint="eastAsia" w:ascii="仿宋" w:hAnsi="仿宋" w:eastAsia="仿宋"/>
          <w:kern w:val="0"/>
          <w:szCs w:val="32"/>
        </w:rPr>
        <w:t>机构设置包括：</w:t>
      </w:r>
    </w:p>
    <w:p w14:paraId="569E1C9F">
      <w:pPr>
        <w:spacing w:line="546" w:lineRule="exact"/>
        <w:ind w:firstLine="640" w:firstLineChars="200"/>
        <w:rPr>
          <w:rFonts w:hint="default" w:ascii="仿宋" w:hAnsi="仿宋" w:eastAsia="仿宋" w:cs="Times New Roman"/>
          <w:kern w:val="0"/>
          <w:sz w:val="32"/>
          <w:szCs w:val="32"/>
          <w:lang w:val="en-US" w:eastAsia="zh-CN" w:bidi="ar-SA"/>
        </w:rPr>
      </w:pPr>
      <w:r>
        <w:rPr>
          <w:rFonts w:hint="default" w:ascii="仿宋" w:hAnsi="仿宋" w:eastAsia="仿宋" w:cs="Times New Roman"/>
          <w:kern w:val="0"/>
          <w:sz w:val="32"/>
          <w:szCs w:val="32"/>
          <w:lang w:val="en-US" w:eastAsia="zh-CN" w:bidi="ar-SA"/>
        </w:rPr>
        <w:t>根据所承担的工作职责和编制总量，永吉县机关事务服务中心设9个内设机构，即：办公室、 接待科、财务科、后勤科、车辆科、资产科、党务科、安全保卫科、会务保障科。</w:t>
      </w:r>
    </w:p>
    <w:p w14:paraId="562C7E91">
      <w:pPr>
        <w:spacing w:line="546" w:lineRule="exact"/>
        <w:ind w:firstLine="640" w:firstLineChars="200"/>
        <w:rPr>
          <w:rFonts w:hint="default" w:ascii="仿宋" w:hAnsi="仿宋" w:eastAsia="仿宋"/>
          <w:kern w:val="0"/>
          <w:szCs w:val="32"/>
          <w:lang w:val="en-US" w:eastAsia="zh-CN"/>
        </w:rPr>
      </w:pPr>
      <w:r>
        <w:rPr>
          <w:rFonts w:hint="default" w:ascii="仿宋" w:hAnsi="仿宋" w:eastAsia="仿宋" w:cs="Times New Roman"/>
          <w:kern w:val="0"/>
          <w:sz w:val="32"/>
          <w:szCs w:val="32"/>
          <w:lang w:val="en-US" w:eastAsia="zh-CN" w:bidi="ar-SA"/>
        </w:rPr>
        <w:t>内设机构职责根据本单位主要职责自行分解。</w:t>
      </w:r>
    </w:p>
    <w:p w14:paraId="6313ED73">
      <w:pPr>
        <w:pStyle w:val="13"/>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27</w:t>
      </w:r>
      <w:r>
        <w:rPr>
          <w:rFonts w:hint="eastAsia" w:ascii="仿宋" w:hAnsi="仿宋" w:eastAsia="仿宋"/>
          <w:kern w:val="0"/>
          <w:szCs w:val="32"/>
        </w:rPr>
        <w:t>人，编制数</w:t>
      </w:r>
      <w:r>
        <w:rPr>
          <w:rFonts w:hint="eastAsia" w:ascii="仿宋" w:hAnsi="仿宋" w:eastAsia="仿宋"/>
          <w:kern w:val="0"/>
          <w:szCs w:val="32"/>
          <w:lang w:val="en-US" w:eastAsia="zh-CN"/>
        </w:rPr>
        <w:t>31</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1C28F773">
      <w:pPr>
        <w:jc w:val="center"/>
        <w:rPr>
          <w:rFonts w:ascii="黑体" w:hAnsi="黑体" w:eastAsia="黑体"/>
          <w:sz w:val="32"/>
          <w:szCs w:val="32"/>
        </w:rPr>
      </w:pPr>
    </w:p>
    <w:p w14:paraId="121C3E33">
      <w:pPr>
        <w:jc w:val="center"/>
        <w:rPr>
          <w:rFonts w:ascii="黑体" w:hAnsi="黑体" w:eastAsia="黑体"/>
          <w:sz w:val="32"/>
          <w:szCs w:val="32"/>
        </w:rPr>
      </w:pPr>
    </w:p>
    <w:p w14:paraId="6F0F95AF">
      <w:pPr>
        <w:jc w:val="center"/>
        <w:rPr>
          <w:rFonts w:ascii="黑体" w:hAnsi="黑体" w:eastAsia="黑体"/>
          <w:sz w:val="32"/>
          <w:szCs w:val="32"/>
        </w:rPr>
      </w:pPr>
    </w:p>
    <w:p w14:paraId="4B28F283">
      <w:pPr>
        <w:jc w:val="center"/>
        <w:rPr>
          <w:rFonts w:ascii="黑体" w:hAnsi="黑体" w:eastAsia="黑体"/>
          <w:sz w:val="32"/>
          <w:szCs w:val="32"/>
        </w:rPr>
      </w:pPr>
    </w:p>
    <w:p w14:paraId="2131A4F1">
      <w:pPr>
        <w:jc w:val="center"/>
        <w:rPr>
          <w:rFonts w:ascii="黑体" w:hAnsi="黑体" w:eastAsia="黑体"/>
          <w:sz w:val="32"/>
          <w:szCs w:val="32"/>
        </w:rPr>
      </w:pPr>
    </w:p>
    <w:p w14:paraId="5D54AE08">
      <w:pPr>
        <w:jc w:val="center"/>
        <w:rPr>
          <w:rFonts w:ascii="黑体" w:hAnsi="黑体" w:eastAsia="黑体"/>
          <w:sz w:val="32"/>
          <w:szCs w:val="32"/>
        </w:rPr>
      </w:pPr>
    </w:p>
    <w:p w14:paraId="06CC8547">
      <w:pPr>
        <w:jc w:val="center"/>
        <w:rPr>
          <w:rFonts w:ascii="黑体" w:hAnsi="黑体" w:eastAsia="黑体"/>
          <w:sz w:val="32"/>
          <w:szCs w:val="32"/>
        </w:rPr>
      </w:pPr>
    </w:p>
    <w:p w14:paraId="6B5C0A21">
      <w:pPr>
        <w:jc w:val="center"/>
        <w:rPr>
          <w:rFonts w:ascii="黑体" w:hAnsi="黑体" w:eastAsia="黑体"/>
          <w:sz w:val="32"/>
          <w:szCs w:val="32"/>
        </w:rPr>
      </w:pPr>
    </w:p>
    <w:p w14:paraId="75DF6DCB">
      <w:pPr>
        <w:jc w:val="center"/>
        <w:rPr>
          <w:rFonts w:ascii="黑体" w:hAnsi="黑体" w:eastAsia="黑体"/>
          <w:sz w:val="32"/>
          <w:szCs w:val="32"/>
        </w:rPr>
      </w:pPr>
      <w:r>
        <w:rPr>
          <w:rFonts w:hint="eastAsia" w:ascii="黑体" w:hAnsi="黑体" w:eastAsia="黑体"/>
          <w:sz w:val="32"/>
          <w:szCs w:val="32"/>
        </w:rPr>
        <w:t>第二部分  情况说明</w:t>
      </w:r>
    </w:p>
    <w:p w14:paraId="3C8F646D">
      <w:pPr>
        <w:jc w:val="left"/>
        <w:rPr>
          <w:rFonts w:ascii="仿宋" w:hAnsi="仿宋" w:eastAsia="仿宋"/>
          <w:sz w:val="32"/>
          <w:szCs w:val="32"/>
        </w:rPr>
      </w:pPr>
      <w:r>
        <w:rPr>
          <w:rFonts w:hint="eastAsia" w:ascii="仿宋" w:hAnsi="仿宋" w:eastAsia="仿宋"/>
          <w:sz w:val="32"/>
          <w:szCs w:val="32"/>
        </w:rPr>
        <w:t xml:space="preserve"> </w:t>
      </w:r>
    </w:p>
    <w:p w14:paraId="35C5A478">
      <w:pPr>
        <w:jc w:val="left"/>
        <w:rPr>
          <w:rFonts w:ascii="楷体" w:hAnsi="楷体" w:eastAsia="楷体"/>
          <w:sz w:val="32"/>
          <w:szCs w:val="32"/>
        </w:rPr>
      </w:pPr>
      <w:r>
        <w:rPr>
          <w:rFonts w:hint="eastAsia" w:ascii="仿宋" w:hAnsi="仿宋" w:eastAsia="仿宋"/>
          <w:sz w:val="32"/>
          <w:szCs w:val="32"/>
        </w:rPr>
        <w:t xml:space="preserve">    </w:t>
      </w:r>
      <w:r>
        <w:rPr>
          <w:rFonts w:hint="eastAsia" w:ascii="仿宋" w:hAnsi="仿宋" w:eastAsia="仿宋" w:cs="Times New Roman"/>
          <w:b/>
          <w:bCs/>
          <w:kern w:val="2"/>
          <w:sz w:val="32"/>
          <w:szCs w:val="32"/>
          <w:lang w:val="en-US" w:eastAsia="zh-CN" w:bidi="ar-SA"/>
        </w:rPr>
        <w:t>一、2026年收支预算总体情况</w:t>
      </w:r>
    </w:p>
    <w:p w14:paraId="47E2673D">
      <w:pPr>
        <w:pStyle w:val="12"/>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2011.82</w:t>
      </w:r>
      <w:r>
        <w:rPr>
          <w:rFonts w:hint="eastAsia" w:ascii="仿宋" w:hAnsi="仿宋" w:eastAsia="仿宋"/>
          <w:sz w:val="32"/>
          <w:szCs w:val="32"/>
        </w:rPr>
        <w:t>万元，比 2025年预算数</w:t>
      </w:r>
      <w:r>
        <w:rPr>
          <w:rFonts w:hint="eastAsia" w:ascii="仿宋" w:hAnsi="仿宋" w:eastAsia="仿宋"/>
          <w:sz w:val="32"/>
          <w:szCs w:val="32"/>
          <w:lang w:val="en-US" w:eastAsia="zh-CN"/>
        </w:rPr>
        <w:t>1780.26</w:t>
      </w:r>
      <w:r>
        <w:rPr>
          <w:rFonts w:hint="eastAsia" w:ascii="仿宋" w:hAnsi="仿宋" w:eastAsia="仿宋"/>
          <w:sz w:val="32"/>
          <w:szCs w:val="32"/>
        </w:rPr>
        <w:t>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231.56</w:t>
      </w:r>
      <w:r>
        <w:rPr>
          <w:rFonts w:hint="eastAsia" w:ascii="仿宋" w:hAnsi="仿宋" w:eastAsia="仿宋"/>
          <w:sz w:val="32"/>
          <w:szCs w:val="32"/>
        </w:rPr>
        <w:t xml:space="preserve"> 万元，主要原因：</w:t>
      </w:r>
      <w:r>
        <w:rPr>
          <w:rFonts w:hint="eastAsia" w:ascii="仿宋" w:hAnsi="仿宋" w:eastAsia="仿宋"/>
          <w:sz w:val="32"/>
          <w:szCs w:val="32"/>
          <w:lang w:eastAsia="zh-CN"/>
        </w:rPr>
        <w:t>人员工资及社保费、公积金等基数上调，编外人员支出等</w:t>
      </w:r>
      <w:r>
        <w:rPr>
          <w:rFonts w:hint="eastAsia" w:ascii="仿宋" w:hAnsi="仿宋" w:eastAsia="仿宋"/>
          <w:sz w:val="32"/>
          <w:szCs w:val="32"/>
        </w:rPr>
        <w:t>。</w:t>
      </w:r>
    </w:p>
    <w:p w14:paraId="6AB41C6D">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仿宋" w:hAnsi="仿宋" w:eastAsia="仿宋" w:cs="Times New Roman"/>
          <w:b/>
          <w:bCs/>
          <w:kern w:val="2"/>
          <w:sz w:val="32"/>
          <w:szCs w:val="32"/>
          <w:lang w:val="en-US" w:eastAsia="zh-CN" w:bidi="ar-SA"/>
        </w:rPr>
        <w:t>二、2026年收入预算情况</w:t>
      </w:r>
    </w:p>
    <w:p w14:paraId="24EF2736">
      <w:pPr>
        <w:pStyle w:val="12"/>
        <w:ind w:left="319" w:leftChars="152" w:firstLine="320" w:firstLineChars="1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2011.82</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2011.82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50707CB9">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w:t>
      </w:r>
      <w:r>
        <w:rPr>
          <w:rFonts w:hint="eastAsia" w:ascii="仿宋" w:hAnsi="仿宋" w:eastAsia="仿宋" w:cs="Times New Roman"/>
          <w:b/>
          <w:bCs/>
          <w:kern w:val="2"/>
          <w:sz w:val="32"/>
          <w:szCs w:val="32"/>
          <w:lang w:val="en-US" w:eastAsia="zh-CN" w:bidi="ar-SA"/>
        </w:rPr>
        <w:t>三、2026年支出预算情况</w:t>
      </w:r>
    </w:p>
    <w:p w14:paraId="73FF18D9">
      <w:pPr>
        <w:pStyle w:val="12"/>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2011.82</w:t>
      </w:r>
      <w:r>
        <w:rPr>
          <w:rFonts w:hint="eastAsia" w:ascii="仿宋" w:hAnsi="仿宋" w:eastAsia="仿宋"/>
          <w:sz w:val="32"/>
          <w:szCs w:val="32"/>
        </w:rPr>
        <w:t>万元，其中：基本支出 1105.16万元，占</w:t>
      </w:r>
      <w:r>
        <w:rPr>
          <w:rFonts w:hint="eastAsia" w:ascii="仿宋" w:hAnsi="仿宋" w:eastAsia="仿宋"/>
          <w:sz w:val="32"/>
          <w:szCs w:val="32"/>
          <w:lang w:val="en-US" w:eastAsia="zh-CN"/>
        </w:rPr>
        <w:t>54.93</w:t>
      </w:r>
      <w:r>
        <w:rPr>
          <w:rFonts w:hint="eastAsia" w:ascii="仿宋" w:hAnsi="仿宋" w:eastAsia="仿宋"/>
          <w:sz w:val="32"/>
          <w:szCs w:val="32"/>
        </w:rPr>
        <w:t>%；项目支出906.66万元，占</w:t>
      </w:r>
      <w:r>
        <w:rPr>
          <w:rFonts w:hint="eastAsia" w:ascii="仿宋" w:hAnsi="仿宋" w:eastAsia="仿宋"/>
          <w:sz w:val="32"/>
          <w:szCs w:val="32"/>
          <w:lang w:val="en-US" w:eastAsia="zh-CN"/>
        </w:rPr>
        <w:t>45.07</w:t>
      </w:r>
      <w:r>
        <w:rPr>
          <w:rFonts w:hint="eastAsia" w:ascii="仿宋" w:hAnsi="仿宋" w:eastAsia="仿宋"/>
          <w:sz w:val="32"/>
          <w:szCs w:val="32"/>
        </w:rPr>
        <w:t>%。</w:t>
      </w:r>
    </w:p>
    <w:p w14:paraId="75E56B51">
      <w:pPr>
        <w:pStyle w:val="12"/>
        <w:ind w:firstLine="643" w:firstLineChars="200"/>
        <w:jc w:val="left"/>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四、2026年财政拨款收支预算情况</w:t>
      </w:r>
    </w:p>
    <w:p w14:paraId="21AE36A4">
      <w:pPr>
        <w:pStyle w:val="12"/>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2011.82</w:t>
      </w:r>
      <w:r>
        <w:rPr>
          <w:rFonts w:hint="eastAsia" w:ascii="仿宋" w:hAnsi="仿宋" w:eastAsia="仿宋"/>
          <w:sz w:val="32"/>
          <w:szCs w:val="32"/>
        </w:rPr>
        <w:t>万元，其中：本年收入</w:t>
      </w:r>
      <w:r>
        <w:rPr>
          <w:rFonts w:hint="eastAsia" w:ascii="仿宋" w:hAnsi="仿宋" w:eastAsia="仿宋"/>
          <w:sz w:val="32"/>
          <w:szCs w:val="32"/>
          <w:lang w:val="en-US" w:eastAsia="zh-CN"/>
        </w:rPr>
        <w:t>2011.82</w:t>
      </w:r>
      <w:r>
        <w:rPr>
          <w:rFonts w:hint="eastAsia" w:ascii="仿宋" w:hAnsi="仿宋" w:eastAsia="仿宋"/>
          <w:sz w:val="32"/>
          <w:szCs w:val="32"/>
        </w:rPr>
        <w:t>万元。本年支出</w:t>
      </w:r>
      <w:r>
        <w:rPr>
          <w:rFonts w:hint="eastAsia" w:ascii="仿宋" w:hAnsi="仿宋" w:eastAsia="仿宋"/>
          <w:sz w:val="32"/>
          <w:szCs w:val="32"/>
          <w:lang w:val="en-US" w:eastAsia="zh-CN"/>
        </w:rPr>
        <w:t>2011.82</w:t>
      </w:r>
      <w:r>
        <w:rPr>
          <w:rFonts w:hint="eastAsia" w:ascii="仿宋" w:hAnsi="仿宋" w:eastAsia="仿宋"/>
          <w:sz w:val="32"/>
          <w:szCs w:val="32"/>
        </w:rPr>
        <w:t>万元，支出包括：一般公共服务支出1957.94万元，社会保障和就业支出30.52万元，住房保障支出23.36万元</w:t>
      </w:r>
      <w:r>
        <w:rPr>
          <w:rFonts w:hint="eastAsia" w:ascii="仿宋" w:hAnsi="仿宋" w:eastAsia="仿宋"/>
          <w:sz w:val="32"/>
          <w:szCs w:val="32"/>
          <w:lang w:eastAsia="zh-CN"/>
        </w:rPr>
        <w:t>。</w:t>
      </w:r>
    </w:p>
    <w:p w14:paraId="42C42B6E">
      <w:pPr>
        <w:pStyle w:val="12"/>
        <w:rPr>
          <w:rFonts w:hint="eastAsia" w:ascii="仿宋" w:hAnsi="仿宋" w:eastAsia="仿宋"/>
          <w:kern w:val="0"/>
          <w:sz w:val="32"/>
          <w:szCs w:val="32"/>
        </w:rPr>
      </w:pPr>
      <w:r>
        <w:rPr>
          <w:rFonts w:hint="eastAsia" w:ascii="仿宋" w:hAnsi="仿宋" w:eastAsia="仿宋"/>
          <w:kern w:val="0"/>
          <w:sz w:val="32"/>
          <w:szCs w:val="32"/>
        </w:rPr>
        <w:t xml:space="preserve">   </w:t>
      </w:r>
    </w:p>
    <w:p w14:paraId="49507209">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仿宋" w:hAnsi="仿宋" w:eastAsia="仿宋"/>
          <w:kern w:val="0"/>
          <w:sz w:val="32"/>
          <w:szCs w:val="32"/>
          <w:lang w:val="en-US" w:eastAsia="zh-CN"/>
        </w:rPr>
        <w:t xml:space="preserve">   </w:t>
      </w:r>
      <w:r>
        <w:rPr>
          <w:rFonts w:hint="eastAsia" w:ascii="仿宋" w:hAnsi="仿宋" w:eastAsia="仿宋" w:cs="Times New Roman"/>
          <w:b/>
          <w:bCs/>
          <w:kern w:val="2"/>
          <w:sz w:val="32"/>
          <w:szCs w:val="32"/>
          <w:lang w:val="en-US" w:eastAsia="zh-CN" w:bidi="ar-SA"/>
        </w:rPr>
        <w:t>五、2026年一般公共预算支出情况</w:t>
      </w:r>
    </w:p>
    <w:p w14:paraId="2D69D30F">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2011.82</w:t>
      </w:r>
      <w:r>
        <w:rPr>
          <w:rFonts w:hint="eastAsia" w:ascii="仿宋" w:hAnsi="仿宋" w:eastAsia="仿宋"/>
          <w:sz w:val="32"/>
          <w:szCs w:val="32"/>
        </w:rPr>
        <w:t>万元，其中：基本支出</w:t>
      </w:r>
      <w:r>
        <w:rPr>
          <w:rFonts w:hint="eastAsia" w:ascii="仿宋" w:hAnsi="仿宋" w:eastAsia="仿宋"/>
          <w:sz w:val="32"/>
          <w:szCs w:val="32"/>
          <w:lang w:val="en-US" w:eastAsia="zh-CN"/>
        </w:rPr>
        <w:t>1105.16</w:t>
      </w:r>
      <w:r>
        <w:rPr>
          <w:rFonts w:hint="eastAsia" w:ascii="仿宋" w:hAnsi="仿宋" w:eastAsia="仿宋"/>
          <w:sz w:val="32"/>
          <w:szCs w:val="32"/>
        </w:rPr>
        <w:t>万元，占</w:t>
      </w:r>
      <w:r>
        <w:rPr>
          <w:rFonts w:hint="eastAsia" w:ascii="仿宋" w:hAnsi="仿宋" w:eastAsia="仿宋"/>
          <w:sz w:val="32"/>
          <w:szCs w:val="32"/>
          <w:lang w:val="en-US" w:eastAsia="zh-CN"/>
        </w:rPr>
        <w:t>54.93</w:t>
      </w:r>
      <w:r>
        <w:rPr>
          <w:rFonts w:hint="eastAsia" w:ascii="仿宋" w:hAnsi="仿宋" w:eastAsia="仿宋"/>
          <w:sz w:val="32"/>
          <w:szCs w:val="32"/>
        </w:rPr>
        <w:t>%；项目支出</w:t>
      </w:r>
      <w:r>
        <w:rPr>
          <w:rFonts w:hint="eastAsia" w:ascii="仿宋" w:hAnsi="仿宋" w:eastAsia="仿宋"/>
          <w:sz w:val="32"/>
          <w:szCs w:val="32"/>
          <w:lang w:val="en-US" w:eastAsia="zh-CN"/>
        </w:rPr>
        <w:t>906.66</w:t>
      </w:r>
      <w:r>
        <w:rPr>
          <w:rFonts w:hint="eastAsia" w:ascii="仿宋" w:hAnsi="仿宋" w:eastAsia="仿宋"/>
          <w:sz w:val="32"/>
          <w:szCs w:val="32"/>
        </w:rPr>
        <w:t>万元，占</w:t>
      </w:r>
      <w:r>
        <w:rPr>
          <w:rFonts w:hint="eastAsia" w:ascii="仿宋" w:hAnsi="仿宋" w:eastAsia="仿宋"/>
          <w:sz w:val="32"/>
          <w:szCs w:val="32"/>
          <w:lang w:val="en-US" w:eastAsia="zh-CN"/>
        </w:rPr>
        <w:t>45.07</w:t>
      </w:r>
      <w:r>
        <w:rPr>
          <w:rFonts w:hint="eastAsia" w:ascii="仿宋" w:hAnsi="仿宋" w:eastAsia="仿宋"/>
          <w:sz w:val="32"/>
          <w:szCs w:val="32"/>
        </w:rPr>
        <w:t>%。基本支出中，人员经费</w:t>
      </w:r>
      <w:r>
        <w:rPr>
          <w:rFonts w:hint="eastAsia" w:ascii="仿宋" w:hAnsi="仿宋" w:eastAsia="仿宋"/>
          <w:sz w:val="32"/>
          <w:szCs w:val="32"/>
          <w:lang w:val="en-US" w:eastAsia="zh-CN"/>
        </w:rPr>
        <w:t>264.6</w:t>
      </w:r>
      <w:r>
        <w:rPr>
          <w:rFonts w:hint="eastAsia" w:ascii="仿宋" w:hAnsi="仿宋" w:eastAsia="仿宋"/>
          <w:sz w:val="32"/>
          <w:szCs w:val="32"/>
        </w:rPr>
        <w:t>万元，占</w:t>
      </w:r>
      <w:r>
        <w:rPr>
          <w:rFonts w:hint="eastAsia" w:ascii="仿宋" w:hAnsi="仿宋" w:eastAsia="仿宋"/>
          <w:sz w:val="32"/>
          <w:szCs w:val="32"/>
          <w:lang w:val="en-US" w:eastAsia="zh-CN"/>
        </w:rPr>
        <w:t>23.94</w:t>
      </w:r>
      <w:r>
        <w:rPr>
          <w:rFonts w:hint="eastAsia" w:ascii="仿宋" w:hAnsi="仿宋" w:eastAsia="仿宋"/>
          <w:sz w:val="32"/>
          <w:szCs w:val="32"/>
        </w:rPr>
        <w:t>%；公用经费</w:t>
      </w:r>
      <w:r>
        <w:rPr>
          <w:rFonts w:hint="eastAsia" w:ascii="仿宋" w:hAnsi="仿宋" w:eastAsia="仿宋"/>
          <w:sz w:val="32"/>
          <w:szCs w:val="32"/>
          <w:lang w:val="en-US" w:eastAsia="zh-CN"/>
        </w:rPr>
        <w:t>840.56</w:t>
      </w:r>
      <w:r>
        <w:rPr>
          <w:rFonts w:hint="eastAsia" w:ascii="仿宋" w:hAnsi="仿宋" w:eastAsia="仿宋"/>
          <w:sz w:val="32"/>
          <w:szCs w:val="32"/>
        </w:rPr>
        <w:t>万元，占</w:t>
      </w:r>
      <w:r>
        <w:rPr>
          <w:rFonts w:hint="eastAsia" w:ascii="仿宋" w:hAnsi="仿宋" w:eastAsia="仿宋"/>
          <w:sz w:val="32"/>
          <w:szCs w:val="32"/>
          <w:lang w:val="en-US" w:eastAsia="zh-CN"/>
        </w:rPr>
        <w:t>76.06</w:t>
      </w:r>
      <w:r>
        <w:rPr>
          <w:rFonts w:hint="eastAsia" w:ascii="仿宋" w:hAnsi="仿宋" w:eastAsia="仿宋"/>
          <w:sz w:val="32"/>
          <w:szCs w:val="32"/>
        </w:rPr>
        <w:t>%。</w:t>
      </w:r>
    </w:p>
    <w:p w14:paraId="6A13A798">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color w:val="FF0000"/>
          <w:kern w:val="0"/>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1957.94</w:t>
      </w:r>
      <w:r>
        <w:rPr>
          <w:rFonts w:hint="eastAsia" w:ascii="仿宋" w:hAnsi="仿宋" w:eastAsia="仿宋"/>
          <w:sz w:val="32"/>
          <w:szCs w:val="32"/>
        </w:rPr>
        <w:t>万元，占</w:t>
      </w:r>
      <w:r>
        <w:rPr>
          <w:rFonts w:hint="eastAsia" w:ascii="仿宋" w:hAnsi="仿宋" w:eastAsia="仿宋"/>
          <w:sz w:val="32"/>
          <w:szCs w:val="32"/>
          <w:lang w:val="en-US" w:eastAsia="zh-CN"/>
        </w:rPr>
        <w:t>97.32</w:t>
      </w:r>
      <w:r>
        <w:rPr>
          <w:rFonts w:hint="eastAsia" w:ascii="仿宋" w:hAnsi="仿宋" w:eastAsia="仿宋"/>
          <w:sz w:val="32"/>
          <w:szCs w:val="32"/>
        </w:rPr>
        <w:t>%，主要用于：</w:t>
      </w:r>
      <w:r>
        <w:rPr>
          <w:rFonts w:hint="default" w:ascii="Times New Roman" w:hAnsi="Times New Roman" w:eastAsia="仿宋_GB2312" w:cs="Times New Roman"/>
          <w:color w:val="000000"/>
          <w:kern w:val="0"/>
          <w:sz w:val="32"/>
          <w:szCs w:val="32"/>
        </w:rPr>
        <w:t>县委、县政府办公大楼的安全保卫和消防工作；协调机关驻地的社会综合治理、绿化、爱国卫生、交通安全、环境综合整治等社会事务工作</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000000"/>
          <w:kern w:val="0"/>
          <w:sz w:val="32"/>
          <w:szCs w:val="32"/>
        </w:rPr>
        <w:t>本级公务接待工作</w:t>
      </w:r>
      <w:r>
        <w:rPr>
          <w:rFonts w:hint="eastAsia" w:ascii="Times New Roman" w:hAnsi="Times New Roman" w:eastAsia="仿宋_GB2312" w:cs="Times New Roman"/>
          <w:color w:val="000000"/>
          <w:kern w:val="0"/>
          <w:sz w:val="32"/>
          <w:szCs w:val="32"/>
          <w:lang w:eastAsia="zh-CN"/>
        </w:rPr>
        <w:t>，</w:t>
      </w:r>
      <w:r>
        <w:rPr>
          <w:rFonts w:hint="default" w:ascii="Times New Roman" w:hAnsi="Times New Roman" w:eastAsia="仿宋_GB2312" w:cs="Times New Roman"/>
          <w:color w:val="auto"/>
          <w:kern w:val="0"/>
          <w:sz w:val="32"/>
          <w:szCs w:val="32"/>
        </w:rPr>
        <w:t>县直机关、事业单位办公用房及业务用房的使用调配和大修维护等工作</w:t>
      </w:r>
      <w:r>
        <w:rPr>
          <w:rFonts w:hint="eastAsia"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000000"/>
          <w:kern w:val="0"/>
          <w:sz w:val="32"/>
          <w:szCs w:val="32"/>
        </w:rPr>
        <w:t>承办县委、县政府交办的其他事项。</w:t>
      </w:r>
    </w:p>
    <w:p w14:paraId="5F23B691">
      <w:pPr>
        <w:ind w:firstLine="640" w:firstLineChars="200"/>
        <w:rPr>
          <w:rFonts w:ascii="仿宋" w:hAnsi="仿宋" w:eastAsia="仿宋"/>
          <w:sz w:val="32"/>
          <w:szCs w:val="32"/>
        </w:rPr>
      </w:pPr>
      <w:r>
        <w:rPr>
          <w:rFonts w:hint="eastAsia" w:ascii="仿宋" w:hAnsi="仿宋" w:eastAsia="仿宋"/>
          <w:sz w:val="32"/>
          <w:szCs w:val="32"/>
        </w:rPr>
        <w:t>社会保障和就业（类）支出30.52 万元，占</w:t>
      </w:r>
      <w:r>
        <w:rPr>
          <w:rFonts w:hint="eastAsia" w:ascii="仿宋" w:hAnsi="仿宋" w:eastAsia="仿宋"/>
          <w:sz w:val="32"/>
          <w:szCs w:val="32"/>
          <w:lang w:val="en-US" w:eastAsia="zh-CN"/>
        </w:rPr>
        <w:t>1.52</w:t>
      </w:r>
      <w:r>
        <w:rPr>
          <w:rFonts w:hint="eastAsia" w:ascii="仿宋" w:hAnsi="仿宋" w:eastAsia="仿宋"/>
          <w:sz w:val="32"/>
          <w:szCs w:val="32"/>
        </w:rPr>
        <w:t>%，主要用于：</w:t>
      </w:r>
      <w:r>
        <w:rPr>
          <w:rFonts w:hint="eastAsia" w:ascii="仿宋" w:hAnsi="仿宋" w:eastAsia="仿宋"/>
          <w:sz w:val="32"/>
          <w:szCs w:val="32"/>
          <w:lang w:eastAsia="zh-CN"/>
        </w:rPr>
        <w:t>在职人员养老保险支出</w:t>
      </w:r>
      <w:r>
        <w:rPr>
          <w:rFonts w:hint="eastAsia" w:ascii="仿宋" w:hAnsi="仿宋" w:eastAsia="仿宋"/>
          <w:sz w:val="32"/>
          <w:szCs w:val="32"/>
        </w:rPr>
        <w:t>。</w:t>
      </w:r>
    </w:p>
    <w:p w14:paraId="02549A66">
      <w:pPr>
        <w:ind w:firstLine="640" w:firstLineChars="200"/>
        <w:rPr>
          <w:rFonts w:ascii="仿宋" w:hAnsi="仿宋" w:eastAsia="仿宋"/>
          <w:sz w:val="32"/>
          <w:szCs w:val="32"/>
        </w:rPr>
      </w:pPr>
      <w:r>
        <w:rPr>
          <w:rFonts w:hint="eastAsia" w:ascii="仿宋" w:hAnsi="仿宋" w:eastAsia="仿宋"/>
          <w:sz w:val="32"/>
          <w:szCs w:val="32"/>
        </w:rPr>
        <w:t>住房保障（类）支出23.36万元，占</w:t>
      </w:r>
      <w:r>
        <w:rPr>
          <w:rFonts w:hint="eastAsia" w:ascii="仿宋" w:hAnsi="仿宋" w:eastAsia="仿宋"/>
          <w:sz w:val="32"/>
          <w:szCs w:val="32"/>
          <w:lang w:val="en-US" w:eastAsia="zh-CN"/>
        </w:rPr>
        <w:t>1.16</w:t>
      </w:r>
      <w:r>
        <w:rPr>
          <w:rFonts w:hint="eastAsia" w:ascii="仿宋" w:hAnsi="仿宋" w:eastAsia="仿宋"/>
          <w:sz w:val="32"/>
          <w:szCs w:val="32"/>
        </w:rPr>
        <w:t>%，主要用于：</w:t>
      </w:r>
      <w:r>
        <w:rPr>
          <w:rFonts w:hint="eastAsia" w:ascii="仿宋" w:hAnsi="仿宋" w:eastAsia="仿宋"/>
          <w:sz w:val="32"/>
          <w:szCs w:val="32"/>
          <w:lang w:eastAsia="zh-CN"/>
        </w:rPr>
        <w:t>在职人员住房公积金支出</w:t>
      </w:r>
      <w:r>
        <w:rPr>
          <w:rFonts w:hint="eastAsia" w:ascii="仿宋" w:hAnsi="仿宋" w:eastAsia="仿宋"/>
          <w:sz w:val="32"/>
          <w:szCs w:val="32"/>
        </w:rPr>
        <w:t>。</w:t>
      </w:r>
    </w:p>
    <w:p w14:paraId="342AD117">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仿宋" w:hAnsi="仿宋" w:eastAsia="仿宋" w:cs="Times New Roman"/>
          <w:b/>
          <w:bCs/>
          <w:kern w:val="2"/>
          <w:sz w:val="32"/>
          <w:szCs w:val="32"/>
          <w:lang w:val="en-US" w:eastAsia="zh-CN" w:bidi="ar-SA"/>
        </w:rPr>
        <w:t>六、2026年一般公共预算基本支出情况</w:t>
      </w:r>
    </w:p>
    <w:p w14:paraId="58C332D0">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1105.16</w:t>
      </w:r>
      <w:r>
        <w:rPr>
          <w:rFonts w:hint="eastAsia" w:ascii="仿宋" w:hAnsi="仿宋" w:eastAsia="仿宋"/>
          <w:sz w:val="32"/>
          <w:szCs w:val="32"/>
        </w:rPr>
        <w:t>万元，其中：</w:t>
      </w:r>
    </w:p>
    <w:p w14:paraId="28613D9A">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264.6</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w:t>
      </w:r>
    </w:p>
    <w:p w14:paraId="3C12B5E5">
      <w:pPr>
        <w:pStyle w:val="10"/>
        <w:ind w:firstLine="627" w:firstLineChars="196"/>
        <w:rPr>
          <w:rFonts w:hint="eastAsia" w:ascii="楷体" w:hAnsi="楷体" w:eastAsia="楷体"/>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840.56</w:t>
      </w:r>
      <w:r>
        <w:rPr>
          <w:rFonts w:hint="eastAsia" w:ascii="仿宋" w:hAnsi="仿宋" w:eastAsia="仿宋"/>
          <w:sz w:val="32"/>
          <w:szCs w:val="32"/>
        </w:rPr>
        <w:t>万元，主要包括：办公费、印刷费、水费、电费、邮电费、取暖费、</w:t>
      </w:r>
      <w:r>
        <w:rPr>
          <w:rFonts w:hint="eastAsia" w:ascii="仿宋" w:hAnsi="仿宋" w:eastAsia="仿宋"/>
          <w:sz w:val="32"/>
          <w:szCs w:val="32"/>
          <w:lang w:eastAsia="zh-CN"/>
        </w:rPr>
        <w:t>物业管理费、</w:t>
      </w:r>
      <w:r>
        <w:rPr>
          <w:rFonts w:hint="eastAsia" w:ascii="仿宋" w:hAnsi="仿宋" w:eastAsia="仿宋"/>
          <w:sz w:val="32"/>
          <w:szCs w:val="32"/>
        </w:rPr>
        <w:t>差旅费、维修（护）费、租赁费</w:t>
      </w:r>
      <w:r>
        <w:rPr>
          <w:rFonts w:hint="eastAsia" w:ascii="仿宋" w:hAnsi="仿宋" w:eastAsia="仿宋"/>
          <w:sz w:val="32"/>
          <w:szCs w:val="32"/>
          <w:lang w:eastAsia="zh-CN"/>
        </w:rPr>
        <w:t>、</w:t>
      </w:r>
      <w:r>
        <w:rPr>
          <w:rFonts w:hint="eastAsia" w:ascii="仿宋" w:hAnsi="仿宋" w:eastAsia="仿宋"/>
          <w:sz w:val="32"/>
          <w:szCs w:val="32"/>
        </w:rPr>
        <w:t>公务接待费、工会经费、公务用车运行维护费</w:t>
      </w:r>
      <w:r>
        <w:rPr>
          <w:rFonts w:hint="eastAsia" w:ascii="仿宋" w:hAnsi="仿宋" w:eastAsia="仿宋"/>
          <w:sz w:val="32"/>
          <w:szCs w:val="32"/>
          <w:lang w:eastAsia="zh-CN"/>
        </w:rPr>
        <w:t>、其他交通费用、其他商品和服务支出</w:t>
      </w:r>
      <w:r>
        <w:rPr>
          <w:rFonts w:hint="eastAsia" w:ascii="仿宋" w:hAnsi="仿宋" w:eastAsia="仿宋"/>
          <w:sz w:val="32"/>
          <w:szCs w:val="32"/>
        </w:rPr>
        <w:t>等。</w:t>
      </w:r>
    </w:p>
    <w:p w14:paraId="61559979">
      <w:pPr>
        <w:pStyle w:val="10"/>
        <w:ind w:firstLine="643" w:firstLineChars="200"/>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七、2026年一般公共预算财政拨款“三公经费”情况</w:t>
      </w:r>
    </w:p>
    <w:p w14:paraId="00D13CC7">
      <w:pPr>
        <w:pStyle w:val="10"/>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316.4</w:t>
      </w:r>
      <w:r>
        <w:rPr>
          <w:rFonts w:hint="eastAsia" w:ascii="仿宋" w:hAnsi="仿宋" w:eastAsia="仿宋"/>
          <w:kern w:val="0"/>
          <w:sz w:val="32"/>
          <w:szCs w:val="32"/>
        </w:rPr>
        <w:t>万元，比2025年预算减少</w:t>
      </w:r>
      <w:r>
        <w:rPr>
          <w:rFonts w:hint="eastAsia" w:ascii="仿宋" w:hAnsi="仿宋" w:eastAsia="仿宋"/>
          <w:kern w:val="0"/>
          <w:sz w:val="32"/>
          <w:szCs w:val="32"/>
          <w:lang w:val="en-US" w:eastAsia="zh-CN"/>
        </w:rPr>
        <w:t>20.48</w:t>
      </w:r>
      <w:r>
        <w:rPr>
          <w:rFonts w:hint="eastAsia" w:ascii="仿宋" w:hAnsi="仿宋" w:eastAsia="仿宋"/>
          <w:kern w:val="0"/>
          <w:sz w:val="32"/>
          <w:szCs w:val="32"/>
        </w:rPr>
        <w:t>万元。其中：</w:t>
      </w:r>
    </w:p>
    <w:p w14:paraId="1CAFE6D0">
      <w:pPr>
        <w:pStyle w:val="10"/>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5B2D5F87">
      <w:pPr>
        <w:pStyle w:val="10"/>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20</w:t>
      </w:r>
      <w:r>
        <w:rPr>
          <w:rFonts w:hint="eastAsia" w:ascii="仿宋" w:hAnsi="仿宋" w:eastAsia="仿宋"/>
          <w:kern w:val="0"/>
          <w:sz w:val="32"/>
          <w:szCs w:val="32"/>
        </w:rPr>
        <w:t xml:space="preserve"> 万元，比 2025年预算数减少</w:t>
      </w:r>
      <w:r>
        <w:rPr>
          <w:rFonts w:hint="eastAsia" w:ascii="仿宋" w:hAnsi="仿宋" w:eastAsia="仿宋"/>
          <w:kern w:val="0"/>
          <w:sz w:val="32"/>
          <w:szCs w:val="32"/>
          <w:lang w:val="en-US" w:eastAsia="zh-CN"/>
        </w:rPr>
        <w:t>20.48</w:t>
      </w:r>
      <w:r>
        <w:rPr>
          <w:rFonts w:hint="eastAsia" w:ascii="仿宋" w:hAnsi="仿宋" w:eastAsia="仿宋"/>
          <w:kern w:val="0"/>
          <w:sz w:val="32"/>
          <w:szCs w:val="32"/>
        </w:rPr>
        <w:t>万元，主要原因是</w:t>
      </w:r>
      <w:r>
        <w:rPr>
          <w:rFonts w:hint="eastAsia" w:ascii="仿宋" w:hAnsi="仿宋" w:eastAsia="仿宋"/>
          <w:kern w:val="0"/>
          <w:sz w:val="32"/>
          <w:szCs w:val="32"/>
          <w:lang w:eastAsia="zh-CN"/>
        </w:rPr>
        <w:t>厉行节约</w:t>
      </w:r>
      <w:r>
        <w:rPr>
          <w:rFonts w:hint="eastAsia" w:ascii="仿宋" w:hAnsi="仿宋" w:eastAsia="仿宋"/>
          <w:kern w:val="0"/>
          <w:sz w:val="32"/>
          <w:szCs w:val="32"/>
        </w:rPr>
        <w:t>。</w:t>
      </w:r>
    </w:p>
    <w:p w14:paraId="5E7B035D">
      <w:pPr>
        <w:pStyle w:val="10"/>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296.4</w:t>
      </w:r>
      <w:r>
        <w:rPr>
          <w:rFonts w:hint="eastAsia" w:ascii="仿宋" w:hAnsi="仿宋" w:eastAsia="仿宋"/>
          <w:kern w:val="0"/>
          <w:sz w:val="32"/>
          <w:szCs w:val="32"/>
        </w:rPr>
        <w:t xml:space="preserve"> 万元，比 2025 年预算数减少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296.4</w:t>
      </w:r>
      <w:r>
        <w:rPr>
          <w:rFonts w:hint="eastAsia" w:ascii="仿宋" w:hAnsi="仿宋" w:eastAsia="仿宋"/>
          <w:kern w:val="0"/>
          <w:sz w:val="32"/>
          <w:szCs w:val="32"/>
        </w:rPr>
        <w:t xml:space="preserve"> 万元，比 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万元，比2025年减少</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w:t>
      </w:r>
    </w:p>
    <w:p w14:paraId="6DF6DFA4">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仿宋" w:hAnsi="仿宋" w:eastAsia="仿宋" w:cs="Times New Roman"/>
          <w:b/>
          <w:bCs/>
          <w:kern w:val="2"/>
          <w:sz w:val="32"/>
          <w:szCs w:val="32"/>
          <w:lang w:val="en-US" w:eastAsia="zh-CN" w:bidi="ar-SA"/>
        </w:rPr>
        <w:t>八、2026年政府性基金预算支出情况</w:t>
      </w:r>
    </w:p>
    <w:p w14:paraId="707CC4AE">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56CAA509">
      <w:pPr>
        <w:pStyle w:val="10"/>
        <w:ind w:firstLine="643" w:firstLineChars="200"/>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九、2026年国有资本经营预算支出情况</w:t>
      </w:r>
    </w:p>
    <w:p w14:paraId="45F21EF8">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888BFF7">
      <w:pPr>
        <w:numPr>
          <w:ilvl w:val="0"/>
          <w:numId w:val="3"/>
        </w:numPr>
        <w:jc w:val="left"/>
        <w:rPr>
          <w:rFonts w:hint="eastAsia" w:ascii="仿宋" w:hAnsi="仿宋" w:eastAsia="仿宋" w:cs="Times New Roman"/>
          <w:b/>
          <w:bCs/>
          <w:kern w:val="2"/>
          <w:sz w:val="32"/>
          <w:szCs w:val="32"/>
          <w:lang w:val="en-US" w:eastAsia="zh-CN" w:bidi="ar-SA"/>
        </w:rPr>
      </w:pPr>
      <w:r>
        <w:rPr>
          <w:rFonts w:hint="eastAsia" w:ascii="仿宋" w:hAnsi="仿宋" w:eastAsia="仿宋" w:cs="Times New Roman"/>
          <w:b/>
          <w:bCs/>
          <w:kern w:val="2"/>
          <w:sz w:val="32"/>
          <w:szCs w:val="32"/>
          <w:lang w:val="en-US" w:eastAsia="zh-CN" w:bidi="ar-SA"/>
        </w:rPr>
        <w:t>其他重</w:t>
      </w:r>
      <w:bookmarkStart w:id="0" w:name="_GoBack"/>
      <w:bookmarkEnd w:id="0"/>
      <w:r>
        <w:rPr>
          <w:rFonts w:hint="eastAsia" w:ascii="仿宋" w:hAnsi="仿宋" w:eastAsia="仿宋" w:cs="Times New Roman"/>
          <w:b/>
          <w:bCs/>
          <w:kern w:val="2"/>
          <w:sz w:val="32"/>
          <w:szCs w:val="32"/>
          <w:lang w:val="en-US" w:eastAsia="zh-CN" w:bidi="ar-SA"/>
        </w:rPr>
        <w:t>要事项的说明情况</w:t>
      </w:r>
    </w:p>
    <w:p w14:paraId="01DE83B4">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202BFF2F">
      <w:pPr>
        <w:pStyle w:val="9"/>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840.56</w:t>
      </w:r>
      <w:r>
        <w:rPr>
          <w:rFonts w:hint="eastAsia" w:ascii="仿宋" w:hAnsi="仿宋" w:eastAsia="仿宋"/>
          <w:sz w:val="32"/>
          <w:szCs w:val="32"/>
        </w:rPr>
        <w:t>万元，比 2025年预算增加</w:t>
      </w:r>
      <w:r>
        <w:rPr>
          <w:rFonts w:hint="eastAsia" w:ascii="仿宋" w:hAnsi="仿宋" w:eastAsia="仿宋"/>
          <w:sz w:val="32"/>
          <w:szCs w:val="32"/>
          <w:lang w:val="en-US" w:eastAsia="zh-CN"/>
        </w:rPr>
        <w:t>80.6</w:t>
      </w:r>
      <w:r>
        <w:rPr>
          <w:rFonts w:hint="eastAsia" w:ascii="仿宋" w:hAnsi="仿宋" w:eastAsia="仿宋"/>
          <w:sz w:val="32"/>
          <w:szCs w:val="32"/>
        </w:rPr>
        <w:t>万元，增长</w:t>
      </w:r>
      <w:r>
        <w:rPr>
          <w:rFonts w:hint="eastAsia" w:ascii="仿宋" w:hAnsi="仿宋" w:eastAsia="仿宋"/>
          <w:sz w:val="32"/>
          <w:szCs w:val="32"/>
          <w:lang w:val="en-US" w:eastAsia="zh-CN"/>
        </w:rPr>
        <w:t>10.61</w:t>
      </w:r>
      <w:r>
        <w:rPr>
          <w:rFonts w:hint="eastAsia" w:ascii="仿宋" w:hAnsi="仿宋" w:eastAsia="仿宋"/>
          <w:sz w:val="32"/>
          <w:szCs w:val="32"/>
        </w:rPr>
        <w:t>%，主要原因是</w:t>
      </w:r>
      <w:r>
        <w:rPr>
          <w:rFonts w:hint="default" w:ascii="仿宋" w:hAnsi="仿宋" w:eastAsia="仿宋"/>
          <w:sz w:val="32"/>
          <w:szCs w:val="32"/>
        </w:rPr>
        <w:t>县委、县政府办公大楼</w:t>
      </w:r>
      <w:r>
        <w:rPr>
          <w:rFonts w:hint="eastAsia" w:ascii="仿宋" w:hAnsi="仿宋" w:eastAsia="仿宋"/>
          <w:sz w:val="32"/>
          <w:szCs w:val="32"/>
          <w:lang w:eastAsia="zh-CN"/>
        </w:rPr>
        <w:t>等维修维护工作和后勤保障工作</w:t>
      </w:r>
      <w:r>
        <w:rPr>
          <w:rFonts w:hint="eastAsia" w:ascii="仿宋" w:hAnsi="仿宋" w:eastAsia="仿宋"/>
          <w:sz w:val="32"/>
          <w:szCs w:val="32"/>
        </w:rPr>
        <w:t>。</w:t>
      </w:r>
    </w:p>
    <w:p w14:paraId="38503253">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7C4FFD28">
      <w:pPr>
        <w:ind w:firstLine="640" w:firstLineChars="200"/>
        <w:jc w:val="left"/>
        <w:rPr>
          <w:rFonts w:hint="eastAsia"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248.56</w:t>
      </w:r>
      <w:r>
        <w:rPr>
          <w:rFonts w:hint="eastAsia" w:ascii="仿宋" w:hAnsi="仿宋" w:eastAsia="仿宋"/>
          <w:sz w:val="32"/>
          <w:szCs w:val="32"/>
        </w:rPr>
        <w:t>万元。</w:t>
      </w:r>
    </w:p>
    <w:p w14:paraId="6C7E7162">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0E9B1EF6">
      <w:pPr>
        <w:pStyle w:val="9"/>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87</w:t>
      </w:r>
      <w:r>
        <w:rPr>
          <w:rFonts w:hint="eastAsia" w:ascii="仿宋" w:hAnsi="仿宋" w:eastAsia="仿宋"/>
          <w:sz w:val="32"/>
          <w:szCs w:val="32"/>
        </w:rPr>
        <w:t xml:space="preserve"> 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 </w:t>
      </w:r>
      <w:r>
        <w:rPr>
          <w:rFonts w:hint="eastAsia" w:ascii="仿宋" w:hAnsi="仿宋" w:eastAsia="仿宋"/>
          <w:sz w:val="32"/>
          <w:szCs w:val="32"/>
          <w:lang w:val="en-US" w:eastAsia="zh-CN"/>
        </w:rPr>
        <w:t>87</w:t>
      </w:r>
      <w:r>
        <w:rPr>
          <w:rFonts w:hint="eastAsia" w:ascii="仿宋" w:hAnsi="仿宋" w:eastAsia="仿宋"/>
          <w:sz w:val="32"/>
          <w:szCs w:val="32"/>
        </w:rPr>
        <w:t xml:space="preserve"> 辆,一般执法执勤用车 </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1A8BF785">
      <w:pPr>
        <w:pStyle w:val="9"/>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万元。</w:t>
      </w:r>
    </w:p>
    <w:p w14:paraId="01F44D48">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6200BFCB">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3</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373.8</w:t>
      </w:r>
      <w:r>
        <w:rPr>
          <w:rFonts w:hint="eastAsia" w:ascii="仿宋" w:hAnsi="仿宋" w:eastAsia="仿宋"/>
          <w:sz w:val="32"/>
          <w:szCs w:val="32"/>
        </w:rPr>
        <w:t>万元。</w:t>
      </w:r>
    </w:p>
    <w:p w14:paraId="25F497E1">
      <w:pPr>
        <w:jc w:val="center"/>
        <w:rPr>
          <w:rFonts w:ascii="仿宋" w:hAnsi="仿宋" w:eastAsia="仿宋"/>
          <w:sz w:val="32"/>
          <w:szCs w:val="32"/>
        </w:rPr>
      </w:pPr>
    </w:p>
    <w:p w14:paraId="5A8BAFC7">
      <w:pPr>
        <w:jc w:val="center"/>
        <w:rPr>
          <w:rFonts w:ascii="仿宋" w:hAnsi="仿宋" w:eastAsia="仿宋"/>
          <w:sz w:val="32"/>
          <w:szCs w:val="32"/>
        </w:rPr>
      </w:pPr>
    </w:p>
    <w:p w14:paraId="124269B3">
      <w:pPr>
        <w:jc w:val="center"/>
        <w:rPr>
          <w:rFonts w:ascii="仿宋" w:hAnsi="仿宋" w:eastAsia="仿宋"/>
          <w:sz w:val="32"/>
          <w:szCs w:val="32"/>
        </w:rPr>
      </w:pPr>
    </w:p>
    <w:p w14:paraId="2AD09077">
      <w:pPr>
        <w:jc w:val="center"/>
        <w:rPr>
          <w:rFonts w:ascii="仿宋" w:hAnsi="仿宋" w:eastAsia="仿宋"/>
          <w:sz w:val="32"/>
          <w:szCs w:val="32"/>
        </w:rPr>
      </w:pPr>
    </w:p>
    <w:p w14:paraId="1898C12C">
      <w:pPr>
        <w:jc w:val="center"/>
        <w:rPr>
          <w:rFonts w:ascii="仿宋" w:hAnsi="仿宋" w:eastAsia="仿宋"/>
          <w:sz w:val="32"/>
          <w:szCs w:val="32"/>
        </w:rPr>
      </w:pPr>
    </w:p>
    <w:p w14:paraId="6F357C3A">
      <w:pPr>
        <w:jc w:val="center"/>
        <w:rPr>
          <w:rFonts w:ascii="仿宋" w:hAnsi="仿宋" w:eastAsia="仿宋"/>
          <w:sz w:val="32"/>
          <w:szCs w:val="32"/>
        </w:rPr>
      </w:pPr>
    </w:p>
    <w:p w14:paraId="19D425C5">
      <w:pPr>
        <w:jc w:val="center"/>
        <w:rPr>
          <w:rFonts w:ascii="黑体" w:hAnsi="黑体" w:eastAsia="黑体"/>
          <w:sz w:val="32"/>
          <w:szCs w:val="32"/>
        </w:rPr>
      </w:pPr>
      <w:r>
        <w:rPr>
          <w:rFonts w:hint="eastAsia" w:ascii="黑体" w:hAnsi="黑体" w:eastAsia="黑体"/>
          <w:sz w:val="32"/>
          <w:szCs w:val="32"/>
        </w:rPr>
        <w:t>第三部分  名词解释</w:t>
      </w:r>
    </w:p>
    <w:p w14:paraId="397B8551">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A87F226">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4BAB871B">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60941E77">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7A09DAB7">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4D3821BD">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315CB080">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0551ED5A">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6FD7F33F">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53B419E1">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7AE86F2">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6A70B95C">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2251139D">
      <w:pPr>
        <w:ind w:firstLine="640" w:firstLineChars="200"/>
        <w:rPr>
          <w:rFonts w:ascii="仿宋_GB2312" w:eastAsia="仿宋_GB2312"/>
          <w:sz w:val="32"/>
          <w:szCs w:val="32"/>
        </w:rPr>
      </w:pPr>
    </w:p>
    <w:p w14:paraId="1B5BDF32">
      <w:pPr>
        <w:jc w:val="left"/>
        <w:rPr>
          <w:rFonts w:ascii="仿宋" w:hAnsi="仿宋" w:eastAsia="仿宋"/>
          <w:sz w:val="32"/>
          <w:szCs w:val="32"/>
        </w:rPr>
      </w:pPr>
      <w:r>
        <w:rPr>
          <w:rFonts w:hint="eastAsia" w:ascii="仿宋" w:hAnsi="仿宋" w:eastAsia="仿宋"/>
          <w:sz w:val="32"/>
          <w:szCs w:val="32"/>
        </w:rPr>
        <w:t xml:space="preserve"> </w:t>
      </w:r>
    </w:p>
    <w:p w14:paraId="1CE2C5EE">
      <w:pPr>
        <w:jc w:val="left"/>
        <w:rPr>
          <w:rFonts w:ascii="仿宋" w:hAnsi="仿宋" w:eastAsia="仿宋"/>
          <w:sz w:val="32"/>
          <w:szCs w:val="32"/>
        </w:rPr>
      </w:pPr>
    </w:p>
    <w:p w14:paraId="0C6E72E3">
      <w:pPr>
        <w:jc w:val="left"/>
        <w:rPr>
          <w:rFonts w:ascii="仿宋" w:hAnsi="仿宋" w:eastAsia="仿宋"/>
          <w:sz w:val="32"/>
          <w:szCs w:val="32"/>
        </w:rPr>
      </w:pPr>
    </w:p>
    <w:p w14:paraId="5F07859A">
      <w:pPr>
        <w:jc w:val="center"/>
        <w:rPr>
          <w:rFonts w:ascii="仿宋" w:hAnsi="仿宋" w:eastAsia="仿宋"/>
          <w:sz w:val="32"/>
          <w:szCs w:val="32"/>
        </w:rPr>
      </w:pPr>
      <w:r>
        <w:rPr>
          <w:rFonts w:hint="eastAsia" w:ascii="仿宋" w:hAnsi="仿宋" w:eastAsia="仿宋"/>
          <w:sz w:val="32"/>
          <w:szCs w:val="32"/>
        </w:rPr>
        <w:t>第四部分  预算表格</w:t>
      </w:r>
    </w:p>
    <w:p w14:paraId="7A196F02">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4663A40"/>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94F55"/>
    <w:rsid w:val="23FA4ECF"/>
    <w:rsid w:val="2527010D"/>
    <w:rsid w:val="26DC2BFA"/>
    <w:rsid w:val="27063D31"/>
    <w:rsid w:val="27742DDB"/>
    <w:rsid w:val="27747EDE"/>
    <w:rsid w:val="277B13CF"/>
    <w:rsid w:val="285B5D80"/>
    <w:rsid w:val="28753BF0"/>
    <w:rsid w:val="28AA47B7"/>
    <w:rsid w:val="28CB641B"/>
    <w:rsid w:val="29207EE3"/>
    <w:rsid w:val="2AC832F5"/>
    <w:rsid w:val="2AF90607"/>
    <w:rsid w:val="2C4817F4"/>
    <w:rsid w:val="2D742D12"/>
    <w:rsid w:val="2E3342C6"/>
    <w:rsid w:val="344D4C9B"/>
    <w:rsid w:val="36273D08"/>
    <w:rsid w:val="368F70D3"/>
    <w:rsid w:val="37361A0B"/>
    <w:rsid w:val="38253B59"/>
    <w:rsid w:val="385B501F"/>
    <w:rsid w:val="38DE30B8"/>
    <w:rsid w:val="39284901"/>
    <w:rsid w:val="3979768F"/>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201EF6"/>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344344"/>
    <w:rsid w:val="659C7B1A"/>
    <w:rsid w:val="65E847CC"/>
    <w:rsid w:val="67286561"/>
    <w:rsid w:val="691F508E"/>
    <w:rsid w:val="6A2D20B3"/>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8CB4CE6"/>
    <w:rsid w:val="7A64282A"/>
    <w:rsid w:val="7A8D6ADA"/>
    <w:rsid w:val="7AE2097E"/>
    <w:rsid w:val="7DB366E4"/>
    <w:rsid w:val="7DBC01D8"/>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customStyle="1" w:styleId="7">
    <w:name w:val="页眉 Char"/>
    <w:basedOn w:val="6"/>
    <w:link w:val="3"/>
    <w:semiHidden/>
    <w:qFormat/>
    <w:uiPriority w:val="99"/>
    <w:rPr>
      <w:sz w:val="18"/>
      <w:szCs w:val="18"/>
    </w:rPr>
  </w:style>
  <w:style w:type="character" w:customStyle="1" w:styleId="8">
    <w:name w:val="页脚 Char"/>
    <w:basedOn w:val="6"/>
    <w:link w:val="2"/>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3053</Words>
  <Characters>3389</Characters>
  <Lines>21</Lines>
  <Paragraphs>6</Paragraphs>
  <TotalTime>5</TotalTime>
  <ScaleCrop>false</ScaleCrop>
  <LinksUpToDate>false</LinksUpToDate>
  <CharactersWithSpaces>3490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梓如</cp:lastModifiedBy>
  <dcterms:modified xsi:type="dcterms:W3CDTF">2026-03-23T06:15:23Z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eyJoZGlkIjoiYTkzOGZmZmU2MzI1M2ZkN2UzMTVjMTliYjM3NDU1YTEiLCJ1c2VySWQiOiI1NDQ0MDY2NjEifQ==</vt:lpwstr>
  </property>
</Properties>
</file>