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highlight w:val="none"/>
        </w:rPr>
      </w:pPr>
    </w:p>
    <w:p w14:paraId="0722EA08">
      <w:pPr>
        <w:jc w:val="center"/>
        <w:rPr>
          <w:rFonts w:ascii="黑体" w:hAnsi="黑体" w:eastAsia="黑体"/>
          <w:sz w:val="44"/>
          <w:szCs w:val="44"/>
          <w:highlight w:val="none"/>
        </w:rPr>
      </w:pPr>
    </w:p>
    <w:p w14:paraId="5712AD97">
      <w:pPr>
        <w:jc w:val="center"/>
        <w:rPr>
          <w:rFonts w:ascii="黑体" w:hAnsi="黑体" w:eastAsia="黑体"/>
          <w:sz w:val="44"/>
          <w:szCs w:val="44"/>
          <w:highlight w:val="none"/>
        </w:rPr>
      </w:pPr>
    </w:p>
    <w:p w14:paraId="4DAE025F">
      <w:pPr>
        <w:jc w:val="center"/>
        <w:rPr>
          <w:rFonts w:ascii="黑体" w:hAnsi="黑体" w:eastAsia="黑体"/>
          <w:sz w:val="44"/>
          <w:szCs w:val="44"/>
          <w:highlight w:val="none"/>
        </w:rPr>
      </w:pPr>
    </w:p>
    <w:p w14:paraId="5C6FEE61">
      <w:pPr>
        <w:jc w:val="center"/>
        <w:rPr>
          <w:rFonts w:ascii="黑体" w:hAnsi="黑体" w:eastAsia="黑体"/>
          <w:sz w:val="44"/>
          <w:szCs w:val="44"/>
          <w:highlight w:val="none"/>
        </w:rPr>
      </w:pPr>
    </w:p>
    <w:p w14:paraId="0050A5F4">
      <w:pPr>
        <w:jc w:val="center"/>
        <w:rPr>
          <w:rFonts w:ascii="黑体" w:hAnsi="黑体" w:eastAsia="黑体"/>
          <w:sz w:val="52"/>
          <w:szCs w:val="52"/>
          <w:highlight w:val="none"/>
        </w:rPr>
      </w:pPr>
      <w:r>
        <w:rPr>
          <w:rFonts w:hint="eastAsia" w:ascii="黑体" w:hAnsi="黑体" w:eastAsia="黑体"/>
          <w:sz w:val="52"/>
          <w:szCs w:val="52"/>
          <w:highlight w:val="none"/>
        </w:rPr>
        <w:t>永吉县特殊教育学校</w:t>
      </w:r>
      <w:r>
        <w:rPr>
          <w:rFonts w:hint="eastAsia" w:ascii="黑体" w:hAnsi="黑体" w:eastAsia="黑体"/>
          <w:sz w:val="52"/>
          <w:szCs w:val="52"/>
          <w:highlight w:val="none"/>
        </w:rPr>
        <w:t>2026年部门预算</w:t>
      </w:r>
    </w:p>
    <w:p w14:paraId="5C42AB12">
      <w:pPr>
        <w:jc w:val="center"/>
        <w:rPr>
          <w:rFonts w:ascii="黑体" w:hAnsi="黑体" w:eastAsia="黑体"/>
          <w:sz w:val="44"/>
          <w:szCs w:val="44"/>
          <w:highlight w:val="none"/>
        </w:rPr>
      </w:pPr>
    </w:p>
    <w:p w14:paraId="5EF162CE">
      <w:pPr>
        <w:jc w:val="center"/>
        <w:rPr>
          <w:rFonts w:ascii="黑体" w:hAnsi="黑体" w:eastAsia="黑体"/>
          <w:sz w:val="44"/>
          <w:szCs w:val="44"/>
          <w:highlight w:val="none"/>
        </w:rPr>
      </w:pPr>
    </w:p>
    <w:p w14:paraId="6D7738A2">
      <w:pPr>
        <w:jc w:val="center"/>
        <w:rPr>
          <w:rFonts w:ascii="黑体" w:hAnsi="黑体" w:eastAsia="黑体"/>
          <w:sz w:val="44"/>
          <w:szCs w:val="44"/>
          <w:highlight w:val="none"/>
        </w:rPr>
      </w:pPr>
    </w:p>
    <w:p w14:paraId="1997C969">
      <w:pPr>
        <w:jc w:val="center"/>
        <w:rPr>
          <w:rFonts w:ascii="黑体" w:hAnsi="黑体" w:eastAsia="黑体"/>
          <w:sz w:val="44"/>
          <w:szCs w:val="44"/>
          <w:highlight w:val="none"/>
        </w:rPr>
      </w:pPr>
    </w:p>
    <w:p w14:paraId="4F4ABFCB">
      <w:pPr>
        <w:jc w:val="center"/>
        <w:rPr>
          <w:rFonts w:ascii="黑体" w:hAnsi="黑体" w:eastAsia="黑体"/>
          <w:sz w:val="44"/>
          <w:szCs w:val="44"/>
          <w:highlight w:val="none"/>
        </w:rPr>
      </w:pPr>
    </w:p>
    <w:p w14:paraId="6E03DA41">
      <w:pPr>
        <w:jc w:val="center"/>
        <w:rPr>
          <w:rFonts w:ascii="黑体" w:hAnsi="黑体" w:eastAsia="黑体"/>
          <w:sz w:val="44"/>
          <w:szCs w:val="44"/>
          <w:highlight w:val="none"/>
        </w:rPr>
      </w:pPr>
    </w:p>
    <w:p w14:paraId="34D8D65D">
      <w:pPr>
        <w:jc w:val="center"/>
        <w:rPr>
          <w:rFonts w:ascii="黑体" w:hAnsi="黑体" w:eastAsia="黑体"/>
          <w:sz w:val="44"/>
          <w:szCs w:val="44"/>
          <w:highlight w:val="none"/>
        </w:rPr>
      </w:pPr>
    </w:p>
    <w:p w14:paraId="01FD5D38">
      <w:pPr>
        <w:jc w:val="center"/>
        <w:rPr>
          <w:rFonts w:ascii="黑体" w:hAnsi="黑体" w:eastAsia="黑体"/>
          <w:sz w:val="44"/>
          <w:szCs w:val="44"/>
          <w:highlight w:val="none"/>
        </w:rPr>
      </w:pPr>
    </w:p>
    <w:p w14:paraId="380AB34E">
      <w:pPr>
        <w:jc w:val="center"/>
        <w:rPr>
          <w:rFonts w:ascii="黑体" w:hAnsi="黑体" w:eastAsia="黑体"/>
          <w:sz w:val="44"/>
          <w:szCs w:val="44"/>
          <w:highlight w:val="none"/>
        </w:rPr>
      </w:pPr>
    </w:p>
    <w:p w14:paraId="628D9189">
      <w:pPr>
        <w:jc w:val="center"/>
        <w:rPr>
          <w:rFonts w:ascii="黑体" w:hAnsi="黑体" w:eastAsia="黑体"/>
          <w:sz w:val="44"/>
          <w:szCs w:val="44"/>
          <w:highlight w:val="none"/>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highlight w:val="none"/>
        </w:rPr>
      </w:pPr>
    </w:p>
    <w:p w14:paraId="357EC0AC">
      <w:pPr>
        <w:jc w:val="center"/>
        <w:rPr>
          <w:rFonts w:ascii="黑体" w:hAnsi="黑体" w:eastAsia="黑体"/>
          <w:sz w:val="44"/>
          <w:szCs w:val="44"/>
          <w:highlight w:val="none"/>
        </w:rPr>
      </w:pPr>
    </w:p>
    <w:p w14:paraId="661A2997">
      <w:pPr>
        <w:jc w:val="center"/>
        <w:rPr>
          <w:rFonts w:ascii="黑体" w:hAnsi="黑体" w:eastAsia="黑体"/>
          <w:sz w:val="44"/>
          <w:szCs w:val="44"/>
          <w:highlight w:val="none"/>
        </w:rPr>
      </w:pPr>
    </w:p>
    <w:p w14:paraId="60FA0F16">
      <w:pPr>
        <w:jc w:val="center"/>
        <w:rPr>
          <w:rFonts w:ascii="黑体" w:hAnsi="黑体" w:eastAsia="黑体"/>
          <w:sz w:val="44"/>
          <w:szCs w:val="44"/>
          <w:highlight w:val="none"/>
        </w:rPr>
      </w:pPr>
      <w:bookmarkStart w:id="0" w:name="_GoBack"/>
      <w:bookmarkEnd w:id="0"/>
    </w:p>
    <w:p w14:paraId="74A34429">
      <w:pPr>
        <w:jc w:val="center"/>
        <w:rPr>
          <w:rFonts w:ascii="黑体" w:hAnsi="黑体" w:eastAsia="黑体"/>
          <w:sz w:val="44"/>
          <w:szCs w:val="44"/>
          <w:highlight w:val="none"/>
        </w:rPr>
      </w:pPr>
    </w:p>
    <w:p w14:paraId="18C3CAAE">
      <w:pPr>
        <w:jc w:val="center"/>
        <w:rPr>
          <w:rFonts w:ascii="黑体" w:hAnsi="黑体" w:eastAsia="黑体"/>
          <w:sz w:val="44"/>
          <w:szCs w:val="44"/>
          <w:highlight w:val="none"/>
        </w:rPr>
      </w:pPr>
    </w:p>
    <w:p w14:paraId="406F54B2">
      <w:pPr>
        <w:jc w:val="center"/>
        <w:rPr>
          <w:rFonts w:ascii="黑体" w:hAnsi="黑体" w:eastAsia="黑体"/>
          <w:sz w:val="44"/>
          <w:szCs w:val="44"/>
          <w:highlight w:val="none"/>
        </w:rPr>
      </w:pPr>
      <w:r>
        <w:rPr>
          <w:rFonts w:hint="eastAsia" w:ascii="黑体" w:hAnsi="黑体" w:eastAsia="黑体"/>
          <w:sz w:val="44"/>
          <w:szCs w:val="44"/>
          <w:highlight w:val="none"/>
        </w:rPr>
        <w:t>永吉县特殊教育学校</w:t>
      </w:r>
      <w:r>
        <w:rPr>
          <w:rFonts w:hint="eastAsia" w:ascii="黑体" w:hAnsi="黑体" w:eastAsia="黑体"/>
          <w:sz w:val="44"/>
          <w:szCs w:val="44"/>
          <w:highlight w:val="none"/>
        </w:rPr>
        <w:t>2026年预算</w:t>
      </w:r>
    </w:p>
    <w:p w14:paraId="1F07C9F7">
      <w:pPr>
        <w:jc w:val="center"/>
        <w:rPr>
          <w:rFonts w:ascii="黑体" w:hAnsi="黑体" w:eastAsia="黑体"/>
          <w:sz w:val="44"/>
          <w:szCs w:val="44"/>
          <w:highlight w:val="none"/>
        </w:rPr>
      </w:pPr>
    </w:p>
    <w:p w14:paraId="63B0757E">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3BC81682">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73DDC628">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0F6E16B9">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5EE08171">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6F11FF87">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7BA36606">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7E4B53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收支总表</w:t>
      </w:r>
    </w:p>
    <w:p w14:paraId="257AF4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收入总表</w:t>
      </w:r>
    </w:p>
    <w:p w14:paraId="490A2BE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支出总表</w:t>
      </w:r>
    </w:p>
    <w:p w14:paraId="5F6425A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财政拨款收支总表</w:t>
      </w:r>
    </w:p>
    <w:p w14:paraId="500637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6CBA4F0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534C5B2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一般公共预算“三公”经费支出表</w:t>
      </w:r>
    </w:p>
    <w:p w14:paraId="4685FD4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政府性基金预算支出表</w:t>
      </w:r>
    </w:p>
    <w:p w14:paraId="696DB8A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国有资本经营预算支出表</w:t>
      </w:r>
    </w:p>
    <w:p w14:paraId="2C937F0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项目支出表</w:t>
      </w:r>
    </w:p>
    <w:p w14:paraId="3CED8429">
      <w:pPr>
        <w:rPr>
          <w:rFonts w:ascii="仿宋" w:hAnsi="仿宋" w:eastAsia="仿宋"/>
          <w:sz w:val="32"/>
          <w:szCs w:val="32"/>
          <w:highlight w:val="none"/>
        </w:rPr>
      </w:pPr>
    </w:p>
    <w:p w14:paraId="4E48F873">
      <w:pPr>
        <w:jc w:val="center"/>
        <w:rPr>
          <w:rFonts w:ascii="黑体" w:hAnsi="黑体" w:eastAsia="黑体"/>
          <w:sz w:val="32"/>
          <w:szCs w:val="32"/>
          <w:highlight w:val="none"/>
        </w:rPr>
      </w:pPr>
      <w:r>
        <w:rPr>
          <w:rFonts w:hint="eastAsia" w:ascii="黑体" w:hAnsi="黑体" w:eastAsia="黑体"/>
          <w:sz w:val="32"/>
          <w:szCs w:val="32"/>
          <w:highlight w:val="none"/>
        </w:rPr>
        <w:t>第一部分    部门（单位）概况</w:t>
      </w:r>
    </w:p>
    <w:p w14:paraId="519B9A3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6AD7C00">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2F030B5B">
      <w:pPr>
        <w:pStyle w:val="10"/>
        <w:widowControl/>
        <w:spacing w:line="620" w:lineRule="exact"/>
        <w:ind w:firstLine="627" w:firstLineChars="196"/>
        <w:contextualSpacing/>
        <w:rPr>
          <w:rFonts w:ascii="仿宋" w:hAnsi="仿宋" w:eastAsia="仿宋"/>
          <w:bCs/>
          <w:sz w:val="32"/>
          <w:szCs w:val="32"/>
          <w:highlight w:val="none"/>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名称：永吉县特殊教育学校</w:t>
      </w:r>
    </w:p>
    <w:p w14:paraId="09235EBC">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：全额拨款事业单位</w:t>
      </w:r>
    </w:p>
    <w:p w14:paraId="2189D3A2">
      <w:pPr>
        <w:ind w:firstLine="640" w:firstLineChars="200"/>
        <w:rPr>
          <w:rFonts w:ascii="仿宋" w:hAnsi="仿宋" w:eastAsia="仿宋"/>
          <w:kern w:val="0"/>
          <w:sz w:val="32"/>
          <w:szCs w:val="32"/>
          <w:highlight w:val="none"/>
        </w:rPr>
      </w:pPr>
      <w:r>
        <w:rPr>
          <w:rFonts w:hint="eastAsia" w:ascii="仿宋" w:hAnsi="仿宋" w:eastAsia="仿宋"/>
          <w:bCs/>
          <w:kern w:val="0"/>
          <w:sz w:val="32"/>
          <w:szCs w:val="32"/>
          <w:highlight w:val="none"/>
        </w:rPr>
        <w:t>主要</w:t>
      </w:r>
      <w:r>
        <w:rPr>
          <w:rFonts w:hint="eastAsia" w:ascii="仿宋" w:hAnsi="仿宋" w:eastAsia="仿宋" w:cs="Times New Roman"/>
          <w:kern w:val="0"/>
          <w:sz w:val="32"/>
          <w:szCs w:val="32"/>
          <w:highlight w:val="none"/>
        </w:rPr>
        <w:t>职能：</w:t>
      </w:r>
      <w:r>
        <w:rPr>
          <w:rFonts w:hint="eastAsia" w:ascii="仿宋" w:hAnsi="仿宋" w:eastAsia="仿宋"/>
          <w:kern w:val="0"/>
          <w:sz w:val="32"/>
          <w:szCs w:val="32"/>
          <w:highlight w:val="none"/>
        </w:rPr>
        <w:t>对残疾儿童少年实施义务教育，视力、听力残疾儿童少年义务教育，智力残疾儿童义务教育，康复训练,职业高中教育。</w:t>
      </w:r>
    </w:p>
    <w:p w14:paraId="09037DD3">
      <w:pPr>
        <w:ind w:firstLine="640" w:firstLineChars="200"/>
        <w:rPr>
          <w:rFonts w:ascii="仿宋" w:hAnsi="仿宋" w:eastAsia="仿宋"/>
          <w:bCs/>
          <w:kern w:val="0"/>
          <w:sz w:val="32"/>
          <w:szCs w:val="32"/>
          <w:highlight w:val="none"/>
        </w:rPr>
      </w:pPr>
      <w:r>
        <w:rPr>
          <w:rFonts w:hint="eastAsia" w:ascii="仿宋" w:hAnsi="仿宋" w:eastAsia="仿宋"/>
          <w:kern w:val="0"/>
          <w:sz w:val="32"/>
          <w:szCs w:val="32"/>
          <w:highlight w:val="none"/>
        </w:rPr>
        <w:t>主要业务：各类残疾儿童义务教育和康复训练，培养特殊儿童的职业能力。</w:t>
      </w:r>
    </w:p>
    <w:p w14:paraId="6D752CA2">
      <w:pPr>
        <w:pStyle w:val="10"/>
        <w:widowControl/>
        <w:spacing w:line="620" w:lineRule="exact"/>
        <w:ind w:firstLine="627" w:firstLineChars="196"/>
        <w:contextualSpacing/>
        <w:rPr>
          <w:rFonts w:ascii="仿宋" w:hAnsi="仿宋" w:eastAsia="仿宋"/>
          <w:sz w:val="32"/>
          <w:szCs w:val="32"/>
          <w:highlight w:val="none"/>
        </w:rPr>
      </w:pPr>
      <w:r>
        <w:rPr>
          <w:rFonts w:hint="eastAsia" w:ascii="仿宋" w:hAnsi="仿宋" w:eastAsia="仿宋"/>
          <w:sz w:val="32"/>
          <w:szCs w:val="32"/>
          <w:highlight w:val="none"/>
        </w:rPr>
        <w:t>二、机构设置</w:t>
      </w:r>
    </w:p>
    <w:p w14:paraId="7D763970">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机构设置包括：永吉县特殊教育学校</w:t>
      </w:r>
    </w:p>
    <w:p w14:paraId="022FE967">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人员情况：在职人员30人，编制数38人，领导职数4个。</w:t>
      </w:r>
    </w:p>
    <w:p w14:paraId="3F194C91">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731B470">
      <w:pPr>
        <w:jc w:val="left"/>
        <w:rPr>
          <w:rFonts w:ascii="仿宋" w:hAnsi="仿宋" w:eastAsia="仿宋"/>
          <w:sz w:val="32"/>
          <w:szCs w:val="32"/>
          <w:highlight w:val="none"/>
        </w:rPr>
      </w:pPr>
    </w:p>
    <w:p w14:paraId="2327A84A">
      <w:pPr>
        <w:jc w:val="left"/>
        <w:rPr>
          <w:rFonts w:ascii="仿宋" w:hAnsi="仿宋" w:eastAsia="仿宋"/>
          <w:sz w:val="32"/>
          <w:szCs w:val="32"/>
          <w:highlight w:val="none"/>
        </w:rPr>
      </w:pPr>
    </w:p>
    <w:p w14:paraId="30EC7C30">
      <w:pPr>
        <w:jc w:val="left"/>
        <w:rPr>
          <w:rFonts w:ascii="仿宋" w:hAnsi="仿宋" w:eastAsia="仿宋"/>
          <w:sz w:val="32"/>
          <w:szCs w:val="32"/>
          <w:highlight w:val="none"/>
        </w:rPr>
      </w:pPr>
    </w:p>
    <w:p w14:paraId="22022DA2">
      <w:pPr>
        <w:jc w:val="left"/>
        <w:rPr>
          <w:rFonts w:ascii="仿宋" w:hAnsi="仿宋" w:eastAsia="仿宋"/>
          <w:sz w:val="32"/>
          <w:szCs w:val="32"/>
          <w:highlight w:val="none"/>
        </w:rPr>
      </w:pPr>
    </w:p>
    <w:p w14:paraId="4494DF1B">
      <w:pPr>
        <w:jc w:val="left"/>
        <w:rPr>
          <w:rFonts w:ascii="仿宋" w:hAnsi="仿宋" w:eastAsia="仿宋"/>
          <w:sz w:val="32"/>
          <w:szCs w:val="32"/>
          <w:highlight w:val="none"/>
        </w:rPr>
      </w:pPr>
    </w:p>
    <w:p w14:paraId="57CB687A">
      <w:pPr>
        <w:jc w:val="left"/>
        <w:rPr>
          <w:rFonts w:ascii="仿宋" w:hAnsi="仿宋" w:eastAsia="仿宋"/>
          <w:sz w:val="32"/>
          <w:szCs w:val="32"/>
          <w:highlight w:val="none"/>
        </w:rPr>
      </w:pPr>
    </w:p>
    <w:p w14:paraId="00B77722">
      <w:pPr>
        <w:jc w:val="left"/>
        <w:rPr>
          <w:rFonts w:ascii="仿宋" w:hAnsi="仿宋" w:eastAsia="仿宋"/>
          <w:sz w:val="32"/>
          <w:szCs w:val="32"/>
          <w:highlight w:val="none"/>
        </w:rPr>
      </w:pPr>
    </w:p>
    <w:p w14:paraId="653D2C6B">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1A612949">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4665F96">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一、2026年收支预算总体情况</w:t>
      </w:r>
    </w:p>
    <w:p w14:paraId="790B2477">
      <w:pPr>
        <w:pStyle w:val="11"/>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509.76 万元，比 2025年预算数 441.84 万元增加 67.92 万元，主要原因：生均经费逐年提高，住房和社会保障也逐年递增。</w:t>
      </w:r>
    </w:p>
    <w:p w14:paraId="0594D500">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二、2026年收入预算情况</w:t>
      </w:r>
    </w:p>
    <w:p w14:paraId="5BB9355F">
      <w:pPr>
        <w:pStyle w:val="11"/>
        <w:ind w:left="319" w:leftChars="152" w:firstLine="320" w:firstLineChars="100"/>
        <w:jc w:val="left"/>
        <w:rPr>
          <w:rFonts w:ascii="仿宋" w:hAnsi="仿宋" w:eastAsia="仿宋"/>
          <w:sz w:val="32"/>
          <w:szCs w:val="32"/>
          <w:highlight w:val="none"/>
        </w:rPr>
      </w:pPr>
      <w:r>
        <w:rPr>
          <w:rFonts w:hint="eastAsia" w:ascii="仿宋" w:hAnsi="仿宋" w:eastAsia="仿宋"/>
          <w:sz w:val="32"/>
          <w:szCs w:val="32"/>
          <w:highlight w:val="none"/>
        </w:rPr>
        <w:t>2026年本单位收入预算 509.76 万元，其中：一般公共预算收入 509.76 万元，占100%。</w:t>
      </w:r>
    </w:p>
    <w:p w14:paraId="262A2F8F">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三、2026年支出预算情况</w:t>
      </w:r>
    </w:p>
    <w:p w14:paraId="25859D74">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rPr>
        <w:t>2026年支出预算509.76万元，其中：基本支出 498.56 万元，占97.8%；项目支出 11.2 万元，占2.2%。</w:t>
      </w:r>
    </w:p>
    <w:p w14:paraId="51040F2B">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四、2026年财政拨款收支预算情况</w:t>
      </w:r>
    </w:p>
    <w:p w14:paraId="032F5B2D">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rPr>
        <w:t>2026年财政拨款收支总预算509.76万元，其中：本年收入 509.76 万元。本年支出509.76万元，支出包括：教育支出405.78万元，社会保障和就业支出55.07万元，住房保障支出48.91万元。</w:t>
      </w:r>
    </w:p>
    <w:p w14:paraId="113EA7E6">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rPr>
        <w:t>五、2026</w:t>
      </w:r>
      <w:r>
        <w:rPr>
          <w:rFonts w:hint="eastAsia" w:ascii="楷体" w:hAnsi="楷体" w:eastAsia="楷体"/>
          <w:kern w:val="0"/>
          <w:sz w:val="32"/>
          <w:szCs w:val="32"/>
          <w:highlight w:val="none"/>
        </w:rPr>
        <w:t>年一般公共预算支出情况</w:t>
      </w:r>
    </w:p>
    <w:p w14:paraId="362C178E">
      <w:pPr>
        <w:ind w:firstLine="640" w:firstLineChars="200"/>
        <w:rPr>
          <w:rFonts w:ascii="仿宋" w:hAnsi="仿宋" w:eastAsia="仿宋"/>
          <w:sz w:val="32"/>
          <w:szCs w:val="32"/>
          <w:highlight w:val="none"/>
        </w:rPr>
      </w:pPr>
      <w:r>
        <w:rPr>
          <w:rFonts w:hint="eastAsia" w:ascii="仿宋" w:hAnsi="仿宋" w:eastAsia="仿宋"/>
          <w:sz w:val="32"/>
          <w:szCs w:val="32"/>
          <w:highlight w:val="none"/>
        </w:rPr>
        <w:t>2026年一般公共预算当年拨款509.76万元，其中：基本支出498.56万元，占97.8%；项目支出11.2万元，占2.2%。基本支出中，人员经费486.19万元，占97.5%；公用经费12.37万元，占2.5%。</w:t>
      </w:r>
    </w:p>
    <w:p w14:paraId="3F87882C">
      <w:pPr>
        <w:ind w:firstLine="640" w:firstLineChars="200"/>
        <w:rPr>
          <w:rFonts w:ascii="仿宋" w:hAnsi="仿宋" w:eastAsia="仿宋"/>
          <w:sz w:val="32"/>
          <w:szCs w:val="32"/>
          <w:highlight w:val="none"/>
        </w:rPr>
      </w:pPr>
      <w:r>
        <w:rPr>
          <w:rFonts w:hint="eastAsia" w:ascii="仿宋" w:hAnsi="仿宋" w:eastAsia="仿宋"/>
          <w:sz w:val="32"/>
          <w:szCs w:val="32"/>
          <w:highlight w:val="none"/>
        </w:rPr>
        <w:t>社会保障和就业（类）支出 55.07 万元，占10.8%，主要用于：机关事业单位基本养老保险缴费支出。</w:t>
      </w:r>
    </w:p>
    <w:p w14:paraId="55FEE9D0">
      <w:pPr>
        <w:ind w:firstLine="640" w:firstLineChars="200"/>
        <w:rPr>
          <w:rFonts w:ascii="仿宋" w:hAnsi="仿宋" w:eastAsia="仿宋"/>
          <w:sz w:val="32"/>
          <w:szCs w:val="32"/>
          <w:highlight w:val="none"/>
        </w:rPr>
      </w:pPr>
      <w:r>
        <w:rPr>
          <w:rFonts w:hint="eastAsia" w:ascii="仿宋" w:hAnsi="仿宋" w:eastAsia="仿宋"/>
          <w:sz w:val="32"/>
          <w:szCs w:val="32"/>
          <w:highlight w:val="none"/>
        </w:rPr>
        <w:t>住房保障（类）支出 48.91 万元，占9.6%，主要用于：住房公积金支出。</w:t>
      </w:r>
    </w:p>
    <w:p w14:paraId="1D655B29">
      <w:pPr>
        <w:pStyle w:val="9"/>
        <w:rPr>
          <w:rFonts w:ascii="楷体" w:hAnsi="楷体" w:eastAsia="楷体"/>
          <w:kern w:val="0"/>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rPr>
        <w:t>六、2026年一般公共预算基本支出情况</w:t>
      </w:r>
    </w:p>
    <w:p w14:paraId="28556014">
      <w:pPr>
        <w:ind w:firstLine="640" w:firstLineChars="200"/>
        <w:rPr>
          <w:rFonts w:ascii="仿宋" w:hAnsi="仿宋" w:eastAsia="仿宋"/>
          <w:sz w:val="32"/>
          <w:szCs w:val="32"/>
          <w:highlight w:val="none"/>
        </w:rPr>
      </w:pPr>
      <w:r>
        <w:rPr>
          <w:rFonts w:hint="eastAsia" w:ascii="仿宋" w:hAnsi="仿宋" w:eastAsia="仿宋"/>
          <w:sz w:val="32"/>
          <w:szCs w:val="32"/>
          <w:highlight w:val="none"/>
        </w:rPr>
        <w:t>2026年一般公共预算基本支出498.56 万元，其中：</w:t>
      </w:r>
    </w:p>
    <w:p w14:paraId="03F48596">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486.19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公用经费12.38万元，主要包括：办公费、印刷费、水费、电费、邮电费、取暖费、差旅费、会议费、公务接待费、工会经费、公务用车运行维护费等。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rPr>
        <w:t>七、2026年一般公共预算财政拨款“三公经费”情况</w:t>
      </w:r>
    </w:p>
    <w:p w14:paraId="7288DF6E">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2026年</w:t>
      </w:r>
      <w:r>
        <w:rPr>
          <w:rFonts w:hint="eastAsia" w:ascii="仿宋" w:hAnsi="仿宋" w:eastAsia="仿宋"/>
          <w:sz w:val="32"/>
          <w:szCs w:val="32"/>
          <w:highlight w:val="none"/>
        </w:rPr>
        <w:t>本单位无“三公经费”预算支出。</w:t>
      </w:r>
    </w:p>
    <w:p w14:paraId="60353E9A">
      <w:pPr>
        <w:pStyle w:val="9"/>
        <w:rPr>
          <w:rFonts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rPr>
        <w:t>八、2026年政府性基金预算支出情况</w:t>
      </w:r>
    </w:p>
    <w:p w14:paraId="4B65B0B1">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2</w:t>
      </w:r>
      <w:r>
        <w:rPr>
          <w:rFonts w:ascii="仿宋" w:hAnsi="仿宋" w:eastAsia="仿宋"/>
          <w:sz w:val="32"/>
          <w:szCs w:val="32"/>
          <w:highlight w:val="none"/>
        </w:rPr>
        <w:t>02</w:t>
      </w:r>
      <w:r>
        <w:rPr>
          <w:rFonts w:hint="eastAsia" w:ascii="仿宋" w:hAnsi="仿宋" w:eastAsia="仿宋"/>
          <w:sz w:val="32"/>
          <w:szCs w:val="32"/>
          <w:highlight w:val="none"/>
        </w:rPr>
        <w:t>6年本单位无政府性基金预算支出。</w:t>
      </w:r>
    </w:p>
    <w:p w14:paraId="39906816">
      <w:pPr>
        <w:ind w:firstLine="640" w:firstLineChars="200"/>
        <w:jc w:val="left"/>
        <w:rPr>
          <w:rFonts w:ascii="楷体" w:hAnsi="楷体" w:eastAsia="楷体" w:cs="楷体"/>
          <w:sz w:val="32"/>
          <w:szCs w:val="32"/>
          <w:highlight w:val="none"/>
        </w:rPr>
      </w:pPr>
      <w:r>
        <w:rPr>
          <w:rFonts w:hint="eastAsia" w:ascii="楷体" w:hAnsi="楷体" w:eastAsia="楷体" w:cs="楷体"/>
          <w:sz w:val="32"/>
          <w:szCs w:val="32"/>
          <w:highlight w:val="none"/>
        </w:rPr>
        <w:t>九、2026年国有资本经营预算支出情况</w:t>
      </w:r>
    </w:p>
    <w:p w14:paraId="78271549">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2026年本单位无国有资本经营预算支出。</w:t>
      </w:r>
    </w:p>
    <w:p w14:paraId="028EDDC6">
      <w:pPr>
        <w:numPr>
          <w:ilvl w:val="0"/>
          <w:numId w:val="3"/>
        </w:numPr>
        <w:jc w:val="left"/>
        <w:rPr>
          <w:rFonts w:ascii="楷体" w:hAnsi="楷体" w:eastAsia="楷体" w:cs="楷体"/>
          <w:sz w:val="32"/>
          <w:szCs w:val="32"/>
          <w:highlight w:val="none"/>
        </w:rPr>
      </w:pPr>
      <w:r>
        <w:rPr>
          <w:rFonts w:hint="eastAsia" w:ascii="楷体" w:hAnsi="楷体" w:eastAsia="楷体" w:cs="楷体"/>
          <w:sz w:val="32"/>
          <w:szCs w:val="32"/>
          <w:highlight w:val="none"/>
        </w:rPr>
        <w:t>其他重要事项的说明情况</w:t>
      </w:r>
    </w:p>
    <w:p w14:paraId="4DBB8460">
      <w:pPr>
        <w:ind w:firstLine="640" w:firstLineChars="200"/>
        <w:jc w:val="left"/>
        <w:rPr>
          <w:rFonts w:ascii="楷体" w:hAnsi="楷体" w:eastAsia="楷体" w:cs="楷体"/>
          <w:sz w:val="32"/>
          <w:szCs w:val="32"/>
          <w:highlight w:val="none"/>
        </w:rPr>
      </w:pPr>
      <w:r>
        <w:rPr>
          <w:rFonts w:hint="eastAsia" w:ascii="楷体" w:hAnsi="楷体" w:eastAsia="楷体" w:cs="楷体"/>
          <w:sz w:val="32"/>
          <w:szCs w:val="32"/>
          <w:highlight w:val="none"/>
        </w:rPr>
        <w:t>（一）机关运行经费</w:t>
      </w:r>
    </w:p>
    <w:p w14:paraId="33FE9514">
      <w:pPr>
        <w:pStyle w:val="8"/>
        <w:ind w:firstLine="640"/>
        <w:rPr>
          <w:rFonts w:ascii="仿宋" w:hAnsi="仿宋" w:eastAsia="仿宋"/>
          <w:sz w:val="32"/>
          <w:szCs w:val="32"/>
          <w:highlight w:val="none"/>
        </w:rPr>
      </w:pPr>
      <w:r>
        <w:rPr>
          <w:rFonts w:hint="eastAsia" w:ascii="仿宋" w:hAnsi="仿宋" w:eastAsia="仿宋"/>
          <w:sz w:val="32"/>
          <w:szCs w:val="32"/>
          <w:highlight w:val="none"/>
        </w:rPr>
        <w:t>2026年本单位机关运行经费财政拨款预算 12.38 万元，比 2025年预算增加6.12 万元，增长97.8%，主要原因是增加部分工会经费和增加各类保险费支出。</w:t>
      </w:r>
    </w:p>
    <w:p w14:paraId="3C4DC5AB">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（二）政府采购情况</w:t>
      </w:r>
    </w:p>
    <w:p w14:paraId="5E4EE068">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2026年政府采购预算总额3.69万元，其中：政府采购办公设备和其他设备预算3.69万元。</w:t>
      </w:r>
    </w:p>
    <w:p w14:paraId="32E1CB5D">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（三）国有资产占有使用情况</w:t>
      </w:r>
    </w:p>
    <w:p w14:paraId="6E80D1C3">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截至2026年1月，部门本级和所属各预算单位共有车辆0 辆，其中，领导干部用车 0 辆、一般公务用车 0 辆,一般执法执勤用车 0 辆、特种专业技术用车 0 辆、其他用车 0 辆，价值200万元以上大型设备 0 台（套）。</w:t>
      </w:r>
    </w:p>
    <w:p w14:paraId="7CFB465B">
      <w:pPr>
        <w:pStyle w:val="8"/>
        <w:ind w:firstLine="640"/>
        <w:jc w:val="left"/>
        <w:rPr>
          <w:rFonts w:ascii="仿宋" w:hAnsi="仿宋" w:eastAsia="仿宋"/>
          <w:sz w:val="32"/>
          <w:szCs w:val="32"/>
          <w:highlight w:val="none"/>
        </w:rPr>
      </w:pPr>
      <w:r>
        <w:rPr>
          <w:rFonts w:hint="eastAsia" w:ascii="仿宋" w:hAnsi="仿宋" w:eastAsia="仿宋"/>
          <w:sz w:val="32"/>
          <w:szCs w:val="32"/>
          <w:highlight w:val="none"/>
        </w:rPr>
        <w:t>2026年部门未预算安排购置车辆及价值200万元以上大型设备。</w:t>
      </w:r>
    </w:p>
    <w:p w14:paraId="6C4F4062">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预算项目绩效目标管理情况</w:t>
      </w:r>
    </w:p>
    <w:p w14:paraId="2A5558C3">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按照全面实施预算绩效管理的要求，结合本部门职能和重点工作，2026年将 1 个项目支出的绩效目标和指标向社会公开，涉及金额 11.2万元。</w:t>
      </w:r>
    </w:p>
    <w:p w14:paraId="3C527A83">
      <w:pPr>
        <w:jc w:val="center"/>
        <w:rPr>
          <w:rFonts w:ascii="仿宋" w:hAnsi="仿宋" w:eastAsia="仿宋"/>
          <w:sz w:val="32"/>
          <w:szCs w:val="32"/>
          <w:highlight w:val="none"/>
        </w:rPr>
      </w:pPr>
    </w:p>
    <w:p w14:paraId="5BEAB39C">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2BA8D45">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一、一般公共预算拨款收入：指本级财政通过当年一般公共预算拨付的资金。</w:t>
      </w:r>
    </w:p>
    <w:p w14:paraId="2B7CFECE">
      <w:pPr>
        <w:ind w:firstLine="640" w:firstLineChars="200"/>
        <w:rPr>
          <w:rFonts w:ascii="仿宋_GB2312" w:eastAsia="仿宋_GB2312"/>
          <w:sz w:val="32"/>
          <w:szCs w:val="32"/>
          <w:highlight w:val="none"/>
        </w:rPr>
      </w:pPr>
      <w:r>
        <w:rPr>
          <w:rFonts w:hint="eastAsia" w:ascii="仿宋_GB2312" w:eastAsia="仿宋_GB2312"/>
          <w:sz w:val="32"/>
          <w:szCs w:val="32"/>
          <w:highlight w:val="none"/>
        </w:rPr>
        <w:t>二、政府性基金预算拨款收入：指本级财政通过当年政府性基金预算拨付的资金。</w:t>
      </w:r>
    </w:p>
    <w:p w14:paraId="19E1AEFC">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三、国有资本经营预算拨款收入：指本级财政通过当年国有资本经营预算拨付的资金。</w:t>
      </w:r>
    </w:p>
    <w:p w14:paraId="253786D9">
      <w:pPr>
        <w:ind w:firstLine="640" w:firstLineChars="200"/>
        <w:rPr>
          <w:rFonts w:ascii="仿宋_GB2312" w:eastAsia="仿宋_GB2312"/>
          <w:sz w:val="32"/>
          <w:szCs w:val="32"/>
          <w:highlight w:val="none"/>
        </w:rPr>
      </w:pPr>
      <w:r>
        <w:rPr>
          <w:rFonts w:hint="eastAsia" w:ascii="仿宋_GB2312" w:eastAsia="仿宋_GB2312"/>
          <w:sz w:val="32"/>
          <w:szCs w:val="32"/>
          <w:highlight w:val="none"/>
        </w:rPr>
        <w:t>四、其他收入：指除上述收入以外的各项收入。包括银行存款利息收入。</w:t>
      </w:r>
    </w:p>
    <w:p w14:paraId="2EE06A32">
      <w:pPr>
        <w:ind w:firstLine="640" w:firstLineChars="200"/>
        <w:rPr>
          <w:rFonts w:ascii="仿宋_GB2312" w:eastAsia="仿宋_GB2312"/>
          <w:sz w:val="32"/>
          <w:szCs w:val="32"/>
          <w:highlight w:val="none"/>
        </w:rPr>
      </w:pPr>
      <w:r>
        <w:rPr>
          <w:rFonts w:hint="eastAsia" w:ascii="仿宋_GB2312" w:eastAsia="仿宋_GB2312"/>
          <w:sz w:val="32"/>
          <w:szCs w:val="32"/>
          <w:highlight w:val="none"/>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highlight w:val="none"/>
        </w:rPr>
      </w:pPr>
      <w:r>
        <w:rPr>
          <w:rFonts w:hint="eastAsia" w:ascii="仿宋_GB2312" w:eastAsia="仿宋_GB2312"/>
          <w:sz w:val="32"/>
          <w:szCs w:val="32"/>
          <w:highlight w:val="none"/>
        </w:rPr>
        <w:t>六、项目支出：指在基本支出之外为完成特定行政工作任务和事业发展目标所发生的各项支出。</w:t>
      </w:r>
    </w:p>
    <w:p w14:paraId="0FD705C5">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highlight w:val="none"/>
        </w:rPr>
      </w:pPr>
      <w:r>
        <w:rPr>
          <w:rFonts w:hint="eastAsia" w:ascii="仿宋_GB2312" w:eastAsia="仿宋_GB2312"/>
          <w:sz w:val="32"/>
          <w:szCs w:val="32"/>
          <w:highlight w:val="none"/>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highlight w:val="none"/>
        </w:rPr>
      </w:pPr>
      <w:r>
        <w:rPr>
          <w:rFonts w:hint="eastAsia" w:ascii="仿宋_GB2312" w:eastAsia="仿宋_GB2312"/>
          <w:sz w:val="32"/>
          <w:szCs w:val="32"/>
          <w:highlight w:val="none"/>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highlight w:val="none"/>
        </w:rPr>
      </w:pPr>
      <w:r>
        <w:rPr>
          <w:rFonts w:hint="eastAsia" w:ascii="仿宋_GB2312" w:eastAsia="仿宋_GB2312"/>
          <w:sz w:val="32"/>
          <w:szCs w:val="32"/>
          <w:highlight w:val="none"/>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highlight w:val="none"/>
        </w:rPr>
      </w:pPr>
      <w:r>
        <w:rPr>
          <w:rFonts w:hint="eastAsia" w:ascii="仿宋_GB2312" w:eastAsia="仿宋_GB2312"/>
          <w:sz w:val="32"/>
          <w:szCs w:val="32"/>
          <w:highlight w:val="none"/>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十二、项目支出绩效目标：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E9CC6">
      <w:pPr>
        <w:ind w:firstLine="640" w:firstLineChars="200"/>
        <w:rPr>
          <w:rFonts w:ascii="仿宋_GB2312" w:eastAsia="仿宋_GB2312"/>
          <w:sz w:val="32"/>
          <w:szCs w:val="32"/>
          <w:highlight w:val="none"/>
        </w:rPr>
      </w:pPr>
    </w:p>
    <w:p w14:paraId="38433E3C">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8250850">
      <w:pPr>
        <w:jc w:val="left"/>
        <w:rPr>
          <w:rFonts w:ascii="仿宋" w:hAnsi="仿宋" w:eastAsia="仿宋"/>
          <w:sz w:val="32"/>
          <w:szCs w:val="32"/>
          <w:highlight w:val="none"/>
        </w:rPr>
      </w:pPr>
    </w:p>
    <w:p w14:paraId="757010AF">
      <w:pPr>
        <w:jc w:val="left"/>
        <w:rPr>
          <w:rFonts w:ascii="仿宋" w:hAnsi="仿宋" w:eastAsia="仿宋"/>
          <w:sz w:val="32"/>
          <w:szCs w:val="32"/>
          <w:highlight w:val="none"/>
        </w:rPr>
      </w:pPr>
    </w:p>
    <w:p w14:paraId="1B9DA4B3">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252C055">
      <w:pPr>
        <w:jc w:val="left"/>
        <w:rPr>
          <w:rFonts w:ascii="仿宋" w:hAnsi="仿宋" w:eastAsia="仿宋"/>
          <w:sz w:val="32"/>
          <w:szCs w:val="32"/>
          <w:highlight w:val="none"/>
        </w:rPr>
      </w:pPr>
      <w:r>
        <w:rPr>
          <w:rFonts w:hint="eastAsia" w:ascii="仿宋" w:hAnsi="仿宋" w:eastAsia="仿宋"/>
          <w:sz w:val="32"/>
          <w:szCs w:val="32"/>
          <w:highlight w:val="none"/>
        </w:rPr>
        <w:t>2026年部门预算表套表（预算一体化-“预算编制”模块-预算编制帆软报表查询中提取相应数据）。</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04B7A"/>
    <w:rsid w:val="00242E9B"/>
    <w:rsid w:val="00251CE0"/>
    <w:rsid w:val="00251F84"/>
    <w:rsid w:val="002E0B3B"/>
    <w:rsid w:val="002F1115"/>
    <w:rsid w:val="002F3222"/>
    <w:rsid w:val="00357E92"/>
    <w:rsid w:val="00380C14"/>
    <w:rsid w:val="003B5F35"/>
    <w:rsid w:val="003F57BB"/>
    <w:rsid w:val="003F5A34"/>
    <w:rsid w:val="004176EB"/>
    <w:rsid w:val="004763A7"/>
    <w:rsid w:val="00482664"/>
    <w:rsid w:val="004B0AC7"/>
    <w:rsid w:val="004C1015"/>
    <w:rsid w:val="00567D16"/>
    <w:rsid w:val="00572D27"/>
    <w:rsid w:val="00576DB1"/>
    <w:rsid w:val="0059597A"/>
    <w:rsid w:val="005A01D8"/>
    <w:rsid w:val="005C0A98"/>
    <w:rsid w:val="005C384D"/>
    <w:rsid w:val="005F0428"/>
    <w:rsid w:val="005F5FA4"/>
    <w:rsid w:val="00622E82"/>
    <w:rsid w:val="006954BF"/>
    <w:rsid w:val="006B2214"/>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903AA"/>
    <w:rsid w:val="009A3FBB"/>
    <w:rsid w:val="009C3948"/>
    <w:rsid w:val="009E4C36"/>
    <w:rsid w:val="00A12A00"/>
    <w:rsid w:val="00A17C6D"/>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2015F"/>
    <w:rsid w:val="00C37526"/>
    <w:rsid w:val="00C61D37"/>
    <w:rsid w:val="00CB2087"/>
    <w:rsid w:val="00CC2C0E"/>
    <w:rsid w:val="00CE6FE2"/>
    <w:rsid w:val="00CF7FF2"/>
    <w:rsid w:val="00D173AA"/>
    <w:rsid w:val="00D463CF"/>
    <w:rsid w:val="00D46FAF"/>
    <w:rsid w:val="00D54CC0"/>
    <w:rsid w:val="00D6291D"/>
    <w:rsid w:val="00DA2F9D"/>
    <w:rsid w:val="00DA5EFE"/>
    <w:rsid w:val="00DB4298"/>
    <w:rsid w:val="00DC6B72"/>
    <w:rsid w:val="00DF1F1C"/>
    <w:rsid w:val="00DF38C6"/>
    <w:rsid w:val="00E168F9"/>
    <w:rsid w:val="00E20B1E"/>
    <w:rsid w:val="00E343EE"/>
    <w:rsid w:val="00E53AE6"/>
    <w:rsid w:val="00EA238B"/>
    <w:rsid w:val="00EA359C"/>
    <w:rsid w:val="00EB321B"/>
    <w:rsid w:val="00ED0CE4"/>
    <w:rsid w:val="00F30AB2"/>
    <w:rsid w:val="00F51569"/>
    <w:rsid w:val="00F55BD0"/>
    <w:rsid w:val="00F86657"/>
    <w:rsid w:val="00FB4B1D"/>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6D5156B"/>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2363</Words>
  <Characters>2613</Characters>
  <Lines>20</Lines>
  <Paragraphs>5</Paragraphs>
  <TotalTime>151</TotalTime>
  <ScaleCrop>false</ScaleCrop>
  <LinksUpToDate>false</LinksUpToDate>
  <CharactersWithSpaces>2720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李晨爽</cp:lastModifiedBy>
  <dcterms:modified xsi:type="dcterms:W3CDTF">2026-03-25T00:57:00Z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015E53AB75C04A42A540DA5266089B66</vt:lpwstr>
  </property>
  <property fmtid="{D5CDD505-2E9C-101B-9397-08002B2CF9AE}" pid="4" name="KSOTemplateDocerSaveRecord">
    <vt:lpwstr>eyJoZGlkIjoiYTU5NTM3OTJjNGY3MDZlZTMyYzk2OTVhYjExYzlmNDEiLCJ1c2VySWQiOiI1OTMyMjA5MzcifQ==</vt:lpwstr>
  </property>
</Properties>
</file>