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color w:val="auto"/>
          <w:sz w:val="44"/>
          <w:szCs w:val="44"/>
          <w:highlight w:val="none"/>
        </w:rPr>
      </w:pPr>
    </w:p>
    <w:p w14:paraId="0722EA08">
      <w:pPr>
        <w:jc w:val="center"/>
        <w:rPr>
          <w:rFonts w:ascii="黑体" w:hAnsi="黑体" w:eastAsia="黑体"/>
          <w:color w:val="auto"/>
          <w:sz w:val="44"/>
          <w:szCs w:val="44"/>
          <w:highlight w:val="none"/>
        </w:rPr>
      </w:pPr>
    </w:p>
    <w:p w14:paraId="5712AD97">
      <w:pPr>
        <w:jc w:val="center"/>
        <w:rPr>
          <w:rFonts w:ascii="黑体" w:hAnsi="黑体" w:eastAsia="黑体"/>
          <w:color w:val="auto"/>
          <w:sz w:val="44"/>
          <w:szCs w:val="44"/>
          <w:highlight w:val="none"/>
        </w:rPr>
      </w:pPr>
    </w:p>
    <w:p w14:paraId="4DAE025F">
      <w:pPr>
        <w:jc w:val="center"/>
        <w:rPr>
          <w:rFonts w:ascii="黑体" w:hAnsi="黑体" w:eastAsia="黑体"/>
          <w:color w:val="auto"/>
          <w:sz w:val="44"/>
          <w:szCs w:val="44"/>
          <w:highlight w:val="none"/>
        </w:rPr>
      </w:pPr>
    </w:p>
    <w:p w14:paraId="5C6FEE61">
      <w:pPr>
        <w:jc w:val="center"/>
        <w:rPr>
          <w:rFonts w:ascii="黑体" w:hAnsi="黑体" w:eastAsia="黑体"/>
          <w:color w:val="auto"/>
          <w:sz w:val="44"/>
          <w:szCs w:val="44"/>
          <w:highlight w:val="none"/>
        </w:rPr>
      </w:pPr>
    </w:p>
    <w:p w14:paraId="0050A5F4">
      <w:pPr>
        <w:jc w:val="center"/>
        <w:rPr>
          <w:rFonts w:ascii="黑体" w:hAnsi="黑体" w:eastAsia="黑体"/>
          <w:color w:val="auto"/>
          <w:sz w:val="52"/>
          <w:szCs w:val="52"/>
          <w:highlight w:val="none"/>
        </w:rPr>
      </w:pPr>
      <w:r>
        <w:rPr>
          <w:rFonts w:hint="eastAsia" w:ascii="黑体" w:hAnsi="黑体" w:eastAsia="黑体"/>
          <w:color w:val="auto"/>
          <w:sz w:val="52"/>
          <w:szCs w:val="52"/>
          <w:highlight w:val="none"/>
          <w:lang w:val="en-US" w:eastAsia="zh-CN"/>
        </w:rPr>
        <w:t>永吉县第八中学</w:t>
      </w:r>
      <w:r>
        <w:rPr>
          <w:rFonts w:hint="eastAsia" w:ascii="黑体" w:hAnsi="黑体" w:eastAsia="黑体"/>
          <w:color w:val="auto"/>
          <w:sz w:val="52"/>
          <w:szCs w:val="52"/>
          <w:highlight w:val="none"/>
        </w:rPr>
        <w:t>2026年部门预算</w:t>
      </w:r>
    </w:p>
    <w:p w14:paraId="5C42AB12">
      <w:pPr>
        <w:jc w:val="center"/>
        <w:rPr>
          <w:rFonts w:ascii="黑体" w:hAnsi="黑体" w:eastAsia="黑体"/>
          <w:color w:val="auto"/>
          <w:sz w:val="44"/>
          <w:szCs w:val="44"/>
          <w:highlight w:val="none"/>
        </w:rPr>
      </w:pPr>
    </w:p>
    <w:p w14:paraId="5EF162CE">
      <w:pPr>
        <w:jc w:val="center"/>
        <w:rPr>
          <w:rFonts w:ascii="黑体" w:hAnsi="黑体" w:eastAsia="黑体"/>
          <w:color w:val="auto"/>
          <w:sz w:val="44"/>
          <w:szCs w:val="44"/>
          <w:highlight w:val="none"/>
        </w:rPr>
      </w:pPr>
    </w:p>
    <w:p w14:paraId="6D7738A2">
      <w:pPr>
        <w:jc w:val="center"/>
        <w:rPr>
          <w:rFonts w:ascii="黑体" w:hAnsi="黑体" w:eastAsia="黑体"/>
          <w:color w:val="auto"/>
          <w:sz w:val="44"/>
          <w:szCs w:val="44"/>
          <w:highlight w:val="none"/>
        </w:rPr>
      </w:pPr>
    </w:p>
    <w:p w14:paraId="1997C969">
      <w:pPr>
        <w:jc w:val="center"/>
        <w:rPr>
          <w:rFonts w:ascii="黑体" w:hAnsi="黑体" w:eastAsia="黑体"/>
          <w:color w:val="auto"/>
          <w:sz w:val="44"/>
          <w:szCs w:val="44"/>
          <w:highlight w:val="none"/>
        </w:rPr>
      </w:pPr>
    </w:p>
    <w:p w14:paraId="4F4ABFCB">
      <w:pPr>
        <w:jc w:val="center"/>
        <w:rPr>
          <w:rFonts w:ascii="黑体" w:hAnsi="黑体" w:eastAsia="黑体"/>
          <w:color w:val="auto"/>
          <w:sz w:val="44"/>
          <w:szCs w:val="44"/>
          <w:highlight w:val="none"/>
        </w:rPr>
      </w:pPr>
    </w:p>
    <w:p w14:paraId="6E03DA41">
      <w:pPr>
        <w:jc w:val="center"/>
        <w:rPr>
          <w:rFonts w:ascii="黑体" w:hAnsi="黑体" w:eastAsia="黑体"/>
          <w:color w:val="auto"/>
          <w:sz w:val="44"/>
          <w:szCs w:val="44"/>
          <w:highlight w:val="none"/>
        </w:rPr>
      </w:pPr>
    </w:p>
    <w:p w14:paraId="34D8D65D">
      <w:pPr>
        <w:jc w:val="center"/>
        <w:rPr>
          <w:rFonts w:ascii="黑体" w:hAnsi="黑体" w:eastAsia="黑体"/>
          <w:color w:val="auto"/>
          <w:sz w:val="44"/>
          <w:szCs w:val="44"/>
          <w:highlight w:val="none"/>
        </w:rPr>
      </w:pPr>
    </w:p>
    <w:p w14:paraId="01FD5D38">
      <w:pPr>
        <w:jc w:val="center"/>
        <w:rPr>
          <w:rFonts w:ascii="黑体" w:hAnsi="黑体" w:eastAsia="黑体"/>
          <w:color w:val="auto"/>
          <w:sz w:val="44"/>
          <w:szCs w:val="44"/>
          <w:highlight w:val="none"/>
        </w:rPr>
      </w:pPr>
    </w:p>
    <w:p w14:paraId="380AB34E">
      <w:pPr>
        <w:jc w:val="center"/>
        <w:rPr>
          <w:rFonts w:ascii="黑体" w:hAnsi="黑体" w:eastAsia="黑体"/>
          <w:color w:val="auto"/>
          <w:sz w:val="44"/>
          <w:szCs w:val="44"/>
          <w:highlight w:val="none"/>
        </w:rPr>
      </w:pPr>
    </w:p>
    <w:p w14:paraId="628D9189">
      <w:pPr>
        <w:jc w:val="center"/>
        <w:rPr>
          <w:rFonts w:ascii="黑体" w:hAnsi="黑体" w:eastAsia="黑体"/>
          <w:color w:val="auto"/>
          <w:sz w:val="44"/>
          <w:szCs w:val="44"/>
          <w:highlight w:val="none"/>
        </w:rPr>
      </w:pPr>
    </w:p>
    <w:p w14:paraId="6EA5914F">
      <w:pPr>
        <w:jc w:val="center"/>
        <w:rPr>
          <w:rFonts w:ascii="黑体" w:hAnsi="黑体" w:eastAsia="黑体"/>
          <w:color w:val="auto"/>
          <w:sz w:val="44"/>
          <w:szCs w:val="44"/>
          <w:highlight w:val="none"/>
        </w:rPr>
      </w:pPr>
      <w:r>
        <w:rPr>
          <w:rFonts w:hint="eastAsia" w:ascii="黑体" w:hAnsi="黑体" w:eastAsia="黑体"/>
          <w:color w:val="auto"/>
          <w:sz w:val="44"/>
          <w:szCs w:val="44"/>
          <w:highlight w:val="none"/>
        </w:rPr>
        <w:t>二〇二六年一月四日</w:t>
      </w:r>
    </w:p>
    <w:p w14:paraId="2F1615F9">
      <w:pPr>
        <w:jc w:val="center"/>
        <w:rPr>
          <w:rFonts w:ascii="黑体" w:hAnsi="黑体" w:eastAsia="黑体"/>
          <w:color w:val="auto"/>
          <w:sz w:val="44"/>
          <w:szCs w:val="44"/>
          <w:highlight w:val="none"/>
        </w:rPr>
      </w:pPr>
    </w:p>
    <w:p w14:paraId="357EC0AC">
      <w:pPr>
        <w:jc w:val="center"/>
        <w:rPr>
          <w:rFonts w:ascii="黑体" w:hAnsi="黑体" w:eastAsia="黑体"/>
          <w:color w:val="auto"/>
          <w:sz w:val="44"/>
          <w:szCs w:val="44"/>
          <w:highlight w:val="none"/>
        </w:rPr>
      </w:pPr>
    </w:p>
    <w:p w14:paraId="661A2997">
      <w:pPr>
        <w:jc w:val="center"/>
        <w:rPr>
          <w:rFonts w:ascii="黑体" w:hAnsi="黑体" w:eastAsia="黑体"/>
          <w:color w:val="auto"/>
          <w:sz w:val="44"/>
          <w:szCs w:val="44"/>
          <w:highlight w:val="none"/>
        </w:rPr>
      </w:pPr>
    </w:p>
    <w:p w14:paraId="60FA0F16">
      <w:pPr>
        <w:jc w:val="center"/>
        <w:rPr>
          <w:rFonts w:ascii="黑体" w:hAnsi="黑体" w:eastAsia="黑体"/>
          <w:color w:val="auto"/>
          <w:sz w:val="44"/>
          <w:szCs w:val="44"/>
          <w:highlight w:val="none"/>
        </w:rPr>
      </w:pPr>
    </w:p>
    <w:p w14:paraId="74A34429">
      <w:pPr>
        <w:jc w:val="center"/>
        <w:rPr>
          <w:rFonts w:ascii="黑体" w:hAnsi="黑体" w:eastAsia="黑体"/>
          <w:color w:val="auto"/>
          <w:sz w:val="44"/>
          <w:szCs w:val="44"/>
          <w:highlight w:val="none"/>
        </w:rPr>
      </w:pPr>
    </w:p>
    <w:p w14:paraId="18C3CAAE">
      <w:pPr>
        <w:jc w:val="center"/>
        <w:rPr>
          <w:rFonts w:ascii="黑体" w:hAnsi="黑体" w:eastAsia="黑体"/>
          <w:color w:val="auto"/>
          <w:sz w:val="44"/>
          <w:szCs w:val="44"/>
          <w:highlight w:val="none"/>
        </w:rPr>
      </w:pPr>
    </w:p>
    <w:p w14:paraId="406F54B2">
      <w:pPr>
        <w:jc w:val="center"/>
        <w:rPr>
          <w:rFonts w:hint="eastAsia" w:ascii="黑体" w:hAnsi="黑体" w:eastAsia="黑体"/>
          <w:color w:val="auto"/>
          <w:sz w:val="44"/>
          <w:szCs w:val="44"/>
          <w:highlight w:val="none"/>
        </w:rPr>
      </w:pPr>
      <w:r>
        <w:rPr>
          <w:rFonts w:hint="eastAsia" w:ascii="黑体" w:hAnsi="黑体" w:eastAsia="黑体"/>
          <w:color w:val="auto"/>
          <w:sz w:val="44"/>
          <w:szCs w:val="44"/>
          <w:highlight w:val="none"/>
          <w:lang w:val="en-US" w:eastAsia="zh-CN"/>
        </w:rPr>
        <w:t>永吉县第八中学</w:t>
      </w:r>
      <w:r>
        <w:rPr>
          <w:rFonts w:hint="eastAsia" w:ascii="黑体" w:hAnsi="黑体" w:eastAsia="黑体"/>
          <w:color w:val="auto"/>
          <w:sz w:val="44"/>
          <w:szCs w:val="44"/>
          <w:highlight w:val="none"/>
        </w:rPr>
        <w:t>2026年预算</w:t>
      </w:r>
    </w:p>
    <w:p w14:paraId="1F07C9F7">
      <w:pPr>
        <w:jc w:val="center"/>
        <w:rPr>
          <w:rFonts w:ascii="黑体" w:hAnsi="黑体" w:eastAsia="黑体"/>
          <w:color w:val="auto"/>
          <w:sz w:val="44"/>
          <w:szCs w:val="44"/>
          <w:highlight w:val="none"/>
        </w:rPr>
      </w:pPr>
    </w:p>
    <w:p w14:paraId="63B0757E">
      <w:pPr>
        <w:tabs>
          <w:tab w:val="left" w:pos="3240"/>
        </w:tabs>
        <w:rPr>
          <w:rFonts w:ascii="黑体" w:hAnsi="黑体" w:eastAsia="黑体"/>
          <w:color w:val="auto"/>
          <w:sz w:val="44"/>
          <w:szCs w:val="44"/>
          <w:highlight w:val="none"/>
        </w:rPr>
      </w:pPr>
      <w:r>
        <w:rPr>
          <w:rFonts w:ascii="黑体" w:hAnsi="黑体" w:eastAsia="黑体"/>
          <w:color w:val="auto"/>
          <w:sz w:val="44"/>
          <w:szCs w:val="44"/>
          <w:highlight w:val="none"/>
        </w:rPr>
        <w:tab/>
      </w:r>
      <w:r>
        <w:rPr>
          <w:rFonts w:hint="eastAsia" w:ascii="黑体" w:hAnsi="黑体" w:eastAsia="黑体"/>
          <w:color w:val="auto"/>
          <w:sz w:val="44"/>
          <w:szCs w:val="44"/>
          <w:highlight w:val="none"/>
        </w:rPr>
        <w:t>目  录</w:t>
      </w:r>
    </w:p>
    <w:p w14:paraId="3BC81682">
      <w:pPr>
        <w:rPr>
          <w:rFonts w:ascii="仿宋" w:hAnsi="仿宋" w:eastAsia="仿宋"/>
          <w:color w:val="auto"/>
          <w:sz w:val="32"/>
          <w:szCs w:val="32"/>
          <w:highlight w:val="none"/>
        </w:rPr>
      </w:pPr>
      <w:r>
        <w:rPr>
          <w:rFonts w:hint="eastAsia" w:ascii="仿宋" w:hAnsi="仿宋" w:eastAsia="仿宋"/>
          <w:color w:val="auto"/>
          <w:sz w:val="32"/>
          <w:szCs w:val="32"/>
          <w:highlight w:val="none"/>
        </w:rPr>
        <w:t>第一部分  部门概况</w:t>
      </w:r>
    </w:p>
    <w:p w14:paraId="73DDC628">
      <w:pPr>
        <w:pStyle w:val="8"/>
        <w:numPr>
          <w:ilvl w:val="0"/>
          <w:numId w:val="1"/>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主要职能</w:t>
      </w:r>
    </w:p>
    <w:p w14:paraId="0F6E16B9">
      <w:pPr>
        <w:pStyle w:val="8"/>
        <w:numPr>
          <w:ilvl w:val="0"/>
          <w:numId w:val="1"/>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机构设置</w:t>
      </w:r>
    </w:p>
    <w:p w14:paraId="5EE08171">
      <w:pPr>
        <w:rPr>
          <w:rFonts w:ascii="仿宋" w:hAnsi="仿宋" w:eastAsia="仿宋"/>
          <w:color w:val="auto"/>
          <w:sz w:val="32"/>
          <w:szCs w:val="32"/>
          <w:highlight w:val="none"/>
        </w:rPr>
      </w:pPr>
      <w:r>
        <w:rPr>
          <w:rFonts w:hint="eastAsia" w:ascii="仿宋" w:hAnsi="仿宋" w:eastAsia="仿宋"/>
          <w:color w:val="auto"/>
          <w:sz w:val="32"/>
          <w:szCs w:val="32"/>
          <w:highlight w:val="none"/>
        </w:rPr>
        <w:t>第二部分  情况说明</w:t>
      </w:r>
    </w:p>
    <w:p w14:paraId="6F11FF87">
      <w:pPr>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第三部分  名词解释 </w:t>
      </w:r>
    </w:p>
    <w:p w14:paraId="7BA36606">
      <w:pPr>
        <w:rPr>
          <w:rFonts w:ascii="仿宋" w:hAnsi="仿宋" w:eastAsia="仿宋"/>
          <w:color w:val="auto"/>
          <w:sz w:val="32"/>
          <w:szCs w:val="32"/>
          <w:highlight w:val="none"/>
        </w:rPr>
      </w:pPr>
      <w:r>
        <w:rPr>
          <w:rFonts w:hint="eastAsia" w:ascii="仿宋" w:hAnsi="仿宋" w:eastAsia="仿宋"/>
          <w:color w:val="auto"/>
          <w:sz w:val="32"/>
          <w:szCs w:val="32"/>
          <w:highlight w:val="none"/>
        </w:rPr>
        <w:t>第四部分  预算表格</w:t>
      </w:r>
    </w:p>
    <w:p w14:paraId="07E4B539">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收支总表</w:t>
      </w:r>
    </w:p>
    <w:p w14:paraId="257AF41A">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收入总表</w:t>
      </w:r>
    </w:p>
    <w:p w14:paraId="490A2BEB">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支出总表</w:t>
      </w:r>
    </w:p>
    <w:p w14:paraId="5F6425A5">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财政拨款收支总表</w:t>
      </w:r>
    </w:p>
    <w:p w14:paraId="5006371A">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一般公共预算支出表</w:t>
      </w:r>
    </w:p>
    <w:p w14:paraId="6CBA4F02">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一般公共预算财政拨款基本支出预算表</w:t>
      </w:r>
    </w:p>
    <w:p w14:paraId="534C5B24">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一般公共预算“三公”经费支出表</w:t>
      </w:r>
    </w:p>
    <w:p w14:paraId="4685FD46">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政府性基金预算支出表</w:t>
      </w:r>
    </w:p>
    <w:p w14:paraId="696DB8AF">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国有资本经营预算支出表</w:t>
      </w:r>
    </w:p>
    <w:p w14:paraId="2C937F03">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项目支出表</w:t>
      </w:r>
    </w:p>
    <w:p w14:paraId="3CED8429">
      <w:pPr>
        <w:rPr>
          <w:rFonts w:ascii="仿宋" w:hAnsi="仿宋" w:eastAsia="仿宋"/>
          <w:color w:val="auto"/>
          <w:sz w:val="32"/>
          <w:szCs w:val="32"/>
          <w:highlight w:val="none"/>
        </w:rPr>
      </w:pPr>
    </w:p>
    <w:p w14:paraId="69BD7CEA">
      <w:pPr>
        <w:rPr>
          <w:rFonts w:ascii="仿宋" w:hAnsi="仿宋" w:eastAsia="仿宋"/>
          <w:color w:val="auto"/>
          <w:sz w:val="32"/>
          <w:szCs w:val="32"/>
          <w:highlight w:val="none"/>
        </w:rPr>
      </w:pPr>
    </w:p>
    <w:p w14:paraId="549DAA5E">
      <w:pPr>
        <w:rPr>
          <w:rFonts w:ascii="仿宋" w:hAnsi="仿宋" w:eastAsia="仿宋"/>
          <w:color w:val="auto"/>
          <w:sz w:val="32"/>
          <w:szCs w:val="32"/>
          <w:highlight w:val="none"/>
        </w:rPr>
      </w:pPr>
    </w:p>
    <w:p w14:paraId="4E48F873">
      <w:pPr>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第一部分    部门（单位）概况</w:t>
      </w:r>
    </w:p>
    <w:p w14:paraId="519B9A34">
      <w:pPr>
        <w:jc w:val="left"/>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  </w:t>
      </w:r>
    </w:p>
    <w:p w14:paraId="66AD7C00">
      <w:pPr>
        <w:jc w:val="left"/>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 一、主要职能</w:t>
      </w:r>
    </w:p>
    <w:p w14:paraId="147EACDA">
      <w:pPr>
        <w:pStyle w:val="10"/>
        <w:widowControl/>
        <w:spacing w:line="620" w:lineRule="exact"/>
        <w:ind w:firstLine="627" w:firstLineChars="196"/>
        <w:contextualSpacing/>
        <w:rPr>
          <w:rFonts w:hint="eastAsia" w:ascii="仿宋" w:hAnsi="仿宋" w:eastAsia="仿宋"/>
          <w:bCs/>
          <w:color w:val="auto"/>
          <w:kern w:val="0"/>
          <w:sz w:val="32"/>
          <w:szCs w:val="32"/>
          <w:highlight w:val="none"/>
          <w:lang w:val="en-US" w:eastAsia="zh-CN"/>
        </w:rPr>
      </w:pPr>
      <w:r>
        <w:rPr>
          <w:rFonts w:hint="eastAsia" w:ascii="仿宋" w:hAnsi="仿宋" w:eastAsia="仿宋"/>
          <w:bCs/>
          <w:color w:val="auto"/>
          <w:sz w:val="32"/>
          <w:szCs w:val="32"/>
          <w:highlight w:val="none"/>
        </w:rPr>
        <w:t>单位</w:t>
      </w:r>
      <w:r>
        <w:rPr>
          <w:rFonts w:hint="eastAsia" w:ascii="仿宋" w:hAnsi="仿宋" w:eastAsia="仿宋"/>
          <w:bCs/>
          <w:color w:val="auto"/>
          <w:kern w:val="0"/>
          <w:sz w:val="32"/>
          <w:szCs w:val="32"/>
          <w:highlight w:val="none"/>
        </w:rPr>
        <w:t>名称：</w:t>
      </w:r>
      <w:r>
        <w:rPr>
          <w:rFonts w:hint="eastAsia" w:ascii="仿宋" w:hAnsi="仿宋" w:eastAsia="仿宋"/>
          <w:bCs/>
          <w:color w:val="auto"/>
          <w:kern w:val="0"/>
          <w:sz w:val="32"/>
          <w:szCs w:val="32"/>
          <w:highlight w:val="none"/>
          <w:lang w:val="en-US" w:eastAsia="zh-CN"/>
        </w:rPr>
        <w:t>永吉县第八中学</w:t>
      </w:r>
    </w:p>
    <w:p w14:paraId="0AA4A4EB">
      <w:pPr>
        <w:pStyle w:val="10"/>
        <w:widowControl/>
        <w:spacing w:line="620" w:lineRule="exact"/>
        <w:ind w:firstLine="627" w:firstLineChars="196"/>
        <w:contextualSpacing/>
        <w:rPr>
          <w:rFonts w:hint="eastAsia" w:ascii="仿宋" w:hAnsi="仿宋" w:eastAsia="仿宋"/>
          <w:color w:val="auto"/>
          <w:kern w:val="0"/>
          <w:sz w:val="32"/>
          <w:szCs w:val="32"/>
          <w:highlight w:val="none"/>
          <w:lang w:eastAsia="zh-CN"/>
        </w:rPr>
      </w:pPr>
      <w:r>
        <w:rPr>
          <w:rFonts w:hint="eastAsia" w:ascii="仿宋" w:hAnsi="仿宋" w:eastAsia="仿宋"/>
          <w:bCs/>
          <w:color w:val="auto"/>
          <w:kern w:val="0"/>
          <w:sz w:val="32"/>
          <w:szCs w:val="32"/>
          <w:highlight w:val="none"/>
        </w:rPr>
        <w:t>单位性质</w:t>
      </w:r>
      <w:r>
        <w:rPr>
          <w:rFonts w:hint="eastAsia" w:ascii="仿宋" w:hAnsi="仿宋" w:eastAsia="仿宋"/>
          <w:color w:val="auto"/>
          <w:kern w:val="0"/>
          <w:sz w:val="32"/>
          <w:szCs w:val="32"/>
          <w:highlight w:val="none"/>
        </w:rPr>
        <w:t>：</w:t>
      </w:r>
      <w:r>
        <w:rPr>
          <w:rFonts w:hint="eastAsia" w:ascii="仿宋" w:hAnsi="仿宋" w:eastAsia="仿宋"/>
          <w:color w:val="auto"/>
          <w:kern w:val="0"/>
          <w:sz w:val="32"/>
          <w:szCs w:val="32"/>
          <w:highlight w:val="none"/>
          <w:lang w:eastAsia="zh-CN"/>
        </w:rPr>
        <w:t>全额拨款事业单位</w:t>
      </w:r>
    </w:p>
    <w:p w14:paraId="4F219BE4">
      <w:pPr>
        <w:pStyle w:val="10"/>
        <w:widowControl/>
        <w:spacing w:line="620" w:lineRule="exact"/>
        <w:ind w:firstLine="627" w:firstLineChars="196"/>
        <w:contextualSpacing/>
        <w:rPr>
          <w:rFonts w:hint="eastAsia" w:ascii="仿宋" w:hAnsi="仿宋" w:eastAsia="仿宋"/>
          <w:bCs/>
          <w:color w:val="auto"/>
          <w:kern w:val="0"/>
          <w:sz w:val="32"/>
          <w:szCs w:val="32"/>
          <w:highlight w:val="none"/>
        </w:rPr>
      </w:pPr>
      <w:r>
        <w:rPr>
          <w:rFonts w:hint="eastAsia" w:ascii="仿宋" w:hAnsi="仿宋" w:eastAsia="仿宋"/>
          <w:bCs/>
          <w:color w:val="auto"/>
          <w:kern w:val="0"/>
          <w:sz w:val="32"/>
          <w:szCs w:val="32"/>
          <w:highlight w:val="none"/>
        </w:rPr>
        <w:t>主要职能：</w:t>
      </w:r>
    </w:p>
    <w:p w14:paraId="4EEEA3FB">
      <w:pPr>
        <w:pStyle w:val="10"/>
        <w:widowControl/>
        <w:numPr>
          <w:ilvl w:val="0"/>
          <w:numId w:val="3"/>
        </w:numPr>
        <w:spacing w:line="620" w:lineRule="exact"/>
        <w:ind w:firstLine="627" w:firstLineChars="196"/>
        <w:contextualSpacing/>
        <w:rPr>
          <w:rFonts w:hint="eastAsia" w:ascii="仿宋" w:hAnsi="仿宋" w:eastAsia="仿宋"/>
          <w:color w:val="auto"/>
          <w:kern w:val="0"/>
          <w:sz w:val="32"/>
          <w:szCs w:val="32"/>
          <w:highlight w:val="none"/>
        </w:rPr>
      </w:pPr>
      <w:r>
        <w:rPr>
          <w:rFonts w:hint="eastAsia" w:ascii="仿宋" w:hAnsi="仿宋" w:eastAsia="仿宋"/>
          <w:color w:val="auto"/>
          <w:kern w:val="0"/>
          <w:sz w:val="32"/>
          <w:szCs w:val="32"/>
          <w:highlight w:val="none"/>
        </w:rPr>
        <w:t>按照《义务教育法》的规定，学校应当按照确定的教学内容和课程设置开展教育教学活动，保证教育教学达到国家规定的基本质量要求。</w:t>
      </w:r>
    </w:p>
    <w:p w14:paraId="4739FCE1">
      <w:pPr>
        <w:pStyle w:val="10"/>
        <w:widowControl/>
        <w:numPr>
          <w:ilvl w:val="0"/>
          <w:numId w:val="3"/>
        </w:numPr>
        <w:spacing w:line="620" w:lineRule="exact"/>
        <w:ind w:left="0" w:leftChars="0" w:firstLine="627" w:firstLineChars="196"/>
        <w:contextualSpacing/>
        <w:rPr>
          <w:rFonts w:hint="eastAsia" w:ascii="仿宋" w:hAnsi="仿宋" w:eastAsia="仿宋"/>
          <w:color w:val="auto"/>
          <w:kern w:val="0"/>
          <w:sz w:val="32"/>
          <w:szCs w:val="32"/>
          <w:highlight w:val="none"/>
        </w:rPr>
      </w:pPr>
      <w:r>
        <w:rPr>
          <w:rFonts w:hint="eastAsia" w:ascii="仿宋" w:hAnsi="仿宋" w:eastAsia="仿宋"/>
          <w:color w:val="auto"/>
          <w:kern w:val="0"/>
          <w:sz w:val="32"/>
          <w:szCs w:val="32"/>
          <w:highlight w:val="none"/>
        </w:rPr>
        <w:t>学校应当把德育放在首位，寓德育于教育教学之中，开展与学生年龄相适应的社会实践活动，形成学校、家庭、社会相互配合的思想道德教育体系，促进学生养成良好的思想品德和行为习惯。学校应当保证学生的课外活动时间，组织开展文化娱乐等课外活动。</w:t>
      </w:r>
    </w:p>
    <w:p w14:paraId="1F212BBF">
      <w:pPr>
        <w:pStyle w:val="10"/>
        <w:widowControl/>
        <w:numPr>
          <w:ilvl w:val="0"/>
          <w:numId w:val="3"/>
        </w:numPr>
        <w:spacing w:line="620" w:lineRule="exact"/>
        <w:ind w:left="0" w:leftChars="0" w:firstLine="627" w:firstLineChars="196"/>
        <w:contextualSpacing/>
        <w:rPr>
          <w:rFonts w:hint="eastAsia" w:ascii="仿宋" w:hAnsi="仿宋" w:eastAsia="仿宋"/>
          <w:color w:val="auto"/>
          <w:kern w:val="0"/>
          <w:sz w:val="32"/>
          <w:szCs w:val="32"/>
          <w:highlight w:val="none"/>
        </w:rPr>
      </w:pPr>
      <w:r>
        <w:rPr>
          <w:rFonts w:hint="eastAsia" w:ascii="仿宋" w:hAnsi="仿宋" w:eastAsia="仿宋"/>
          <w:color w:val="auto"/>
          <w:kern w:val="0"/>
          <w:sz w:val="32"/>
          <w:szCs w:val="32"/>
          <w:highlight w:val="none"/>
        </w:rPr>
        <w:t>学校还应当建立健全安全制度和应急机制，对学生进行安全教育，加强管理，及时消除隐患，预防事故发生，学校对违反学校管理制度的学生，应当予以批评教育，不得开除。</w:t>
      </w:r>
    </w:p>
    <w:p w14:paraId="0F243631">
      <w:pPr>
        <w:pStyle w:val="10"/>
        <w:widowControl/>
        <w:spacing w:line="620" w:lineRule="exact"/>
        <w:ind w:firstLine="627" w:firstLineChars="196"/>
        <w:contextualSpacing/>
        <w:rPr>
          <w:rFonts w:hint="eastAsia" w:ascii="仿宋" w:hAnsi="仿宋" w:eastAsia="仿宋"/>
          <w:color w:val="auto"/>
          <w:kern w:val="0"/>
          <w:sz w:val="32"/>
          <w:szCs w:val="32"/>
          <w:highlight w:val="none"/>
          <w:lang w:eastAsia="zh-CN"/>
        </w:rPr>
      </w:pPr>
      <w:r>
        <w:rPr>
          <w:rFonts w:hint="eastAsia" w:ascii="仿宋" w:hAnsi="仿宋" w:eastAsia="仿宋"/>
          <w:bCs/>
          <w:color w:val="auto"/>
          <w:kern w:val="0"/>
          <w:sz w:val="32"/>
          <w:szCs w:val="32"/>
          <w:highlight w:val="none"/>
        </w:rPr>
        <w:t>主要业务：</w:t>
      </w:r>
      <w:r>
        <w:rPr>
          <w:rFonts w:hint="eastAsia" w:ascii="仿宋" w:hAnsi="仿宋" w:eastAsia="仿宋"/>
          <w:color w:val="auto"/>
          <w:kern w:val="0"/>
          <w:sz w:val="32"/>
          <w:szCs w:val="32"/>
          <w:highlight w:val="none"/>
          <w:lang w:eastAsia="zh-CN"/>
        </w:rPr>
        <w:t>实施初中义务教育，促进基础教育发展。初中学历教育（相关社会服务）</w:t>
      </w:r>
    </w:p>
    <w:p w14:paraId="5D850D37">
      <w:pPr>
        <w:pStyle w:val="10"/>
        <w:widowControl/>
        <w:spacing w:line="620" w:lineRule="exact"/>
        <w:ind w:firstLine="627" w:firstLineChars="196"/>
        <w:contextualSpacing/>
        <w:rPr>
          <w:rFonts w:ascii="仿宋" w:hAnsi="仿宋" w:eastAsia="仿宋"/>
          <w:color w:val="auto"/>
          <w:kern w:val="0"/>
          <w:sz w:val="32"/>
          <w:szCs w:val="32"/>
          <w:highlight w:val="none"/>
        </w:rPr>
      </w:pPr>
    </w:p>
    <w:p w14:paraId="6D752CA2">
      <w:pPr>
        <w:pStyle w:val="10"/>
        <w:widowControl/>
        <w:spacing w:line="620" w:lineRule="exact"/>
        <w:ind w:firstLine="320" w:firstLineChars="100"/>
        <w:contextualSpacing/>
        <w:rPr>
          <w:rFonts w:ascii="仿宋" w:hAnsi="仿宋" w:eastAsia="仿宋"/>
          <w:color w:val="auto"/>
          <w:sz w:val="32"/>
          <w:szCs w:val="32"/>
          <w:highlight w:val="none"/>
        </w:rPr>
      </w:pPr>
      <w:r>
        <w:rPr>
          <w:rFonts w:hint="eastAsia" w:ascii="仿宋" w:hAnsi="仿宋" w:eastAsia="仿宋"/>
          <w:color w:val="auto"/>
          <w:sz w:val="32"/>
          <w:szCs w:val="32"/>
          <w:highlight w:val="none"/>
        </w:rPr>
        <w:t>二、机构设置</w:t>
      </w:r>
    </w:p>
    <w:p w14:paraId="77389271">
      <w:pPr>
        <w:pStyle w:val="12"/>
        <w:ind w:firstLine="627" w:firstLineChars="196"/>
        <w:rPr>
          <w:rFonts w:hint="eastAsia" w:ascii="仿宋" w:hAnsi="仿宋" w:eastAsia="仿宋"/>
          <w:color w:val="auto"/>
          <w:kern w:val="0"/>
          <w:szCs w:val="32"/>
          <w:highlight w:val="none"/>
          <w:lang w:val="en-US" w:eastAsia="zh-CN"/>
        </w:rPr>
      </w:pPr>
      <w:r>
        <w:rPr>
          <w:rFonts w:hint="eastAsia" w:ascii="仿宋" w:hAnsi="仿宋" w:eastAsia="仿宋"/>
          <w:color w:val="auto"/>
          <w:kern w:val="0"/>
          <w:szCs w:val="32"/>
          <w:highlight w:val="none"/>
        </w:rPr>
        <w:t>机构设置包括：</w:t>
      </w:r>
      <w:r>
        <w:rPr>
          <w:rFonts w:hint="eastAsia" w:ascii="仿宋" w:hAnsi="仿宋" w:eastAsia="仿宋"/>
          <w:color w:val="auto"/>
          <w:kern w:val="0"/>
          <w:szCs w:val="32"/>
          <w:highlight w:val="none"/>
          <w:lang w:val="en-US" w:eastAsia="zh-CN"/>
        </w:rPr>
        <w:t>教导处</w:t>
      </w:r>
      <w:r>
        <w:rPr>
          <w:rFonts w:hint="eastAsia" w:ascii="仿宋" w:hAnsi="仿宋" w:eastAsia="仿宋"/>
          <w:color w:val="auto"/>
          <w:kern w:val="0"/>
          <w:szCs w:val="32"/>
          <w:highlight w:val="none"/>
        </w:rPr>
        <w:t>、</w:t>
      </w:r>
      <w:r>
        <w:rPr>
          <w:rFonts w:hint="eastAsia" w:ascii="仿宋" w:hAnsi="仿宋" w:eastAsia="仿宋"/>
          <w:color w:val="auto"/>
          <w:kern w:val="0"/>
          <w:szCs w:val="32"/>
          <w:highlight w:val="none"/>
          <w:lang w:val="en-US" w:eastAsia="zh-CN"/>
        </w:rPr>
        <w:t>总务处</w:t>
      </w:r>
      <w:r>
        <w:rPr>
          <w:rFonts w:hint="eastAsia" w:ascii="仿宋" w:hAnsi="仿宋" w:eastAsia="仿宋"/>
          <w:color w:val="auto"/>
          <w:kern w:val="0"/>
          <w:szCs w:val="32"/>
          <w:highlight w:val="none"/>
        </w:rPr>
        <w:t>、</w:t>
      </w:r>
      <w:r>
        <w:rPr>
          <w:rFonts w:hint="eastAsia" w:ascii="仿宋" w:hAnsi="仿宋" w:eastAsia="仿宋"/>
          <w:color w:val="auto"/>
          <w:kern w:val="0"/>
          <w:szCs w:val="32"/>
          <w:highlight w:val="none"/>
          <w:lang w:val="en-US" w:eastAsia="zh-CN"/>
        </w:rPr>
        <w:t>政教处</w:t>
      </w:r>
      <w:r>
        <w:rPr>
          <w:rFonts w:hint="eastAsia" w:ascii="仿宋" w:hAnsi="仿宋" w:eastAsia="仿宋"/>
          <w:color w:val="auto"/>
          <w:kern w:val="0"/>
          <w:szCs w:val="32"/>
          <w:highlight w:val="none"/>
          <w:lang w:eastAsia="zh-CN"/>
        </w:rPr>
        <w:t>。</w:t>
      </w:r>
    </w:p>
    <w:p w14:paraId="6391BD33">
      <w:pPr>
        <w:pStyle w:val="12"/>
        <w:ind w:firstLine="627" w:firstLineChars="196"/>
        <w:rPr>
          <w:rFonts w:ascii="仿宋" w:hAnsi="仿宋" w:eastAsia="仿宋"/>
          <w:color w:val="auto"/>
          <w:kern w:val="0"/>
          <w:szCs w:val="32"/>
          <w:highlight w:val="none"/>
        </w:rPr>
      </w:pPr>
      <w:r>
        <w:rPr>
          <w:rFonts w:hint="eastAsia" w:ascii="仿宋" w:hAnsi="仿宋" w:eastAsia="仿宋"/>
          <w:color w:val="auto"/>
          <w:kern w:val="0"/>
          <w:szCs w:val="32"/>
          <w:highlight w:val="none"/>
        </w:rPr>
        <w:t>人员情况：在职人员</w:t>
      </w:r>
      <w:r>
        <w:rPr>
          <w:rFonts w:hint="eastAsia" w:ascii="仿宋" w:hAnsi="仿宋" w:eastAsia="仿宋"/>
          <w:color w:val="auto"/>
          <w:kern w:val="0"/>
          <w:szCs w:val="32"/>
          <w:highlight w:val="none"/>
          <w:lang w:val="en-US" w:eastAsia="zh-CN"/>
        </w:rPr>
        <w:t>40</w:t>
      </w:r>
      <w:r>
        <w:rPr>
          <w:rFonts w:hint="eastAsia" w:ascii="仿宋" w:hAnsi="仿宋" w:eastAsia="仿宋"/>
          <w:color w:val="auto"/>
          <w:kern w:val="0"/>
          <w:szCs w:val="32"/>
          <w:highlight w:val="none"/>
        </w:rPr>
        <w:t>人，编制数</w:t>
      </w:r>
      <w:r>
        <w:rPr>
          <w:rFonts w:hint="eastAsia" w:ascii="仿宋" w:hAnsi="仿宋" w:eastAsia="仿宋"/>
          <w:color w:val="auto"/>
          <w:kern w:val="0"/>
          <w:szCs w:val="32"/>
          <w:highlight w:val="none"/>
          <w:lang w:val="en-US" w:eastAsia="zh-CN"/>
        </w:rPr>
        <w:t>49</w:t>
      </w:r>
      <w:r>
        <w:rPr>
          <w:rFonts w:hint="eastAsia" w:ascii="仿宋" w:hAnsi="仿宋" w:eastAsia="仿宋"/>
          <w:color w:val="auto"/>
          <w:kern w:val="0"/>
          <w:szCs w:val="32"/>
          <w:highlight w:val="none"/>
        </w:rPr>
        <w:t>人，领导职数</w:t>
      </w:r>
      <w:r>
        <w:rPr>
          <w:rFonts w:hint="eastAsia" w:ascii="仿宋" w:hAnsi="仿宋" w:eastAsia="仿宋"/>
          <w:color w:val="auto"/>
          <w:kern w:val="0"/>
          <w:szCs w:val="32"/>
          <w:highlight w:val="none"/>
          <w:lang w:val="en-US" w:eastAsia="zh-CN"/>
        </w:rPr>
        <w:t>2</w:t>
      </w:r>
      <w:r>
        <w:rPr>
          <w:rFonts w:hint="eastAsia" w:ascii="仿宋" w:hAnsi="仿宋" w:eastAsia="仿宋"/>
          <w:color w:val="auto"/>
          <w:kern w:val="0"/>
          <w:szCs w:val="32"/>
          <w:highlight w:val="none"/>
        </w:rPr>
        <w:t>个。</w:t>
      </w:r>
    </w:p>
    <w:p w14:paraId="3F194C91">
      <w:pPr>
        <w:jc w:val="left"/>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   </w:t>
      </w:r>
    </w:p>
    <w:p w14:paraId="653D2C6B">
      <w:pPr>
        <w:ind w:firstLine="1920" w:firstLineChars="600"/>
        <w:jc w:val="both"/>
        <w:rPr>
          <w:rFonts w:ascii="黑体" w:hAnsi="黑体" w:eastAsia="黑体"/>
          <w:color w:val="auto"/>
          <w:sz w:val="32"/>
          <w:szCs w:val="32"/>
          <w:highlight w:val="none"/>
        </w:rPr>
      </w:pPr>
      <w:r>
        <w:rPr>
          <w:rFonts w:hint="eastAsia" w:ascii="黑体" w:hAnsi="黑体" w:eastAsia="黑体"/>
          <w:color w:val="auto"/>
          <w:sz w:val="32"/>
          <w:szCs w:val="32"/>
          <w:highlight w:val="none"/>
        </w:rPr>
        <w:t>第二部分  情况说明</w:t>
      </w:r>
    </w:p>
    <w:p w14:paraId="1A612949">
      <w:pPr>
        <w:jc w:val="left"/>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 </w:t>
      </w:r>
    </w:p>
    <w:p w14:paraId="14665F96">
      <w:pPr>
        <w:jc w:val="left"/>
        <w:rPr>
          <w:rFonts w:ascii="楷体" w:hAnsi="楷体" w:eastAsia="楷体"/>
          <w:color w:val="auto"/>
          <w:sz w:val="32"/>
          <w:szCs w:val="32"/>
          <w:highlight w:val="none"/>
        </w:rPr>
      </w:pPr>
      <w:r>
        <w:rPr>
          <w:rFonts w:hint="eastAsia" w:ascii="仿宋" w:hAnsi="仿宋" w:eastAsia="仿宋"/>
          <w:color w:val="auto"/>
          <w:sz w:val="32"/>
          <w:szCs w:val="32"/>
          <w:highlight w:val="none"/>
        </w:rPr>
        <w:t xml:space="preserve">    </w:t>
      </w:r>
      <w:r>
        <w:rPr>
          <w:rFonts w:hint="eastAsia" w:ascii="楷体" w:hAnsi="楷体" w:eastAsia="楷体"/>
          <w:color w:val="auto"/>
          <w:sz w:val="32"/>
          <w:szCs w:val="32"/>
          <w:highlight w:val="none"/>
        </w:rPr>
        <w:t>一、2026年收支预算总体情况</w:t>
      </w:r>
    </w:p>
    <w:p w14:paraId="790B2477">
      <w:pPr>
        <w:pStyle w:val="11"/>
        <w:ind w:firstLine="640" w:firstLineChars="200"/>
        <w:jc w:val="left"/>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color w:val="auto"/>
          <w:sz w:val="32"/>
          <w:szCs w:val="32"/>
          <w:highlight w:val="none"/>
          <w:lang w:val="en-US" w:eastAsia="zh-CN"/>
        </w:rPr>
        <w:t>559.8</w:t>
      </w:r>
      <w:r>
        <w:rPr>
          <w:rFonts w:hint="eastAsia" w:ascii="仿宋" w:hAnsi="仿宋" w:eastAsia="仿宋"/>
          <w:color w:val="auto"/>
          <w:sz w:val="32"/>
          <w:szCs w:val="32"/>
          <w:highlight w:val="none"/>
        </w:rPr>
        <w:t xml:space="preserve">万元，比 2025年预算数 </w:t>
      </w:r>
      <w:r>
        <w:rPr>
          <w:rFonts w:hint="eastAsia" w:ascii="仿宋" w:hAnsi="仿宋" w:eastAsia="仿宋"/>
          <w:color w:val="auto"/>
          <w:sz w:val="32"/>
          <w:szCs w:val="32"/>
          <w:highlight w:val="none"/>
          <w:lang w:val="en-US" w:eastAsia="zh-CN"/>
        </w:rPr>
        <w:t>582</w:t>
      </w:r>
      <w:r>
        <w:rPr>
          <w:rFonts w:hint="eastAsia" w:ascii="仿宋" w:hAnsi="仿宋" w:eastAsia="仿宋"/>
          <w:color w:val="auto"/>
          <w:sz w:val="32"/>
          <w:szCs w:val="32"/>
          <w:highlight w:val="none"/>
        </w:rPr>
        <w:t xml:space="preserve"> 万元减</w:t>
      </w:r>
      <w:r>
        <w:rPr>
          <w:rFonts w:hint="eastAsia" w:ascii="仿宋" w:hAnsi="仿宋" w:eastAsia="仿宋"/>
          <w:color w:val="auto"/>
          <w:sz w:val="32"/>
          <w:szCs w:val="32"/>
          <w:highlight w:val="none"/>
          <w:lang w:val="en-US" w:eastAsia="zh-CN"/>
        </w:rPr>
        <w:t>少</w:t>
      </w:r>
      <w:r>
        <w:rPr>
          <w:rFonts w:hint="eastAsia" w:ascii="仿宋" w:hAnsi="仿宋" w:eastAsia="仿宋"/>
          <w:color w:val="auto"/>
          <w:sz w:val="32"/>
          <w:szCs w:val="32"/>
          <w:highlight w:val="none"/>
        </w:rPr>
        <w:t xml:space="preserve"> </w:t>
      </w:r>
      <w:r>
        <w:rPr>
          <w:rFonts w:hint="eastAsia" w:ascii="仿宋" w:hAnsi="仿宋" w:eastAsia="仿宋"/>
          <w:color w:val="auto"/>
          <w:sz w:val="32"/>
          <w:szCs w:val="32"/>
          <w:highlight w:val="none"/>
          <w:lang w:val="en-US" w:eastAsia="zh-CN"/>
        </w:rPr>
        <w:t>22.2</w:t>
      </w:r>
      <w:r>
        <w:rPr>
          <w:rFonts w:hint="eastAsia" w:ascii="仿宋" w:hAnsi="仿宋" w:eastAsia="仿宋"/>
          <w:color w:val="auto"/>
          <w:sz w:val="32"/>
          <w:szCs w:val="32"/>
          <w:highlight w:val="none"/>
        </w:rPr>
        <w:t xml:space="preserve"> 万元，主要原因：</w:t>
      </w:r>
      <w:r>
        <w:rPr>
          <w:rFonts w:hint="eastAsia" w:ascii="仿宋" w:hAnsi="仿宋" w:eastAsia="仿宋"/>
          <w:color w:val="auto"/>
          <w:sz w:val="32"/>
          <w:szCs w:val="32"/>
          <w:highlight w:val="none"/>
          <w:lang w:val="en-US" w:eastAsia="zh-CN"/>
        </w:rPr>
        <w:t>退休教师增加人员经费减少、招生</w:t>
      </w:r>
      <w:bookmarkStart w:id="0" w:name="_GoBack"/>
      <w:bookmarkEnd w:id="0"/>
      <w:r>
        <w:rPr>
          <w:rFonts w:hint="eastAsia" w:ascii="仿宋" w:hAnsi="仿宋" w:eastAsia="仿宋"/>
          <w:color w:val="auto"/>
          <w:sz w:val="32"/>
          <w:szCs w:val="32"/>
          <w:highlight w:val="none"/>
          <w:lang w:val="en-US" w:eastAsia="zh-CN"/>
        </w:rPr>
        <w:t>数减少，公用经费减少所致</w:t>
      </w:r>
      <w:r>
        <w:rPr>
          <w:rFonts w:hint="eastAsia" w:ascii="仿宋" w:hAnsi="仿宋" w:eastAsia="仿宋"/>
          <w:color w:val="auto"/>
          <w:sz w:val="32"/>
          <w:szCs w:val="32"/>
          <w:highlight w:val="none"/>
        </w:rPr>
        <w:t xml:space="preserve"> 。</w:t>
      </w:r>
    </w:p>
    <w:p w14:paraId="0594D500">
      <w:pPr>
        <w:pStyle w:val="11"/>
        <w:jc w:val="left"/>
        <w:rPr>
          <w:rFonts w:ascii="楷体" w:hAnsi="楷体" w:eastAsia="楷体"/>
          <w:color w:val="auto"/>
          <w:sz w:val="32"/>
          <w:szCs w:val="32"/>
          <w:highlight w:val="none"/>
        </w:rPr>
      </w:pPr>
      <w:r>
        <w:rPr>
          <w:rFonts w:hint="eastAsia" w:ascii="仿宋" w:hAnsi="仿宋" w:eastAsia="仿宋"/>
          <w:color w:val="auto"/>
          <w:sz w:val="32"/>
          <w:szCs w:val="32"/>
          <w:highlight w:val="none"/>
        </w:rPr>
        <w:t xml:space="preserve">    </w:t>
      </w:r>
      <w:r>
        <w:rPr>
          <w:rFonts w:hint="eastAsia" w:ascii="楷体" w:hAnsi="楷体" w:eastAsia="楷体"/>
          <w:color w:val="auto"/>
          <w:sz w:val="32"/>
          <w:szCs w:val="32"/>
          <w:highlight w:val="none"/>
        </w:rPr>
        <w:t>二、2026年收入预算情况</w:t>
      </w:r>
    </w:p>
    <w:p w14:paraId="22301C25">
      <w:pPr>
        <w:pStyle w:val="11"/>
        <w:ind w:left="319" w:leftChars="152" w:firstLine="320" w:firstLineChars="100"/>
        <w:jc w:val="left"/>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2026年本单位收入预算 </w:t>
      </w:r>
      <w:r>
        <w:rPr>
          <w:rFonts w:hint="eastAsia" w:ascii="仿宋" w:hAnsi="仿宋" w:eastAsia="仿宋"/>
          <w:color w:val="auto"/>
          <w:sz w:val="32"/>
          <w:szCs w:val="32"/>
          <w:highlight w:val="none"/>
          <w:lang w:val="en-US" w:eastAsia="zh-CN"/>
        </w:rPr>
        <w:t>559.8</w:t>
      </w:r>
      <w:r>
        <w:rPr>
          <w:rFonts w:hint="eastAsia" w:ascii="仿宋" w:hAnsi="仿宋" w:eastAsia="仿宋"/>
          <w:color w:val="auto"/>
          <w:sz w:val="32"/>
          <w:szCs w:val="32"/>
          <w:highlight w:val="none"/>
        </w:rPr>
        <w:t>万元，其中：一般公共预算收入</w:t>
      </w:r>
      <w:r>
        <w:rPr>
          <w:rFonts w:hint="eastAsia" w:ascii="仿宋" w:hAnsi="仿宋" w:eastAsia="仿宋"/>
          <w:color w:val="auto"/>
          <w:sz w:val="32"/>
          <w:szCs w:val="32"/>
          <w:highlight w:val="none"/>
          <w:lang w:val="en-US" w:eastAsia="zh-CN"/>
        </w:rPr>
        <w:t>559.8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hint="eastAsia" w:ascii="仿宋" w:hAnsi="仿宋" w:eastAsia="仿宋"/>
          <w:color w:val="auto"/>
          <w:sz w:val="32"/>
          <w:szCs w:val="32"/>
          <w:highlight w:val="none"/>
        </w:rPr>
        <w:t>%；政府性基金收入</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w:t>
      </w:r>
    </w:p>
    <w:p w14:paraId="3778B04D">
      <w:pPr>
        <w:pStyle w:val="11"/>
        <w:ind w:left="319" w:leftChars="152" w:firstLine="320" w:firstLineChars="100"/>
        <w:jc w:val="left"/>
        <w:rPr>
          <w:rFonts w:ascii="仿宋" w:hAnsi="仿宋" w:eastAsia="仿宋"/>
          <w:color w:val="auto"/>
          <w:sz w:val="32"/>
          <w:szCs w:val="32"/>
          <w:highlight w:val="none"/>
        </w:rPr>
      </w:pPr>
    </w:p>
    <w:p w14:paraId="262A2F8F">
      <w:pPr>
        <w:pStyle w:val="11"/>
        <w:jc w:val="left"/>
        <w:rPr>
          <w:rFonts w:ascii="楷体" w:hAnsi="楷体" w:eastAsia="楷体"/>
          <w:color w:val="auto"/>
          <w:sz w:val="32"/>
          <w:szCs w:val="32"/>
          <w:highlight w:val="none"/>
        </w:rPr>
      </w:pPr>
      <w:r>
        <w:rPr>
          <w:rFonts w:hint="eastAsia" w:ascii="仿宋" w:hAnsi="仿宋" w:eastAsia="仿宋"/>
          <w:color w:val="auto"/>
          <w:sz w:val="32"/>
          <w:szCs w:val="32"/>
          <w:highlight w:val="none"/>
        </w:rPr>
        <w:t xml:space="preserve">   </w:t>
      </w:r>
      <w:r>
        <w:rPr>
          <w:rFonts w:hint="eastAsia" w:ascii="楷体" w:hAnsi="楷体" w:eastAsia="楷体"/>
          <w:color w:val="auto"/>
          <w:sz w:val="32"/>
          <w:szCs w:val="32"/>
          <w:highlight w:val="none"/>
        </w:rPr>
        <w:t xml:space="preserve"> 三、2026年支出预算情况</w:t>
      </w:r>
    </w:p>
    <w:p w14:paraId="25859D74">
      <w:pPr>
        <w:pStyle w:val="11"/>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2026年支出预算</w:t>
      </w:r>
      <w:r>
        <w:rPr>
          <w:rFonts w:hint="eastAsia" w:ascii="仿宋" w:hAnsi="仿宋" w:eastAsia="仿宋"/>
          <w:color w:val="auto"/>
          <w:sz w:val="32"/>
          <w:szCs w:val="32"/>
          <w:highlight w:val="none"/>
          <w:lang w:val="en-US" w:eastAsia="zh-CN"/>
        </w:rPr>
        <w:t>559.8</w:t>
      </w:r>
      <w:r>
        <w:rPr>
          <w:rFonts w:hint="eastAsia" w:ascii="仿宋" w:hAnsi="仿宋" w:eastAsia="仿宋"/>
          <w:color w:val="auto"/>
          <w:sz w:val="32"/>
          <w:szCs w:val="32"/>
          <w:highlight w:val="none"/>
        </w:rPr>
        <w:t xml:space="preserve">万元，其中：基本支出 </w:t>
      </w:r>
      <w:r>
        <w:rPr>
          <w:rFonts w:hint="eastAsia" w:ascii="仿宋" w:hAnsi="仿宋" w:eastAsia="仿宋"/>
          <w:color w:val="auto"/>
          <w:sz w:val="32"/>
          <w:szCs w:val="32"/>
          <w:highlight w:val="none"/>
          <w:lang w:val="en-US" w:eastAsia="zh-CN"/>
        </w:rPr>
        <w:t>543.01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97</w:t>
      </w:r>
      <w:r>
        <w:rPr>
          <w:rFonts w:hint="eastAsia" w:ascii="仿宋" w:hAnsi="仿宋" w:eastAsia="仿宋"/>
          <w:color w:val="auto"/>
          <w:sz w:val="32"/>
          <w:szCs w:val="32"/>
          <w:highlight w:val="none"/>
        </w:rPr>
        <w:t xml:space="preserve">%；项目支出 </w:t>
      </w:r>
      <w:r>
        <w:rPr>
          <w:rFonts w:hint="eastAsia" w:ascii="仿宋" w:hAnsi="仿宋" w:eastAsia="仿宋"/>
          <w:color w:val="auto"/>
          <w:sz w:val="32"/>
          <w:szCs w:val="32"/>
          <w:highlight w:val="none"/>
          <w:lang w:val="en-US" w:eastAsia="zh-CN"/>
        </w:rPr>
        <w:t>16.79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w:t>
      </w:r>
      <w:r>
        <w:rPr>
          <w:rFonts w:hint="eastAsia" w:ascii="仿宋" w:hAnsi="仿宋" w:eastAsia="仿宋"/>
          <w:color w:val="auto"/>
          <w:sz w:val="32"/>
          <w:szCs w:val="32"/>
          <w:highlight w:val="none"/>
        </w:rPr>
        <w:t>%。</w:t>
      </w:r>
    </w:p>
    <w:p w14:paraId="51040F2B">
      <w:pPr>
        <w:pStyle w:val="11"/>
        <w:ind w:firstLine="640" w:firstLineChars="200"/>
        <w:jc w:val="left"/>
        <w:rPr>
          <w:rFonts w:ascii="楷体" w:hAnsi="楷体" w:eastAsia="楷体"/>
          <w:color w:val="auto"/>
          <w:sz w:val="32"/>
          <w:szCs w:val="32"/>
          <w:highlight w:val="none"/>
        </w:rPr>
      </w:pPr>
      <w:r>
        <w:rPr>
          <w:rFonts w:hint="eastAsia" w:ascii="楷体" w:hAnsi="楷体" w:eastAsia="楷体"/>
          <w:color w:val="auto"/>
          <w:sz w:val="32"/>
          <w:szCs w:val="32"/>
          <w:highlight w:val="none"/>
        </w:rPr>
        <w:t>四、2026年财政拨款收支预算情况</w:t>
      </w:r>
    </w:p>
    <w:p w14:paraId="032F5B2D">
      <w:pPr>
        <w:pStyle w:val="11"/>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2026年财政拨款收支总预算</w:t>
      </w:r>
      <w:r>
        <w:rPr>
          <w:rFonts w:hint="eastAsia" w:ascii="仿宋" w:hAnsi="仿宋" w:eastAsia="仿宋"/>
          <w:color w:val="auto"/>
          <w:sz w:val="32"/>
          <w:szCs w:val="32"/>
          <w:highlight w:val="none"/>
          <w:lang w:val="en-US" w:eastAsia="zh-CN"/>
        </w:rPr>
        <w:t>559.8</w:t>
      </w:r>
      <w:r>
        <w:rPr>
          <w:rFonts w:hint="eastAsia" w:ascii="仿宋" w:hAnsi="仿宋" w:eastAsia="仿宋"/>
          <w:color w:val="auto"/>
          <w:sz w:val="32"/>
          <w:szCs w:val="32"/>
          <w:highlight w:val="none"/>
        </w:rPr>
        <w:t xml:space="preserve">万元，其中：本年收入 </w:t>
      </w:r>
      <w:r>
        <w:rPr>
          <w:rFonts w:hint="eastAsia" w:ascii="仿宋" w:hAnsi="仿宋" w:eastAsia="仿宋"/>
          <w:color w:val="auto"/>
          <w:sz w:val="32"/>
          <w:szCs w:val="32"/>
          <w:highlight w:val="none"/>
          <w:lang w:val="en-US" w:eastAsia="zh-CN"/>
        </w:rPr>
        <w:t>559.8</w:t>
      </w:r>
      <w:r>
        <w:rPr>
          <w:rFonts w:hint="eastAsia" w:ascii="仿宋" w:hAnsi="仿宋" w:eastAsia="仿宋"/>
          <w:color w:val="auto"/>
          <w:sz w:val="32"/>
          <w:szCs w:val="32"/>
          <w:highlight w:val="none"/>
        </w:rPr>
        <w:t xml:space="preserve"> 万元。本年支出</w:t>
      </w:r>
      <w:r>
        <w:rPr>
          <w:rFonts w:hint="eastAsia" w:ascii="仿宋" w:hAnsi="仿宋" w:eastAsia="仿宋"/>
          <w:color w:val="auto"/>
          <w:sz w:val="32"/>
          <w:szCs w:val="32"/>
          <w:highlight w:val="none"/>
          <w:lang w:val="en-US" w:eastAsia="zh-CN"/>
        </w:rPr>
        <w:t>559.8</w:t>
      </w:r>
      <w:r>
        <w:rPr>
          <w:rFonts w:hint="eastAsia" w:ascii="仿宋" w:hAnsi="仿宋" w:eastAsia="仿宋"/>
          <w:color w:val="auto"/>
          <w:sz w:val="32"/>
          <w:szCs w:val="32"/>
          <w:highlight w:val="none"/>
        </w:rPr>
        <w:t>万元，支出包括：一般公共服务支出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教育支出</w:t>
      </w:r>
      <w:r>
        <w:rPr>
          <w:rFonts w:hint="eastAsia" w:ascii="仿宋" w:hAnsi="仿宋" w:eastAsia="仿宋"/>
          <w:color w:val="auto"/>
          <w:sz w:val="32"/>
          <w:szCs w:val="32"/>
          <w:highlight w:val="none"/>
          <w:lang w:val="en-US" w:eastAsia="zh-CN"/>
        </w:rPr>
        <w:t>457.32万元，</w:t>
      </w:r>
      <w:r>
        <w:rPr>
          <w:rFonts w:hint="eastAsia" w:ascii="仿宋" w:hAnsi="仿宋" w:eastAsia="仿宋"/>
          <w:color w:val="auto"/>
          <w:sz w:val="32"/>
          <w:szCs w:val="32"/>
          <w:highlight w:val="none"/>
        </w:rPr>
        <w:t>社会保障和就业支出</w:t>
      </w:r>
      <w:r>
        <w:rPr>
          <w:rFonts w:hint="eastAsia" w:ascii="仿宋" w:hAnsi="仿宋" w:eastAsia="仿宋"/>
          <w:color w:val="auto"/>
          <w:sz w:val="32"/>
          <w:szCs w:val="32"/>
          <w:highlight w:val="none"/>
          <w:lang w:val="en-US" w:eastAsia="zh-CN"/>
        </w:rPr>
        <w:t>57.96</w:t>
      </w:r>
      <w:r>
        <w:rPr>
          <w:rFonts w:hint="eastAsia" w:ascii="仿宋" w:hAnsi="仿宋" w:eastAsia="仿宋"/>
          <w:color w:val="auto"/>
          <w:sz w:val="32"/>
          <w:szCs w:val="32"/>
          <w:highlight w:val="none"/>
        </w:rPr>
        <w:t>万元，卫生健康支出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万元，住房保障支出</w:t>
      </w:r>
      <w:r>
        <w:rPr>
          <w:rFonts w:hint="eastAsia" w:ascii="仿宋" w:hAnsi="仿宋" w:eastAsia="仿宋"/>
          <w:color w:val="auto"/>
          <w:sz w:val="32"/>
          <w:szCs w:val="32"/>
          <w:highlight w:val="none"/>
          <w:lang w:val="en-US" w:eastAsia="zh-CN"/>
        </w:rPr>
        <w:t>44.53</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p>
    <w:p w14:paraId="113EA7E6">
      <w:pPr>
        <w:pStyle w:val="11"/>
        <w:rPr>
          <w:rFonts w:ascii="楷体" w:hAnsi="楷体" w:eastAsia="楷体"/>
          <w:color w:val="auto"/>
          <w:sz w:val="32"/>
          <w:szCs w:val="32"/>
          <w:highlight w:val="none"/>
        </w:rPr>
      </w:pPr>
      <w:r>
        <w:rPr>
          <w:rFonts w:hint="eastAsia" w:ascii="仿宋" w:hAnsi="仿宋" w:eastAsia="仿宋"/>
          <w:color w:val="auto"/>
          <w:kern w:val="0"/>
          <w:sz w:val="32"/>
          <w:szCs w:val="32"/>
          <w:highlight w:val="none"/>
        </w:rPr>
        <w:t xml:space="preserve">    </w:t>
      </w:r>
      <w:r>
        <w:rPr>
          <w:rFonts w:hint="eastAsia" w:ascii="楷体" w:hAnsi="楷体" w:eastAsia="楷体" w:cs="楷体"/>
          <w:color w:val="auto"/>
          <w:kern w:val="0"/>
          <w:sz w:val="32"/>
          <w:szCs w:val="32"/>
          <w:highlight w:val="none"/>
        </w:rPr>
        <w:t>五、2026</w:t>
      </w:r>
      <w:r>
        <w:rPr>
          <w:rFonts w:hint="eastAsia" w:ascii="楷体" w:hAnsi="楷体" w:eastAsia="楷体"/>
          <w:color w:val="auto"/>
          <w:kern w:val="0"/>
          <w:sz w:val="32"/>
          <w:szCs w:val="32"/>
          <w:highlight w:val="none"/>
        </w:rPr>
        <w:t>年一般公共预算支出情况</w:t>
      </w:r>
    </w:p>
    <w:p w14:paraId="362C178E">
      <w:pPr>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2026年一般公共预算当年拨款</w:t>
      </w:r>
      <w:r>
        <w:rPr>
          <w:rFonts w:hint="eastAsia" w:ascii="仿宋" w:hAnsi="仿宋" w:eastAsia="仿宋"/>
          <w:color w:val="auto"/>
          <w:sz w:val="32"/>
          <w:szCs w:val="32"/>
          <w:highlight w:val="none"/>
          <w:lang w:val="en-US" w:eastAsia="zh-CN"/>
        </w:rPr>
        <w:t>559.8</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543.01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97</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val="en-US" w:eastAsia="zh-CN"/>
        </w:rPr>
        <w:t>16.79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w:t>
      </w:r>
      <w:r>
        <w:rPr>
          <w:rFonts w:hint="eastAsia" w:ascii="仿宋" w:hAnsi="仿宋" w:eastAsia="仿宋"/>
          <w:color w:val="auto"/>
          <w:sz w:val="32"/>
          <w:szCs w:val="32"/>
          <w:highlight w:val="none"/>
        </w:rPr>
        <w:t>%。基本支出中，人员经费</w:t>
      </w:r>
      <w:r>
        <w:rPr>
          <w:rFonts w:hint="eastAsia" w:ascii="仿宋" w:hAnsi="仿宋" w:eastAsia="仿宋"/>
          <w:color w:val="auto"/>
          <w:sz w:val="32"/>
          <w:szCs w:val="32"/>
          <w:highlight w:val="none"/>
          <w:lang w:val="en-US" w:eastAsia="zh-CN"/>
        </w:rPr>
        <w:t>529.84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97.57</w:t>
      </w: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13.17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2.43</w:t>
      </w:r>
      <w:r>
        <w:rPr>
          <w:rFonts w:hint="eastAsia" w:ascii="仿宋" w:hAnsi="仿宋" w:eastAsia="仿宋"/>
          <w:color w:val="auto"/>
          <w:sz w:val="32"/>
          <w:szCs w:val="32"/>
          <w:highlight w:val="none"/>
        </w:rPr>
        <w:t>%。</w:t>
      </w:r>
    </w:p>
    <w:p w14:paraId="7AE3769D">
      <w:pPr>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 xml:space="preserve">一般公共服务（类）支出 </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w:t>
      </w:r>
    </w:p>
    <w:p w14:paraId="70FD4C93">
      <w:pPr>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教育支出</w:t>
      </w:r>
      <w:r>
        <w:rPr>
          <w:rFonts w:hint="eastAsia" w:ascii="仿宋" w:hAnsi="仿宋" w:eastAsia="仿宋"/>
          <w:color w:val="auto"/>
          <w:sz w:val="32"/>
          <w:szCs w:val="32"/>
          <w:highlight w:val="none"/>
          <w:lang w:val="en-US" w:eastAsia="zh-CN"/>
        </w:rPr>
        <w:t>457.32万元，</w:t>
      </w:r>
      <w:r>
        <w:rPr>
          <w:rFonts w:hint="eastAsia" w:ascii="仿宋" w:hAnsi="仿宋" w:eastAsia="仿宋"/>
          <w:color w:val="auto"/>
          <w:sz w:val="32"/>
          <w:szCs w:val="32"/>
          <w:highlight w:val="none"/>
        </w:rPr>
        <w:t>占</w:t>
      </w:r>
      <w:r>
        <w:rPr>
          <w:rFonts w:hint="eastAsia" w:ascii="仿宋" w:hAnsi="仿宋" w:eastAsia="仿宋"/>
          <w:color w:val="auto"/>
          <w:sz w:val="32"/>
          <w:szCs w:val="32"/>
          <w:highlight w:val="none"/>
          <w:lang w:val="en-US" w:eastAsia="zh-CN"/>
        </w:rPr>
        <w:t>82</w:t>
      </w:r>
      <w:r>
        <w:rPr>
          <w:rFonts w:hint="eastAsia" w:ascii="仿宋" w:hAnsi="仿宋" w:eastAsia="仿宋"/>
          <w:color w:val="auto"/>
          <w:sz w:val="32"/>
          <w:szCs w:val="32"/>
          <w:highlight w:val="none"/>
        </w:rPr>
        <w:t>%主要用于：</w:t>
      </w:r>
      <w:r>
        <w:rPr>
          <w:rFonts w:hint="eastAsia" w:ascii="仿宋" w:hAnsi="仿宋" w:eastAsia="仿宋"/>
          <w:color w:val="auto"/>
          <w:sz w:val="32"/>
          <w:szCs w:val="32"/>
          <w:highlight w:val="none"/>
          <w:lang w:eastAsia="zh-CN"/>
        </w:rPr>
        <w:t>人员工资、保障运转的水电费等必要支出</w:t>
      </w:r>
      <w:r>
        <w:rPr>
          <w:rFonts w:hint="eastAsia" w:ascii="仿宋" w:hAnsi="仿宋" w:eastAsia="仿宋"/>
          <w:color w:val="auto"/>
          <w:sz w:val="32"/>
          <w:szCs w:val="32"/>
          <w:highlight w:val="none"/>
        </w:rPr>
        <w:t>。</w:t>
      </w:r>
    </w:p>
    <w:p w14:paraId="59F47C99">
      <w:pPr>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社会保障和就业（类）支出 </w:t>
      </w:r>
      <w:r>
        <w:rPr>
          <w:rFonts w:hint="eastAsia" w:ascii="仿宋" w:hAnsi="仿宋" w:eastAsia="仿宋"/>
          <w:color w:val="auto"/>
          <w:sz w:val="32"/>
          <w:szCs w:val="32"/>
          <w:highlight w:val="none"/>
          <w:lang w:val="en-US" w:eastAsia="zh-CN"/>
        </w:rPr>
        <w:t>57.96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w:t>
      </w:r>
      <w:r>
        <w:rPr>
          <w:rFonts w:hint="eastAsia" w:ascii="仿宋" w:hAnsi="仿宋" w:eastAsia="仿宋"/>
          <w:color w:val="auto"/>
          <w:sz w:val="32"/>
          <w:szCs w:val="32"/>
          <w:highlight w:val="none"/>
        </w:rPr>
        <w:t>%，主要用于：</w:t>
      </w:r>
      <w:r>
        <w:rPr>
          <w:rFonts w:hint="eastAsia" w:ascii="仿宋" w:hAnsi="仿宋" w:eastAsia="仿宋"/>
          <w:color w:val="auto"/>
          <w:sz w:val="32"/>
          <w:szCs w:val="32"/>
          <w:highlight w:val="none"/>
          <w:lang w:eastAsia="zh-CN"/>
        </w:rPr>
        <w:t>养老保险缴费、职业年金支出缴费支出</w:t>
      </w:r>
      <w:r>
        <w:rPr>
          <w:rFonts w:hint="eastAsia" w:ascii="仿宋" w:hAnsi="仿宋" w:eastAsia="仿宋"/>
          <w:color w:val="auto"/>
          <w:sz w:val="32"/>
          <w:szCs w:val="32"/>
          <w:highlight w:val="none"/>
        </w:rPr>
        <w:t>。</w:t>
      </w:r>
    </w:p>
    <w:p w14:paraId="3F87882C">
      <w:pPr>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卫生健康（类）支出 </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 xml:space="preserve"> 万元，占</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w:t>
      </w:r>
    </w:p>
    <w:p w14:paraId="752A0F73">
      <w:pPr>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住房保障（类）支出</w:t>
      </w:r>
      <w:r>
        <w:rPr>
          <w:rFonts w:hint="eastAsia" w:ascii="仿宋" w:hAnsi="仿宋" w:eastAsia="仿宋"/>
          <w:color w:val="auto"/>
          <w:sz w:val="32"/>
          <w:szCs w:val="32"/>
          <w:highlight w:val="none"/>
          <w:lang w:val="en-US" w:eastAsia="zh-CN"/>
        </w:rPr>
        <w:t>44.53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w:t>
      </w:r>
      <w:r>
        <w:rPr>
          <w:rFonts w:hint="eastAsia" w:ascii="仿宋" w:hAnsi="仿宋" w:eastAsia="仿宋"/>
          <w:color w:val="auto"/>
          <w:sz w:val="32"/>
          <w:szCs w:val="32"/>
          <w:highlight w:val="none"/>
        </w:rPr>
        <w:t>%，主要用于：</w:t>
      </w:r>
      <w:r>
        <w:rPr>
          <w:rFonts w:hint="eastAsia" w:ascii="仿宋" w:hAnsi="仿宋" w:eastAsia="仿宋"/>
          <w:color w:val="auto"/>
          <w:sz w:val="32"/>
          <w:szCs w:val="32"/>
          <w:highlight w:val="none"/>
          <w:lang w:eastAsia="zh-CN"/>
        </w:rPr>
        <w:t>住房公积金支出</w:t>
      </w:r>
      <w:r>
        <w:rPr>
          <w:rFonts w:hint="eastAsia" w:ascii="仿宋" w:hAnsi="仿宋" w:eastAsia="仿宋"/>
          <w:color w:val="auto"/>
          <w:sz w:val="32"/>
          <w:szCs w:val="32"/>
          <w:highlight w:val="none"/>
        </w:rPr>
        <w:t>。</w:t>
      </w:r>
    </w:p>
    <w:p w14:paraId="1D655B29">
      <w:pPr>
        <w:pStyle w:val="9"/>
        <w:rPr>
          <w:rFonts w:ascii="楷体" w:hAnsi="楷体" w:eastAsia="楷体"/>
          <w:color w:val="auto"/>
          <w:kern w:val="0"/>
          <w:sz w:val="32"/>
          <w:szCs w:val="32"/>
          <w:highlight w:val="none"/>
        </w:rPr>
      </w:pPr>
      <w:r>
        <w:rPr>
          <w:rFonts w:hint="eastAsia" w:ascii="仿宋" w:hAnsi="仿宋" w:eastAsia="仿宋"/>
          <w:color w:val="auto"/>
          <w:kern w:val="0"/>
          <w:sz w:val="32"/>
          <w:szCs w:val="32"/>
          <w:highlight w:val="none"/>
        </w:rPr>
        <w:t xml:space="preserve">   </w:t>
      </w:r>
      <w:r>
        <w:rPr>
          <w:rFonts w:hint="eastAsia" w:ascii="楷体" w:hAnsi="楷体" w:eastAsia="楷体"/>
          <w:color w:val="auto"/>
          <w:kern w:val="0"/>
          <w:sz w:val="32"/>
          <w:szCs w:val="32"/>
          <w:highlight w:val="none"/>
        </w:rPr>
        <w:t>六、2026年一般公共预算基本支出情况</w:t>
      </w:r>
    </w:p>
    <w:p w14:paraId="28556014">
      <w:pPr>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2026年一般公共预算基本支出</w:t>
      </w:r>
      <w:r>
        <w:rPr>
          <w:rFonts w:hint="eastAsia" w:ascii="仿宋" w:hAnsi="仿宋" w:eastAsia="仿宋"/>
          <w:color w:val="auto"/>
          <w:sz w:val="32"/>
          <w:szCs w:val="32"/>
          <w:highlight w:val="none"/>
          <w:lang w:val="en-US" w:eastAsia="zh-CN"/>
        </w:rPr>
        <w:t>543.01</w:t>
      </w:r>
      <w:r>
        <w:rPr>
          <w:rFonts w:hint="eastAsia" w:ascii="仿宋" w:hAnsi="仿宋" w:eastAsia="仿宋"/>
          <w:color w:val="auto"/>
          <w:sz w:val="32"/>
          <w:szCs w:val="32"/>
          <w:highlight w:val="none"/>
        </w:rPr>
        <w:t>万元，其中：</w:t>
      </w:r>
    </w:p>
    <w:p w14:paraId="03F48596">
      <w:pPr>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529.84</w:t>
      </w:r>
      <w:r>
        <w:rPr>
          <w:rFonts w:hint="eastAsia" w:ascii="仿宋" w:hAnsi="仿宋" w:eastAsia="仿宋"/>
          <w:color w:val="auto"/>
          <w:sz w:val="32"/>
          <w:szCs w:val="32"/>
          <w:highlight w:val="none"/>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color w:val="auto"/>
          <w:kern w:val="0"/>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13.17</w:t>
      </w:r>
      <w:r>
        <w:rPr>
          <w:rFonts w:hint="eastAsia" w:ascii="仿宋" w:hAnsi="仿宋" w:eastAsia="仿宋"/>
          <w:color w:val="auto"/>
          <w:sz w:val="32"/>
          <w:szCs w:val="32"/>
          <w:highlight w:val="none"/>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color w:val="auto"/>
          <w:kern w:val="0"/>
          <w:sz w:val="32"/>
          <w:szCs w:val="32"/>
          <w:highlight w:val="none"/>
        </w:rPr>
      </w:pPr>
      <w:r>
        <w:rPr>
          <w:rFonts w:hint="eastAsia" w:ascii="楷体" w:hAnsi="楷体" w:eastAsia="楷体"/>
          <w:color w:val="auto"/>
          <w:kern w:val="0"/>
          <w:sz w:val="32"/>
          <w:szCs w:val="32"/>
          <w:highlight w:val="none"/>
        </w:rPr>
        <w:t>七、2026年一般公共预算财政拨款“三公经费”情况</w:t>
      </w:r>
    </w:p>
    <w:p w14:paraId="2ABE82ED">
      <w:pPr>
        <w:pStyle w:val="9"/>
        <w:ind w:firstLine="627" w:firstLineChars="196"/>
        <w:rPr>
          <w:rFonts w:ascii="仿宋" w:hAnsi="仿宋" w:eastAsia="仿宋"/>
          <w:color w:val="auto"/>
          <w:kern w:val="0"/>
          <w:sz w:val="32"/>
          <w:szCs w:val="32"/>
          <w:highlight w:val="none"/>
        </w:rPr>
      </w:pPr>
      <w:r>
        <w:rPr>
          <w:rFonts w:hint="eastAsia" w:ascii="仿宋" w:hAnsi="仿宋" w:eastAsia="仿宋"/>
          <w:color w:val="auto"/>
          <w:kern w:val="0"/>
          <w:sz w:val="32"/>
          <w:szCs w:val="32"/>
          <w:highlight w:val="none"/>
        </w:rPr>
        <w:t>2026年“三公”经费预算数</w:t>
      </w:r>
      <w:r>
        <w:rPr>
          <w:rFonts w:hint="eastAsia" w:ascii="仿宋" w:hAnsi="仿宋" w:eastAsia="仿宋"/>
          <w:color w:val="auto"/>
          <w:kern w:val="0"/>
          <w:sz w:val="32"/>
          <w:szCs w:val="32"/>
          <w:highlight w:val="none"/>
          <w:lang w:val="en-US" w:eastAsia="zh-CN"/>
        </w:rPr>
        <w:t>0</w:t>
      </w:r>
      <w:r>
        <w:rPr>
          <w:rFonts w:hint="eastAsia" w:ascii="仿宋" w:hAnsi="仿宋" w:eastAsia="仿宋"/>
          <w:color w:val="auto"/>
          <w:kern w:val="0"/>
          <w:sz w:val="32"/>
          <w:szCs w:val="32"/>
          <w:highlight w:val="none"/>
        </w:rPr>
        <w:t xml:space="preserve">万元，比2025年预算减少 </w:t>
      </w:r>
      <w:r>
        <w:rPr>
          <w:rFonts w:hint="eastAsia" w:ascii="仿宋" w:hAnsi="仿宋" w:eastAsia="仿宋"/>
          <w:color w:val="auto"/>
          <w:kern w:val="0"/>
          <w:sz w:val="32"/>
          <w:szCs w:val="32"/>
          <w:highlight w:val="none"/>
          <w:lang w:val="en-US" w:eastAsia="zh-CN"/>
        </w:rPr>
        <w:t>0</w:t>
      </w:r>
      <w:r>
        <w:rPr>
          <w:rFonts w:hint="eastAsia" w:ascii="仿宋" w:hAnsi="仿宋" w:eastAsia="仿宋"/>
          <w:color w:val="auto"/>
          <w:kern w:val="0"/>
          <w:sz w:val="32"/>
          <w:szCs w:val="32"/>
          <w:highlight w:val="none"/>
        </w:rPr>
        <w:t xml:space="preserve"> 万元。其中：</w:t>
      </w:r>
    </w:p>
    <w:p w14:paraId="1319EA80">
      <w:pPr>
        <w:pStyle w:val="9"/>
        <w:ind w:firstLine="627" w:firstLineChars="196"/>
        <w:rPr>
          <w:rFonts w:ascii="仿宋" w:hAnsi="仿宋" w:eastAsia="仿宋"/>
          <w:color w:val="auto"/>
          <w:kern w:val="0"/>
          <w:sz w:val="32"/>
          <w:szCs w:val="32"/>
          <w:highlight w:val="none"/>
        </w:rPr>
      </w:pPr>
      <w:r>
        <w:rPr>
          <w:rFonts w:hint="eastAsia" w:ascii="仿宋" w:hAnsi="仿宋" w:eastAsia="仿宋"/>
          <w:color w:val="auto"/>
          <w:kern w:val="0"/>
          <w:sz w:val="32"/>
          <w:szCs w:val="32"/>
          <w:highlight w:val="none"/>
        </w:rPr>
        <w:t>1.因公出国（境）费 0 万元，与 2025年预算数相同。</w:t>
      </w:r>
    </w:p>
    <w:p w14:paraId="5B2D5F87">
      <w:pPr>
        <w:pStyle w:val="9"/>
        <w:ind w:firstLine="627" w:firstLineChars="196"/>
        <w:rPr>
          <w:rFonts w:ascii="仿宋" w:hAnsi="仿宋" w:eastAsia="仿宋"/>
          <w:color w:val="auto"/>
          <w:kern w:val="0"/>
          <w:sz w:val="32"/>
          <w:szCs w:val="32"/>
          <w:highlight w:val="none"/>
        </w:rPr>
      </w:pPr>
      <w:r>
        <w:rPr>
          <w:rFonts w:hint="eastAsia" w:ascii="仿宋" w:hAnsi="仿宋" w:eastAsia="仿宋"/>
          <w:color w:val="auto"/>
          <w:kern w:val="0"/>
          <w:sz w:val="32"/>
          <w:szCs w:val="32"/>
          <w:highlight w:val="none"/>
        </w:rPr>
        <w:t xml:space="preserve">2.公务接待费 </w:t>
      </w:r>
      <w:r>
        <w:rPr>
          <w:rFonts w:hint="eastAsia" w:ascii="仿宋" w:hAnsi="仿宋" w:eastAsia="仿宋"/>
          <w:color w:val="auto"/>
          <w:kern w:val="0"/>
          <w:sz w:val="32"/>
          <w:szCs w:val="32"/>
          <w:highlight w:val="none"/>
          <w:lang w:val="en-US" w:eastAsia="zh-CN"/>
        </w:rPr>
        <w:t>0</w:t>
      </w:r>
      <w:r>
        <w:rPr>
          <w:rFonts w:hint="eastAsia" w:ascii="仿宋" w:hAnsi="仿宋" w:eastAsia="仿宋"/>
          <w:color w:val="auto"/>
          <w:kern w:val="0"/>
          <w:sz w:val="32"/>
          <w:szCs w:val="32"/>
          <w:highlight w:val="none"/>
        </w:rPr>
        <w:t xml:space="preserve">万元，比 2025年预算数减少 </w:t>
      </w:r>
      <w:r>
        <w:rPr>
          <w:rFonts w:hint="eastAsia" w:ascii="仿宋" w:hAnsi="仿宋" w:eastAsia="仿宋"/>
          <w:color w:val="auto"/>
          <w:kern w:val="0"/>
          <w:sz w:val="32"/>
          <w:szCs w:val="32"/>
          <w:highlight w:val="none"/>
          <w:lang w:val="en-US" w:eastAsia="zh-CN"/>
        </w:rPr>
        <w:t>0</w:t>
      </w:r>
      <w:r>
        <w:rPr>
          <w:rFonts w:hint="eastAsia" w:ascii="仿宋" w:hAnsi="仿宋" w:eastAsia="仿宋"/>
          <w:color w:val="auto"/>
          <w:kern w:val="0"/>
          <w:sz w:val="32"/>
          <w:szCs w:val="32"/>
          <w:highlight w:val="none"/>
        </w:rPr>
        <w:t xml:space="preserve"> 万元</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主要原因是</w:t>
      </w:r>
      <w:r>
        <w:rPr>
          <w:rFonts w:hint="eastAsia" w:ascii="仿宋" w:hAnsi="仿宋" w:eastAsia="仿宋"/>
          <w:color w:val="auto"/>
          <w:kern w:val="0"/>
          <w:sz w:val="32"/>
          <w:szCs w:val="32"/>
          <w:highlight w:val="none"/>
          <w:lang w:eastAsia="zh-CN"/>
        </w:rPr>
        <w:t>无预算</w:t>
      </w:r>
      <w:r>
        <w:rPr>
          <w:rFonts w:hint="eastAsia" w:ascii="仿宋" w:hAnsi="仿宋" w:eastAsia="仿宋"/>
          <w:color w:val="auto"/>
          <w:kern w:val="0"/>
          <w:sz w:val="32"/>
          <w:szCs w:val="32"/>
          <w:highlight w:val="none"/>
        </w:rPr>
        <w:t>。</w:t>
      </w:r>
    </w:p>
    <w:p w14:paraId="372830BC">
      <w:pPr>
        <w:pStyle w:val="9"/>
        <w:ind w:firstLine="627" w:firstLineChars="196"/>
        <w:rPr>
          <w:rFonts w:ascii="仿宋" w:hAnsi="仿宋" w:eastAsia="仿宋"/>
          <w:color w:val="auto"/>
          <w:kern w:val="0"/>
          <w:sz w:val="32"/>
          <w:szCs w:val="32"/>
          <w:highlight w:val="none"/>
        </w:rPr>
      </w:pPr>
      <w:r>
        <w:rPr>
          <w:rFonts w:hint="eastAsia" w:ascii="仿宋" w:hAnsi="仿宋" w:eastAsia="仿宋"/>
          <w:color w:val="auto"/>
          <w:kern w:val="0"/>
          <w:sz w:val="32"/>
          <w:szCs w:val="32"/>
          <w:highlight w:val="none"/>
        </w:rPr>
        <w:t>3.公务用车购置及运行费</w:t>
      </w:r>
      <w:r>
        <w:rPr>
          <w:rFonts w:hint="eastAsia" w:ascii="仿宋" w:hAnsi="仿宋" w:eastAsia="仿宋"/>
          <w:color w:val="auto"/>
          <w:kern w:val="0"/>
          <w:sz w:val="32"/>
          <w:szCs w:val="32"/>
          <w:highlight w:val="none"/>
          <w:lang w:val="en-US" w:eastAsia="zh-CN"/>
        </w:rPr>
        <w:t>0</w:t>
      </w:r>
      <w:r>
        <w:rPr>
          <w:rFonts w:hint="eastAsia" w:ascii="仿宋" w:hAnsi="仿宋" w:eastAsia="仿宋"/>
          <w:color w:val="auto"/>
          <w:kern w:val="0"/>
          <w:sz w:val="32"/>
          <w:szCs w:val="32"/>
          <w:highlight w:val="none"/>
        </w:rPr>
        <w:t xml:space="preserve"> 万元，比 2025 年预算数减</w:t>
      </w:r>
    </w:p>
    <w:p w14:paraId="7288DF6E">
      <w:pPr>
        <w:pStyle w:val="9"/>
        <w:rPr>
          <w:rFonts w:ascii="仿宋" w:hAnsi="仿宋" w:eastAsia="仿宋"/>
          <w:color w:val="auto"/>
          <w:kern w:val="0"/>
          <w:sz w:val="32"/>
          <w:szCs w:val="32"/>
          <w:highlight w:val="none"/>
        </w:rPr>
      </w:pPr>
      <w:r>
        <w:rPr>
          <w:rFonts w:hint="eastAsia" w:ascii="仿宋" w:hAnsi="仿宋" w:eastAsia="仿宋"/>
          <w:color w:val="auto"/>
          <w:kern w:val="0"/>
          <w:sz w:val="32"/>
          <w:szCs w:val="32"/>
          <w:highlight w:val="none"/>
        </w:rPr>
        <w:t>少</w:t>
      </w:r>
      <w:r>
        <w:rPr>
          <w:rFonts w:hint="eastAsia" w:ascii="仿宋" w:hAnsi="仿宋" w:eastAsia="仿宋"/>
          <w:color w:val="auto"/>
          <w:kern w:val="0"/>
          <w:sz w:val="32"/>
          <w:szCs w:val="32"/>
          <w:highlight w:val="none"/>
          <w:lang w:val="en-US" w:eastAsia="zh-CN"/>
        </w:rPr>
        <w:t>0</w:t>
      </w:r>
      <w:r>
        <w:rPr>
          <w:rFonts w:hint="eastAsia" w:ascii="仿宋" w:hAnsi="仿宋" w:eastAsia="仿宋"/>
          <w:color w:val="auto"/>
          <w:kern w:val="0"/>
          <w:sz w:val="32"/>
          <w:szCs w:val="32"/>
          <w:highlight w:val="none"/>
        </w:rPr>
        <w:t xml:space="preserve"> 万元。其中，公务用车运行维护费 </w:t>
      </w:r>
      <w:r>
        <w:rPr>
          <w:rFonts w:hint="eastAsia" w:ascii="仿宋" w:hAnsi="仿宋" w:eastAsia="仿宋"/>
          <w:color w:val="auto"/>
          <w:kern w:val="0"/>
          <w:sz w:val="32"/>
          <w:szCs w:val="32"/>
          <w:highlight w:val="none"/>
          <w:lang w:val="en-US" w:eastAsia="zh-CN"/>
        </w:rPr>
        <w:t>0</w:t>
      </w:r>
      <w:r>
        <w:rPr>
          <w:rFonts w:hint="eastAsia" w:ascii="仿宋" w:hAnsi="仿宋" w:eastAsia="仿宋"/>
          <w:color w:val="auto"/>
          <w:kern w:val="0"/>
          <w:sz w:val="32"/>
          <w:szCs w:val="32"/>
          <w:highlight w:val="none"/>
        </w:rPr>
        <w:t xml:space="preserve"> 万元，比 2025年减少</w:t>
      </w:r>
      <w:r>
        <w:rPr>
          <w:rFonts w:hint="eastAsia" w:ascii="仿宋" w:hAnsi="仿宋" w:eastAsia="仿宋"/>
          <w:color w:val="auto"/>
          <w:kern w:val="0"/>
          <w:sz w:val="32"/>
          <w:szCs w:val="32"/>
          <w:highlight w:val="none"/>
          <w:lang w:val="en-US" w:eastAsia="zh-CN"/>
        </w:rPr>
        <w:t>0</w:t>
      </w:r>
      <w:r>
        <w:rPr>
          <w:rFonts w:hint="eastAsia" w:ascii="仿宋" w:hAnsi="仿宋" w:eastAsia="仿宋"/>
          <w:color w:val="auto"/>
          <w:kern w:val="0"/>
          <w:sz w:val="32"/>
          <w:szCs w:val="32"/>
          <w:highlight w:val="none"/>
        </w:rPr>
        <w:t>万元，主要原因是</w:t>
      </w:r>
      <w:r>
        <w:rPr>
          <w:rFonts w:hint="eastAsia" w:ascii="仿宋" w:hAnsi="仿宋" w:eastAsia="仿宋"/>
          <w:color w:val="auto"/>
          <w:kern w:val="0"/>
          <w:sz w:val="32"/>
          <w:szCs w:val="32"/>
          <w:highlight w:val="none"/>
          <w:lang w:eastAsia="zh-CN"/>
        </w:rPr>
        <w:t>无预算</w:t>
      </w:r>
      <w:r>
        <w:rPr>
          <w:rFonts w:hint="eastAsia" w:ascii="仿宋" w:hAnsi="仿宋" w:eastAsia="仿宋"/>
          <w:color w:val="auto"/>
          <w:kern w:val="0"/>
          <w:sz w:val="32"/>
          <w:szCs w:val="32"/>
          <w:highlight w:val="none"/>
        </w:rPr>
        <w:t>，公务用车购置</w:t>
      </w:r>
      <w:r>
        <w:rPr>
          <w:rFonts w:hint="eastAsia" w:ascii="仿宋" w:hAnsi="仿宋" w:eastAsia="仿宋"/>
          <w:color w:val="auto"/>
          <w:kern w:val="0"/>
          <w:sz w:val="32"/>
          <w:szCs w:val="32"/>
          <w:highlight w:val="none"/>
          <w:lang w:val="en-US" w:eastAsia="zh-CN"/>
        </w:rPr>
        <w:t>0</w:t>
      </w:r>
      <w:r>
        <w:rPr>
          <w:rFonts w:hint="eastAsia" w:ascii="仿宋" w:hAnsi="仿宋" w:eastAsia="仿宋"/>
          <w:color w:val="auto"/>
          <w:kern w:val="0"/>
          <w:sz w:val="32"/>
          <w:szCs w:val="32"/>
          <w:highlight w:val="none"/>
        </w:rPr>
        <w:t xml:space="preserve">万元，比2025年减少 </w:t>
      </w:r>
      <w:r>
        <w:rPr>
          <w:rFonts w:hint="eastAsia" w:ascii="仿宋" w:hAnsi="仿宋" w:eastAsia="仿宋"/>
          <w:color w:val="auto"/>
          <w:kern w:val="0"/>
          <w:sz w:val="32"/>
          <w:szCs w:val="32"/>
          <w:highlight w:val="none"/>
          <w:lang w:val="en-US" w:eastAsia="zh-CN"/>
        </w:rPr>
        <w:t>0</w:t>
      </w:r>
      <w:r>
        <w:rPr>
          <w:rFonts w:hint="eastAsia" w:ascii="仿宋" w:hAnsi="仿宋" w:eastAsia="仿宋"/>
          <w:color w:val="auto"/>
          <w:kern w:val="0"/>
          <w:sz w:val="32"/>
          <w:szCs w:val="32"/>
          <w:highlight w:val="none"/>
        </w:rPr>
        <w:t xml:space="preserve"> 万元，主要原因是</w:t>
      </w:r>
      <w:r>
        <w:rPr>
          <w:rFonts w:hint="eastAsia" w:ascii="仿宋" w:hAnsi="仿宋" w:eastAsia="仿宋"/>
          <w:color w:val="auto"/>
          <w:kern w:val="0"/>
          <w:sz w:val="32"/>
          <w:szCs w:val="32"/>
          <w:highlight w:val="none"/>
          <w:lang w:eastAsia="zh-CN"/>
        </w:rPr>
        <w:t>无预算</w:t>
      </w:r>
      <w:r>
        <w:rPr>
          <w:rFonts w:hint="eastAsia" w:ascii="仿宋" w:hAnsi="仿宋" w:eastAsia="仿宋"/>
          <w:color w:val="auto"/>
          <w:kern w:val="0"/>
          <w:sz w:val="32"/>
          <w:szCs w:val="32"/>
          <w:highlight w:val="none"/>
        </w:rPr>
        <w:t>。</w:t>
      </w:r>
    </w:p>
    <w:p w14:paraId="60353E9A">
      <w:pPr>
        <w:pStyle w:val="9"/>
        <w:rPr>
          <w:rFonts w:ascii="楷体" w:hAnsi="楷体" w:eastAsia="楷体" w:cs="楷体"/>
          <w:color w:val="auto"/>
          <w:sz w:val="32"/>
          <w:szCs w:val="32"/>
          <w:highlight w:val="none"/>
        </w:rPr>
      </w:pPr>
      <w:r>
        <w:rPr>
          <w:rFonts w:hint="eastAsia" w:ascii="仿宋" w:hAnsi="仿宋" w:eastAsia="仿宋"/>
          <w:color w:val="auto"/>
          <w:sz w:val="32"/>
          <w:szCs w:val="32"/>
          <w:highlight w:val="none"/>
        </w:rPr>
        <w:t xml:space="preserve">    </w:t>
      </w:r>
      <w:r>
        <w:rPr>
          <w:rFonts w:hint="eastAsia" w:ascii="楷体" w:hAnsi="楷体" w:eastAsia="楷体" w:cs="楷体"/>
          <w:color w:val="auto"/>
          <w:sz w:val="32"/>
          <w:szCs w:val="32"/>
          <w:highlight w:val="none"/>
        </w:rPr>
        <w:t>八、2026年政府性基金预算支出情况</w:t>
      </w:r>
    </w:p>
    <w:p w14:paraId="376C3FE1">
      <w:pPr>
        <w:pStyle w:val="9"/>
        <w:ind w:firstLine="64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2026年本单位无政府性基金预算支出</w:t>
      </w:r>
      <w:r>
        <w:rPr>
          <w:rFonts w:hint="eastAsia" w:ascii="仿宋" w:hAnsi="仿宋" w:eastAsia="仿宋"/>
          <w:color w:val="auto"/>
          <w:sz w:val="32"/>
          <w:szCs w:val="32"/>
          <w:highlight w:val="none"/>
          <w:lang w:eastAsia="zh-CN"/>
        </w:rPr>
        <w:t>。</w:t>
      </w:r>
    </w:p>
    <w:p w14:paraId="39906816">
      <w:pPr>
        <w:pStyle w:val="9"/>
        <w:ind w:firstLine="64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九、2026年国有资本经营预算支出情况</w:t>
      </w:r>
    </w:p>
    <w:p w14:paraId="78271549">
      <w:pPr>
        <w:ind w:firstLine="640" w:firstLineChars="200"/>
        <w:jc w:val="left"/>
        <w:rPr>
          <w:rFonts w:ascii="仿宋" w:hAnsi="仿宋" w:eastAsia="仿宋"/>
          <w:color w:val="auto"/>
          <w:sz w:val="32"/>
          <w:szCs w:val="32"/>
          <w:highlight w:val="none"/>
        </w:rPr>
      </w:pPr>
      <w:r>
        <w:rPr>
          <w:rFonts w:hint="eastAsia" w:ascii="仿宋" w:hAnsi="仿宋" w:eastAsia="仿宋"/>
          <w:color w:val="auto"/>
          <w:sz w:val="32"/>
          <w:szCs w:val="32"/>
          <w:highlight w:val="none"/>
        </w:rPr>
        <w:t>2026年本单位无国有资本经营预算支出。</w:t>
      </w:r>
    </w:p>
    <w:p w14:paraId="028EDDC6">
      <w:pPr>
        <w:numPr>
          <w:ilvl w:val="0"/>
          <w:numId w:val="4"/>
        </w:numPr>
        <w:jc w:val="left"/>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其他重要事项的说明情况</w:t>
      </w:r>
    </w:p>
    <w:p w14:paraId="4DBB8460">
      <w:pPr>
        <w:ind w:firstLine="640" w:firstLineChars="200"/>
        <w:jc w:val="left"/>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（一）机关运行经费</w:t>
      </w:r>
    </w:p>
    <w:p w14:paraId="33FE9514">
      <w:pPr>
        <w:pStyle w:val="8"/>
        <w:ind w:firstLine="640"/>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2026年本单位机关运行经费财政拨款预算 </w:t>
      </w:r>
      <w:r>
        <w:rPr>
          <w:rFonts w:hint="eastAsia" w:ascii="仿宋" w:hAnsi="仿宋" w:eastAsia="仿宋"/>
          <w:color w:val="auto"/>
          <w:sz w:val="32"/>
          <w:szCs w:val="32"/>
          <w:highlight w:val="none"/>
          <w:lang w:val="en-US" w:eastAsia="zh-CN"/>
        </w:rPr>
        <w:t>16.79</w:t>
      </w:r>
      <w:r>
        <w:rPr>
          <w:rFonts w:hint="eastAsia" w:ascii="仿宋" w:hAnsi="仿宋" w:eastAsia="仿宋"/>
          <w:color w:val="auto"/>
          <w:sz w:val="32"/>
          <w:szCs w:val="32"/>
          <w:highlight w:val="none"/>
        </w:rPr>
        <w:t xml:space="preserve"> 万元，比 2025年预算减少</w:t>
      </w:r>
      <w:r>
        <w:rPr>
          <w:rFonts w:hint="eastAsia" w:ascii="仿宋" w:hAnsi="仿宋" w:eastAsia="仿宋"/>
          <w:color w:val="auto"/>
          <w:sz w:val="32"/>
          <w:szCs w:val="32"/>
          <w:highlight w:val="none"/>
          <w:lang w:val="en-US" w:eastAsia="zh-CN"/>
        </w:rPr>
        <w:t>4</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14.39</w:t>
      </w:r>
      <w:r>
        <w:rPr>
          <w:rFonts w:hint="eastAsia" w:ascii="仿宋" w:hAnsi="仿宋" w:eastAsia="仿宋"/>
          <w:color w:val="auto"/>
          <w:sz w:val="32"/>
          <w:szCs w:val="32"/>
          <w:highlight w:val="none"/>
        </w:rPr>
        <w:t>%，主要原因是</w:t>
      </w:r>
      <w:r>
        <w:rPr>
          <w:rFonts w:hint="eastAsia" w:ascii="仿宋" w:hAnsi="仿宋" w:eastAsia="仿宋"/>
          <w:color w:val="auto"/>
          <w:sz w:val="32"/>
          <w:szCs w:val="32"/>
          <w:highlight w:val="none"/>
          <w:lang w:val="en-US" w:eastAsia="zh-CN"/>
        </w:rPr>
        <w:t>招生数减少所致</w:t>
      </w:r>
      <w:r>
        <w:rPr>
          <w:rFonts w:hint="eastAsia" w:ascii="仿宋" w:hAnsi="仿宋" w:eastAsia="仿宋"/>
          <w:color w:val="auto"/>
          <w:sz w:val="32"/>
          <w:szCs w:val="32"/>
          <w:highlight w:val="none"/>
        </w:rPr>
        <w:t>。</w:t>
      </w:r>
    </w:p>
    <w:p w14:paraId="3C4DC5AB">
      <w:pPr>
        <w:ind w:firstLine="640" w:firstLineChars="200"/>
        <w:jc w:val="left"/>
        <w:rPr>
          <w:rFonts w:ascii="楷体" w:hAnsi="楷体" w:eastAsia="楷体"/>
          <w:color w:val="auto"/>
          <w:sz w:val="32"/>
          <w:szCs w:val="32"/>
          <w:highlight w:val="none"/>
        </w:rPr>
      </w:pPr>
      <w:r>
        <w:rPr>
          <w:rFonts w:hint="eastAsia" w:ascii="楷体" w:hAnsi="楷体" w:eastAsia="楷体"/>
          <w:color w:val="auto"/>
          <w:sz w:val="32"/>
          <w:szCs w:val="32"/>
          <w:highlight w:val="none"/>
        </w:rPr>
        <w:t>（二）政府采购情况</w:t>
      </w:r>
    </w:p>
    <w:p w14:paraId="5E4EE068">
      <w:pPr>
        <w:ind w:firstLine="640" w:firstLineChars="200"/>
        <w:jc w:val="left"/>
        <w:rPr>
          <w:rFonts w:ascii="仿宋" w:hAnsi="仿宋" w:eastAsia="仿宋"/>
          <w:color w:val="auto"/>
          <w:sz w:val="32"/>
          <w:szCs w:val="32"/>
          <w:highlight w:val="none"/>
        </w:rPr>
      </w:pPr>
      <w:r>
        <w:rPr>
          <w:rFonts w:hint="eastAsia" w:ascii="仿宋" w:hAnsi="仿宋" w:eastAsia="仿宋"/>
          <w:color w:val="auto"/>
          <w:sz w:val="32"/>
          <w:szCs w:val="32"/>
          <w:highlight w:val="none"/>
        </w:rPr>
        <w:t>2026年政府采购预算总额</w:t>
      </w:r>
      <w:r>
        <w:rPr>
          <w:rFonts w:hint="eastAsia" w:ascii="仿宋" w:hAnsi="仿宋" w:eastAsia="仿宋"/>
          <w:color w:val="auto"/>
          <w:sz w:val="32"/>
          <w:szCs w:val="32"/>
          <w:highlight w:val="none"/>
          <w:lang w:val="en-US" w:eastAsia="zh-CN"/>
        </w:rPr>
        <w:t>0.9</w:t>
      </w:r>
      <w:r>
        <w:rPr>
          <w:rFonts w:hint="eastAsia" w:ascii="仿宋" w:hAnsi="仿宋" w:eastAsia="仿宋"/>
          <w:color w:val="auto"/>
          <w:sz w:val="32"/>
          <w:szCs w:val="32"/>
          <w:highlight w:val="none"/>
        </w:rPr>
        <w:t>万元，其中：政府采购办公设备和其他设备预算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 xml:space="preserve">万元，政府采购工程预算 </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 xml:space="preserve"> 万元，政府采购服务预算 </w:t>
      </w:r>
      <w:r>
        <w:rPr>
          <w:rFonts w:hint="eastAsia" w:ascii="仿宋" w:hAnsi="仿宋" w:eastAsia="仿宋"/>
          <w:color w:val="auto"/>
          <w:sz w:val="32"/>
          <w:szCs w:val="32"/>
          <w:highlight w:val="none"/>
          <w:lang w:val="en-US" w:eastAsia="zh-CN"/>
        </w:rPr>
        <w:t>0.9</w:t>
      </w:r>
      <w:r>
        <w:rPr>
          <w:rFonts w:hint="eastAsia" w:ascii="仿宋" w:hAnsi="仿宋" w:eastAsia="仿宋"/>
          <w:color w:val="auto"/>
          <w:sz w:val="32"/>
          <w:szCs w:val="32"/>
          <w:highlight w:val="none"/>
        </w:rPr>
        <w:t xml:space="preserve"> 万元。</w:t>
      </w:r>
    </w:p>
    <w:p w14:paraId="32E1CB5D">
      <w:pPr>
        <w:jc w:val="left"/>
        <w:rPr>
          <w:rFonts w:ascii="楷体" w:hAnsi="楷体" w:eastAsia="楷体"/>
          <w:color w:val="auto"/>
          <w:sz w:val="32"/>
          <w:szCs w:val="32"/>
          <w:highlight w:val="none"/>
        </w:rPr>
      </w:pPr>
      <w:r>
        <w:rPr>
          <w:rFonts w:hint="eastAsia" w:ascii="仿宋" w:hAnsi="仿宋" w:eastAsia="仿宋"/>
          <w:color w:val="auto"/>
          <w:sz w:val="32"/>
          <w:szCs w:val="32"/>
          <w:highlight w:val="none"/>
        </w:rPr>
        <w:t xml:space="preserve">    </w:t>
      </w:r>
      <w:r>
        <w:rPr>
          <w:rFonts w:hint="eastAsia" w:ascii="楷体" w:hAnsi="楷体" w:eastAsia="楷体"/>
          <w:color w:val="auto"/>
          <w:sz w:val="32"/>
          <w:szCs w:val="32"/>
          <w:highlight w:val="none"/>
        </w:rPr>
        <w:t>（三）国有资产占有使用情况</w:t>
      </w:r>
    </w:p>
    <w:p w14:paraId="6E80D1C3">
      <w:pPr>
        <w:pStyle w:val="8"/>
        <w:ind w:firstLine="0" w:firstLineChars="0"/>
        <w:jc w:val="left"/>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    截至2026年1月，部门本级和所属各预算单位共有车辆</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 xml:space="preserve"> 辆，其中，领导干部用车 </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 xml:space="preserve"> 辆、一般公务用车 </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 xml:space="preserve"> 辆,一般执法执勤用车</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 xml:space="preserve"> 辆、特种专业技术用车 </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 xml:space="preserve"> 辆、其他用车 </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 xml:space="preserve"> 辆，价值200万元以上大型设备 </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 xml:space="preserve"> 台（套）。</w:t>
      </w:r>
    </w:p>
    <w:p w14:paraId="7CFB465B">
      <w:pPr>
        <w:pStyle w:val="8"/>
        <w:ind w:firstLine="640"/>
        <w:jc w:val="left"/>
        <w:rPr>
          <w:rFonts w:ascii="仿宋" w:hAnsi="仿宋" w:eastAsia="仿宋"/>
          <w:color w:val="auto"/>
          <w:sz w:val="32"/>
          <w:szCs w:val="32"/>
          <w:highlight w:val="none"/>
        </w:rPr>
      </w:pPr>
      <w:r>
        <w:rPr>
          <w:rFonts w:hint="eastAsia" w:ascii="仿宋" w:hAnsi="仿宋" w:eastAsia="仿宋"/>
          <w:color w:val="auto"/>
          <w:sz w:val="32"/>
          <w:szCs w:val="32"/>
          <w:highlight w:val="none"/>
        </w:rPr>
        <w:t>2026年部门预算安排购置车辆及价值200万元以上大型设备</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 xml:space="preserve"> 万元。</w:t>
      </w:r>
    </w:p>
    <w:p w14:paraId="6C4F4062">
      <w:pPr>
        <w:numPr>
          <w:ilvl w:val="0"/>
          <w:numId w:val="5"/>
        </w:numPr>
        <w:ind w:firstLine="640"/>
        <w:jc w:val="left"/>
        <w:rPr>
          <w:rFonts w:ascii="楷体" w:hAnsi="楷体" w:eastAsia="楷体"/>
          <w:color w:val="auto"/>
          <w:sz w:val="32"/>
          <w:szCs w:val="32"/>
          <w:highlight w:val="none"/>
        </w:rPr>
      </w:pPr>
      <w:r>
        <w:rPr>
          <w:rFonts w:hint="eastAsia" w:ascii="楷体" w:hAnsi="楷体" w:eastAsia="楷体"/>
          <w:color w:val="auto"/>
          <w:sz w:val="32"/>
          <w:szCs w:val="32"/>
          <w:highlight w:val="none"/>
        </w:rPr>
        <w:t>预算项目绩效目标管理情况</w:t>
      </w:r>
    </w:p>
    <w:p w14:paraId="2A5558C3">
      <w:pPr>
        <w:jc w:val="left"/>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    按照全面实施预算绩效管理的要求，结合本部门职能和重点工作，2026年将 </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 xml:space="preserve"> 个项目支出的绩效目标和指标向社会公开，涉及金额 </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p>
    <w:p w14:paraId="3C527A83">
      <w:pPr>
        <w:jc w:val="center"/>
        <w:rPr>
          <w:rFonts w:ascii="仿宋" w:hAnsi="仿宋" w:eastAsia="仿宋"/>
          <w:color w:val="auto"/>
          <w:sz w:val="32"/>
          <w:szCs w:val="32"/>
          <w:highlight w:val="none"/>
        </w:rPr>
      </w:pPr>
    </w:p>
    <w:p w14:paraId="5BEAB39C">
      <w:pPr>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第三部分  名词解释</w:t>
      </w:r>
    </w:p>
    <w:p w14:paraId="72BA8D45">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一、一般公共预算拨款收入：指本级财政通过当年一般公共预算拨付的资金。</w:t>
      </w:r>
    </w:p>
    <w:p w14:paraId="2B7CFECE">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二、政府性基金预算拨款收入：指本级财政通过当年政府性基金预算拨付的资金。</w:t>
      </w:r>
    </w:p>
    <w:p w14:paraId="19E1AEFC">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三、国有资本经营预算拨款收入：指本级财政通过当年国有资本经营预算拨付的资金。</w:t>
      </w:r>
    </w:p>
    <w:p w14:paraId="253786D9">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四、其他收入：指除上述收入以外的各项收入。包括银行存款利息收入。</w:t>
      </w:r>
    </w:p>
    <w:p w14:paraId="2EE06A32">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五、基本支出：指为保障机构正常运转、完成日常工作任务而发生的人员支出和公用支出等各项支出。</w:t>
      </w:r>
    </w:p>
    <w:p w14:paraId="3E01DA3E">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六、项目支出：指在基本支出之外为完成特定行政工作任务和事业发展目标所发生的各项支出。</w:t>
      </w:r>
    </w:p>
    <w:p w14:paraId="0FD705C5">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color w:val="auto"/>
          <w:kern w:val="0"/>
          <w:sz w:val="32"/>
          <w:szCs w:val="32"/>
          <w:highlight w:val="none"/>
        </w:rPr>
      </w:pPr>
      <w:r>
        <w:rPr>
          <w:rFonts w:hint="eastAsia" w:ascii="仿宋_GB2312" w:eastAsia="仿宋_GB2312"/>
          <w:color w:val="auto"/>
          <w:sz w:val="32"/>
          <w:szCs w:val="32"/>
          <w:highlight w:val="none"/>
        </w:rPr>
        <w:t>十二、项目支出绩效目标：</w:t>
      </w:r>
      <w:r>
        <w:rPr>
          <w:rFonts w:ascii="仿宋_GB2312" w:hAnsi="仿宋_GB2312" w:eastAsia="仿宋_GB2312" w:cs="Times New Roman"/>
          <w:color w:val="auto"/>
          <w:kern w:val="0"/>
          <w:sz w:val="32"/>
          <w:szCs w:val="32"/>
          <w:highlight w:val="none"/>
        </w:rPr>
        <w:t>是以项目支出为对象，以项目实施所带来的产出和结果为主要内容，</w:t>
      </w:r>
      <w:r>
        <w:rPr>
          <w:rFonts w:hint="eastAsia" w:ascii="仿宋_GB2312" w:hAnsi="仿宋_GB2312" w:eastAsia="仿宋_GB2312" w:cs="Times New Roman"/>
          <w:color w:val="auto"/>
          <w:kern w:val="0"/>
          <w:sz w:val="32"/>
          <w:szCs w:val="32"/>
          <w:highlight w:val="none"/>
        </w:rPr>
        <w:t>为</w:t>
      </w:r>
      <w:r>
        <w:rPr>
          <w:rFonts w:ascii="仿宋_GB2312" w:hAnsi="仿宋_GB2312" w:eastAsia="仿宋_GB2312" w:cs="Times New Roman"/>
          <w:color w:val="auto"/>
          <w:kern w:val="0"/>
          <w:sz w:val="32"/>
          <w:szCs w:val="32"/>
          <w:highlight w:val="none"/>
        </w:rPr>
        <w:t>促进预算单位完成特定工作任务或事业发展</w:t>
      </w:r>
      <w:r>
        <w:rPr>
          <w:rFonts w:hint="eastAsia" w:ascii="仿宋_GB2312" w:hAnsi="仿宋_GB2312" w:eastAsia="仿宋_GB2312" w:cs="Times New Roman"/>
          <w:color w:val="auto"/>
          <w:kern w:val="0"/>
          <w:sz w:val="32"/>
          <w:szCs w:val="32"/>
          <w:highlight w:val="none"/>
        </w:rPr>
        <w:t>所制定的</w:t>
      </w:r>
      <w:r>
        <w:rPr>
          <w:rFonts w:ascii="仿宋_GB2312" w:hAnsi="仿宋_GB2312" w:eastAsia="仿宋_GB2312" w:cs="Times New Roman"/>
          <w:color w:val="auto"/>
          <w:kern w:val="0"/>
          <w:sz w:val="32"/>
          <w:szCs w:val="32"/>
          <w:highlight w:val="none"/>
        </w:rPr>
        <w:t>目标</w:t>
      </w:r>
      <w:r>
        <w:rPr>
          <w:rFonts w:hint="eastAsia" w:ascii="仿宋_GB2312" w:hAnsi="仿宋_GB2312" w:eastAsia="仿宋_GB2312" w:cs="Times New Roman"/>
          <w:color w:val="auto"/>
          <w:kern w:val="0"/>
          <w:sz w:val="32"/>
          <w:szCs w:val="32"/>
          <w:highlight w:val="none"/>
        </w:rPr>
        <w:t>。</w:t>
      </w:r>
    </w:p>
    <w:p w14:paraId="4CFE9CC6">
      <w:pPr>
        <w:ind w:firstLine="640" w:firstLineChars="200"/>
        <w:rPr>
          <w:rFonts w:ascii="仿宋_GB2312" w:eastAsia="仿宋_GB2312"/>
          <w:color w:val="auto"/>
          <w:sz w:val="32"/>
          <w:szCs w:val="32"/>
          <w:highlight w:val="none"/>
        </w:rPr>
      </w:pPr>
    </w:p>
    <w:p w14:paraId="38433E3C">
      <w:pPr>
        <w:jc w:val="left"/>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 </w:t>
      </w:r>
    </w:p>
    <w:p w14:paraId="1B9DA4B3">
      <w:pPr>
        <w:ind w:firstLine="2240" w:firstLineChars="700"/>
        <w:jc w:val="both"/>
        <w:rPr>
          <w:rFonts w:ascii="仿宋" w:hAnsi="仿宋" w:eastAsia="仿宋"/>
          <w:color w:val="auto"/>
          <w:sz w:val="32"/>
          <w:szCs w:val="32"/>
          <w:highlight w:val="none"/>
        </w:rPr>
      </w:pPr>
      <w:r>
        <w:rPr>
          <w:rFonts w:hint="eastAsia" w:ascii="仿宋" w:hAnsi="仿宋" w:eastAsia="仿宋"/>
          <w:color w:val="auto"/>
          <w:sz w:val="32"/>
          <w:szCs w:val="32"/>
          <w:highlight w:val="none"/>
        </w:rPr>
        <w:t>第四部分  预算表格</w:t>
      </w:r>
    </w:p>
    <w:p w14:paraId="0252C055">
      <w:pPr>
        <w:jc w:val="left"/>
        <w:rPr>
          <w:rFonts w:ascii="仿宋" w:hAnsi="仿宋" w:eastAsia="仿宋"/>
          <w:color w:val="auto"/>
          <w:sz w:val="32"/>
          <w:szCs w:val="32"/>
          <w:highlight w:val="none"/>
        </w:rPr>
      </w:pPr>
      <w:r>
        <w:rPr>
          <w:rFonts w:hint="eastAsia" w:ascii="仿宋" w:hAnsi="仿宋" w:eastAsia="仿宋"/>
          <w:color w:val="auto"/>
          <w:sz w:val="32"/>
          <w:szCs w:val="32"/>
          <w:highlight w:val="none"/>
        </w:rPr>
        <w:t>2026年部门预算表套表（预算一体化-“预算编制”模块-预算编制帆软报表查询中提取相应数据）。</w:t>
      </w:r>
    </w:p>
    <w:p w14:paraId="2FFB2AE9">
      <w:pPr>
        <w:rPr>
          <w:rFonts w:ascii="仿宋" w:hAnsi="仿宋" w:eastAsia="仿宋"/>
          <w:color w:val="auto"/>
          <w:sz w:val="32"/>
          <w:szCs w:val="32"/>
          <w:highlight w:val="none"/>
        </w:rPr>
      </w:pPr>
    </w:p>
    <w:p w14:paraId="00E3AD42">
      <w:pPr>
        <w:rPr>
          <w:rFonts w:ascii="仿宋" w:hAnsi="仿宋" w:eastAsia="仿宋"/>
          <w:b/>
          <w:color w:val="auto"/>
          <w:sz w:val="32"/>
          <w:szCs w:val="32"/>
          <w:highlight w:val="none"/>
        </w:rPr>
      </w:pPr>
      <w:r>
        <w:rPr>
          <w:rFonts w:hint="eastAsia" w:ascii="仿宋" w:hAnsi="仿宋" w:eastAsia="仿宋"/>
          <w:b/>
          <w:color w:val="auto"/>
          <w:sz w:val="32"/>
          <w:szCs w:val="32"/>
          <w:highlight w:val="none"/>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46DC6A"/>
    <w:multiLevelType w:val="singleLevel"/>
    <w:tmpl w:val="DB46DC6A"/>
    <w:lvl w:ilvl="0" w:tentative="0">
      <w:start w:val="1"/>
      <w:numFmt w:val="decimal"/>
      <w:lvlText w:val="%1."/>
      <w:lvlJc w:val="left"/>
      <w:pPr>
        <w:tabs>
          <w:tab w:val="left" w:pos="312"/>
        </w:tabs>
      </w:pPr>
    </w:lvl>
  </w:abstractNum>
  <w:abstractNum w:abstractNumId="1">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2">
    <w:nsid w:val="2480E559"/>
    <w:multiLevelType w:val="singleLevel"/>
    <w:tmpl w:val="2480E559"/>
    <w:lvl w:ilvl="0" w:tentative="0">
      <w:start w:val="4"/>
      <w:numFmt w:val="chineseCounting"/>
      <w:suff w:val="nothing"/>
      <w:lvlText w:val="（%1）"/>
      <w:lvlJc w:val="left"/>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67390A"/>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65A5F2F"/>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651762"/>
    <w:rsid w:val="27742DDB"/>
    <w:rsid w:val="27747EDE"/>
    <w:rsid w:val="277B13CF"/>
    <w:rsid w:val="285B5D80"/>
    <w:rsid w:val="28753BF0"/>
    <w:rsid w:val="28AA47B7"/>
    <w:rsid w:val="28CB641B"/>
    <w:rsid w:val="29207EE3"/>
    <w:rsid w:val="2AC832F5"/>
    <w:rsid w:val="2D742D12"/>
    <w:rsid w:val="2E3342C6"/>
    <w:rsid w:val="32AA54A3"/>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7D7FF4"/>
    <w:rsid w:val="5C982767"/>
    <w:rsid w:val="5CD80EBE"/>
    <w:rsid w:val="5CFA751D"/>
    <w:rsid w:val="5D580A8A"/>
    <w:rsid w:val="5DB8541C"/>
    <w:rsid w:val="5E221344"/>
    <w:rsid w:val="5E32788E"/>
    <w:rsid w:val="5E6D3843"/>
    <w:rsid w:val="5FB128C2"/>
    <w:rsid w:val="60731B65"/>
    <w:rsid w:val="60D72763"/>
    <w:rsid w:val="61525EF8"/>
    <w:rsid w:val="615F5A3C"/>
    <w:rsid w:val="62B666A5"/>
    <w:rsid w:val="62E15FE9"/>
    <w:rsid w:val="65255B39"/>
    <w:rsid w:val="659C7B1A"/>
    <w:rsid w:val="65E847CC"/>
    <w:rsid w:val="67286561"/>
    <w:rsid w:val="6781442B"/>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2868</Words>
  <Characters>3122</Characters>
  <Lines>21</Lines>
  <Paragraphs>6</Paragraphs>
  <TotalTime>15</TotalTime>
  <ScaleCrop>false</ScaleCrop>
  <LinksUpToDate>false</LinksUpToDate>
  <CharactersWithSpaces>3244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13843261015</cp:lastModifiedBy>
  <dcterms:modified xsi:type="dcterms:W3CDTF">2026-03-23T07:17:09Z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eyJoZGlkIjoiN2U3NGIyMWVlNjEzNmVmYTQwMGM2MWE5MDAzNDM3MWYiLCJ1c2VySWQiOiIxNzkxODMxNzk1In0=</vt:lpwstr>
  </property>
</Properties>
</file>