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2DA35FA2">
      <w:pPr>
        <w:jc w:val="center"/>
        <w:rPr>
          <w:rFonts w:hint="eastAsia" w:ascii="黑体" w:hAnsi="黑体" w:eastAsia="黑体"/>
          <w:sz w:val="52"/>
          <w:szCs w:val="52"/>
        </w:rPr>
      </w:pPr>
      <w:r>
        <w:rPr>
          <w:rFonts w:hint="eastAsia" w:ascii="黑体" w:hAnsi="黑体" w:eastAsia="黑体"/>
          <w:sz w:val="52"/>
          <w:szCs w:val="52"/>
        </w:rPr>
        <w:t>永吉县第十三中学</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6</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none"/>
        </w:rPr>
        <w:t>二〇二</w:t>
      </w:r>
      <w:r>
        <w:rPr>
          <w:rFonts w:hint="eastAsia" w:ascii="黑体" w:hAnsi="黑体" w:eastAsia="黑体"/>
          <w:sz w:val="44"/>
          <w:szCs w:val="44"/>
          <w:highlight w:val="none"/>
          <w:lang w:val="en-US" w:eastAsia="zh-CN"/>
        </w:rPr>
        <w:t>六</w:t>
      </w:r>
      <w:r>
        <w:rPr>
          <w:rFonts w:hint="eastAsia" w:ascii="黑体" w:hAnsi="黑体" w:eastAsia="黑体"/>
          <w:sz w:val="44"/>
          <w:szCs w:val="44"/>
          <w:highlight w:val="none"/>
        </w:rPr>
        <w:t>年</w:t>
      </w:r>
      <w:r>
        <w:rPr>
          <w:rFonts w:hint="eastAsia" w:ascii="黑体" w:hAnsi="黑体" w:eastAsia="黑体"/>
          <w:sz w:val="44"/>
          <w:szCs w:val="44"/>
          <w:highlight w:val="none"/>
          <w:lang w:val="en-US" w:eastAsia="zh-CN"/>
        </w:rPr>
        <w:t>三</w:t>
      </w:r>
      <w:r>
        <w:rPr>
          <w:rFonts w:hint="eastAsia" w:ascii="黑体" w:hAnsi="黑体" w:eastAsia="黑体"/>
          <w:sz w:val="44"/>
          <w:szCs w:val="44"/>
          <w:highlight w:val="none"/>
        </w:rPr>
        <w:t>月</w:t>
      </w:r>
      <w:r>
        <w:rPr>
          <w:rFonts w:hint="eastAsia" w:ascii="黑体" w:hAnsi="黑体" w:eastAsia="黑体"/>
          <w:sz w:val="44"/>
          <w:szCs w:val="44"/>
          <w:highlight w:val="none"/>
          <w:lang w:val="en-US" w:eastAsia="zh-CN"/>
        </w:rPr>
        <w:t>二</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27B78E3A">
      <w:pPr>
        <w:jc w:val="center"/>
        <w:rPr>
          <w:rFonts w:ascii="黑体" w:hAnsi="黑体" w:eastAsia="黑体"/>
          <w:sz w:val="44"/>
          <w:szCs w:val="44"/>
        </w:rPr>
      </w:pPr>
      <w:r>
        <w:rPr>
          <w:rFonts w:hint="eastAsia" w:ascii="黑体" w:hAnsi="黑体" w:eastAsia="黑体"/>
          <w:sz w:val="44"/>
          <w:szCs w:val="44"/>
        </w:rPr>
        <w:t>永吉县第十三中学</w:t>
      </w:r>
    </w:p>
    <w:p w14:paraId="406F54B2">
      <w:pPr>
        <w:jc w:val="center"/>
        <w:rPr>
          <w:rFonts w:ascii="黑体" w:hAnsi="黑体" w:eastAsia="黑体"/>
          <w:sz w:val="44"/>
          <w:szCs w:val="44"/>
        </w:rPr>
      </w:pPr>
      <w:r>
        <w:rPr>
          <w:rFonts w:hint="eastAsia" w:ascii="黑体" w:hAnsi="黑体" w:eastAsia="黑体"/>
          <w:sz w:val="44"/>
          <w:szCs w:val="44"/>
        </w:rPr>
        <w:t>202</w:t>
      </w:r>
      <w:r>
        <w:rPr>
          <w:rFonts w:hint="eastAsia" w:ascii="黑体" w:hAnsi="黑体" w:eastAsia="黑体"/>
          <w:sz w:val="44"/>
          <w:szCs w:val="44"/>
          <w:lang w:val="en-US" w:eastAsia="zh-CN"/>
        </w:rPr>
        <w:t>6</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10"/>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10"/>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10"/>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10"/>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10"/>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10"/>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10"/>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10"/>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10"/>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10"/>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10"/>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549DAA5E">
      <w:pPr>
        <w:pStyle w:val="10"/>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E4B78C4">
      <w:pPr>
        <w:pStyle w:val="12"/>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名称：永吉县第十三中学</w:t>
      </w:r>
    </w:p>
    <w:p w14:paraId="09235EBC">
      <w:pPr>
        <w:pStyle w:val="12"/>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：全额拨款</w:t>
      </w:r>
    </w:p>
    <w:p w14:paraId="6DA78F3D">
      <w:pPr>
        <w:pStyle w:val="12"/>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p>
    <w:p w14:paraId="7B9A48F3">
      <w:pPr>
        <w:pStyle w:val="4"/>
        <w:widowControl/>
        <w:shd w:val="clear" w:color="auto" w:fill="FFFFFF"/>
        <w:spacing w:beforeAutospacing="0" w:afterAutospacing="0" w:line="33" w:lineRule="atLeast"/>
        <w:ind w:firstLine="420"/>
        <w:jc w:val="both"/>
        <w:rPr>
          <w:rFonts w:ascii="仿宋_GB2312" w:eastAsia="仿宋_GB2312" w:cstheme="minorBidi"/>
          <w:kern w:val="2"/>
          <w:sz w:val="32"/>
          <w:szCs w:val="32"/>
        </w:rPr>
      </w:pPr>
      <w:r>
        <w:rPr>
          <w:rFonts w:hint="eastAsia" w:ascii="仿宋_GB2312" w:eastAsia="仿宋_GB2312" w:cstheme="minorBidi"/>
          <w:kern w:val="2"/>
          <w:sz w:val="32"/>
          <w:szCs w:val="32"/>
        </w:rPr>
        <w:t>1、遵守法律、法规；</w:t>
      </w:r>
    </w:p>
    <w:p w14:paraId="57831962">
      <w:pPr>
        <w:pStyle w:val="4"/>
        <w:widowControl/>
        <w:shd w:val="clear" w:color="auto" w:fill="FFFFFF"/>
        <w:spacing w:beforeAutospacing="0" w:afterAutospacing="0" w:line="33" w:lineRule="atLeast"/>
        <w:ind w:firstLine="420"/>
        <w:jc w:val="both"/>
        <w:rPr>
          <w:rFonts w:ascii="仿宋_GB2312" w:eastAsia="仿宋_GB2312" w:cstheme="minorBidi"/>
          <w:kern w:val="2"/>
          <w:sz w:val="32"/>
          <w:szCs w:val="32"/>
        </w:rPr>
      </w:pPr>
      <w:r>
        <w:rPr>
          <w:rFonts w:hint="eastAsia" w:ascii="仿宋_GB2312" w:eastAsia="仿宋_GB2312" w:cstheme="minorBidi"/>
          <w:kern w:val="2"/>
          <w:sz w:val="32"/>
          <w:szCs w:val="32"/>
        </w:rPr>
        <w:t>2、贯彻国家的教育方针，执行国家教育教学标准，保证教育教学质量；</w:t>
      </w:r>
    </w:p>
    <w:p w14:paraId="66FD59F9">
      <w:pPr>
        <w:pStyle w:val="4"/>
        <w:widowControl/>
        <w:shd w:val="clear" w:color="auto" w:fill="FFFFFF"/>
        <w:spacing w:beforeAutospacing="0" w:afterAutospacing="0" w:line="33" w:lineRule="atLeast"/>
        <w:ind w:firstLine="420"/>
        <w:jc w:val="both"/>
        <w:rPr>
          <w:rFonts w:ascii="仿宋_GB2312" w:eastAsia="仿宋_GB2312" w:cstheme="minorBidi"/>
          <w:kern w:val="2"/>
          <w:sz w:val="32"/>
          <w:szCs w:val="32"/>
        </w:rPr>
      </w:pPr>
      <w:r>
        <w:rPr>
          <w:rFonts w:hint="eastAsia" w:ascii="仿宋_GB2312" w:eastAsia="仿宋_GB2312" w:cstheme="minorBidi"/>
          <w:kern w:val="2"/>
          <w:sz w:val="32"/>
          <w:szCs w:val="32"/>
        </w:rPr>
        <w:t>3、维护受教育者、教师及其他职工的合法权益；</w:t>
      </w:r>
    </w:p>
    <w:p w14:paraId="50A4A123">
      <w:pPr>
        <w:pStyle w:val="4"/>
        <w:widowControl/>
        <w:shd w:val="clear" w:color="auto" w:fill="FFFFFF"/>
        <w:spacing w:beforeAutospacing="0" w:afterAutospacing="0" w:line="33" w:lineRule="atLeast"/>
        <w:ind w:firstLine="420"/>
        <w:jc w:val="both"/>
        <w:rPr>
          <w:rFonts w:ascii="仿宋_GB2312" w:eastAsia="仿宋_GB2312" w:cstheme="minorBidi"/>
          <w:kern w:val="2"/>
          <w:sz w:val="32"/>
          <w:szCs w:val="32"/>
        </w:rPr>
      </w:pPr>
      <w:r>
        <w:rPr>
          <w:rFonts w:hint="eastAsia" w:ascii="仿宋_GB2312" w:eastAsia="仿宋_GB2312" w:cstheme="minorBidi"/>
          <w:kern w:val="2"/>
          <w:sz w:val="32"/>
          <w:szCs w:val="32"/>
        </w:rPr>
        <w:t>4、以适当方式为受教育者及其监护人了解受教育者的学业成绩及其他有关情况提供便利；</w:t>
      </w:r>
    </w:p>
    <w:p w14:paraId="2C80B3B2">
      <w:pPr>
        <w:pStyle w:val="4"/>
        <w:widowControl/>
        <w:shd w:val="clear" w:color="auto" w:fill="FFFFFF"/>
        <w:spacing w:beforeAutospacing="0" w:afterAutospacing="0" w:line="33" w:lineRule="atLeast"/>
        <w:ind w:firstLine="420"/>
        <w:jc w:val="both"/>
        <w:rPr>
          <w:rFonts w:ascii="仿宋_GB2312" w:eastAsia="仿宋_GB2312" w:cstheme="minorBidi"/>
          <w:kern w:val="2"/>
          <w:sz w:val="32"/>
          <w:szCs w:val="32"/>
        </w:rPr>
      </w:pPr>
      <w:r>
        <w:rPr>
          <w:rFonts w:hint="eastAsia" w:ascii="仿宋_GB2312" w:eastAsia="仿宋_GB2312" w:cstheme="minorBidi"/>
          <w:kern w:val="2"/>
          <w:sz w:val="32"/>
          <w:szCs w:val="32"/>
        </w:rPr>
        <w:t>5、依法接受监督；</w:t>
      </w:r>
    </w:p>
    <w:p w14:paraId="5399166F">
      <w:pPr>
        <w:pStyle w:val="4"/>
        <w:widowControl/>
        <w:shd w:val="clear" w:color="auto" w:fill="FFFFFF"/>
        <w:spacing w:beforeAutospacing="0" w:afterAutospacing="0" w:line="33" w:lineRule="atLeast"/>
        <w:ind w:firstLine="420"/>
        <w:jc w:val="both"/>
        <w:rPr>
          <w:rFonts w:ascii="仿宋_GB2312" w:eastAsia="仿宋_GB2312" w:cstheme="minorBidi"/>
          <w:kern w:val="2"/>
          <w:sz w:val="32"/>
          <w:szCs w:val="32"/>
        </w:rPr>
      </w:pPr>
      <w:r>
        <w:rPr>
          <w:rFonts w:hint="eastAsia" w:ascii="仿宋_GB2312" w:eastAsia="仿宋_GB2312" w:cstheme="minorBidi"/>
          <w:kern w:val="2"/>
          <w:sz w:val="32"/>
          <w:szCs w:val="32"/>
        </w:rPr>
        <w:t>6、按照章程自主管理；</w:t>
      </w:r>
    </w:p>
    <w:p w14:paraId="71F217CC">
      <w:pPr>
        <w:pStyle w:val="4"/>
        <w:widowControl/>
        <w:shd w:val="clear" w:color="auto" w:fill="FFFFFF"/>
        <w:spacing w:beforeAutospacing="0" w:afterAutospacing="0" w:line="33" w:lineRule="atLeast"/>
        <w:ind w:firstLine="420"/>
        <w:jc w:val="both"/>
        <w:rPr>
          <w:rFonts w:ascii="仿宋_GB2312" w:eastAsia="仿宋_GB2312" w:cstheme="minorBidi"/>
          <w:kern w:val="2"/>
          <w:sz w:val="32"/>
          <w:szCs w:val="32"/>
        </w:rPr>
      </w:pPr>
      <w:r>
        <w:rPr>
          <w:rFonts w:hint="eastAsia" w:ascii="仿宋_GB2312" w:eastAsia="仿宋_GB2312" w:cstheme="minorBidi"/>
          <w:kern w:val="2"/>
          <w:sz w:val="32"/>
          <w:szCs w:val="32"/>
        </w:rPr>
        <w:t>7、组织实施教育教学活动；</w:t>
      </w:r>
    </w:p>
    <w:p w14:paraId="42CFAFDD">
      <w:pPr>
        <w:pStyle w:val="4"/>
        <w:widowControl/>
        <w:shd w:val="clear" w:color="auto" w:fill="FFFFFF"/>
        <w:spacing w:beforeAutospacing="0" w:afterAutospacing="0" w:line="33" w:lineRule="atLeast"/>
        <w:ind w:firstLine="420"/>
        <w:jc w:val="both"/>
        <w:rPr>
          <w:rFonts w:ascii="仿宋_GB2312" w:eastAsia="仿宋_GB2312" w:cstheme="minorBidi"/>
          <w:kern w:val="2"/>
          <w:sz w:val="32"/>
          <w:szCs w:val="32"/>
        </w:rPr>
      </w:pPr>
      <w:r>
        <w:rPr>
          <w:rFonts w:hint="eastAsia" w:ascii="仿宋_GB2312" w:eastAsia="仿宋_GB2312" w:cstheme="minorBidi"/>
          <w:kern w:val="2"/>
          <w:sz w:val="32"/>
          <w:szCs w:val="32"/>
        </w:rPr>
        <w:t>8、对受教育者进行学籍管理，实施奖励或者处分；</w:t>
      </w:r>
    </w:p>
    <w:p w14:paraId="69F9FE8B">
      <w:pPr>
        <w:pStyle w:val="4"/>
        <w:widowControl/>
        <w:shd w:val="clear" w:color="auto" w:fill="FFFFFF"/>
        <w:spacing w:beforeAutospacing="0" w:afterAutospacing="0" w:line="33" w:lineRule="atLeast"/>
        <w:ind w:firstLine="420"/>
        <w:jc w:val="both"/>
        <w:rPr>
          <w:rFonts w:ascii="仿宋_GB2312" w:eastAsia="仿宋_GB2312" w:cstheme="minorBidi"/>
          <w:kern w:val="2"/>
          <w:sz w:val="32"/>
          <w:szCs w:val="32"/>
        </w:rPr>
      </w:pPr>
      <w:r>
        <w:rPr>
          <w:rFonts w:hint="eastAsia" w:ascii="仿宋_GB2312" w:eastAsia="仿宋_GB2312" w:cstheme="minorBidi"/>
          <w:kern w:val="2"/>
          <w:sz w:val="32"/>
          <w:szCs w:val="32"/>
        </w:rPr>
        <w:t>9、对受教育者颁发相应的学业证书；</w:t>
      </w:r>
    </w:p>
    <w:p w14:paraId="74CBBB0B">
      <w:pPr>
        <w:pStyle w:val="4"/>
        <w:widowControl/>
        <w:shd w:val="clear" w:color="auto" w:fill="FFFFFF"/>
        <w:spacing w:beforeAutospacing="0" w:afterAutospacing="0" w:line="33" w:lineRule="atLeast"/>
        <w:ind w:firstLine="420"/>
        <w:jc w:val="both"/>
        <w:rPr>
          <w:rFonts w:ascii="仿宋_GB2312" w:eastAsia="仿宋_GB2312" w:cstheme="minorBidi"/>
          <w:kern w:val="2"/>
          <w:sz w:val="32"/>
          <w:szCs w:val="32"/>
        </w:rPr>
      </w:pPr>
      <w:r>
        <w:rPr>
          <w:rFonts w:hint="eastAsia" w:ascii="仿宋_GB2312" w:eastAsia="仿宋_GB2312" w:cstheme="minorBidi"/>
          <w:kern w:val="2"/>
          <w:sz w:val="32"/>
          <w:szCs w:val="32"/>
        </w:rPr>
        <w:t>10、聘任教师及其他职工，实施奖励或者处分；</w:t>
      </w:r>
    </w:p>
    <w:p w14:paraId="6A8CB69C">
      <w:pPr>
        <w:pStyle w:val="4"/>
        <w:widowControl/>
        <w:shd w:val="clear" w:color="auto" w:fill="FFFFFF"/>
        <w:spacing w:beforeAutospacing="0" w:afterAutospacing="0" w:line="33" w:lineRule="atLeast"/>
        <w:ind w:firstLine="420"/>
        <w:jc w:val="both"/>
        <w:rPr>
          <w:rFonts w:ascii="仿宋_GB2312" w:eastAsia="仿宋_GB2312" w:cstheme="minorBidi"/>
          <w:kern w:val="2"/>
          <w:sz w:val="32"/>
          <w:szCs w:val="32"/>
        </w:rPr>
      </w:pPr>
      <w:r>
        <w:rPr>
          <w:rFonts w:hint="eastAsia" w:ascii="仿宋_GB2312" w:eastAsia="仿宋_GB2312" w:cstheme="minorBidi"/>
          <w:kern w:val="2"/>
          <w:sz w:val="32"/>
          <w:szCs w:val="32"/>
        </w:rPr>
        <w:t>11、管理、使用本单位的设施和经费；</w:t>
      </w:r>
    </w:p>
    <w:p w14:paraId="5E40B679">
      <w:pPr>
        <w:pStyle w:val="12"/>
        <w:widowControl/>
        <w:spacing w:line="620" w:lineRule="exact"/>
        <w:ind w:firstLine="320" w:firstLineChars="100"/>
        <w:contextualSpacing/>
        <w:rPr>
          <w:rFonts w:hint="eastAsia" w:ascii="仿宋" w:hAnsi="仿宋" w:eastAsia="仿宋"/>
          <w:bCs/>
          <w:kern w:val="0"/>
          <w:sz w:val="32"/>
          <w:szCs w:val="32"/>
        </w:rPr>
      </w:pPr>
      <w:r>
        <w:rPr>
          <w:rFonts w:hint="eastAsia" w:ascii="仿宋_GB2312" w:eastAsia="仿宋_GB2312" w:hAnsiTheme="minorHAnsi" w:cstheme="minorBidi"/>
          <w:sz w:val="32"/>
          <w:szCs w:val="32"/>
        </w:rPr>
        <w:t>12、拒绝任何组织和个人对教育教学活动的非法干涉。</w:t>
      </w:r>
    </w:p>
    <w:p w14:paraId="263689DE">
      <w:pPr>
        <w:pStyle w:val="12"/>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主要业务：</w:t>
      </w:r>
    </w:p>
    <w:p w14:paraId="2745E162">
      <w:pPr>
        <w:pStyle w:val="12"/>
        <w:widowControl/>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实施中学义务教育 促进基础教育发展 中学学历教育</w:t>
      </w:r>
    </w:p>
    <w:p w14:paraId="15ACD9B6">
      <w:pPr>
        <w:pStyle w:val="12"/>
        <w:widowControl/>
        <w:spacing w:line="620" w:lineRule="exact"/>
        <w:ind w:firstLine="627" w:firstLineChars="196"/>
        <w:contextualSpacing/>
        <w:rPr>
          <w:rFonts w:hint="eastAsia" w:ascii="仿宋" w:hAnsi="仿宋" w:eastAsia="仿宋"/>
          <w:kern w:val="0"/>
          <w:sz w:val="32"/>
          <w:szCs w:val="32"/>
        </w:rPr>
      </w:pPr>
    </w:p>
    <w:p w14:paraId="6D752CA2">
      <w:pPr>
        <w:pStyle w:val="12"/>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022FE967">
      <w:pPr>
        <w:pStyle w:val="14"/>
        <w:ind w:firstLine="627" w:firstLineChars="196"/>
        <w:rPr>
          <w:rFonts w:ascii="仿宋" w:hAnsi="仿宋" w:eastAsia="仿宋"/>
          <w:kern w:val="0"/>
          <w:szCs w:val="32"/>
        </w:rPr>
      </w:pPr>
      <w:r>
        <w:rPr>
          <w:rFonts w:hint="eastAsia" w:ascii="仿宋_GB2312" w:eastAsia="仿宋_GB2312"/>
          <w:sz w:val="32"/>
          <w:szCs w:val="32"/>
        </w:rPr>
        <w:t>本部门内设机构</w:t>
      </w:r>
      <w:r>
        <w:rPr>
          <w:rFonts w:hint="eastAsia" w:ascii="仿宋_GB2312" w:eastAsia="仿宋_GB2312"/>
          <w:sz w:val="32"/>
          <w:szCs w:val="32"/>
          <w:lang w:eastAsia="zh-CN"/>
        </w:rPr>
        <w:t>：</w:t>
      </w:r>
      <w:r>
        <w:rPr>
          <w:rFonts w:hint="eastAsia" w:ascii="仿宋" w:hAnsi="仿宋" w:eastAsia="仿宋"/>
          <w:bCs/>
          <w:kern w:val="0"/>
          <w:sz w:val="32"/>
          <w:szCs w:val="32"/>
        </w:rPr>
        <w:t>永吉县第十三中学</w:t>
      </w:r>
      <w:r>
        <w:rPr>
          <w:rFonts w:hint="eastAsia" w:ascii="仿宋_GB2312" w:eastAsia="仿宋_GB2312"/>
          <w:sz w:val="32"/>
          <w:szCs w:val="32"/>
        </w:rPr>
        <w:t>，</w:t>
      </w:r>
      <w:r>
        <w:rPr>
          <w:rFonts w:hint="eastAsia" w:ascii="仿宋" w:hAnsi="仿宋" w:eastAsia="仿宋"/>
          <w:kern w:val="0"/>
          <w:szCs w:val="32"/>
        </w:rPr>
        <w:t>在职人员</w:t>
      </w:r>
      <w:r>
        <w:rPr>
          <w:rFonts w:hint="eastAsia" w:ascii="仿宋" w:hAnsi="仿宋" w:eastAsia="仿宋"/>
          <w:kern w:val="0"/>
          <w:szCs w:val="32"/>
          <w:lang w:val="en-US" w:eastAsia="zh-CN"/>
        </w:rPr>
        <w:t>43</w:t>
      </w:r>
      <w:r>
        <w:rPr>
          <w:rFonts w:hint="eastAsia" w:ascii="仿宋" w:hAnsi="仿宋" w:eastAsia="仿宋"/>
          <w:kern w:val="0"/>
          <w:szCs w:val="32"/>
        </w:rPr>
        <w:t>人，编制数</w:t>
      </w:r>
      <w:r>
        <w:rPr>
          <w:rFonts w:hint="eastAsia" w:ascii="仿宋" w:hAnsi="仿宋" w:eastAsia="仿宋"/>
          <w:kern w:val="0"/>
          <w:szCs w:val="32"/>
          <w:lang w:val="en-US" w:eastAsia="zh-CN"/>
        </w:rPr>
        <w:t>51</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08C38348">
      <w:pPr>
        <w:jc w:val="left"/>
        <w:rPr>
          <w:rFonts w:hint="eastAsia" w:ascii="黑体" w:hAnsi="黑体" w:eastAsia="黑体"/>
          <w:sz w:val="32"/>
          <w:szCs w:val="32"/>
        </w:rPr>
      </w:pPr>
      <w:r>
        <w:rPr>
          <w:rFonts w:hint="eastAsia" w:ascii="仿宋" w:hAnsi="仿宋" w:eastAsia="仿宋"/>
          <w:sz w:val="32"/>
          <w:szCs w:val="32"/>
        </w:rPr>
        <w:t xml:space="preserve">   </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6</w:t>
      </w:r>
      <w:r>
        <w:rPr>
          <w:rFonts w:hint="eastAsia" w:ascii="楷体" w:hAnsi="楷体" w:eastAsia="楷体"/>
          <w:sz w:val="32"/>
          <w:szCs w:val="32"/>
        </w:rPr>
        <w:t>年收支预算总体情况</w:t>
      </w:r>
    </w:p>
    <w:p w14:paraId="69C5A4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firstLineChars="200"/>
        <w:jc w:val="left"/>
        <w:rPr>
          <w:color w:val="000000"/>
          <w:sz w:val="24"/>
          <w:szCs w:val="24"/>
        </w:rPr>
      </w:pPr>
      <w:r>
        <w:rPr>
          <w:rFonts w:hint="eastAsia" w:ascii="仿宋_GB2312" w:hAnsi="Calibri" w:eastAsia="仿宋_GB2312" w:cs="Times New Roman"/>
          <w:kern w:val="2"/>
          <w:sz w:val="32"/>
          <w:szCs w:val="32"/>
          <w:lang w:val="en-US" w:eastAsia="zh-CN" w:bidi="ar-SA"/>
        </w:rPr>
        <w:t>按照综合预算的原则，所有收入和支出全部纳入部门预算管理。收入包括一般公共预算拨款收入、政府性基金预算拨款收入、其他收入等；支出包括教育支出、社会保障和就业支出、住房保障支出等。2026 年收支总预算589.56 万元，比 2025 年预算数 542.94 万元增加46.62 万元，主要原因：人员经费标准调整、生均公用经费及取暖费相关项目预算增加。</w:t>
      </w:r>
    </w:p>
    <w:p w14:paraId="0594D500">
      <w:pPr>
        <w:pStyle w:val="13"/>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6</w:t>
      </w:r>
      <w:r>
        <w:rPr>
          <w:rFonts w:hint="eastAsia" w:ascii="楷体" w:hAnsi="楷体" w:eastAsia="楷体"/>
          <w:sz w:val="32"/>
          <w:szCs w:val="32"/>
        </w:rPr>
        <w:t>年收入预算情况</w:t>
      </w:r>
    </w:p>
    <w:p w14:paraId="5CA57935">
      <w:pPr>
        <w:ind w:firstLine="640" w:firstLineChars="200"/>
        <w:rPr>
          <w:rFonts w:ascii="仿宋" w:hAnsi="仿宋" w:eastAsia="仿宋"/>
          <w:sz w:val="32"/>
          <w:szCs w:val="32"/>
        </w:rPr>
      </w:pPr>
      <w:r>
        <w:rPr>
          <w:rFonts w:hint="eastAsia" w:ascii="仿宋" w:hAnsi="仿宋" w:eastAsia="仿宋"/>
          <w:sz w:val="32"/>
          <w:szCs w:val="32"/>
          <w:lang w:val="en-US" w:eastAsia="zh-CN"/>
        </w:rPr>
        <w:t>2026 年本单位收入预算589.56 万元，其中：</w:t>
      </w:r>
      <w:r>
        <w:rPr>
          <w:rFonts w:hint="eastAsia" w:ascii="仿宋" w:hAnsi="仿宋" w:eastAsia="仿宋"/>
          <w:sz w:val="32"/>
          <w:szCs w:val="32"/>
        </w:rPr>
        <w:t>一般公共预算收入589.56 万元，占 100%；政府性基金收入0 万元，占 0%。</w:t>
      </w:r>
    </w:p>
    <w:p w14:paraId="262A2F8F">
      <w:pPr>
        <w:pStyle w:val="13"/>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6</w:t>
      </w:r>
      <w:r>
        <w:rPr>
          <w:rFonts w:hint="eastAsia" w:ascii="楷体" w:hAnsi="楷体" w:eastAsia="楷体"/>
          <w:sz w:val="32"/>
          <w:szCs w:val="32"/>
        </w:rPr>
        <w:t>年支出预算情况</w:t>
      </w:r>
    </w:p>
    <w:p w14:paraId="370F6D6E">
      <w:pPr>
        <w:ind w:firstLine="640" w:firstLineChars="200"/>
        <w:rPr>
          <w:rFonts w:ascii="仿宋" w:hAnsi="仿宋" w:eastAsia="仿宋"/>
          <w:sz w:val="32"/>
          <w:szCs w:val="32"/>
        </w:rPr>
      </w:pPr>
      <w:r>
        <w:rPr>
          <w:rFonts w:hint="eastAsia" w:ascii="仿宋" w:hAnsi="仿宋" w:eastAsia="仿宋"/>
          <w:sz w:val="32"/>
          <w:szCs w:val="32"/>
          <w:lang w:val="en-US" w:eastAsia="zh-CN"/>
        </w:rPr>
        <w:t>2026 年支出预算589.56 万元，其中：</w:t>
      </w:r>
      <w:r>
        <w:rPr>
          <w:rFonts w:hint="eastAsia" w:ascii="仿宋" w:hAnsi="仿宋" w:eastAsia="仿宋"/>
          <w:sz w:val="32"/>
          <w:szCs w:val="32"/>
        </w:rPr>
        <w:t>基本支出574.79 万元，占 97.5%；项目支出14.77 万元，占 2.5%。</w:t>
      </w:r>
    </w:p>
    <w:p w14:paraId="51040F2B">
      <w:pPr>
        <w:pStyle w:val="13"/>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6</w:t>
      </w:r>
      <w:r>
        <w:rPr>
          <w:rFonts w:hint="eastAsia" w:ascii="楷体" w:hAnsi="楷体" w:eastAsia="楷体"/>
          <w:sz w:val="32"/>
          <w:szCs w:val="32"/>
        </w:rPr>
        <w:t>年财政拨款收支预算情况</w:t>
      </w:r>
    </w:p>
    <w:p w14:paraId="02A0F2EA">
      <w:pPr>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2026 年财政拨款收支总预算589.56 万元，其中：本年收入589.56 万元，本年支出589.56 万元。支出包括：</w:t>
      </w:r>
      <w:r>
        <w:rPr>
          <w:rFonts w:hint="eastAsia" w:ascii="仿宋" w:hAnsi="仿宋" w:eastAsia="仿宋"/>
          <w:sz w:val="32"/>
          <w:szCs w:val="32"/>
        </w:rPr>
        <w:t>教育支出480.21 万元</w:t>
      </w:r>
      <w:r>
        <w:rPr>
          <w:rFonts w:hint="eastAsia" w:ascii="仿宋" w:hAnsi="仿宋" w:eastAsia="仿宋"/>
          <w:sz w:val="32"/>
          <w:szCs w:val="32"/>
          <w:lang w:eastAsia="zh-CN"/>
        </w:rPr>
        <w:t>，</w:t>
      </w:r>
      <w:r>
        <w:rPr>
          <w:rFonts w:hint="eastAsia" w:ascii="仿宋" w:hAnsi="仿宋" w:eastAsia="仿宋"/>
          <w:sz w:val="32"/>
          <w:szCs w:val="32"/>
        </w:rPr>
        <w:t>社会保障和就业支出61.84 万元</w:t>
      </w:r>
      <w:r>
        <w:rPr>
          <w:rFonts w:hint="eastAsia" w:ascii="仿宋" w:hAnsi="仿宋" w:eastAsia="仿宋"/>
          <w:sz w:val="32"/>
          <w:szCs w:val="32"/>
          <w:lang w:eastAsia="zh-CN"/>
        </w:rPr>
        <w:t>，</w:t>
      </w:r>
      <w:r>
        <w:rPr>
          <w:rFonts w:hint="eastAsia" w:ascii="仿宋" w:hAnsi="仿宋" w:eastAsia="仿宋"/>
          <w:sz w:val="32"/>
          <w:szCs w:val="32"/>
        </w:rPr>
        <w:t>住房保障支出47.51 万元</w:t>
      </w:r>
      <w:r>
        <w:rPr>
          <w:rFonts w:hint="eastAsia" w:ascii="仿宋" w:hAnsi="仿宋" w:eastAsia="仿宋"/>
          <w:sz w:val="32"/>
          <w:szCs w:val="32"/>
          <w:lang w:eastAsia="zh-CN"/>
        </w:rPr>
        <w:t>。</w:t>
      </w:r>
    </w:p>
    <w:p w14:paraId="113EA7E6">
      <w:pPr>
        <w:pStyle w:val="13"/>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6</w:t>
      </w:r>
      <w:r>
        <w:rPr>
          <w:rFonts w:hint="eastAsia" w:ascii="楷体" w:hAnsi="楷体" w:eastAsia="楷体"/>
          <w:kern w:val="0"/>
          <w:sz w:val="32"/>
          <w:szCs w:val="32"/>
        </w:rPr>
        <w:t>年一般公共预算支出情况</w:t>
      </w:r>
    </w:p>
    <w:p w14:paraId="21BDDD65">
      <w:pPr>
        <w:ind w:firstLine="640" w:firstLineChars="200"/>
        <w:rPr>
          <w:rFonts w:hint="eastAsia" w:ascii="仿宋" w:hAnsi="仿宋" w:eastAsia="仿宋"/>
          <w:sz w:val="32"/>
          <w:szCs w:val="32"/>
        </w:rPr>
      </w:pPr>
      <w:r>
        <w:rPr>
          <w:rFonts w:hint="eastAsia" w:ascii="仿宋" w:hAnsi="仿宋" w:eastAsia="仿宋"/>
          <w:sz w:val="32"/>
          <w:szCs w:val="32"/>
          <w:lang w:val="en-US" w:eastAsia="zh-CN"/>
        </w:rPr>
        <w:t>2026 年一般公共预算当年拨款589.56 万元，其中：</w:t>
      </w:r>
      <w:r>
        <w:rPr>
          <w:rFonts w:hint="eastAsia" w:ascii="仿宋" w:hAnsi="仿宋" w:eastAsia="仿宋"/>
          <w:sz w:val="32"/>
          <w:szCs w:val="32"/>
        </w:rPr>
        <w:t>基本支出574.79 万元，占 97.5%；项目支出14.77 万元，占 2.5%。</w:t>
      </w:r>
      <w:r>
        <w:rPr>
          <w:rFonts w:hint="eastAsia" w:ascii="仿宋" w:hAnsi="仿宋" w:eastAsia="仿宋"/>
          <w:sz w:val="32"/>
          <w:szCs w:val="32"/>
          <w:lang w:val="en-US" w:eastAsia="zh-CN"/>
        </w:rPr>
        <w:t>基本支出中：</w:t>
      </w:r>
      <w:r>
        <w:rPr>
          <w:rFonts w:hint="eastAsia" w:ascii="仿宋" w:hAnsi="仿宋" w:eastAsia="仿宋"/>
          <w:sz w:val="32"/>
          <w:szCs w:val="32"/>
        </w:rPr>
        <w:t>人员经费561.02 万元，占 97.6%；公用经费13.76 万元，占 2.4%。</w:t>
      </w:r>
    </w:p>
    <w:p w14:paraId="74A0B999">
      <w:pPr>
        <w:ind w:firstLine="640" w:firstLineChars="200"/>
        <w:rPr>
          <w:rFonts w:hint="eastAsia" w:ascii="仿宋" w:hAnsi="仿宋" w:eastAsia="仿宋"/>
          <w:sz w:val="32"/>
          <w:szCs w:val="32"/>
        </w:rPr>
      </w:pPr>
      <w:r>
        <w:rPr>
          <w:rFonts w:hint="eastAsia" w:ascii="仿宋" w:hAnsi="仿宋" w:eastAsia="仿宋"/>
          <w:sz w:val="32"/>
          <w:szCs w:val="32"/>
        </w:rPr>
        <w:t>教育（类）支出 480.21 万元，占 81.4%，主要用于人员工资福利、医保缴费、其他社会保障缴费、生活补助及商品和服务支出。</w:t>
      </w:r>
    </w:p>
    <w:p w14:paraId="1F202634">
      <w:pPr>
        <w:ind w:firstLine="640" w:firstLineChars="200"/>
        <w:rPr>
          <w:rFonts w:hint="eastAsia" w:ascii="仿宋" w:hAnsi="仿宋" w:eastAsia="仿宋"/>
          <w:sz w:val="32"/>
          <w:szCs w:val="32"/>
        </w:rPr>
      </w:pPr>
      <w:r>
        <w:rPr>
          <w:rFonts w:hint="eastAsia" w:ascii="仿宋" w:hAnsi="仿宋" w:eastAsia="仿宋"/>
          <w:sz w:val="32"/>
          <w:szCs w:val="32"/>
        </w:rPr>
        <w:t>社会保障和就业（类）支出 61.84 万元，占 10.5%，主要用于机关事业单位基本养老保险缴费支出。</w:t>
      </w:r>
    </w:p>
    <w:p w14:paraId="0EF22C6D">
      <w:pPr>
        <w:ind w:firstLine="640" w:firstLineChars="200"/>
        <w:rPr>
          <w:rFonts w:hint="eastAsia" w:ascii="仿宋" w:hAnsi="仿宋" w:eastAsia="仿宋"/>
          <w:sz w:val="32"/>
          <w:szCs w:val="32"/>
        </w:rPr>
      </w:pPr>
      <w:r>
        <w:rPr>
          <w:rFonts w:hint="eastAsia" w:ascii="仿宋" w:hAnsi="仿宋" w:eastAsia="仿宋"/>
          <w:sz w:val="32"/>
          <w:szCs w:val="32"/>
        </w:rPr>
        <w:t>住房保障（类）支出 47.51 万元，占 8.1%，主要用于住房公积金缴费支出。</w:t>
      </w:r>
    </w:p>
    <w:p w14:paraId="1D655B29">
      <w:pPr>
        <w:pStyle w:val="11"/>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年一般公共预算基本支出情况</w:t>
      </w:r>
    </w:p>
    <w:p w14:paraId="3C2E17A6">
      <w:pPr>
        <w:pStyle w:val="11"/>
        <w:ind w:firstLine="627" w:firstLineChars="196"/>
        <w:rPr>
          <w:rFonts w:hint="eastAsia" w:ascii="仿宋" w:hAnsi="仿宋" w:eastAsia="仿宋"/>
          <w:sz w:val="32"/>
          <w:szCs w:val="32"/>
        </w:rPr>
      </w:pPr>
      <w:r>
        <w:rPr>
          <w:rFonts w:hint="eastAsia" w:ascii="仿宋" w:hAnsi="仿宋" w:eastAsia="仿宋"/>
          <w:sz w:val="32"/>
          <w:szCs w:val="32"/>
          <w:lang w:val="en-US" w:eastAsia="zh-CN"/>
        </w:rPr>
        <w:t>2026 年一般公共预算基本支出574.79 万元，其中：</w:t>
      </w:r>
    </w:p>
    <w:p w14:paraId="4E6550F5">
      <w:pPr>
        <w:pStyle w:val="11"/>
        <w:ind w:firstLine="627" w:firstLineChars="196"/>
        <w:rPr>
          <w:rFonts w:hint="eastAsia" w:ascii="仿宋" w:hAnsi="仿宋" w:eastAsia="仿宋"/>
          <w:sz w:val="32"/>
          <w:szCs w:val="32"/>
        </w:rPr>
      </w:pPr>
      <w:r>
        <w:rPr>
          <w:rFonts w:hint="eastAsia" w:ascii="仿宋" w:hAnsi="仿宋" w:eastAsia="仿宋"/>
          <w:sz w:val="32"/>
          <w:szCs w:val="32"/>
        </w:rPr>
        <w:t>人员经费 561.02 万元：主要包括基本工资、津贴补贴、奖金、绩效工资、机关事业单位基本养老保险缴费、职工基本医疗保险缴费、其他社会保障缴费、住房公积金、其他工资福利支出、生活补助、奖励金等对个人和家庭的补助支出。</w:t>
      </w:r>
    </w:p>
    <w:p w14:paraId="3194A870">
      <w:pPr>
        <w:pStyle w:val="11"/>
        <w:ind w:firstLine="627" w:firstLineChars="196"/>
        <w:rPr>
          <w:rFonts w:hint="eastAsia" w:ascii="仿宋" w:hAnsi="仿宋" w:eastAsia="仿宋"/>
          <w:sz w:val="32"/>
          <w:szCs w:val="32"/>
        </w:rPr>
      </w:pPr>
      <w:r>
        <w:rPr>
          <w:rFonts w:hint="eastAsia" w:ascii="仿宋" w:hAnsi="仿宋" w:eastAsia="仿宋"/>
          <w:sz w:val="32"/>
          <w:szCs w:val="32"/>
        </w:rPr>
        <w:t>公用经费 13.76 万元：主要包括工会经费、其他商品和服务支出等维持学校正常运转的公用支出。</w:t>
      </w:r>
    </w:p>
    <w:p w14:paraId="5080A63D">
      <w:pPr>
        <w:pStyle w:val="11"/>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年一般公共预算财政拨款“三公经费”情况</w:t>
      </w:r>
    </w:p>
    <w:p w14:paraId="2D859702">
      <w:pPr>
        <w:pStyle w:val="11"/>
        <w:ind w:firstLine="640" w:firstLineChars="200"/>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_GB2312" w:eastAsia="仿宋_GB2312"/>
          <w:sz w:val="32"/>
          <w:szCs w:val="32"/>
        </w:rPr>
        <w:t>年，我部门“三公”经费预算安排 0 元。</w:t>
      </w:r>
    </w:p>
    <w:p w14:paraId="60353E9A">
      <w:pPr>
        <w:pStyle w:val="11"/>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6</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2026年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11"/>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6</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2026年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10"/>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13.76</w:t>
      </w:r>
      <w:r>
        <w:rPr>
          <w:rFonts w:hint="eastAsia" w:ascii="仿宋" w:hAnsi="仿宋" w:eastAsia="仿宋"/>
          <w:sz w:val="32"/>
          <w:szCs w:val="32"/>
        </w:rPr>
        <w:t>万元，</w:t>
      </w:r>
      <w:r>
        <w:rPr>
          <w:rFonts w:hint="eastAsia" w:ascii="仿宋" w:hAnsi="仿宋" w:eastAsia="仿宋"/>
          <w:sz w:val="32"/>
          <w:szCs w:val="32"/>
          <w:lang w:val="en-US" w:eastAsia="zh-CN"/>
        </w:rPr>
        <w:t>主要用于保障学校日常运转所需商品和服务支出</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710356D3">
      <w:pPr>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rPr>
        <w:t>我部门202</w:t>
      </w:r>
      <w:r>
        <w:rPr>
          <w:rFonts w:hint="eastAsia" w:ascii="仿宋_GB2312" w:eastAsia="仿宋_GB2312"/>
          <w:sz w:val="32"/>
          <w:szCs w:val="32"/>
          <w:lang w:val="en-US" w:eastAsia="zh-CN"/>
        </w:rPr>
        <w:t>6</w:t>
      </w:r>
      <w:r>
        <w:rPr>
          <w:rFonts w:hint="eastAsia" w:ascii="仿宋_GB2312" w:eastAsia="仿宋_GB2312"/>
          <w:sz w:val="32"/>
          <w:szCs w:val="32"/>
        </w:rPr>
        <w:t>年预算暂未安排政府采购项目</w:t>
      </w:r>
      <w:r>
        <w:rPr>
          <w:rFonts w:hint="eastAsia" w:ascii="仿宋_GB2312" w:eastAsia="仿宋_GB2312"/>
          <w:sz w:val="32"/>
          <w:szCs w:val="32"/>
          <w:lang w:eastAsia="zh-CN"/>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10"/>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10"/>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万元，其中</w:t>
      </w:r>
      <w:r>
        <w:rPr>
          <w:rFonts w:hint="eastAsia" w:ascii="仿宋" w:hAnsi="仿宋" w:eastAsia="仿宋"/>
          <w:sz w:val="32"/>
          <w:szCs w:val="32"/>
          <w:lang w:eastAsia="zh-CN"/>
        </w:rPr>
        <w:t>：</w:t>
      </w:r>
      <w:r>
        <w:rPr>
          <w:rFonts w:hint="eastAsia" w:ascii="仿宋" w:hAnsi="仿宋" w:eastAsia="仿宋"/>
          <w:sz w:val="32"/>
          <w:szCs w:val="32"/>
          <w:lang w:val="en-US" w:eastAsia="zh-CN"/>
        </w:rPr>
        <w:t>无</w:t>
      </w:r>
      <w:r>
        <w:rPr>
          <w:rFonts w:hint="eastAsia" w:ascii="仿宋" w:hAnsi="仿宋" w:eastAsia="仿宋"/>
          <w:sz w:val="32"/>
          <w:szCs w:val="32"/>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85B6C20">
      <w:pPr>
        <w:jc w:val="left"/>
        <w:rPr>
          <w:rFonts w:hint="eastAsia" w:ascii="仿宋" w:hAnsi="仿宋" w:eastAsia="仿宋"/>
          <w:sz w:val="32"/>
          <w:szCs w:val="32"/>
          <w:lang w:val="en-US" w:eastAsia="zh-CN"/>
        </w:rPr>
      </w:pPr>
      <w:r>
        <w:rPr>
          <w:rFonts w:hint="eastAsia" w:ascii="仿宋" w:hAnsi="仿宋" w:eastAsia="仿宋"/>
          <w:sz w:val="32"/>
          <w:szCs w:val="32"/>
        </w:rPr>
        <w:t xml:space="preserve">    我部门202</w:t>
      </w:r>
      <w:r>
        <w:rPr>
          <w:rFonts w:hint="eastAsia" w:ascii="仿宋" w:hAnsi="仿宋" w:eastAsia="仿宋"/>
          <w:sz w:val="32"/>
          <w:szCs w:val="32"/>
          <w:lang w:val="en-US" w:eastAsia="zh-CN"/>
        </w:rPr>
        <w:t>6</w:t>
      </w:r>
      <w:r>
        <w:rPr>
          <w:rFonts w:hint="eastAsia" w:ascii="仿宋" w:hAnsi="仿宋" w:eastAsia="仿宋"/>
          <w:sz w:val="32"/>
          <w:szCs w:val="32"/>
        </w:rPr>
        <w:t>年预算暂未安排项目绩效</w:t>
      </w:r>
      <w:r>
        <w:rPr>
          <w:rFonts w:hint="eastAsia" w:ascii="仿宋" w:hAnsi="仿宋" w:eastAsia="仿宋"/>
          <w:sz w:val="32"/>
          <w:szCs w:val="32"/>
          <w:lang w:eastAsia="zh-CN"/>
        </w:rPr>
        <w:t>。</w:t>
      </w:r>
    </w:p>
    <w:p w14:paraId="6E06B094">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bookmarkStart w:id="0" w:name="_GoBack"/>
      <w:bookmarkEnd w:id="0"/>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0E3DEEE">
      <w:pPr>
        <w:jc w:val="center"/>
        <w:rPr>
          <w:rFonts w:hint="eastAsia"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60E76BD"/>
    <w:rsid w:val="07C71E05"/>
    <w:rsid w:val="0A450E4E"/>
    <w:rsid w:val="0A7F599D"/>
    <w:rsid w:val="0B4115AF"/>
    <w:rsid w:val="0C633590"/>
    <w:rsid w:val="0C7C5D37"/>
    <w:rsid w:val="0CD07549"/>
    <w:rsid w:val="0D0F40E1"/>
    <w:rsid w:val="0E0E4A27"/>
    <w:rsid w:val="0E235FAD"/>
    <w:rsid w:val="0E933B6E"/>
    <w:rsid w:val="0F4C4086"/>
    <w:rsid w:val="10D9450A"/>
    <w:rsid w:val="112B3A0C"/>
    <w:rsid w:val="117169F8"/>
    <w:rsid w:val="11DF6BD5"/>
    <w:rsid w:val="12C62CA4"/>
    <w:rsid w:val="150612AC"/>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6FB429A"/>
    <w:rsid w:val="27063D31"/>
    <w:rsid w:val="27742DDB"/>
    <w:rsid w:val="27747EDE"/>
    <w:rsid w:val="277B13CF"/>
    <w:rsid w:val="285B5D80"/>
    <w:rsid w:val="28753BF0"/>
    <w:rsid w:val="28AA47B7"/>
    <w:rsid w:val="28CB641B"/>
    <w:rsid w:val="29207EE3"/>
    <w:rsid w:val="2AC832F5"/>
    <w:rsid w:val="2D742D12"/>
    <w:rsid w:val="2E3342C6"/>
    <w:rsid w:val="324A2565"/>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5372A"/>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005344"/>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60A56D3"/>
    <w:rsid w:val="67286561"/>
    <w:rsid w:val="67BC2512"/>
    <w:rsid w:val="691F508E"/>
    <w:rsid w:val="6A340295"/>
    <w:rsid w:val="6A5666B8"/>
    <w:rsid w:val="6C626D3D"/>
    <w:rsid w:val="6DF0400D"/>
    <w:rsid w:val="6E5B22F8"/>
    <w:rsid w:val="700E2DC7"/>
    <w:rsid w:val="70EF2762"/>
    <w:rsid w:val="71201EF9"/>
    <w:rsid w:val="716F5053"/>
    <w:rsid w:val="724F339F"/>
    <w:rsid w:val="729E55FD"/>
    <w:rsid w:val="73D62900"/>
    <w:rsid w:val="73FA7C77"/>
    <w:rsid w:val="744F0BEE"/>
    <w:rsid w:val="746E51AC"/>
    <w:rsid w:val="74753ED5"/>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customStyle="1" w:styleId="8">
    <w:name w:val="页眉 字符"/>
    <w:basedOn w:val="6"/>
    <w:link w:val="3"/>
    <w:semiHidden/>
    <w:qFormat/>
    <w:uiPriority w:val="99"/>
    <w:rPr>
      <w:sz w:val="18"/>
      <w:szCs w:val="18"/>
    </w:rPr>
  </w:style>
  <w:style w:type="character" w:customStyle="1" w:styleId="9">
    <w:name w:val="页脚 字符"/>
    <w:basedOn w:val="6"/>
    <w:link w:val="2"/>
    <w:semiHidden/>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2510</Words>
  <Characters>2756</Characters>
  <Lines>22</Lines>
  <Paragraphs>6</Paragraphs>
  <TotalTime>0</TotalTime>
  <ScaleCrop>false</ScaleCrop>
  <LinksUpToDate>false</LinksUpToDate>
  <CharactersWithSpaces>2876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侯晓微</cp:lastModifiedBy>
  <dcterms:modified xsi:type="dcterms:W3CDTF">2026-03-23T04:31:35Z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D89BBD9B14514C15896CD7BB9505949C_13</vt:lpwstr>
  </property>
  <property fmtid="{D5CDD505-2E9C-101B-9397-08002B2CF9AE}" pid="4" name="KSOTemplateDocerSaveRecord">
    <vt:lpwstr>eyJoZGlkIjoiN2ZjZDkyMGRhMjQ5YWU3M2JkNzJkYWEyMzUyN2M2MzYiLCJ1c2VySWQiOiI0MjU2NjEzOTMifQ==</vt:lpwstr>
  </property>
</Properties>
</file>