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703324">
      <w:pPr>
        <w:jc w:val="center"/>
        <w:rPr>
          <w:rFonts w:ascii="黑体" w:hAnsi="黑体" w:eastAsia="黑体"/>
          <w:sz w:val="44"/>
          <w:szCs w:val="44"/>
        </w:rPr>
      </w:pPr>
    </w:p>
    <w:p w14:paraId="0722EA08">
      <w:pPr>
        <w:jc w:val="center"/>
        <w:rPr>
          <w:rFonts w:ascii="黑体" w:hAnsi="黑体" w:eastAsia="黑体"/>
          <w:sz w:val="44"/>
          <w:szCs w:val="44"/>
        </w:rPr>
      </w:pPr>
    </w:p>
    <w:p w14:paraId="5712AD97">
      <w:pPr>
        <w:jc w:val="center"/>
        <w:rPr>
          <w:rFonts w:ascii="黑体" w:hAnsi="黑体" w:eastAsia="黑体"/>
          <w:sz w:val="44"/>
          <w:szCs w:val="44"/>
        </w:rPr>
      </w:pPr>
    </w:p>
    <w:p w14:paraId="4DAE025F">
      <w:pPr>
        <w:jc w:val="center"/>
        <w:rPr>
          <w:rFonts w:ascii="黑体" w:hAnsi="黑体" w:eastAsia="黑体"/>
          <w:sz w:val="44"/>
          <w:szCs w:val="44"/>
        </w:rPr>
      </w:pPr>
    </w:p>
    <w:p w14:paraId="5C6FEE61">
      <w:pPr>
        <w:jc w:val="center"/>
        <w:rPr>
          <w:rFonts w:ascii="黑体" w:hAnsi="黑体" w:eastAsia="黑体"/>
          <w:sz w:val="44"/>
          <w:szCs w:val="44"/>
          <w:highlight w:val="none"/>
        </w:rPr>
      </w:pPr>
    </w:p>
    <w:p w14:paraId="0050A5F4">
      <w:pPr>
        <w:jc w:val="center"/>
        <w:rPr>
          <w:rFonts w:ascii="黑体" w:hAnsi="黑体" w:eastAsia="黑体"/>
          <w:sz w:val="52"/>
          <w:szCs w:val="52"/>
          <w:highlight w:val="none"/>
        </w:rPr>
      </w:pPr>
      <w:r>
        <w:rPr>
          <w:rFonts w:hint="eastAsia" w:ascii="黑体" w:hAnsi="黑体" w:eastAsia="黑体"/>
          <w:sz w:val="52"/>
          <w:szCs w:val="52"/>
          <w:highlight w:val="none"/>
          <w:lang w:val="en-US" w:eastAsia="zh-CN"/>
        </w:rPr>
        <w:t>永吉县第四中学</w:t>
      </w:r>
      <w:r>
        <w:rPr>
          <w:rFonts w:hint="eastAsia" w:ascii="黑体" w:hAnsi="黑体" w:eastAsia="黑体"/>
          <w:sz w:val="52"/>
          <w:szCs w:val="52"/>
          <w:highlight w:val="none"/>
        </w:rPr>
        <w:t>2026年部门预算</w:t>
      </w:r>
    </w:p>
    <w:p w14:paraId="5C42AB12">
      <w:pPr>
        <w:jc w:val="center"/>
        <w:rPr>
          <w:rFonts w:ascii="黑体" w:hAnsi="黑体" w:eastAsia="黑体"/>
          <w:sz w:val="44"/>
          <w:szCs w:val="44"/>
          <w:highlight w:val="none"/>
        </w:rPr>
      </w:pPr>
    </w:p>
    <w:p w14:paraId="5EF162CE">
      <w:pPr>
        <w:jc w:val="center"/>
        <w:rPr>
          <w:rFonts w:ascii="黑体" w:hAnsi="黑体" w:eastAsia="黑体"/>
          <w:sz w:val="44"/>
          <w:szCs w:val="44"/>
          <w:highlight w:val="none"/>
        </w:rPr>
      </w:pPr>
    </w:p>
    <w:p w14:paraId="6D7738A2">
      <w:pPr>
        <w:jc w:val="center"/>
        <w:rPr>
          <w:rFonts w:ascii="黑体" w:hAnsi="黑体" w:eastAsia="黑体"/>
          <w:sz w:val="44"/>
          <w:szCs w:val="44"/>
          <w:highlight w:val="none"/>
        </w:rPr>
      </w:pPr>
    </w:p>
    <w:p w14:paraId="1997C969">
      <w:pPr>
        <w:jc w:val="center"/>
        <w:rPr>
          <w:rFonts w:ascii="黑体" w:hAnsi="黑体" w:eastAsia="黑体"/>
          <w:sz w:val="44"/>
          <w:szCs w:val="44"/>
          <w:highlight w:val="none"/>
        </w:rPr>
      </w:pPr>
    </w:p>
    <w:p w14:paraId="4F4ABFCB">
      <w:pPr>
        <w:jc w:val="center"/>
        <w:rPr>
          <w:rFonts w:ascii="黑体" w:hAnsi="黑体" w:eastAsia="黑体"/>
          <w:sz w:val="44"/>
          <w:szCs w:val="44"/>
          <w:highlight w:val="none"/>
        </w:rPr>
      </w:pPr>
    </w:p>
    <w:p w14:paraId="6E03DA41">
      <w:pPr>
        <w:jc w:val="center"/>
        <w:rPr>
          <w:rFonts w:ascii="黑体" w:hAnsi="黑体" w:eastAsia="黑体"/>
          <w:sz w:val="44"/>
          <w:szCs w:val="44"/>
          <w:highlight w:val="none"/>
        </w:rPr>
      </w:pPr>
    </w:p>
    <w:p w14:paraId="34D8D65D">
      <w:pPr>
        <w:jc w:val="center"/>
        <w:rPr>
          <w:rFonts w:ascii="黑体" w:hAnsi="黑体" w:eastAsia="黑体"/>
          <w:sz w:val="44"/>
          <w:szCs w:val="44"/>
          <w:highlight w:val="none"/>
        </w:rPr>
      </w:pPr>
    </w:p>
    <w:p w14:paraId="01FD5D38">
      <w:pPr>
        <w:jc w:val="center"/>
        <w:rPr>
          <w:rFonts w:ascii="黑体" w:hAnsi="黑体" w:eastAsia="黑体"/>
          <w:sz w:val="44"/>
          <w:szCs w:val="44"/>
          <w:highlight w:val="none"/>
        </w:rPr>
      </w:pPr>
    </w:p>
    <w:p w14:paraId="380AB34E">
      <w:pPr>
        <w:jc w:val="center"/>
        <w:rPr>
          <w:rFonts w:ascii="黑体" w:hAnsi="黑体" w:eastAsia="黑体"/>
          <w:sz w:val="44"/>
          <w:szCs w:val="44"/>
          <w:highlight w:val="none"/>
        </w:rPr>
      </w:pPr>
    </w:p>
    <w:p w14:paraId="628D9189">
      <w:pPr>
        <w:jc w:val="center"/>
        <w:rPr>
          <w:rFonts w:ascii="黑体" w:hAnsi="黑体" w:eastAsia="黑体"/>
          <w:sz w:val="44"/>
          <w:szCs w:val="44"/>
          <w:highlight w:val="none"/>
        </w:rPr>
      </w:pPr>
    </w:p>
    <w:p w14:paraId="6EA5914F">
      <w:pPr>
        <w:jc w:val="center"/>
        <w:rPr>
          <w:rFonts w:ascii="黑体" w:hAnsi="黑体" w:eastAsia="黑体"/>
          <w:sz w:val="44"/>
          <w:szCs w:val="44"/>
          <w:highlight w:val="none"/>
        </w:rPr>
      </w:pPr>
      <w:r>
        <w:rPr>
          <w:rFonts w:hint="eastAsia" w:ascii="黑体" w:hAnsi="黑体" w:eastAsia="黑体"/>
          <w:sz w:val="44"/>
          <w:szCs w:val="44"/>
          <w:highlight w:val="none"/>
        </w:rPr>
        <w:t>二〇二六年一月四日</w:t>
      </w:r>
    </w:p>
    <w:p w14:paraId="2F1615F9">
      <w:pPr>
        <w:jc w:val="center"/>
        <w:rPr>
          <w:rFonts w:ascii="黑体" w:hAnsi="黑体" w:eastAsia="黑体"/>
          <w:sz w:val="44"/>
          <w:szCs w:val="44"/>
        </w:rPr>
      </w:pPr>
    </w:p>
    <w:p w14:paraId="357EC0AC">
      <w:pPr>
        <w:jc w:val="center"/>
        <w:rPr>
          <w:rFonts w:ascii="黑体" w:hAnsi="黑体" w:eastAsia="黑体"/>
          <w:sz w:val="44"/>
          <w:szCs w:val="44"/>
        </w:rPr>
      </w:pPr>
    </w:p>
    <w:p w14:paraId="661A2997">
      <w:pPr>
        <w:jc w:val="center"/>
        <w:rPr>
          <w:rFonts w:ascii="黑体" w:hAnsi="黑体" w:eastAsia="黑体"/>
          <w:sz w:val="44"/>
          <w:szCs w:val="44"/>
        </w:rPr>
      </w:pPr>
    </w:p>
    <w:p w14:paraId="60FA0F16">
      <w:pPr>
        <w:jc w:val="center"/>
        <w:rPr>
          <w:rFonts w:ascii="黑体" w:hAnsi="黑体" w:eastAsia="黑体"/>
          <w:sz w:val="44"/>
          <w:szCs w:val="44"/>
        </w:rPr>
      </w:pPr>
    </w:p>
    <w:p w14:paraId="74A34429">
      <w:pPr>
        <w:jc w:val="center"/>
        <w:rPr>
          <w:rFonts w:ascii="黑体" w:hAnsi="黑体" w:eastAsia="黑体"/>
          <w:sz w:val="44"/>
          <w:szCs w:val="44"/>
        </w:rPr>
      </w:pPr>
    </w:p>
    <w:p w14:paraId="18C3CAAE">
      <w:pPr>
        <w:jc w:val="center"/>
        <w:rPr>
          <w:rFonts w:ascii="黑体" w:hAnsi="黑体" w:eastAsia="黑体"/>
          <w:sz w:val="44"/>
          <w:szCs w:val="44"/>
        </w:rPr>
      </w:pPr>
    </w:p>
    <w:p w14:paraId="406F54B2">
      <w:pPr>
        <w:jc w:val="center"/>
        <w:rPr>
          <w:rFonts w:hint="eastAsia" w:ascii="黑体" w:hAnsi="黑体" w:eastAsia="黑体"/>
          <w:sz w:val="44"/>
          <w:szCs w:val="44"/>
        </w:rPr>
      </w:pPr>
      <w:r>
        <w:rPr>
          <w:rFonts w:hint="eastAsia" w:ascii="黑体" w:hAnsi="黑体" w:eastAsia="黑体"/>
          <w:sz w:val="44"/>
          <w:szCs w:val="44"/>
          <w:lang w:val="en-US" w:eastAsia="zh-CN"/>
        </w:rPr>
        <w:t>永吉县第四中学</w:t>
      </w:r>
      <w:r>
        <w:rPr>
          <w:rFonts w:hint="eastAsia" w:ascii="黑体" w:hAnsi="黑体" w:eastAsia="黑体"/>
          <w:sz w:val="44"/>
          <w:szCs w:val="44"/>
        </w:rPr>
        <w:t>2026年预算</w:t>
      </w:r>
    </w:p>
    <w:p w14:paraId="1F07C9F7">
      <w:pPr>
        <w:jc w:val="center"/>
        <w:rPr>
          <w:rFonts w:ascii="黑体" w:hAnsi="黑体" w:eastAsia="黑体"/>
          <w:sz w:val="44"/>
          <w:szCs w:val="44"/>
        </w:rPr>
      </w:pPr>
    </w:p>
    <w:p w14:paraId="63B0757E">
      <w:pPr>
        <w:tabs>
          <w:tab w:val="left" w:pos="3240"/>
        </w:tabs>
        <w:rPr>
          <w:rFonts w:ascii="黑体" w:hAnsi="黑体" w:eastAsia="黑体"/>
          <w:sz w:val="44"/>
          <w:szCs w:val="44"/>
        </w:rPr>
      </w:pPr>
      <w:r>
        <w:rPr>
          <w:rFonts w:ascii="黑体" w:hAnsi="黑体" w:eastAsia="黑体"/>
          <w:sz w:val="44"/>
          <w:szCs w:val="44"/>
        </w:rPr>
        <w:tab/>
      </w:r>
      <w:r>
        <w:rPr>
          <w:rFonts w:hint="eastAsia" w:ascii="黑体" w:hAnsi="黑体" w:eastAsia="黑体"/>
          <w:sz w:val="44"/>
          <w:szCs w:val="44"/>
        </w:rPr>
        <w:t>目  录</w:t>
      </w:r>
    </w:p>
    <w:p w14:paraId="3BC81682">
      <w:pPr>
        <w:rPr>
          <w:rFonts w:ascii="仿宋" w:hAnsi="仿宋" w:eastAsia="仿宋"/>
          <w:sz w:val="32"/>
          <w:szCs w:val="32"/>
        </w:rPr>
      </w:pPr>
      <w:r>
        <w:rPr>
          <w:rFonts w:hint="eastAsia" w:ascii="仿宋" w:hAnsi="仿宋" w:eastAsia="仿宋"/>
          <w:sz w:val="32"/>
          <w:szCs w:val="32"/>
        </w:rPr>
        <w:t>第一部分  部门概况</w:t>
      </w:r>
    </w:p>
    <w:p w14:paraId="73DDC628">
      <w:pPr>
        <w:pStyle w:val="8"/>
        <w:numPr>
          <w:ilvl w:val="0"/>
          <w:numId w:val="1"/>
        </w:numPr>
        <w:ind w:firstLineChars="0"/>
        <w:rPr>
          <w:rFonts w:ascii="仿宋" w:hAnsi="仿宋" w:eastAsia="仿宋"/>
          <w:sz w:val="32"/>
          <w:szCs w:val="32"/>
        </w:rPr>
      </w:pPr>
      <w:r>
        <w:rPr>
          <w:rFonts w:hint="eastAsia" w:ascii="仿宋" w:hAnsi="仿宋" w:eastAsia="仿宋"/>
          <w:sz w:val="32"/>
          <w:szCs w:val="32"/>
        </w:rPr>
        <w:t>主要职能</w:t>
      </w:r>
    </w:p>
    <w:p w14:paraId="0F6E16B9">
      <w:pPr>
        <w:pStyle w:val="8"/>
        <w:numPr>
          <w:ilvl w:val="0"/>
          <w:numId w:val="1"/>
        </w:numPr>
        <w:ind w:firstLineChars="0"/>
        <w:rPr>
          <w:rFonts w:ascii="仿宋" w:hAnsi="仿宋" w:eastAsia="仿宋"/>
          <w:sz w:val="32"/>
          <w:szCs w:val="32"/>
        </w:rPr>
      </w:pPr>
      <w:r>
        <w:rPr>
          <w:rFonts w:hint="eastAsia" w:ascii="仿宋" w:hAnsi="仿宋" w:eastAsia="仿宋"/>
          <w:sz w:val="32"/>
          <w:szCs w:val="32"/>
        </w:rPr>
        <w:t>机构设置</w:t>
      </w:r>
    </w:p>
    <w:p w14:paraId="5EE08171">
      <w:pPr>
        <w:rPr>
          <w:rFonts w:ascii="仿宋" w:hAnsi="仿宋" w:eastAsia="仿宋"/>
          <w:sz w:val="32"/>
          <w:szCs w:val="32"/>
        </w:rPr>
      </w:pPr>
      <w:r>
        <w:rPr>
          <w:rFonts w:hint="eastAsia" w:ascii="仿宋" w:hAnsi="仿宋" w:eastAsia="仿宋"/>
          <w:sz w:val="32"/>
          <w:szCs w:val="32"/>
        </w:rPr>
        <w:t>第二部分  情况说明</w:t>
      </w:r>
    </w:p>
    <w:p w14:paraId="6F11FF87">
      <w:pPr>
        <w:rPr>
          <w:rFonts w:ascii="仿宋" w:hAnsi="仿宋" w:eastAsia="仿宋"/>
          <w:sz w:val="32"/>
          <w:szCs w:val="32"/>
        </w:rPr>
      </w:pPr>
      <w:r>
        <w:rPr>
          <w:rFonts w:hint="eastAsia" w:ascii="仿宋" w:hAnsi="仿宋" w:eastAsia="仿宋"/>
          <w:sz w:val="32"/>
          <w:szCs w:val="32"/>
        </w:rPr>
        <w:t xml:space="preserve">第三部分  名词解释 </w:t>
      </w:r>
    </w:p>
    <w:p w14:paraId="7BA36606">
      <w:pPr>
        <w:rPr>
          <w:rFonts w:ascii="仿宋" w:hAnsi="仿宋" w:eastAsia="仿宋"/>
          <w:sz w:val="32"/>
          <w:szCs w:val="32"/>
        </w:rPr>
      </w:pPr>
      <w:r>
        <w:rPr>
          <w:rFonts w:hint="eastAsia" w:ascii="仿宋" w:hAnsi="仿宋" w:eastAsia="仿宋"/>
          <w:sz w:val="32"/>
          <w:szCs w:val="32"/>
        </w:rPr>
        <w:t>第四部分  预算表格</w:t>
      </w:r>
    </w:p>
    <w:p w14:paraId="07E4B539">
      <w:pPr>
        <w:pStyle w:val="8"/>
        <w:numPr>
          <w:ilvl w:val="0"/>
          <w:numId w:val="2"/>
        </w:numPr>
        <w:ind w:firstLineChars="0"/>
        <w:rPr>
          <w:rFonts w:ascii="仿宋" w:hAnsi="仿宋" w:eastAsia="仿宋"/>
          <w:sz w:val="32"/>
          <w:szCs w:val="32"/>
        </w:rPr>
      </w:pPr>
      <w:r>
        <w:rPr>
          <w:rFonts w:hint="eastAsia" w:ascii="仿宋" w:hAnsi="仿宋" w:eastAsia="仿宋"/>
          <w:sz w:val="32"/>
          <w:szCs w:val="32"/>
        </w:rPr>
        <w:t>收支总表</w:t>
      </w:r>
    </w:p>
    <w:p w14:paraId="257AF41A">
      <w:pPr>
        <w:pStyle w:val="8"/>
        <w:numPr>
          <w:ilvl w:val="0"/>
          <w:numId w:val="2"/>
        </w:numPr>
        <w:ind w:firstLineChars="0"/>
        <w:rPr>
          <w:rFonts w:ascii="仿宋" w:hAnsi="仿宋" w:eastAsia="仿宋"/>
          <w:sz w:val="32"/>
          <w:szCs w:val="32"/>
        </w:rPr>
      </w:pPr>
      <w:r>
        <w:rPr>
          <w:rFonts w:hint="eastAsia" w:ascii="仿宋" w:hAnsi="仿宋" w:eastAsia="仿宋"/>
          <w:sz w:val="32"/>
          <w:szCs w:val="32"/>
        </w:rPr>
        <w:t>收入总表</w:t>
      </w:r>
    </w:p>
    <w:p w14:paraId="490A2BEB">
      <w:pPr>
        <w:pStyle w:val="8"/>
        <w:numPr>
          <w:ilvl w:val="0"/>
          <w:numId w:val="2"/>
        </w:numPr>
        <w:ind w:firstLineChars="0"/>
        <w:rPr>
          <w:rFonts w:ascii="仿宋" w:hAnsi="仿宋" w:eastAsia="仿宋"/>
          <w:sz w:val="32"/>
          <w:szCs w:val="32"/>
        </w:rPr>
      </w:pPr>
      <w:r>
        <w:rPr>
          <w:rFonts w:hint="eastAsia" w:ascii="仿宋" w:hAnsi="仿宋" w:eastAsia="仿宋"/>
          <w:sz w:val="32"/>
          <w:szCs w:val="32"/>
        </w:rPr>
        <w:t>支出总表</w:t>
      </w:r>
    </w:p>
    <w:p w14:paraId="5F6425A5">
      <w:pPr>
        <w:pStyle w:val="8"/>
        <w:numPr>
          <w:ilvl w:val="0"/>
          <w:numId w:val="2"/>
        </w:numPr>
        <w:ind w:firstLineChars="0"/>
        <w:rPr>
          <w:rFonts w:ascii="仿宋" w:hAnsi="仿宋" w:eastAsia="仿宋"/>
          <w:sz w:val="32"/>
          <w:szCs w:val="32"/>
        </w:rPr>
      </w:pPr>
      <w:r>
        <w:rPr>
          <w:rFonts w:hint="eastAsia" w:ascii="仿宋" w:hAnsi="仿宋" w:eastAsia="仿宋"/>
          <w:sz w:val="32"/>
          <w:szCs w:val="32"/>
        </w:rPr>
        <w:t>财政拨款收支总表</w:t>
      </w:r>
    </w:p>
    <w:p w14:paraId="5006371A">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一般公共预算支出表</w:t>
      </w:r>
    </w:p>
    <w:p w14:paraId="6CBA4F02">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一般公共预算财政拨款基本支出预算表</w:t>
      </w:r>
    </w:p>
    <w:p w14:paraId="534C5B24">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一般公共预算“三公”经费支出表</w:t>
      </w:r>
    </w:p>
    <w:p w14:paraId="4685FD46">
      <w:pPr>
        <w:pStyle w:val="8"/>
        <w:numPr>
          <w:ilvl w:val="0"/>
          <w:numId w:val="2"/>
        </w:numPr>
        <w:ind w:firstLineChars="0"/>
        <w:rPr>
          <w:rFonts w:ascii="仿宋" w:hAnsi="仿宋" w:eastAsia="仿宋"/>
          <w:sz w:val="32"/>
          <w:szCs w:val="32"/>
        </w:rPr>
      </w:pPr>
      <w:r>
        <w:rPr>
          <w:rFonts w:hint="eastAsia" w:ascii="仿宋" w:hAnsi="仿宋" w:eastAsia="仿宋"/>
          <w:sz w:val="32"/>
          <w:szCs w:val="32"/>
        </w:rPr>
        <w:t>政府性基金预算支出表</w:t>
      </w:r>
    </w:p>
    <w:p w14:paraId="696DB8AF">
      <w:pPr>
        <w:pStyle w:val="8"/>
        <w:numPr>
          <w:ilvl w:val="0"/>
          <w:numId w:val="2"/>
        </w:numPr>
        <w:ind w:firstLineChars="0"/>
        <w:rPr>
          <w:rFonts w:ascii="仿宋" w:hAnsi="仿宋" w:eastAsia="仿宋"/>
          <w:sz w:val="32"/>
          <w:szCs w:val="32"/>
        </w:rPr>
      </w:pPr>
      <w:r>
        <w:rPr>
          <w:rFonts w:hint="eastAsia" w:ascii="仿宋" w:hAnsi="仿宋" w:eastAsia="仿宋"/>
          <w:sz w:val="32"/>
          <w:szCs w:val="32"/>
        </w:rPr>
        <w:t>国有资本经营预算支出表</w:t>
      </w:r>
    </w:p>
    <w:p w14:paraId="2C937F03">
      <w:pPr>
        <w:pStyle w:val="8"/>
        <w:numPr>
          <w:ilvl w:val="0"/>
          <w:numId w:val="2"/>
        </w:numPr>
        <w:ind w:firstLineChars="0"/>
        <w:rPr>
          <w:rFonts w:ascii="仿宋" w:hAnsi="仿宋" w:eastAsia="仿宋"/>
          <w:sz w:val="32"/>
          <w:szCs w:val="32"/>
        </w:rPr>
      </w:pPr>
      <w:r>
        <w:rPr>
          <w:rFonts w:hint="eastAsia" w:ascii="仿宋" w:hAnsi="仿宋" w:eastAsia="仿宋"/>
          <w:sz w:val="32"/>
          <w:szCs w:val="32"/>
        </w:rPr>
        <w:t>项目支出表</w:t>
      </w:r>
    </w:p>
    <w:p w14:paraId="549DAA5E">
      <w:pPr>
        <w:rPr>
          <w:rFonts w:ascii="仿宋" w:hAnsi="仿宋" w:eastAsia="仿宋"/>
          <w:sz w:val="32"/>
          <w:szCs w:val="32"/>
        </w:rPr>
      </w:pPr>
    </w:p>
    <w:p w14:paraId="4E48F873">
      <w:pPr>
        <w:jc w:val="center"/>
        <w:rPr>
          <w:rFonts w:ascii="黑体" w:hAnsi="黑体" w:eastAsia="黑体"/>
          <w:sz w:val="32"/>
          <w:szCs w:val="32"/>
        </w:rPr>
      </w:pPr>
      <w:r>
        <w:rPr>
          <w:rFonts w:hint="eastAsia" w:ascii="黑体" w:hAnsi="黑体" w:eastAsia="黑体"/>
          <w:sz w:val="32"/>
          <w:szCs w:val="32"/>
        </w:rPr>
        <w:t>第一部分    部门（单位）概况</w:t>
      </w:r>
    </w:p>
    <w:p w14:paraId="519B9A34">
      <w:pPr>
        <w:jc w:val="left"/>
        <w:rPr>
          <w:rFonts w:ascii="仿宋" w:hAnsi="仿宋" w:eastAsia="仿宋"/>
          <w:sz w:val="32"/>
          <w:szCs w:val="32"/>
        </w:rPr>
      </w:pPr>
      <w:r>
        <w:rPr>
          <w:rFonts w:hint="eastAsia" w:ascii="仿宋" w:hAnsi="仿宋" w:eastAsia="仿宋"/>
          <w:sz w:val="32"/>
          <w:szCs w:val="32"/>
        </w:rPr>
        <w:t xml:space="preserve">  </w:t>
      </w:r>
    </w:p>
    <w:p w14:paraId="0D140DF5">
      <w:pPr>
        <w:jc w:val="left"/>
        <w:rPr>
          <w:rFonts w:ascii="仿宋" w:hAnsi="仿宋" w:eastAsia="仿宋"/>
          <w:sz w:val="32"/>
          <w:szCs w:val="32"/>
        </w:rPr>
      </w:pPr>
      <w:r>
        <w:rPr>
          <w:rFonts w:hint="eastAsia" w:ascii="仿宋" w:hAnsi="仿宋" w:eastAsia="仿宋"/>
          <w:sz w:val="32"/>
          <w:szCs w:val="32"/>
        </w:rPr>
        <w:t xml:space="preserve"> 一、主要职能</w:t>
      </w:r>
    </w:p>
    <w:p w14:paraId="4925CC8D">
      <w:pPr>
        <w:pStyle w:val="10"/>
        <w:widowControl/>
        <w:spacing w:line="620" w:lineRule="exact"/>
        <w:ind w:firstLine="627" w:firstLineChars="196"/>
        <w:contextualSpacing/>
        <w:rPr>
          <w:rFonts w:hint="eastAsia" w:ascii="仿宋" w:hAnsi="仿宋" w:eastAsia="仿宋"/>
          <w:bCs/>
          <w:kern w:val="0"/>
          <w:sz w:val="32"/>
          <w:szCs w:val="32"/>
          <w:lang w:val="en-US" w:eastAsia="zh-CN"/>
        </w:rPr>
      </w:pPr>
      <w:r>
        <w:rPr>
          <w:rFonts w:hint="eastAsia" w:ascii="仿宋" w:hAnsi="仿宋" w:eastAsia="仿宋"/>
          <w:bCs/>
          <w:sz w:val="32"/>
          <w:szCs w:val="32"/>
        </w:rPr>
        <w:t>单位</w:t>
      </w:r>
      <w:r>
        <w:rPr>
          <w:rFonts w:hint="eastAsia" w:ascii="仿宋" w:hAnsi="仿宋" w:eastAsia="仿宋"/>
          <w:bCs/>
          <w:kern w:val="0"/>
          <w:sz w:val="32"/>
          <w:szCs w:val="32"/>
        </w:rPr>
        <w:t>名称：</w:t>
      </w:r>
      <w:r>
        <w:rPr>
          <w:rFonts w:hint="eastAsia" w:ascii="仿宋" w:hAnsi="仿宋" w:eastAsia="仿宋"/>
          <w:bCs/>
          <w:kern w:val="0"/>
          <w:sz w:val="32"/>
          <w:szCs w:val="32"/>
          <w:lang w:val="en-US" w:eastAsia="zh-CN"/>
        </w:rPr>
        <w:t>永吉县第四中学</w:t>
      </w:r>
    </w:p>
    <w:p w14:paraId="7C8F2170">
      <w:pPr>
        <w:pStyle w:val="10"/>
        <w:widowControl/>
        <w:spacing w:line="620" w:lineRule="exact"/>
        <w:ind w:firstLine="627" w:firstLineChars="196"/>
        <w:contextualSpacing/>
        <w:rPr>
          <w:rFonts w:hint="eastAsia" w:ascii="仿宋" w:hAnsi="仿宋" w:eastAsia="仿宋"/>
          <w:kern w:val="0"/>
          <w:sz w:val="32"/>
          <w:szCs w:val="32"/>
          <w:lang w:val="en-US" w:eastAsia="zh-CN"/>
        </w:rPr>
      </w:pPr>
      <w:r>
        <w:rPr>
          <w:rFonts w:hint="eastAsia" w:ascii="仿宋" w:hAnsi="仿宋" w:eastAsia="仿宋"/>
          <w:bCs/>
          <w:kern w:val="0"/>
          <w:sz w:val="32"/>
          <w:szCs w:val="32"/>
        </w:rPr>
        <w:t>单位性质</w:t>
      </w:r>
      <w:r>
        <w:rPr>
          <w:rFonts w:hint="eastAsia" w:ascii="仿宋" w:hAnsi="仿宋" w:eastAsia="仿宋"/>
          <w:kern w:val="0"/>
          <w:sz w:val="32"/>
          <w:szCs w:val="32"/>
        </w:rPr>
        <w:t>：</w:t>
      </w:r>
      <w:r>
        <w:rPr>
          <w:rFonts w:hint="eastAsia" w:ascii="仿宋" w:hAnsi="仿宋" w:eastAsia="仿宋"/>
          <w:kern w:val="0"/>
          <w:sz w:val="32"/>
          <w:szCs w:val="32"/>
          <w:lang w:val="en-US" w:eastAsia="zh-CN"/>
        </w:rPr>
        <w:t>公益一类事业单位</w:t>
      </w:r>
    </w:p>
    <w:p w14:paraId="6693FA40">
      <w:pPr>
        <w:pStyle w:val="10"/>
        <w:widowControl/>
        <w:spacing w:line="620" w:lineRule="exact"/>
        <w:ind w:left="650" w:leftChars="304" w:hanging="12" w:hangingChars="4"/>
        <w:contextualSpacing/>
        <w:rPr>
          <w:rFonts w:hint="eastAsia" w:ascii="仿宋" w:hAnsi="仿宋" w:eastAsia="仿宋"/>
          <w:kern w:val="0"/>
          <w:sz w:val="32"/>
          <w:szCs w:val="32"/>
        </w:rPr>
      </w:pPr>
      <w:r>
        <w:rPr>
          <w:rFonts w:hint="eastAsia" w:ascii="仿宋" w:hAnsi="仿宋" w:eastAsia="仿宋"/>
          <w:bCs/>
          <w:kern w:val="0"/>
          <w:sz w:val="32"/>
          <w:szCs w:val="32"/>
        </w:rPr>
        <w:t>主要职能：</w:t>
      </w:r>
      <w:r>
        <w:rPr>
          <w:rFonts w:hint="eastAsia" w:ascii="仿宋_GB2312" w:eastAsia="仿宋_GB2312"/>
          <w:sz w:val="32"/>
          <w:szCs w:val="32"/>
        </w:rPr>
        <w:t>是</w:t>
      </w:r>
      <w:r>
        <w:rPr>
          <w:rFonts w:hint="eastAsia" w:ascii="仿宋_GB2312" w:eastAsia="仿宋_GB2312"/>
          <w:sz w:val="32"/>
          <w:szCs w:val="32"/>
          <w:lang w:val="en-US" w:eastAsia="zh-CN"/>
        </w:rPr>
        <w:t>实施高中学历教育 提供语文、数学、英语、物理、化学、生物、历史、地理、政治等基础学科的教育，</w:t>
      </w:r>
      <w:r>
        <w:rPr>
          <w:rFonts w:hint="default" w:ascii="仿宋_GB2312" w:eastAsia="仿宋_GB2312"/>
          <w:sz w:val="32"/>
          <w:szCs w:val="32"/>
          <w:lang w:val="en-US" w:eastAsia="zh-CN"/>
        </w:rPr>
        <w:t>通过体育、艺术、信息技术等课程，提升学生的综合素质。</w:t>
      </w:r>
      <w:r>
        <w:rPr>
          <w:rFonts w:hint="eastAsia" w:ascii="仿宋" w:hAnsi="仿宋" w:eastAsia="仿宋"/>
          <w:bCs/>
          <w:kern w:val="0"/>
          <w:sz w:val="32"/>
          <w:szCs w:val="32"/>
        </w:rPr>
        <w:t>主要业务：</w:t>
      </w:r>
      <w:r>
        <w:rPr>
          <w:rFonts w:hint="eastAsia" w:ascii="仿宋" w:hAnsi="仿宋" w:eastAsia="仿宋"/>
          <w:kern w:val="0"/>
          <w:sz w:val="32"/>
          <w:szCs w:val="32"/>
        </w:rPr>
        <w:t>提供高考政策和志愿填报指导，帮助学生选择适合的大学和专业。</w:t>
      </w:r>
      <w:r>
        <w:rPr>
          <w:rFonts w:hint="default" w:ascii="仿宋" w:hAnsi="仿宋" w:eastAsia="仿宋"/>
          <w:kern w:val="0"/>
          <w:sz w:val="32"/>
          <w:szCs w:val="32"/>
        </w:rPr>
        <w:t>通过课程和讲座，帮助学生了解职业方向，进行初步的职业规划。</w:t>
      </w:r>
    </w:p>
    <w:p w14:paraId="20B4A831">
      <w:pPr>
        <w:pStyle w:val="10"/>
        <w:widowControl/>
        <w:spacing w:line="620" w:lineRule="exact"/>
        <w:ind w:firstLine="320" w:firstLineChars="100"/>
        <w:contextualSpacing/>
        <w:rPr>
          <w:rFonts w:ascii="仿宋" w:hAnsi="仿宋" w:eastAsia="仿宋"/>
          <w:sz w:val="32"/>
          <w:szCs w:val="32"/>
        </w:rPr>
      </w:pPr>
      <w:r>
        <w:rPr>
          <w:rFonts w:hint="eastAsia" w:ascii="仿宋" w:hAnsi="仿宋" w:eastAsia="仿宋"/>
          <w:sz w:val="32"/>
          <w:szCs w:val="32"/>
        </w:rPr>
        <w:t>二、机构设置</w:t>
      </w:r>
    </w:p>
    <w:p w14:paraId="31A1CC4A">
      <w:pPr>
        <w:pStyle w:val="12"/>
        <w:ind w:firstLine="627" w:firstLineChars="196"/>
        <w:rPr>
          <w:rFonts w:hint="eastAsia" w:ascii="仿宋" w:hAnsi="仿宋" w:eastAsia="仿宋"/>
          <w:kern w:val="0"/>
          <w:szCs w:val="32"/>
          <w:lang w:val="en-US" w:eastAsia="zh-CN"/>
        </w:rPr>
      </w:pPr>
      <w:r>
        <w:rPr>
          <w:rFonts w:hint="eastAsia" w:ascii="仿宋" w:hAnsi="仿宋" w:eastAsia="仿宋"/>
          <w:kern w:val="0"/>
          <w:szCs w:val="32"/>
        </w:rPr>
        <w:t>机构设置包括：</w:t>
      </w:r>
      <w:r>
        <w:rPr>
          <w:rFonts w:hint="eastAsia" w:ascii="仿宋" w:hAnsi="仿宋" w:eastAsia="仿宋"/>
          <w:kern w:val="0"/>
          <w:szCs w:val="32"/>
          <w:lang w:val="en-US" w:eastAsia="zh-CN"/>
        </w:rPr>
        <w:t>办公室</w:t>
      </w:r>
      <w:r>
        <w:rPr>
          <w:rFonts w:hint="eastAsia" w:ascii="仿宋" w:hAnsi="仿宋" w:eastAsia="仿宋"/>
          <w:kern w:val="0"/>
          <w:szCs w:val="32"/>
        </w:rPr>
        <w:t>、</w:t>
      </w:r>
      <w:r>
        <w:rPr>
          <w:rFonts w:hint="eastAsia" w:ascii="仿宋" w:hAnsi="仿宋" w:eastAsia="仿宋"/>
          <w:kern w:val="0"/>
          <w:szCs w:val="32"/>
          <w:lang w:val="en-US" w:eastAsia="zh-CN"/>
        </w:rPr>
        <w:t>教务处</w:t>
      </w:r>
      <w:r>
        <w:rPr>
          <w:rFonts w:hint="eastAsia" w:ascii="仿宋" w:hAnsi="仿宋" w:eastAsia="仿宋"/>
          <w:kern w:val="0"/>
          <w:szCs w:val="32"/>
        </w:rPr>
        <w:t>、</w:t>
      </w:r>
      <w:r>
        <w:rPr>
          <w:rFonts w:hint="eastAsia" w:ascii="仿宋" w:hAnsi="仿宋" w:eastAsia="仿宋"/>
          <w:kern w:val="0"/>
          <w:szCs w:val="32"/>
          <w:lang w:val="en-US" w:eastAsia="zh-CN"/>
        </w:rPr>
        <w:t>学生处、总务处、团委、科研处、招生办公室、财务室、安全办</w:t>
      </w:r>
      <w:r>
        <w:rPr>
          <w:rFonts w:hint="eastAsia" w:ascii="仿宋" w:hAnsi="仿宋" w:eastAsia="仿宋"/>
          <w:kern w:val="0"/>
          <w:szCs w:val="32"/>
          <w:lang w:eastAsia="zh-CN"/>
        </w:rPr>
        <w:t>。</w:t>
      </w:r>
    </w:p>
    <w:p w14:paraId="492FE7FC">
      <w:pPr>
        <w:pStyle w:val="12"/>
        <w:ind w:firstLine="627" w:firstLineChars="196"/>
        <w:rPr>
          <w:rFonts w:ascii="仿宋" w:hAnsi="仿宋" w:eastAsia="仿宋"/>
          <w:kern w:val="0"/>
          <w:szCs w:val="32"/>
        </w:rPr>
      </w:pPr>
      <w:r>
        <w:rPr>
          <w:rFonts w:hint="eastAsia" w:ascii="仿宋" w:hAnsi="仿宋" w:eastAsia="仿宋"/>
          <w:kern w:val="0"/>
          <w:szCs w:val="32"/>
        </w:rPr>
        <w:t>人员情况：在职人员</w:t>
      </w:r>
      <w:r>
        <w:rPr>
          <w:rFonts w:hint="eastAsia" w:ascii="仿宋" w:hAnsi="仿宋" w:eastAsia="仿宋"/>
          <w:kern w:val="0"/>
          <w:szCs w:val="32"/>
          <w:lang w:val="en-US" w:eastAsia="zh-CN"/>
        </w:rPr>
        <w:t>213</w:t>
      </w:r>
      <w:r>
        <w:rPr>
          <w:rFonts w:hint="eastAsia" w:ascii="仿宋" w:hAnsi="仿宋" w:eastAsia="仿宋"/>
          <w:kern w:val="0"/>
          <w:szCs w:val="32"/>
        </w:rPr>
        <w:t>人，编制数</w:t>
      </w:r>
      <w:r>
        <w:rPr>
          <w:rFonts w:hint="eastAsia" w:ascii="仿宋" w:hAnsi="仿宋" w:eastAsia="仿宋"/>
          <w:kern w:val="0"/>
          <w:szCs w:val="32"/>
          <w:lang w:val="en-US" w:eastAsia="zh-CN"/>
        </w:rPr>
        <w:t>220</w:t>
      </w:r>
      <w:r>
        <w:rPr>
          <w:rFonts w:hint="eastAsia" w:ascii="仿宋" w:hAnsi="仿宋" w:eastAsia="仿宋"/>
          <w:kern w:val="0"/>
          <w:szCs w:val="32"/>
        </w:rPr>
        <w:t>人，领导职数</w:t>
      </w:r>
      <w:r>
        <w:rPr>
          <w:rFonts w:hint="eastAsia" w:ascii="仿宋" w:hAnsi="仿宋" w:eastAsia="仿宋"/>
          <w:kern w:val="0"/>
          <w:szCs w:val="32"/>
          <w:lang w:val="en-US" w:eastAsia="zh-CN"/>
        </w:rPr>
        <w:t>6</w:t>
      </w:r>
      <w:r>
        <w:rPr>
          <w:rFonts w:hint="eastAsia" w:ascii="仿宋" w:hAnsi="仿宋" w:eastAsia="仿宋"/>
          <w:kern w:val="0"/>
          <w:szCs w:val="32"/>
        </w:rPr>
        <w:t>个。</w:t>
      </w:r>
    </w:p>
    <w:p w14:paraId="48160A55">
      <w:pPr>
        <w:jc w:val="left"/>
        <w:rPr>
          <w:rFonts w:hint="eastAsia" w:ascii="黑体" w:hAnsi="黑体" w:eastAsia="黑体"/>
          <w:sz w:val="32"/>
          <w:szCs w:val="32"/>
        </w:rPr>
      </w:pPr>
      <w:r>
        <w:rPr>
          <w:rFonts w:hint="eastAsia" w:ascii="仿宋" w:hAnsi="仿宋" w:eastAsia="仿宋"/>
          <w:sz w:val="32"/>
          <w:szCs w:val="32"/>
        </w:rPr>
        <w:t xml:space="preserve">   </w:t>
      </w:r>
    </w:p>
    <w:p w14:paraId="3FCC143F">
      <w:pPr>
        <w:pStyle w:val="12"/>
        <w:ind w:firstLine="627" w:firstLineChars="196"/>
        <w:rPr>
          <w:rFonts w:hint="eastAsia" w:ascii="仿宋" w:hAnsi="仿宋" w:eastAsia="仿宋"/>
          <w:kern w:val="0"/>
          <w:szCs w:val="32"/>
        </w:rPr>
      </w:pPr>
    </w:p>
    <w:p w14:paraId="7A309FBD">
      <w:pPr>
        <w:pStyle w:val="12"/>
        <w:ind w:firstLine="627" w:firstLineChars="196"/>
        <w:rPr>
          <w:rFonts w:hint="eastAsia" w:ascii="仿宋" w:hAnsi="仿宋" w:eastAsia="仿宋"/>
          <w:kern w:val="0"/>
          <w:szCs w:val="32"/>
        </w:rPr>
      </w:pPr>
    </w:p>
    <w:p w14:paraId="21CACBC2">
      <w:pPr>
        <w:pStyle w:val="12"/>
        <w:ind w:firstLine="627" w:firstLineChars="196"/>
        <w:rPr>
          <w:rFonts w:hint="eastAsia" w:ascii="仿宋" w:hAnsi="仿宋" w:eastAsia="仿宋"/>
          <w:kern w:val="0"/>
          <w:szCs w:val="32"/>
        </w:rPr>
      </w:pPr>
    </w:p>
    <w:p w14:paraId="3F194C91">
      <w:pPr>
        <w:jc w:val="left"/>
        <w:rPr>
          <w:rFonts w:ascii="仿宋" w:hAnsi="仿宋" w:eastAsia="仿宋"/>
          <w:sz w:val="32"/>
          <w:szCs w:val="32"/>
        </w:rPr>
      </w:pPr>
      <w:r>
        <w:rPr>
          <w:rFonts w:hint="eastAsia" w:ascii="仿宋" w:hAnsi="仿宋" w:eastAsia="仿宋"/>
          <w:sz w:val="32"/>
          <w:szCs w:val="32"/>
        </w:rPr>
        <w:t xml:space="preserve">   </w:t>
      </w:r>
    </w:p>
    <w:p w14:paraId="08C38348">
      <w:pPr>
        <w:jc w:val="both"/>
        <w:rPr>
          <w:rFonts w:ascii="黑体" w:hAnsi="黑体" w:eastAsia="黑体"/>
          <w:sz w:val="32"/>
          <w:szCs w:val="32"/>
        </w:rPr>
      </w:pPr>
    </w:p>
    <w:p w14:paraId="653D2C6B">
      <w:pPr>
        <w:jc w:val="center"/>
        <w:rPr>
          <w:rFonts w:ascii="黑体" w:hAnsi="黑体" w:eastAsia="黑体"/>
          <w:sz w:val="32"/>
          <w:szCs w:val="32"/>
        </w:rPr>
      </w:pPr>
      <w:r>
        <w:rPr>
          <w:rFonts w:hint="eastAsia" w:ascii="黑体" w:hAnsi="黑体" w:eastAsia="黑体"/>
          <w:sz w:val="32"/>
          <w:szCs w:val="32"/>
        </w:rPr>
        <w:t>第二部分  情况说明</w:t>
      </w:r>
    </w:p>
    <w:p w14:paraId="1A612949">
      <w:pPr>
        <w:jc w:val="left"/>
        <w:rPr>
          <w:rFonts w:ascii="仿宋" w:hAnsi="仿宋" w:eastAsia="仿宋"/>
          <w:sz w:val="32"/>
          <w:szCs w:val="32"/>
        </w:rPr>
      </w:pPr>
      <w:r>
        <w:rPr>
          <w:rFonts w:hint="eastAsia" w:ascii="仿宋" w:hAnsi="仿宋" w:eastAsia="仿宋"/>
          <w:sz w:val="32"/>
          <w:szCs w:val="32"/>
        </w:rPr>
        <w:t xml:space="preserve"> </w:t>
      </w:r>
    </w:p>
    <w:p w14:paraId="14665F96">
      <w:pPr>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一、2026年收支预算总体情况</w:t>
      </w:r>
    </w:p>
    <w:p w14:paraId="790B2477">
      <w:pPr>
        <w:pStyle w:val="11"/>
        <w:ind w:firstLine="640" w:firstLineChars="200"/>
        <w:jc w:val="left"/>
        <w:rPr>
          <w:rFonts w:ascii="仿宋" w:hAnsi="仿宋" w:eastAsia="仿宋"/>
          <w:sz w:val="32"/>
          <w:szCs w:val="32"/>
        </w:rPr>
      </w:pPr>
      <w:r>
        <w:rPr>
          <w:rFonts w:hint="eastAsia" w:ascii="仿宋" w:hAnsi="仿宋" w:eastAsia="仿宋"/>
          <w:sz w:val="32"/>
          <w:szCs w:val="32"/>
        </w:rPr>
        <w:t>按照综合预算的原则，所有收入和支出全部纳入部门预算管理。收入包括：一般公共预算拨款收入、政府性基金预算拨款收入、其他收入等；支出包括：一般公共服务支出、社会保障和就业支出、卫生健康支出、住房保障支出等。2026年收支总预算</w:t>
      </w:r>
      <w:r>
        <w:rPr>
          <w:rFonts w:hint="eastAsia" w:ascii="仿宋" w:hAnsi="仿宋" w:eastAsia="仿宋"/>
          <w:sz w:val="32"/>
          <w:szCs w:val="32"/>
          <w:lang w:val="en-US" w:eastAsia="zh-CN"/>
        </w:rPr>
        <w:t>3303.84</w:t>
      </w:r>
      <w:r>
        <w:rPr>
          <w:rFonts w:hint="eastAsia" w:ascii="仿宋" w:hAnsi="仿宋" w:eastAsia="仿宋"/>
          <w:sz w:val="32"/>
          <w:szCs w:val="32"/>
        </w:rPr>
        <w:t>万元，比 2025年预算数2889</w:t>
      </w:r>
      <w:r>
        <w:rPr>
          <w:rFonts w:hint="eastAsia" w:ascii="仿宋" w:hAnsi="仿宋" w:eastAsia="仿宋"/>
          <w:sz w:val="32"/>
          <w:szCs w:val="32"/>
          <w:lang w:val="en-US" w:eastAsia="zh-CN"/>
        </w:rPr>
        <w:t>.</w:t>
      </w:r>
      <w:r>
        <w:rPr>
          <w:rFonts w:hint="eastAsia" w:ascii="仿宋" w:hAnsi="仿宋" w:eastAsia="仿宋"/>
          <w:sz w:val="32"/>
          <w:szCs w:val="32"/>
        </w:rPr>
        <w:t>75万元增</w:t>
      </w:r>
      <w:r>
        <w:rPr>
          <w:rFonts w:hint="eastAsia" w:ascii="仿宋" w:hAnsi="仿宋" w:eastAsia="仿宋"/>
          <w:sz w:val="32"/>
          <w:szCs w:val="32"/>
          <w:lang w:val="en-US" w:eastAsia="zh-CN"/>
        </w:rPr>
        <w:t>加</w:t>
      </w:r>
      <w:r>
        <w:rPr>
          <w:rFonts w:hint="eastAsia" w:ascii="仿宋" w:hAnsi="仿宋" w:eastAsia="仿宋"/>
          <w:sz w:val="32"/>
          <w:szCs w:val="32"/>
        </w:rPr>
        <w:t xml:space="preserve"> </w:t>
      </w:r>
      <w:r>
        <w:rPr>
          <w:rFonts w:hint="eastAsia" w:ascii="仿宋" w:hAnsi="仿宋" w:eastAsia="仿宋"/>
          <w:sz w:val="32"/>
          <w:szCs w:val="32"/>
          <w:lang w:val="en-US" w:eastAsia="zh-CN"/>
        </w:rPr>
        <w:t>414.09</w:t>
      </w:r>
      <w:r>
        <w:rPr>
          <w:rFonts w:hint="eastAsia" w:ascii="仿宋" w:hAnsi="仿宋" w:eastAsia="仿宋"/>
          <w:sz w:val="32"/>
          <w:szCs w:val="32"/>
        </w:rPr>
        <w:t>万元，主要原因：</w:t>
      </w:r>
      <w:r>
        <w:rPr>
          <w:rFonts w:hint="eastAsia" w:ascii="仿宋" w:hAnsi="仿宋" w:eastAsia="仿宋"/>
          <w:sz w:val="32"/>
          <w:szCs w:val="32"/>
          <w:lang w:val="en-US" w:eastAsia="zh-CN"/>
        </w:rPr>
        <w:t>2025年高质量发展资金得到支付</w:t>
      </w:r>
      <w:r>
        <w:rPr>
          <w:rFonts w:hint="eastAsia" w:ascii="仿宋" w:hAnsi="仿宋" w:eastAsia="仿宋"/>
          <w:sz w:val="32"/>
          <w:szCs w:val="32"/>
        </w:rPr>
        <w:t xml:space="preserve"> 。</w:t>
      </w:r>
    </w:p>
    <w:p w14:paraId="0594D500">
      <w:pPr>
        <w:pStyle w:val="11"/>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二、2026年收入预算情况</w:t>
      </w:r>
    </w:p>
    <w:p w14:paraId="5BB9355F">
      <w:pPr>
        <w:pStyle w:val="11"/>
        <w:ind w:left="319" w:leftChars="152" w:firstLine="320" w:firstLineChars="100"/>
        <w:jc w:val="left"/>
        <w:rPr>
          <w:rFonts w:ascii="仿宋" w:hAnsi="仿宋" w:eastAsia="仿宋"/>
          <w:sz w:val="32"/>
          <w:szCs w:val="32"/>
        </w:rPr>
      </w:pPr>
      <w:r>
        <w:rPr>
          <w:rFonts w:hint="eastAsia" w:ascii="仿宋" w:hAnsi="仿宋" w:eastAsia="仿宋"/>
          <w:sz w:val="32"/>
          <w:szCs w:val="32"/>
        </w:rPr>
        <w:t xml:space="preserve">2026年本单位收入预算 </w:t>
      </w:r>
      <w:r>
        <w:rPr>
          <w:rFonts w:hint="eastAsia" w:ascii="仿宋" w:hAnsi="仿宋" w:eastAsia="仿宋"/>
          <w:sz w:val="32"/>
          <w:szCs w:val="32"/>
          <w:lang w:val="en-US" w:eastAsia="zh-CN"/>
        </w:rPr>
        <w:t>3303.84</w:t>
      </w:r>
      <w:r>
        <w:rPr>
          <w:rFonts w:hint="eastAsia" w:ascii="仿宋" w:hAnsi="仿宋" w:eastAsia="仿宋"/>
          <w:sz w:val="32"/>
          <w:szCs w:val="32"/>
        </w:rPr>
        <w:t xml:space="preserve"> 万元，其中：一般公共预算收入</w:t>
      </w:r>
      <w:r>
        <w:rPr>
          <w:rFonts w:hint="eastAsia" w:ascii="仿宋" w:hAnsi="仿宋" w:eastAsia="仿宋"/>
          <w:sz w:val="32"/>
          <w:szCs w:val="32"/>
          <w:lang w:val="en-US" w:eastAsia="zh-CN"/>
        </w:rPr>
        <w:t>3303.84</w:t>
      </w:r>
      <w:r>
        <w:rPr>
          <w:rFonts w:hint="eastAsia" w:ascii="仿宋" w:hAnsi="仿宋" w:eastAsia="仿宋"/>
          <w:sz w:val="32"/>
          <w:szCs w:val="32"/>
        </w:rPr>
        <w:t xml:space="preserve"> 万元，占</w:t>
      </w:r>
      <w:r>
        <w:rPr>
          <w:rFonts w:hint="eastAsia" w:ascii="仿宋" w:hAnsi="仿宋" w:eastAsia="仿宋"/>
          <w:sz w:val="32"/>
          <w:szCs w:val="32"/>
          <w:lang w:val="en-US" w:eastAsia="zh-CN"/>
        </w:rPr>
        <w:t>100</w:t>
      </w:r>
      <w:r>
        <w:rPr>
          <w:rFonts w:hint="eastAsia" w:ascii="仿宋" w:hAnsi="仿宋" w:eastAsia="仿宋"/>
          <w:sz w:val="32"/>
          <w:szCs w:val="32"/>
        </w:rPr>
        <w:t xml:space="preserve">%；政府性基金收入 </w:t>
      </w:r>
      <w:r>
        <w:rPr>
          <w:rFonts w:hint="eastAsia" w:ascii="仿宋" w:hAnsi="仿宋" w:eastAsia="仿宋"/>
          <w:sz w:val="32"/>
          <w:szCs w:val="32"/>
          <w:lang w:val="en-US" w:eastAsia="zh-CN"/>
        </w:rPr>
        <w:t>0</w:t>
      </w:r>
      <w:r>
        <w:rPr>
          <w:rFonts w:hint="eastAsia" w:ascii="仿宋" w:hAnsi="仿宋" w:eastAsia="仿宋"/>
          <w:sz w:val="32"/>
          <w:szCs w:val="32"/>
        </w:rPr>
        <w:t xml:space="preserve"> 万元，占</w:t>
      </w:r>
      <w:r>
        <w:rPr>
          <w:rFonts w:hint="eastAsia" w:ascii="仿宋" w:hAnsi="仿宋" w:eastAsia="仿宋"/>
          <w:sz w:val="32"/>
          <w:szCs w:val="32"/>
          <w:lang w:val="en-US" w:eastAsia="zh-CN"/>
        </w:rPr>
        <w:t>0</w:t>
      </w:r>
      <w:r>
        <w:rPr>
          <w:rFonts w:hint="eastAsia" w:ascii="仿宋" w:hAnsi="仿宋" w:eastAsia="仿宋"/>
          <w:sz w:val="32"/>
          <w:szCs w:val="32"/>
        </w:rPr>
        <w:t>%。</w:t>
      </w:r>
    </w:p>
    <w:p w14:paraId="262A2F8F">
      <w:pPr>
        <w:pStyle w:val="11"/>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 xml:space="preserve"> 三、2026年支出预算情况</w:t>
      </w:r>
    </w:p>
    <w:p w14:paraId="25859D74">
      <w:pPr>
        <w:pStyle w:val="11"/>
        <w:ind w:firstLine="640" w:firstLineChars="200"/>
        <w:rPr>
          <w:rFonts w:ascii="仿宋" w:hAnsi="仿宋" w:eastAsia="仿宋"/>
          <w:sz w:val="32"/>
          <w:szCs w:val="32"/>
        </w:rPr>
      </w:pPr>
      <w:r>
        <w:rPr>
          <w:rFonts w:hint="eastAsia" w:ascii="仿宋" w:hAnsi="仿宋" w:eastAsia="仿宋"/>
          <w:sz w:val="32"/>
          <w:szCs w:val="32"/>
        </w:rPr>
        <w:t>2026年支出预算</w:t>
      </w:r>
      <w:r>
        <w:rPr>
          <w:rFonts w:hint="eastAsia" w:ascii="仿宋" w:hAnsi="仿宋" w:eastAsia="仿宋"/>
          <w:sz w:val="32"/>
          <w:szCs w:val="32"/>
          <w:lang w:val="en-US" w:eastAsia="zh-CN"/>
        </w:rPr>
        <w:t>3303.84</w:t>
      </w:r>
      <w:r>
        <w:rPr>
          <w:rFonts w:hint="eastAsia" w:ascii="仿宋" w:hAnsi="仿宋" w:eastAsia="仿宋"/>
          <w:sz w:val="32"/>
          <w:szCs w:val="32"/>
        </w:rPr>
        <w:t>万元，其中：基本支出</w:t>
      </w:r>
      <w:r>
        <w:rPr>
          <w:rFonts w:hint="eastAsia" w:ascii="仿宋" w:hAnsi="仿宋" w:eastAsia="仿宋"/>
          <w:sz w:val="32"/>
          <w:szCs w:val="32"/>
          <w:lang w:val="en-US" w:eastAsia="zh-CN"/>
        </w:rPr>
        <w:t>3195.70</w:t>
      </w:r>
      <w:r>
        <w:rPr>
          <w:rFonts w:hint="eastAsia" w:ascii="仿宋" w:hAnsi="仿宋" w:eastAsia="仿宋"/>
          <w:sz w:val="32"/>
          <w:szCs w:val="32"/>
        </w:rPr>
        <w:t>万元，占</w:t>
      </w:r>
      <w:r>
        <w:rPr>
          <w:rFonts w:hint="eastAsia" w:ascii="仿宋" w:hAnsi="仿宋" w:eastAsia="仿宋"/>
          <w:sz w:val="32"/>
          <w:szCs w:val="32"/>
          <w:lang w:val="en-US" w:eastAsia="zh-CN"/>
        </w:rPr>
        <w:t>96.73</w:t>
      </w:r>
      <w:r>
        <w:rPr>
          <w:rFonts w:hint="eastAsia" w:ascii="仿宋" w:hAnsi="仿宋" w:eastAsia="仿宋"/>
          <w:sz w:val="32"/>
          <w:szCs w:val="32"/>
        </w:rPr>
        <w:t xml:space="preserve">%；项目支出 </w:t>
      </w:r>
      <w:r>
        <w:rPr>
          <w:rFonts w:hint="eastAsia" w:ascii="仿宋" w:hAnsi="仿宋" w:eastAsia="仿宋"/>
          <w:sz w:val="32"/>
          <w:szCs w:val="32"/>
          <w:lang w:val="en-US" w:eastAsia="zh-CN"/>
        </w:rPr>
        <w:t>108.14</w:t>
      </w:r>
      <w:r>
        <w:rPr>
          <w:rFonts w:hint="eastAsia" w:ascii="仿宋" w:hAnsi="仿宋" w:eastAsia="仿宋"/>
          <w:sz w:val="32"/>
          <w:szCs w:val="32"/>
        </w:rPr>
        <w:t xml:space="preserve"> 万元，占</w:t>
      </w:r>
      <w:r>
        <w:rPr>
          <w:rFonts w:hint="eastAsia" w:ascii="仿宋" w:hAnsi="仿宋" w:eastAsia="仿宋"/>
          <w:sz w:val="32"/>
          <w:szCs w:val="32"/>
          <w:lang w:val="en-US" w:eastAsia="zh-CN"/>
        </w:rPr>
        <w:t>3.27</w:t>
      </w:r>
      <w:r>
        <w:rPr>
          <w:rFonts w:hint="eastAsia" w:ascii="仿宋" w:hAnsi="仿宋" w:eastAsia="仿宋"/>
          <w:sz w:val="32"/>
          <w:szCs w:val="32"/>
        </w:rPr>
        <w:t>%。</w:t>
      </w:r>
    </w:p>
    <w:p w14:paraId="51040F2B">
      <w:pPr>
        <w:pStyle w:val="11"/>
        <w:ind w:firstLine="640" w:firstLineChars="200"/>
        <w:jc w:val="left"/>
        <w:rPr>
          <w:rFonts w:ascii="楷体" w:hAnsi="楷体" w:eastAsia="楷体"/>
          <w:sz w:val="32"/>
          <w:szCs w:val="32"/>
        </w:rPr>
      </w:pPr>
      <w:r>
        <w:rPr>
          <w:rFonts w:hint="eastAsia" w:ascii="楷体" w:hAnsi="楷体" w:eastAsia="楷体"/>
          <w:sz w:val="32"/>
          <w:szCs w:val="32"/>
        </w:rPr>
        <w:t>四、2026年财政拨款收支预算情况</w:t>
      </w:r>
    </w:p>
    <w:p w14:paraId="032F5B2D">
      <w:pPr>
        <w:pStyle w:val="11"/>
        <w:ind w:firstLine="640" w:firstLineChars="200"/>
        <w:rPr>
          <w:rFonts w:hint="eastAsia" w:ascii="仿宋" w:hAnsi="仿宋" w:eastAsia="仿宋"/>
          <w:sz w:val="32"/>
          <w:szCs w:val="32"/>
          <w:lang w:eastAsia="zh-CN"/>
        </w:rPr>
      </w:pPr>
      <w:r>
        <w:rPr>
          <w:rFonts w:hint="eastAsia" w:ascii="仿宋" w:hAnsi="仿宋" w:eastAsia="仿宋"/>
          <w:sz w:val="32"/>
          <w:szCs w:val="32"/>
        </w:rPr>
        <w:t>2026年财政拨款收支总预算</w:t>
      </w:r>
      <w:r>
        <w:rPr>
          <w:rFonts w:hint="eastAsia" w:ascii="仿宋" w:hAnsi="仿宋" w:eastAsia="仿宋"/>
          <w:sz w:val="32"/>
          <w:szCs w:val="32"/>
          <w:lang w:val="en-US" w:eastAsia="zh-CN"/>
        </w:rPr>
        <w:t>3303.84</w:t>
      </w:r>
      <w:r>
        <w:rPr>
          <w:rFonts w:hint="eastAsia" w:ascii="仿宋" w:hAnsi="仿宋" w:eastAsia="仿宋"/>
          <w:sz w:val="32"/>
          <w:szCs w:val="32"/>
        </w:rPr>
        <w:t>万元，其中：本年收入</w:t>
      </w:r>
      <w:r>
        <w:rPr>
          <w:rFonts w:hint="eastAsia" w:ascii="仿宋" w:hAnsi="仿宋" w:eastAsia="仿宋"/>
          <w:sz w:val="32"/>
          <w:szCs w:val="32"/>
          <w:lang w:val="en-US" w:eastAsia="zh-CN"/>
        </w:rPr>
        <w:t>3303.84</w:t>
      </w:r>
      <w:r>
        <w:rPr>
          <w:rFonts w:hint="eastAsia" w:ascii="仿宋" w:hAnsi="仿宋" w:eastAsia="仿宋"/>
          <w:sz w:val="32"/>
          <w:szCs w:val="32"/>
        </w:rPr>
        <w:t>万元。本年支出</w:t>
      </w:r>
      <w:r>
        <w:rPr>
          <w:rFonts w:hint="eastAsia" w:ascii="仿宋" w:hAnsi="仿宋" w:eastAsia="仿宋"/>
          <w:sz w:val="32"/>
          <w:szCs w:val="32"/>
          <w:lang w:val="en-US" w:eastAsia="zh-CN"/>
        </w:rPr>
        <w:t>3303.84</w:t>
      </w:r>
      <w:r>
        <w:rPr>
          <w:rFonts w:hint="eastAsia" w:ascii="仿宋" w:hAnsi="仿宋" w:eastAsia="仿宋"/>
          <w:sz w:val="32"/>
          <w:szCs w:val="32"/>
        </w:rPr>
        <w:t>万元，支出包括：一般公共服务支出</w:t>
      </w:r>
      <w:r>
        <w:rPr>
          <w:rFonts w:hint="eastAsia" w:ascii="仿宋" w:hAnsi="仿宋" w:eastAsia="仿宋"/>
          <w:sz w:val="32"/>
          <w:szCs w:val="32"/>
          <w:lang w:val="en-US" w:eastAsia="zh-CN"/>
        </w:rPr>
        <w:t>2667.29</w:t>
      </w:r>
      <w:r>
        <w:rPr>
          <w:rFonts w:hint="eastAsia" w:ascii="仿宋" w:hAnsi="仿宋" w:eastAsia="仿宋"/>
          <w:sz w:val="32"/>
          <w:szCs w:val="32"/>
        </w:rPr>
        <w:t>万元，社会保障和就业支出</w:t>
      </w:r>
      <w:r>
        <w:rPr>
          <w:rFonts w:hint="eastAsia" w:ascii="仿宋" w:hAnsi="仿宋" w:eastAsia="仿宋"/>
          <w:sz w:val="32"/>
          <w:szCs w:val="32"/>
          <w:lang w:val="en-US" w:eastAsia="zh-CN"/>
        </w:rPr>
        <w:t>359.96</w:t>
      </w:r>
      <w:r>
        <w:rPr>
          <w:rFonts w:hint="eastAsia" w:ascii="仿宋" w:hAnsi="仿宋" w:eastAsia="仿宋"/>
          <w:sz w:val="32"/>
          <w:szCs w:val="32"/>
        </w:rPr>
        <w:t>万元，住房保障支出</w:t>
      </w:r>
      <w:r>
        <w:rPr>
          <w:rFonts w:hint="eastAsia" w:ascii="仿宋" w:hAnsi="仿宋" w:eastAsia="仿宋"/>
          <w:sz w:val="32"/>
          <w:szCs w:val="32"/>
          <w:lang w:val="en-US" w:eastAsia="zh-CN"/>
        </w:rPr>
        <w:t>276.59</w:t>
      </w:r>
      <w:r>
        <w:rPr>
          <w:rFonts w:hint="eastAsia" w:ascii="仿宋" w:hAnsi="仿宋" w:eastAsia="仿宋"/>
          <w:sz w:val="32"/>
          <w:szCs w:val="32"/>
        </w:rPr>
        <w:t>万元</w:t>
      </w:r>
      <w:r>
        <w:rPr>
          <w:rFonts w:hint="eastAsia" w:ascii="仿宋" w:hAnsi="仿宋" w:eastAsia="仿宋"/>
          <w:sz w:val="32"/>
          <w:szCs w:val="32"/>
          <w:lang w:eastAsia="zh-CN"/>
        </w:rPr>
        <w:t>。</w:t>
      </w:r>
    </w:p>
    <w:p w14:paraId="113EA7E6">
      <w:pPr>
        <w:pStyle w:val="11"/>
        <w:rPr>
          <w:rFonts w:ascii="楷体" w:hAnsi="楷体" w:eastAsia="楷体"/>
          <w:sz w:val="32"/>
          <w:szCs w:val="32"/>
        </w:rPr>
      </w:pPr>
      <w:r>
        <w:rPr>
          <w:rFonts w:hint="eastAsia" w:ascii="仿宋" w:hAnsi="仿宋" w:eastAsia="仿宋"/>
          <w:kern w:val="0"/>
          <w:sz w:val="32"/>
          <w:szCs w:val="32"/>
        </w:rPr>
        <w:t xml:space="preserve">    </w:t>
      </w:r>
      <w:r>
        <w:rPr>
          <w:rFonts w:hint="eastAsia" w:ascii="楷体" w:hAnsi="楷体" w:eastAsia="楷体" w:cs="楷体"/>
          <w:kern w:val="0"/>
          <w:sz w:val="32"/>
          <w:szCs w:val="32"/>
        </w:rPr>
        <w:t>五、2026</w:t>
      </w:r>
      <w:r>
        <w:rPr>
          <w:rFonts w:hint="eastAsia" w:ascii="楷体" w:hAnsi="楷体" w:eastAsia="楷体"/>
          <w:kern w:val="0"/>
          <w:sz w:val="32"/>
          <w:szCs w:val="32"/>
        </w:rPr>
        <w:t>年一般公共预算支出情况</w:t>
      </w:r>
    </w:p>
    <w:p w14:paraId="362C178E">
      <w:pPr>
        <w:ind w:firstLine="640" w:firstLineChars="200"/>
        <w:rPr>
          <w:rFonts w:ascii="仿宋" w:hAnsi="仿宋" w:eastAsia="仿宋"/>
          <w:sz w:val="32"/>
          <w:szCs w:val="32"/>
        </w:rPr>
      </w:pPr>
      <w:r>
        <w:rPr>
          <w:rFonts w:hint="eastAsia" w:ascii="仿宋" w:hAnsi="仿宋" w:eastAsia="仿宋"/>
          <w:sz w:val="32"/>
          <w:szCs w:val="32"/>
        </w:rPr>
        <w:t>2026年一般公共预算当年拨款</w:t>
      </w:r>
      <w:r>
        <w:rPr>
          <w:rFonts w:hint="eastAsia" w:ascii="仿宋" w:hAnsi="仿宋" w:eastAsia="仿宋"/>
          <w:sz w:val="32"/>
          <w:szCs w:val="32"/>
          <w:lang w:val="en-US" w:eastAsia="zh-CN"/>
        </w:rPr>
        <w:t>3303.84</w:t>
      </w:r>
      <w:r>
        <w:rPr>
          <w:rFonts w:hint="eastAsia" w:ascii="仿宋" w:hAnsi="仿宋" w:eastAsia="仿宋"/>
          <w:sz w:val="32"/>
          <w:szCs w:val="32"/>
        </w:rPr>
        <w:t>万元，其中：基本支出</w:t>
      </w:r>
      <w:r>
        <w:rPr>
          <w:rFonts w:hint="eastAsia" w:ascii="仿宋" w:hAnsi="仿宋" w:eastAsia="仿宋"/>
          <w:sz w:val="32"/>
          <w:szCs w:val="32"/>
          <w:lang w:val="en-US" w:eastAsia="zh-CN"/>
        </w:rPr>
        <w:t>3195.70</w:t>
      </w:r>
      <w:r>
        <w:rPr>
          <w:rFonts w:hint="eastAsia" w:ascii="仿宋" w:hAnsi="仿宋" w:eastAsia="仿宋"/>
          <w:sz w:val="32"/>
          <w:szCs w:val="32"/>
        </w:rPr>
        <w:t>万元，占</w:t>
      </w:r>
      <w:r>
        <w:rPr>
          <w:rFonts w:hint="eastAsia" w:ascii="仿宋" w:hAnsi="仿宋" w:eastAsia="仿宋"/>
          <w:sz w:val="32"/>
          <w:szCs w:val="32"/>
          <w:lang w:val="en-US" w:eastAsia="zh-CN"/>
        </w:rPr>
        <w:t>96.73</w:t>
      </w:r>
      <w:r>
        <w:rPr>
          <w:rFonts w:hint="eastAsia" w:ascii="仿宋" w:hAnsi="仿宋" w:eastAsia="仿宋"/>
          <w:sz w:val="32"/>
          <w:szCs w:val="32"/>
        </w:rPr>
        <w:t>%；项目支出</w:t>
      </w:r>
      <w:r>
        <w:rPr>
          <w:rFonts w:hint="eastAsia" w:ascii="仿宋" w:hAnsi="仿宋" w:eastAsia="仿宋"/>
          <w:sz w:val="32"/>
          <w:szCs w:val="32"/>
          <w:lang w:val="en-US" w:eastAsia="zh-CN"/>
        </w:rPr>
        <w:t>108.14</w:t>
      </w:r>
      <w:r>
        <w:rPr>
          <w:rFonts w:hint="eastAsia" w:ascii="仿宋" w:hAnsi="仿宋" w:eastAsia="仿宋"/>
          <w:sz w:val="32"/>
          <w:szCs w:val="32"/>
        </w:rPr>
        <w:t>万元，占</w:t>
      </w:r>
      <w:r>
        <w:rPr>
          <w:rFonts w:hint="eastAsia" w:ascii="仿宋" w:hAnsi="仿宋" w:eastAsia="仿宋"/>
          <w:sz w:val="32"/>
          <w:szCs w:val="32"/>
          <w:lang w:val="en-US" w:eastAsia="zh-CN"/>
        </w:rPr>
        <w:t>3.27</w:t>
      </w:r>
      <w:r>
        <w:rPr>
          <w:rFonts w:hint="eastAsia" w:ascii="仿宋" w:hAnsi="仿宋" w:eastAsia="仿宋"/>
          <w:sz w:val="32"/>
          <w:szCs w:val="32"/>
        </w:rPr>
        <w:t>%。基本支出中，人员经费</w:t>
      </w:r>
      <w:r>
        <w:rPr>
          <w:rFonts w:hint="eastAsia" w:ascii="仿宋" w:hAnsi="仿宋" w:eastAsia="仿宋"/>
          <w:sz w:val="32"/>
          <w:szCs w:val="32"/>
          <w:lang w:val="en-US" w:eastAsia="zh-CN"/>
        </w:rPr>
        <w:t>3116.42</w:t>
      </w:r>
      <w:r>
        <w:rPr>
          <w:rFonts w:hint="eastAsia" w:ascii="仿宋" w:hAnsi="仿宋" w:eastAsia="仿宋"/>
          <w:sz w:val="32"/>
          <w:szCs w:val="32"/>
        </w:rPr>
        <w:t>万元，占</w:t>
      </w:r>
      <w:r>
        <w:rPr>
          <w:rFonts w:hint="eastAsia" w:ascii="仿宋" w:hAnsi="仿宋" w:eastAsia="仿宋"/>
          <w:sz w:val="32"/>
          <w:szCs w:val="32"/>
          <w:lang w:val="en-US" w:eastAsia="zh-CN"/>
        </w:rPr>
        <w:t>97.52</w:t>
      </w:r>
      <w:r>
        <w:rPr>
          <w:rFonts w:hint="eastAsia" w:ascii="仿宋" w:hAnsi="仿宋" w:eastAsia="仿宋"/>
          <w:sz w:val="32"/>
          <w:szCs w:val="32"/>
        </w:rPr>
        <w:t>%；公用经费</w:t>
      </w:r>
      <w:r>
        <w:rPr>
          <w:rFonts w:hint="eastAsia" w:ascii="仿宋" w:hAnsi="仿宋" w:eastAsia="仿宋"/>
          <w:sz w:val="32"/>
          <w:szCs w:val="32"/>
          <w:lang w:val="en-US" w:eastAsia="zh-CN"/>
        </w:rPr>
        <w:t>79.28</w:t>
      </w:r>
      <w:r>
        <w:rPr>
          <w:rFonts w:hint="eastAsia" w:ascii="仿宋" w:hAnsi="仿宋" w:eastAsia="仿宋"/>
          <w:sz w:val="32"/>
          <w:szCs w:val="32"/>
        </w:rPr>
        <w:t>万元，占</w:t>
      </w:r>
      <w:r>
        <w:rPr>
          <w:rFonts w:hint="eastAsia" w:ascii="仿宋" w:hAnsi="仿宋" w:eastAsia="仿宋"/>
          <w:sz w:val="32"/>
          <w:szCs w:val="32"/>
          <w:lang w:val="en-US" w:eastAsia="zh-CN"/>
        </w:rPr>
        <w:t>2.48</w:t>
      </w:r>
      <w:r>
        <w:rPr>
          <w:rFonts w:hint="eastAsia" w:ascii="仿宋" w:hAnsi="仿宋" w:eastAsia="仿宋"/>
          <w:sz w:val="32"/>
          <w:szCs w:val="32"/>
        </w:rPr>
        <w:t>%。</w:t>
      </w:r>
    </w:p>
    <w:p w14:paraId="7AE3769D">
      <w:pPr>
        <w:ind w:firstLine="640" w:firstLineChars="200"/>
        <w:rPr>
          <w:rFonts w:ascii="仿宋" w:hAnsi="仿宋" w:eastAsia="仿宋"/>
          <w:sz w:val="32"/>
          <w:szCs w:val="32"/>
        </w:rPr>
      </w:pPr>
      <w:r>
        <w:rPr>
          <w:rFonts w:hint="eastAsia" w:ascii="仿宋" w:hAnsi="仿宋" w:eastAsia="仿宋"/>
          <w:sz w:val="32"/>
          <w:szCs w:val="32"/>
        </w:rPr>
        <w:t xml:space="preserve">教育支出 </w:t>
      </w:r>
      <w:r>
        <w:rPr>
          <w:rFonts w:hint="eastAsia" w:ascii="仿宋" w:hAnsi="仿宋" w:eastAsia="仿宋"/>
          <w:sz w:val="32"/>
          <w:szCs w:val="32"/>
          <w:lang w:val="en-US" w:eastAsia="zh-CN"/>
        </w:rPr>
        <w:t>2667.29</w:t>
      </w:r>
      <w:r>
        <w:rPr>
          <w:rFonts w:hint="eastAsia" w:ascii="仿宋" w:hAnsi="仿宋" w:eastAsia="仿宋"/>
          <w:sz w:val="32"/>
          <w:szCs w:val="32"/>
        </w:rPr>
        <w:t xml:space="preserve"> 万元，占</w:t>
      </w:r>
      <w:r>
        <w:rPr>
          <w:rFonts w:hint="eastAsia" w:ascii="仿宋" w:hAnsi="仿宋" w:eastAsia="仿宋"/>
          <w:sz w:val="32"/>
          <w:szCs w:val="32"/>
          <w:lang w:val="en-US" w:eastAsia="zh-CN"/>
        </w:rPr>
        <w:t>80.73</w:t>
      </w:r>
      <w:r>
        <w:rPr>
          <w:rFonts w:hint="eastAsia" w:ascii="仿宋" w:hAnsi="仿宋" w:eastAsia="仿宋"/>
          <w:sz w:val="32"/>
          <w:szCs w:val="32"/>
        </w:rPr>
        <w:t>%，主要用于：</w:t>
      </w:r>
      <w:r>
        <w:rPr>
          <w:rFonts w:hint="eastAsia" w:ascii="仿宋" w:hAnsi="仿宋" w:eastAsia="仿宋"/>
          <w:sz w:val="32"/>
          <w:szCs w:val="32"/>
          <w:lang w:val="en-US" w:eastAsia="zh-CN"/>
        </w:rPr>
        <w:t>人员开支、医保、其他社会保险缴费；公用经费</w:t>
      </w:r>
      <w:r>
        <w:rPr>
          <w:rFonts w:hint="eastAsia" w:ascii="仿宋" w:hAnsi="仿宋" w:eastAsia="仿宋"/>
          <w:sz w:val="32"/>
          <w:szCs w:val="32"/>
        </w:rPr>
        <w:t>。</w:t>
      </w:r>
    </w:p>
    <w:p w14:paraId="2915F654">
      <w:pPr>
        <w:ind w:firstLine="640" w:firstLineChars="200"/>
        <w:rPr>
          <w:rFonts w:hint="eastAsia" w:ascii="仿宋" w:hAnsi="仿宋" w:eastAsia="仿宋"/>
          <w:sz w:val="32"/>
          <w:szCs w:val="32"/>
          <w:lang w:eastAsia="zh-CN"/>
        </w:rPr>
      </w:pPr>
      <w:r>
        <w:rPr>
          <w:rFonts w:hint="eastAsia" w:ascii="仿宋" w:hAnsi="仿宋" w:eastAsia="仿宋"/>
          <w:sz w:val="32"/>
          <w:szCs w:val="32"/>
        </w:rPr>
        <w:t xml:space="preserve">社会保障和就业（类）支出 </w:t>
      </w:r>
      <w:r>
        <w:rPr>
          <w:rFonts w:hint="eastAsia" w:ascii="仿宋" w:hAnsi="仿宋" w:eastAsia="仿宋"/>
          <w:sz w:val="32"/>
          <w:szCs w:val="32"/>
          <w:lang w:val="en-US" w:eastAsia="zh-CN"/>
        </w:rPr>
        <w:t>335.78</w:t>
      </w:r>
      <w:r>
        <w:rPr>
          <w:rFonts w:hint="eastAsia" w:ascii="仿宋" w:hAnsi="仿宋" w:eastAsia="仿宋"/>
          <w:sz w:val="32"/>
          <w:szCs w:val="32"/>
        </w:rPr>
        <w:t>万元，占</w:t>
      </w:r>
      <w:r>
        <w:rPr>
          <w:rFonts w:hint="eastAsia" w:ascii="仿宋" w:hAnsi="仿宋" w:eastAsia="仿宋"/>
          <w:sz w:val="32"/>
          <w:szCs w:val="32"/>
          <w:lang w:val="en-US" w:eastAsia="zh-CN"/>
        </w:rPr>
        <w:t>10.89</w:t>
      </w:r>
      <w:r>
        <w:rPr>
          <w:rFonts w:hint="eastAsia" w:ascii="仿宋" w:hAnsi="仿宋" w:eastAsia="仿宋"/>
          <w:sz w:val="32"/>
          <w:szCs w:val="32"/>
        </w:rPr>
        <w:t>%，主要用于：</w:t>
      </w:r>
      <w:r>
        <w:rPr>
          <w:rFonts w:hint="eastAsia" w:ascii="仿宋" w:hAnsi="仿宋" w:eastAsia="仿宋"/>
          <w:sz w:val="32"/>
          <w:szCs w:val="32"/>
          <w:lang w:val="en-US" w:eastAsia="zh-CN"/>
        </w:rPr>
        <w:t>离休费、机关事业单位基本养老保险缴费支出、机关事业单位职业年金缴费支出</w:t>
      </w:r>
      <w:r>
        <w:rPr>
          <w:rFonts w:hint="eastAsia" w:ascii="仿宋" w:hAnsi="仿宋" w:eastAsia="仿宋"/>
          <w:sz w:val="32"/>
          <w:szCs w:val="32"/>
          <w:lang w:eastAsia="zh-CN"/>
        </w:rPr>
        <w:t>。</w:t>
      </w:r>
    </w:p>
    <w:p w14:paraId="2A9515ED">
      <w:pPr>
        <w:ind w:firstLine="640" w:firstLineChars="200"/>
        <w:rPr>
          <w:rFonts w:hint="default" w:ascii="仿宋" w:hAnsi="仿宋" w:eastAsia="仿宋"/>
          <w:sz w:val="32"/>
          <w:szCs w:val="32"/>
          <w:lang w:val="en-US"/>
        </w:rPr>
      </w:pPr>
      <w:r>
        <w:rPr>
          <w:rFonts w:hint="eastAsia" w:ascii="仿宋" w:hAnsi="仿宋" w:eastAsia="仿宋"/>
          <w:sz w:val="32"/>
          <w:szCs w:val="32"/>
        </w:rPr>
        <w:t>住房保障（类）支出 247</w:t>
      </w:r>
      <w:r>
        <w:rPr>
          <w:rFonts w:hint="eastAsia" w:ascii="仿宋" w:hAnsi="仿宋" w:eastAsia="仿宋"/>
          <w:sz w:val="32"/>
          <w:szCs w:val="32"/>
          <w:lang w:val="en-US" w:eastAsia="zh-CN"/>
        </w:rPr>
        <w:t>.</w:t>
      </w:r>
      <w:r>
        <w:rPr>
          <w:rFonts w:hint="eastAsia" w:ascii="仿宋" w:hAnsi="仿宋" w:eastAsia="仿宋"/>
          <w:sz w:val="32"/>
          <w:szCs w:val="32"/>
        </w:rPr>
        <w:t>79 万元，占</w:t>
      </w:r>
      <w:r>
        <w:rPr>
          <w:rFonts w:hint="eastAsia" w:ascii="仿宋" w:hAnsi="仿宋" w:eastAsia="仿宋"/>
          <w:sz w:val="32"/>
          <w:szCs w:val="32"/>
          <w:lang w:val="en-US" w:eastAsia="zh-CN"/>
        </w:rPr>
        <w:t>8.38</w:t>
      </w:r>
      <w:r>
        <w:rPr>
          <w:rFonts w:hint="eastAsia" w:ascii="仿宋" w:hAnsi="仿宋" w:eastAsia="仿宋"/>
          <w:sz w:val="32"/>
          <w:szCs w:val="32"/>
        </w:rPr>
        <w:t>%，主要用于：</w:t>
      </w:r>
      <w:r>
        <w:rPr>
          <w:rFonts w:hint="eastAsia" w:ascii="仿宋" w:hAnsi="仿宋" w:eastAsia="仿宋"/>
          <w:sz w:val="32"/>
          <w:szCs w:val="32"/>
          <w:lang w:val="en-US" w:eastAsia="zh-CN"/>
        </w:rPr>
        <w:t>住房公积金。</w:t>
      </w:r>
    </w:p>
    <w:p w14:paraId="1D655B29">
      <w:pPr>
        <w:pStyle w:val="9"/>
        <w:rPr>
          <w:rFonts w:ascii="楷体" w:hAnsi="楷体" w:eastAsia="楷体"/>
          <w:kern w:val="0"/>
          <w:sz w:val="32"/>
          <w:szCs w:val="32"/>
        </w:rPr>
      </w:pPr>
      <w:r>
        <w:rPr>
          <w:rFonts w:hint="eastAsia" w:ascii="仿宋" w:hAnsi="仿宋" w:eastAsia="仿宋"/>
          <w:kern w:val="0"/>
          <w:sz w:val="32"/>
          <w:szCs w:val="32"/>
        </w:rPr>
        <w:t xml:space="preserve">   </w:t>
      </w:r>
      <w:r>
        <w:rPr>
          <w:rFonts w:hint="eastAsia" w:ascii="楷体" w:hAnsi="楷体" w:eastAsia="楷体"/>
          <w:kern w:val="0"/>
          <w:sz w:val="32"/>
          <w:szCs w:val="32"/>
        </w:rPr>
        <w:t>六、2026年一般公共预算基本支出情况</w:t>
      </w:r>
    </w:p>
    <w:p w14:paraId="28556014">
      <w:pPr>
        <w:ind w:firstLine="640" w:firstLineChars="200"/>
        <w:rPr>
          <w:rFonts w:ascii="仿宋" w:hAnsi="仿宋" w:eastAsia="仿宋"/>
          <w:sz w:val="32"/>
          <w:szCs w:val="32"/>
        </w:rPr>
      </w:pPr>
      <w:r>
        <w:rPr>
          <w:rFonts w:hint="eastAsia" w:ascii="仿宋" w:hAnsi="仿宋" w:eastAsia="仿宋"/>
          <w:sz w:val="32"/>
          <w:szCs w:val="32"/>
        </w:rPr>
        <w:t xml:space="preserve">2026年一般公共预算基本支出 </w:t>
      </w:r>
      <w:r>
        <w:rPr>
          <w:rFonts w:hint="eastAsia" w:ascii="仿宋" w:hAnsi="仿宋" w:eastAsia="仿宋"/>
          <w:sz w:val="32"/>
          <w:szCs w:val="32"/>
          <w:lang w:val="en-US" w:eastAsia="zh-CN"/>
        </w:rPr>
        <w:t>3195.70</w:t>
      </w:r>
      <w:r>
        <w:rPr>
          <w:rFonts w:hint="eastAsia" w:ascii="仿宋" w:hAnsi="仿宋" w:eastAsia="仿宋"/>
          <w:sz w:val="32"/>
          <w:szCs w:val="32"/>
        </w:rPr>
        <w:t xml:space="preserve"> 万元，其中：</w:t>
      </w:r>
    </w:p>
    <w:p w14:paraId="03F48596">
      <w:pPr>
        <w:ind w:firstLine="640" w:firstLineChars="200"/>
        <w:rPr>
          <w:rFonts w:ascii="仿宋" w:hAnsi="仿宋" w:eastAsia="仿宋"/>
          <w:sz w:val="32"/>
          <w:szCs w:val="32"/>
        </w:rPr>
      </w:pPr>
      <w:r>
        <w:rPr>
          <w:rFonts w:hint="eastAsia" w:ascii="仿宋" w:hAnsi="仿宋" w:eastAsia="仿宋"/>
          <w:sz w:val="32"/>
          <w:szCs w:val="32"/>
        </w:rPr>
        <w:t>人员经费</w:t>
      </w:r>
      <w:r>
        <w:rPr>
          <w:rFonts w:hint="eastAsia" w:ascii="仿宋" w:hAnsi="仿宋" w:eastAsia="仿宋"/>
          <w:sz w:val="32"/>
          <w:szCs w:val="32"/>
          <w:lang w:val="en-US" w:eastAsia="zh-CN"/>
        </w:rPr>
        <w:t>3116.42</w:t>
      </w:r>
      <w:r>
        <w:rPr>
          <w:rFonts w:hint="eastAsia" w:ascii="仿宋" w:hAnsi="仿宋" w:eastAsia="仿宋"/>
          <w:sz w:val="32"/>
          <w:szCs w:val="32"/>
        </w:rPr>
        <w:t>万元，主要包括：基本工资、津贴补贴、奖金、绩效工资、机关事业单位基本养老保险缴费、职工基本医疗保险缴费、其他社会保障缴费、住房公积金、其他工资福利支出、离退休费、生活补助、其他对个人和家庭补助支出等；</w:t>
      </w:r>
    </w:p>
    <w:p w14:paraId="5C92AD13">
      <w:pPr>
        <w:pStyle w:val="9"/>
        <w:ind w:firstLine="627" w:firstLineChars="196"/>
        <w:rPr>
          <w:rFonts w:ascii="仿宋" w:hAnsi="仿宋" w:eastAsia="仿宋"/>
          <w:kern w:val="0"/>
          <w:sz w:val="32"/>
          <w:szCs w:val="32"/>
        </w:rPr>
      </w:pPr>
      <w:r>
        <w:rPr>
          <w:rFonts w:hint="eastAsia" w:ascii="仿宋" w:hAnsi="仿宋" w:eastAsia="仿宋"/>
          <w:sz w:val="32"/>
          <w:szCs w:val="32"/>
        </w:rPr>
        <w:t>公用经费</w:t>
      </w:r>
      <w:r>
        <w:rPr>
          <w:rFonts w:hint="eastAsia" w:ascii="仿宋" w:hAnsi="仿宋" w:eastAsia="仿宋"/>
          <w:sz w:val="32"/>
          <w:szCs w:val="32"/>
          <w:lang w:val="en-US" w:eastAsia="zh-CN"/>
        </w:rPr>
        <w:t>79.28</w:t>
      </w:r>
      <w:r>
        <w:rPr>
          <w:rFonts w:hint="eastAsia" w:ascii="仿宋" w:hAnsi="仿宋" w:eastAsia="仿宋"/>
          <w:sz w:val="32"/>
          <w:szCs w:val="32"/>
        </w:rPr>
        <w:t>万元，主要包括：办公费、印刷费、水费、电费、邮电费、取暖费、差旅费、工会经费等。</w:t>
      </w:r>
    </w:p>
    <w:p w14:paraId="4605EB7B">
      <w:pPr>
        <w:pStyle w:val="9"/>
        <w:ind w:firstLine="640" w:firstLineChars="200"/>
        <w:rPr>
          <w:rFonts w:ascii="楷体" w:hAnsi="楷体" w:eastAsia="楷体"/>
          <w:kern w:val="0"/>
          <w:sz w:val="32"/>
          <w:szCs w:val="32"/>
        </w:rPr>
      </w:pPr>
      <w:r>
        <w:rPr>
          <w:rFonts w:hint="eastAsia" w:ascii="楷体" w:hAnsi="楷体" w:eastAsia="楷体"/>
          <w:kern w:val="0"/>
          <w:sz w:val="32"/>
          <w:szCs w:val="32"/>
        </w:rPr>
        <w:t>七、2026年一般公共预算财政拨款“三公经费”情况</w:t>
      </w:r>
    </w:p>
    <w:p w14:paraId="57CA13F6">
      <w:pPr>
        <w:pStyle w:val="9"/>
        <w:ind w:firstLine="640" w:firstLineChars="200"/>
        <w:rPr>
          <w:rFonts w:ascii="仿宋" w:hAnsi="仿宋" w:eastAsia="仿宋"/>
          <w:kern w:val="0"/>
          <w:sz w:val="32"/>
          <w:szCs w:val="32"/>
        </w:rPr>
      </w:pPr>
      <w:r>
        <w:rPr>
          <w:rFonts w:hint="eastAsia" w:ascii="仿宋" w:hAnsi="仿宋" w:eastAsia="仿宋"/>
          <w:sz w:val="32"/>
          <w:szCs w:val="32"/>
          <w:lang w:val="en-US" w:eastAsia="zh-CN"/>
        </w:rPr>
        <w:t>2026年</w:t>
      </w:r>
      <w:r>
        <w:rPr>
          <w:rFonts w:hint="eastAsia" w:ascii="仿宋" w:hAnsi="仿宋" w:eastAsia="仿宋"/>
          <w:sz w:val="32"/>
          <w:szCs w:val="32"/>
        </w:rPr>
        <w:t>本单位无</w:t>
      </w:r>
      <w:r>
        <w:rPr>
          <w:rFonts w:hint="eastAsia" w:ascii="仿宋" w:hAnsi="仿宋" w:eastAsia="仿宋"/>
          <w:kern w:val="0"/>
          <w:sz w:val="32"/>
          <w:szCs w:val="32"/>
        </w:rPr>
        <w:t>一般公共预算财政拨款“三公经费”预算支出</w:t>
      </w:r>
    </w:p>
    <w:p w14:paraId="6910EFDB">
      <w:pPr>
        <w:pStyle w:val="9"/>
        <w:rPr>
          <w:rFonts w:ascii="楷体" w:hAnsi="楷体" w:eastAsia="楷体" w:cs="楷体"/>
          <w:sz w:val="32"/>
          <w:szCs w:val="32"/>
        </w:rPr>
      </w:pPr>
      <w:r>
        <w:rPr>
          <w:rFonts w:hint="eastAsia" w:ascii="仿宋" w:hAnsi="仿宋" w:eastAsia="仿宋"/>
          <w:sz w:val="32"/>
          <w:szCs w:val="32"/>
        </w:rPr>
        <w:t xml:space="preserve">    </w:t>
      </w:r>
      <w:r>
        <w:rPr>
          <w:rFonts w:hint="eastAsia" w:ascii="楷体" w:hAnsi="楷体" w:eastAsia="楷体" w:cs="楷体"/>
          <w:sz w:val="32"/>
          <w:szCs w:val="32"/>
        </w:rPr>
        <w:t>八、202</w:t>
      </w:r>
      <w:r>
        <w:rPr>
          <w:rFonts w:hint="eastAsia" w:ascii="楷体" w:hAnsi="楷体" w:eastAsia="楷体" w:cs="楷体"/>
          <w:sz w:val="32"/>
          <w:szCs w:val="32"/>
          <w:lang w:val="en-US" w:eastAsia="zh-CN"/>
        </w:rPr>
        <w:t>6</w:t>
      </w:r>
      <w:r>
        <w:rPr>
          <w:rFonts w:hint="eastAsia" w:ascii="楷体" w:hAnsi="楷体" w:eastAsia="楷体" w:cs="楷体"/>
          <w:sz w:val="32"/>
          <w:szCs w:val="32"/>
        </w:rPr>
        <w:t>年政府性基金预算支出情况</w:t>
      </w:r>
    </w:p>
    <w:p w14:paraId="30DDC106">
      <w:pPr>
        <w:ind w:firstLine="640" w:firstLineChars="200"/>
        <w:jc w:val="left"/>
        <w:rPr>
          <w:rFonts w:hint="eastAsia" w:ascii="仿宋" w:hAnsi="仿宋" w:eastAsia="仿宋"/>
          <w:sz w:val="32"/>
          <w:szCs w:val="32"/>
          <w:lang w:val="en-US" w:eastAsia="zh-CN"/>
        </w:rPr>
      </w:pPr>
      <w:r>
        <w:rPr>
          <w:rFonts w:hint="eastAsia" w:ascii="仿宋" w:hAnsi="仿宋" w:eastAsia="仿宋"/>
          <w:sz w:val="32"/>
          <w:szCs w:val="32"/>
          <w:lang w:val="en-US" w:eastAsia="zh-CN"/>
        </w:rPr>
        <w:t>2026年</w:t>
      </w:r>
      <w:r>
        <w:rPr>
          <w:rFonts w:hint="eastAsia" w:ascii="仿宋" w:hAnsi="仿宋" w:eastAsia="仿宋"/>
          <w:sz w:val="32"/>
          <w:szCs w:val="32"/>
        </w:rPr>
        <w:t>本单位无政府性基金预算支出</w:t>
      </w:r>
    </w:p>
    <w:p w14:paraId="0C8BAAE7">
      <w:pPr>
        <w:pStyle w:val="9"/>
        <w:ind w:firstLine="640"/>
        <w:rPr>
          <w:rFonts w:ascii="楷体" w:hAnsi="楷体" w:eastAsia="楷体" w:cs="楷体"/>
          <w:sz w:val="32"/>
          <w:szCs w:val="32"/>
        </w:rPr>
      </w:pPr>
      <w:r>
        <w:rPr>
          <w:rFonts w:hint="eastAsia" w:ascii="楷体" w:hAnsi="楷体" w:eastAsia="楷体" w:cs="楷体"/>
          <w:sz w:val="32"/>
          <w:szCs w:val="32"/>
        </w:rPr>
        <w:t>九、202</w:t>
      </w:r>
      <w:r>
        <w:rPr>
          <w:rFonts w:hint="eastAsia" w:ascii="楷体" w:hAnsi="楷体" w:eastAsia="楷体" w:cs="楷体"/>
          <w:sz w:val="32"/>
          <w:szCs w:val="32"/>
          <w:lang w:val="en-US" w:eastAsia="zh-CN"/>
        </w:rPr>
        <w:t>6</w:t>
      </w:r>
      <w:r>
        <w:rPr>
          <w:rFonts w:hint="eastAsia" w:ascii="楷体" w:hAnsi="楷体" w:eastAsia="楷体" w:cs="楷体"/>
          <w:sz w:val="32"/>
          <w:szCs w:val="32"/>
        </w:rPr>
        <w:t>年国有资本经营预算支出情况</w:t>
      </w:r>
    </w:p>
    <w:p w14:paraId="150E1D26">
      <w:pPr>
        <w:ind w:firstLine="640" w:firstLineChars="200"/>
        <w:jc w:val="left"/>
        <w:rPr>
          <w:rFonts w:ascii="仿宋" w:hAnsi="仿宋" w:eastAsia="仿宋"/>
          <w:sz w:val="32"/>
          <w:szCs w:val="32"/>
        </w:rPr>
      </w:pPr>
      <w:r>
        <w:rPr>
          <w:rFonts w:hint="eastAsia" w:ascii="仿宋" w:hAnsi="仿宋" w:eastAsia="仿宋"/>
          <w:sz w:val="32"/>
          <w:szCs w:val="32"/>
          <w:lang w:val="en-US" w:eastAsia="zh-CN"/>
        </w:rPr>
        <w:t>2026年</w:t>
      </w:r>
      <w:r>
        <w:rPr>
          <w:rFonts w:hint="eastAsia" w:ascii="仿宋" w:hAnsi="仿宋" w:eastAsia="仿宋"/>
          <w:sz w:val="32"/>
          <w:szCs w:val="32"/>
        </w:rPr>
        <w:t>本单位无国有资本经营预算支出。</w:t>
      </w:r>
    </w:p>
    <w:p w14:paraId="6E701543">
      <w:pPr>
        <w:numPr>
          <w:ilvl w:val="0"/>
          <w:numId w:val="3"/>
        </w:numPr>
        <w:jc w:val="left"/>
        <w:rPr>
          <w:rFonts w:ascii="楷体" w:hAnsi="楷体" w:eastAsia="楷体" w:cs="楷体"/>
          <w:sz w:val="32"/>
          <w:szCs w:val="32"/>
        </w:rPr>
      </w:pPr>
      <w:r>
        <w:rPr>
          <w:rFonts w:hint="eastAsia" w:ascii="楷体" w:hAnsi="楷体" w:eastAsia="楷体" w:cs="楷体"/>
          <w:sz w:val="32"/>
          <w:szCs w:val="32"/>
        </w:rPr>
        <w:t>其他重要事项的说明情况</w:t>
      </w:r>
    </w:p>
    <w:p w14:paraId="6504CFCF">
      <w:pPr>
        <w:ind w:firstLine="640" w:firstLineChars="200"/>
        <w:jc w:val="left"/>
        <w:rPr>
          <w:rFonts w:ascii="楷体" w:hAnsi="楷体" w:eastAsia="楷体" w:cs="楷体"/>
          <w:sz w:val="32"/>
          <w:szCs w:val="32"/>
        </w:rPr>
      </w:pPr>
      <w:r>
        <w:rPr>
          <w:rFonts w:hint="eastAsia" w:ascii="楷体" w:hAnsi="楷体" w:eastAsia="楷体" w:cs="楷体"/>
          <w:sz w:val="32"/>
          <w:szCs w:val="32"/>
        </w:rPr>
        <w:t>（一）机关运行经费</w:t>
      </w:r>
    </w:p>
    <w:p w14:paraId="2F85CF89">
      <w:pPr>
        <w:pStyle w:val="8"/>
        <w:ind w:firstLine="640"/>
        <w:rPr>
          <w:rFonts w:hint="eastAsia"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6</w:t>
      </w:r>
      <w:r>
        <w:rPr>
          <w:rFonts w:hint="eastAsia" w:ascii="仿宋" w:hAnsi="仿宋" w:eastAsia="仿宋"/>
          <w:sz w:val="32"/>
          <w:szCs w:val="32"/>
        </w:rPr>
        <w:t>年本单位</w:t>
      </w:r>
      <w:r>
        <w:rPr>
          <w:rFonts w:hint="eastAsia" w:ascii="仿宋" w:hAnsi="仿宋" w:eastAsia="仿宋"/>
          <w:sz w:val="32"/>
          <w:szCs w:val="32"/>
          <w:lang w:val="en-US" w:eastAsia="zh-CN"/>
        </w:rPr>
        <w:t>无</w:t>
      </w:r>
      <w:r>
        <w:rPr>
          <w:rFonts w:hint="eastAsia" w:ascii="仿宋" w:hAnsi="仿宋" w:eastAsia="仿宋"/>
          <w:sz w:val="32"/>
          <w:szCs w:val="32"/>
        </w:rPr>
        <w:t>机关运行经费财政拨款预算。</w:t>
      </w:r>
    </w:p>
    <w:p w14:paraId="2500E57B">
      <w:pPr>
        <w:ind w:firstLine="640" w:firstLineChars="200"/>
        <w:jc w:val="left"/>
        <w:rPr>
          <w:rFonts w:ascii="楷体" w:hAnsi="楷体" w:eastAsia="楷体"/>
          <w:sz w:val="32"/>
          <w:szCs w:val="32"/>
        </w:rPr>
      </w:pPr>
      <w:r>
        <w:rPr>
          <w:rFonts w:hint="eastAsia" w:ascii="楷体" w:hAnsi="楷体" w:eastAsia="楷体"/>
          <w:sz w:val="32"/>
          <w:szCs w:val="32"/>
        </w:rPr>
        <w:t>（二）政府采购情况</w:t>
      </w:r>
    </w:p>
    <w:p w14:paraId="5F067239">
      <w:pPr>
        <w:ind w:firstLine="640" w:firstLineChars="200"/>
        <w:jc w:val="left"/>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6</w:t>
      </w:r>
      <w:r>
        <w:rPr>
          <w:rFonts w:hint="eastAsia" w:ascii="仿宋" w:hAnsi="仿宋" w:eastAsia="仿宋"/>
          <w:sz w:val="32"/>
          <w:szCs w:val="32"/>
        </w:rPr>
        <w:t>年本单位</w:t>
      </w:r>
      <w:r>
        <w:rPr>
          <w:rFonts w:hint="eastAsia" w:ascii="仿宋" w:hAnsi="仿宋" w:eastAsia="仿宋"/>
          <w:sz w:val="32"/>
          <w:szCs w:val="32"/>
          <w:lang w:val="en-US" w:eastAsia="zh-CN"/>
        </w:rPr>
        <w:t>无</w:t>
      </w:r>
      <w:r>
        <w:rPr>
          <w:rFonts w:hint="eastAsia" w:ascii="仿宋" w:hAnsi="仿宋" w:eastAsia="仿宋"/>
          <w:sz w:val="32"/>
          <w:szCs w:val="32"/>
        </w:rPr>
        <w:t>政府采购预算。</w:t>
      </w:r>
    </w:p>
    <w:p w14:paraId="25B0309A">
      <w:pPr>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（三）国有资产占有使用情况</w:t>
      </w:r>
    </w:p>
    <w:p w14:paraId="78271549">
      <w:pPr>
        <w:pStyle w:val="8"/>
        <w:ind w:firstLine="0" w:firstLineChars="0"/>
        <w:jc w:val="left"/>
        <w:rPr>
          <w:rFonts w:ascii="仿宋" w:hAnsi="仿宋" w:eastAsia="仿宋"/>
          <w:sz w:val="32"/>
          <w:szCs w:val="32"/>
        </w:rPr>
      </w:pPr>
      <w:r>
        <w:rPr>
          <w:rFonts w:hint="eastAsia" w:ascii="仿宋" w:hAnsi="仿宋" w:eastAsia="仿宋"/>
          <w:sz w:val="32"/>
          <w:szCs w:val="32"/>
        </w:rPr>
        <w:t xml:space="preserve">    截至202</w:t>
      </w:r>
      <w:r>
        <w:rPr>
          <w:rFonts w:hint="eastAsia" w:ascii="仿宋" w:hAnsi="仿宋" w:eastAsia="仿宋"/>
          <w:sz w:val="32"/>
          <w:szCs w:val="32"/>
          <w:lang w:val="en-US" w:eastAsia="zh-CN"/>
        </w:rPr>
        <w:t>6</w:t>
      </w:r>
      <w:r>
        <w:rPr>
          <w:rFonts w:hint="eastAsia" w:ascii="仿宋" w:hAnsi="仿宋" w:eastAsia="仿宋"/>
          <w:sz w:val="32"/>
          <w:szCs w:val="32"/>
        </w:rPr>
        <w:t>年1月，</w:t>
      </w:r>
      <w:r>
        <w:rPr>
          <w:rFonts w:hint="eastAsia" w:ascii="仿宋" w:hAnsi="仿宋" w:eastAsia="仿宋"/>
          <w:sz w:val="32"/>
          <w:szCs w:val="32"/>
          <w:lang w:val="en-US" w:eastAsia="zh-CN"/>
        </w:rPr>
        <w:t>本</w:t>
      </w:r>
      <w:r>
        <w:rPr>
          <w:rFonts w:hint="eastAsia" w:ascii="仿宋" w:hAnsi="仿宋" w:eastAsia="仿宋"/>
          <w:sz w:val="32"/>
          <w:szCs w:val="32"/>
        </w:rPr>
        <w:t>单位</w:t>
      </w:r>
      <w:r>
        <w:rPr>
          <w:rFonts w:hint="eastAsia" w:ascii="仿宋" w:hAnsi="仿宋" w:eastAsia="仿宋"/>
          <w:sz w:val="32"/>
          <w:szCs w:val="32"/>
          <w:lang w:val="en-US" w:eastAsia="zh-CN"/>
        </w:rPr>
        <w:t>无</w:t>
      </w:r>
      <w:r>
        <w:rPr>
          <w:rFonts w:hint="eastAsia" w:ascii="仿宋" w:hAnsi="仿宋" w:eastAsia="仿宋"/>
          <w:sz w:val="32"/>
          <w:szCs w:val="32"/>
        </w:rPr>
        <w:t>共有车辆</w:t>
      </w:r>
      <w:r>
        <w:rPr>
          <w:rFonts w:hint="eastAsia" w:ascii="仿宋" w:hAnsi="仿宋" w:eastAsia="仿宋"/>
          <w:sz w:val="32"/>
          <w:szCs w:val="32"/>
          <w:lang w:val="en-US" w:eastAsia="zh-CN"/>
        </w:rPr>
        <w:t>、</w:t>
      </w:r>
      <w:r>
        <w:rPr>
          <w:rFonts w:hint="eastAsia" w:ascii="仿宋" w:hAnsi="仿宋" w:eastAsia="仿宋"/>
          <w:sz w:val="32"/>
          <w:szCs w:val="32"/>
        </w:rPr>
        <w:t>价值200万元以上大型设备。</w:t>
      </w:r>
    </w:p>
    <w:p w14:paraId="6C4F4062">
      <w:pPr>
        <w:numPr>
          <w:ilvl w:val="0"/>
          <w:numId w:val="4"/>
        </w:numPr>
        <w:ind w:firstLine="640"/>
        <w:jc w:val="left"/>
        <w:rPr>
          <w:rFonts w:ascii="楷体" w:hAnsi="楷体" w:eastAsia="楷体"/>
          <w:sz w:val="32"/>
          <w:szCs w:val="32"/>
        </w:rPr>
      </w:pPr>
      <w:r>
        <w:rPr>
          <w:rFonts w:hint="eastAsia" w:ascii="楷体" w:hAnsi="楷体" w:eastAsia="楷体"/>
          <w:sz w:val="32"/>
          <w:szCs w:val="32"/>
        </w:rPr>
        <w:t>预算项目绩效目标管理情况</w:t>
      </w:r>
    </w:p>
    <w:p w14:paraId="3C527A83">
      <w:pPr>
        <w:jc w:val="left"/>
        <w:rPr>
          <w:rFonts w:ascii="仿宋" w:hAnsi="仿宋" w:eastAsia="仿宋"/>
          <w:sz w:val="32"/>
          <w:szCs w:val="32"/>
        </w:rPr>
      </w:pPr>
      <w:r>
        <w:rPr>
          <w:rFonts w:hint="eastAsia" w:ascii="仿宋" w:hAnsi="仿宋" w:eastAsia="仿宋"/>
          <w:sz w:val="32"/>
          <w:szCs w:val="32"/>
        </w:rPr>
        <w:t xml:space="preserve">    </w:t>
      </w:r>
      <w:r>
        <w:rPr>
          <w:rFonts w:hint="eastAsia" w:ascii="仿宋" w:hAnsi="仿宋" w:eastAsia="仿宋"/>
          <w:sz w:val="32"/>
          <w:szCs w:val="32"/>
          <w:lang w:val="en-US" w:eastAsia="zh-CN"/>
        </w:rPr>
        <w:t>2026年本单位无</w:t>
      </w:r>
      <w:r>
        <w:rPr>
          <w:rFonts w:hint="eastAsia" w:ascii="仿宋" w:hAnsi="仿宋" w:eastAsia="仿宋"/>
          <w:sz w:val="32"/>
          <w:szCs w:val="32"/>
        </w:rPr>
        <w:t>本级预算项目。</w:t>
      </w:r>
    </w:p>
    <w:p w14:paraId="5BEAB39C">
      <w:pPr>
        <w:jc w:val="center"/>
        <w:rPr>
          <w:rFonts w:ascii="黑体" w:hAnsi="黑体" w:eastAsia="黑体"/>
          <w:sz w:val="32"/>
          <w:szCs w:val="32"/>
        </w:rPr>
      </w:pPr>
      <w:r>
        <w:rPr>
          <w:rFonts w:hint="eastAsia" w:ascii="黑体" w:hAnsi="黑体" w:eastAsia="黑体"/>
          <w:sz w:val="32"/>
          <w:szCs w:val="32"/>
        </w:rPr>
        <w:t>第三部分  名词解释</w:t>
      </w:r>
    </w:p>
    <w:p w14:paraId="72BA8D45">
      <w:pPr>
        <w:ind w:firstLine="640" w:firstLineChars="200"/>
        <w:rPr>
          <w:rFonts w:ascii="仿宋_GB2312" w:eastAsia="仿宋_GB2312"/>
          <w:sz w:val="32"/>
          <w:szCs w:val="32"/>
        </w:rPr>
      </w:pPr>
      <w:r>
        <w:rPr>
          <w:rFonts w:hint="eastAsia" w:ascii="仿宋_GB2312" w:eastAsia="仿宋_GB2312"/>
          <w:sz w:val="32"/>
          <w:szCs w:val="32"/>
        </w:rPr>
        <w:t>一、一般公共预算拨款收入：指本级财政通过当年一般公共预算拨付的资金。</w:t>
      </w:r>
    </w:p>
    <w:p w14:paraId="2B7CFECE">
      <w:pPr>
        <w:ind w:firstLine="640" w:firstLineChars="200"/>
        <w:rPr>
          <w:rFonts w:ascii="仿宋_GB2312" w:eastAsia="仿宋_GB2312"/>
          <w:sz w:val="32"/>
          <w:szCs w:val="32"/>
        </w:rPr>
      </w:pPr>
      <w:r>
        <w:rPr>
          <w:rFonts w:hint="eastAsia" w:ascii="仿宋_GB2312" w:eastAsia="仿宋_GB2312"/>
          <w:sz w:val="32"/>
          <w:szCs w:val="32"/>
        </w:rPr>
        <w:t>二、政府性基金预算拨款收入：指本级财政通过当年政府性基金预算拨付的资金。</w:t>
      </w:r>
    </w:p>
    <w:p w14:paraId="19E1AEFC">
      <w:pPr>
        <w:ind w:firstLine="640" w:firstLineChars="200"/>
        <w:rPr>
          <w:rFonts w:ascii="仿宋_GB2312" w:eastAsia="仿宋_GB2312"/>
          <w:sz w:val="32"/>
          <w:szCs w:val="32"/>
        </w:rPr>
      </w:pPr>
      <w:r>
        <w:rPr>
          <w:rFonts w:hint="eastAsia" w:ascii="仿宋_GB2312" w:eastAsia="仿宋_GB2312"/>
          <w:sz w:val="32"/>
          <w:szCs w:val="32"/>
        </w:rPr>
        <w:t>三、国有资本经营预算拨款收入：指本级财政通过当年国有资本经营预算拨付的资金。</w:t>
      </w:r>
    </w:p>
    <w:p w14:paraId="253786D9">
      <w:pPr>
        <w:ind w:firstLine="640" w:firstLineChars="200"/>
        <w:rPr>
          <w:rFonts w:ascii="仿宋_GB2312" w:eastAsia="仿宋_GB2312"/>
          <w:sz w:val="32"/>
          <w:szCs w:val="32"/>
        </w:rPr>
      </w:pPr>
      <w:r>
        <w:rPr>
          <w:rFonts w:hint="eastAsia" w:ascii="仿宋_GB2312" w:eastAsia="仿宋_GB2312"/>
          <w:sz w:val="32"/>
          <w:szCs w:val="32"/>
        </w:rPr>
        <w:t>四、其他收入：指除上述收入以外的各项收入。包括银行存款利息收入。</w:t>
      </w:r>
    </w:p>
    <w:p w14:paraId="2EE06A32">
      <w:pPr>
        <w:ind w:firstLine="640" w:firstLineChars="200"/>
        <w:rPr>
          <w:rFonts w:ascii="仿宋_GB2312" w:eastAsia="仿宋_GB2312"/>
          <w:sz w:val="32"/>
          <w:szCs w:val="32"/>
        </w:rPr>
      </w:pPr>
      <w:r>
        <w:rPr>
          <w:rFonts w:hint="eastAsia" w:ascii="仿宋_GB2312" w:eastAsia="仿宋_GB2312"/>
          <w:sz w:val="32"/>
          <w:szCs w:val="32"/>
        </w:rPr>
        <w:t>五、基本支出：指为保障机构正常运转、完成日常工作任务而发生的人员支出和公用支出等各项支出。</w:t>
      </w:r>
    </w:p>
    <w:p w14:paraId="3E01DA3E">
      <w:pPr>
        <w:ind w:firstLine="640" w:firstLineChars="200"/>
        <w:rPr>
          <w:rFonts w:ascii="仿宋_GB2312" w:eastAsia="仿宋_GB2312"/>
          <w:sz w:val="32"/>
          <w:szCs w:val="32"/>
        </w:rPr>
      </w:pPr>
      <w:r>
        <w:rPr>
          <w:rFonts w:hint="eastAsia" w:ascii="仿宋_GB2312" w:eastAsia="仿宋_GB2312"/>
          <w:sz w:val="32"/>
          <w:szCs w:val="32"/>
        </w:rPr>
        <w:t>六、项目支出：指在基本支出之外为完成特定行政工作任务和事业发展目标所发生的各项支出。</w:t>
      </w:r>
    </w:p>
    <w:p w14:paraId="0FD705C5">
      <w:pPr>
        <w:ind w:firstLine="640" w:firstLineChars="200"/>
        <w:rPr>
          <w:rFonts w:ascii="仿宋_GB2312" w:eastAsia="仿宋_GB2312"/>
          <w:sz w:val="32"/>
          <w:szCs w:val="32"/>
        </w:rPr>
      </w:pPr>
      <w:r>
        <w:rPr>
          <w:rFonts w:hint="eastAsia" w:ascii="仿宋_GB2312" w:eastAsia="仿宋_GB2312"/>
          <w:sz w:val="32"/>
          <w:szCs w:val="32"/>
        </w:rPr>
        <w:t>七、年初结转和结余：指以前年度尚未完成、结转到本年仍按原规定用途继续使用的资金，或项目已完成等产生的结余资金。</w:t>
      </w:r>
    </w:p>
    <w:p w14:paraId="45ECA056">
      <w:pPr>
        <w:ind w:firstLine="640" w:firstLineChars="200"/>
        <w:rPr>
          <w:rFonts w:ascii="仿宋_GB2312" w:eastAsia="仿宋_GB2312"/>
          <w:sz w:val="32"/>
          <w:szCs w:val="32"/>
        </w:rPr>
      </w:pPr>
      <w:r>
        <w:rPr>
          <w:rFonts w:hint="eastAsia" w:ascii="仿宋_GB2312" w:eastAsia="仿宋_GB2312"/>
          <w:sz w:val="32"/>
          <w:szCs w:val="32"/>
        </w:rPr>
        <w:t>八、年末结转和结余：指事业单位按有关规定结转到下年或以后年度继续使用的资金，或项目已完成等产生的结余资金。</w:t>
      </w:r>
    </w:p>
    <w:p w14:paraId="57DA4EF3">
      <w:pPr>
        <w:ind w:firstLine="640" w:firstLineChars="200"/>
        <w:rPr>
          <w:rFonts w:ascii="仿宋_GB2312" w:eastAsia="仿宋_GB2312"/>
          <w:sz w:val="32"/>
          <w:szCs w:val="32"/>
        </w:rPr>
      </w:pPr>
      <w:r>
        <w:rPr>
          <w:rFonts w:hint="eastAsia" w:ascii="仿宋_GB2312" w:eastAsia="仿宋_GB2312"/>
          <w:sz w:val="32"/>
          <w:szCs w:val="32"/>
        </w:rPr>
        <w:t>九、“三公”经费财政拨款支出：指通过财政拨款资金安排的因公出国（境）费、公务用车购置及运行费和公务接待费支出。其中，因公出国（境）费指单位工作人员公务出国（境）的往返机票费、国际旅费、国外城市间交通费、住宿费、伙食费、培训费、公杂费等支出；公务用车购置及运行费指单位购置公务用车支出及公务用车使用过程中所发生的租用费、燃料费、维修费、过桥过路费、保险费、安全奖励费等支出；公务接待费指单位按规定开支的各类公务接待（含外宾接待）支出。</w:t>
      </w:r>
    </w:p>
    <w:p w14:paraId="0DADBDF3">
      <w:pPr>
        <w:ind w:firstLine="640" w:firstLineChars="200"/>
        <w:rPr>
          <w:rFonts w:ascii="仿宋_GB2312" w:eastAsia="仿宋_GB2312"/>
          <w:sz w:val="32"/>
          <w:szCs w:val="32"/>
        </w:rPr>
      </w:pPr>
      <w:r>
        <w:rPr>
          <w:rFonts w:hint="eastAsia" w:ascii="仿宋_GB2312" w:eastAsia="仿宋_GB2312"/>
          <w:sz w:val="32"/>
          <w:szCs w:val="32"/>
        </w:rPr>
        <w:t>十、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683A3D8F">
      <w:pPr>
        <w:ind w:firstLine="640" w:firstLineChars="200"/>
        <w:rPr>
          <w:rFonts w:ascii="仿宋_GB2312" w:eastAsia="仿宋_GB2312"/>
          <w:sz w:val="32"/>
          <w:szCs w:val="32"/>
        </w:rPr>
      </w:pPr>
      <w:r>
        <w:rPr>
          <w:rFonts w:hint="eastAsia" w:ascii="仿宋_GB2312" w:eastAsia="仿宋_GB2312"/>
          <w:sz w:val="32"/>
          <w:szCs w:val="32"/>
        </w:rPr>
        <w:t>十一、住房公积金支出：指行政事业单位按人力资源和社会保障部、财政部规定的基本工资和津贴补贴以及规定比例为职工缴纳的住房公积金支出。</w:t>
      </w:r>
    </w:p>
    <w:p w14:paraId="7751B935">
      <w:pPr>
        <w:ind w:firstLine="640" w:firstLineChars="200"/>
        <w:jc w:val="left"/>
        <w:rPr>
          <w:rFonts w:ascii="仿宋_GB2312" w:hAnsi="仿宋_GB2312" w:eastAsia="仿宋_GB2312" w:cs="Times New Roman"/>
          <w:kern w:val="0"/>
          <w:sz w:val="32"/>
          <w:szCs w:val="32"/>
        </w:rPr>
      </w:pPr>
      <w:r>
        <w:rPr>
          <w:rFonts w:hint="eastAsia" w:ascii="仿宋_GB2312" w:eastAsia="仿宋_GB2312"/>
          <w:sz w:val="32"/>
          <w:szCs w:val="32"/>
        </w:rPr>
        <w:t>十二、项目支出绩效目标：</w:t>
      </w:r>
      <w:r>
        <w:rPr>
          <w:rFonts w:ascii="仿宋_GB2312" w:hAnsi="仿宋_GB2312" w:eastAsia="仿宋_GB2312" w:cs="Times New Roman"/>
          <w:kern w:val="0"/>
          <w:sz w:val="32"/>
          <w:szCs w:val="32"/>
        </w:rPr>
        <w:t>是以项目支出为对象，以项目实施所带来的产出和结果为主要内容，</w:t>
      </w:r>
      <w:r>
        <w:rPr>
          <w:rFonts w:hint="eastAsia" w:ascii="仿宋_GB2312" w:hAnsi="仿宋_GB2312" w:eastAsia="仿宋_GB2312" w:cs="Times New Roman"/>
          <w:kern w:val="0"/>
          <w:sz w:val="32"/>
          <w:szCs w:val="32"/>
        </w:rPr>
        <w:t>为</w:t>
      </w:r>
      <w:r>
        <w:rPr>
          <w:rFonts w:ascii="仿宋_GB2312" w:hAnsi="仿宋_GB2312" w:eastAsia="仿宋_GB2312" w:cs="Times New Roman"/>
          <w:kern w:val="0"/>
          <w:sz w:val="32"/>
          <w:szCs w:val="32"/>
        </w:rPr>
        <w:t>促进预算单位完成特定工作任务或事业发展</w:t>
      </w:r>
      <w:r>
        <w:rPr>
          <w:rFonts w:hint="eastAsia" w:ascii="仿宋_GB2312" w:hAnsi="仿宋_GB2312" w:eastAsia="仿宋_GB2312" w:cs="Times New Roman"/>
          <w:kern w:val="0"/>
          <w:sz w:val="32"/>
          <w:szCs w:val="32"/>
        </w:rPr>
        <w:t>所制定的</w:t>
      </w:r>
      <w:r>
        <w:rPr>
          <w:rFonts w:ascii="仿宋_GB2312" w:hAnsi="仿宋_GB2312" w:eastAsia="仿宋_GB2312" w:cs="Times New Roman"/>
          <w:kern w:val="0"/>
          <w:sz w:val="32"/>
          <w:szCs w:val="32"/>
        </w:rPr>
        <w:t>目标</w:t>
      </w:r>
      <w:r>
        <w:rPr>
          <w:rFonts w:hint="eastAsia" w:ascii="仿宋_GB2312" w:hAnsi="仿宋_GB2312" w:eastAsia="仿宋_GB2312" w:cs="Times New Roman"/>
          <w:kern w:val="0"/>
          <w:sz w:val="32"/>
          <w:szCs w:val="32"/>
        </w:rPr>
        <w:t>。</w:t>
      </w:r>
    </w:p>
    <w:p w14:paraId="4CFE9CC6">
      <w:pPr>
        <w:ind w:firstLine="640" w:firstLineChars="200"/>
        <w:rPr>
          <w:rFonts w:ascii="仿宋_GB2312" w:eastAsia="仿宋_GB2312"/>
          <w:sz w:val="32"/>
          <w:szCs w:val="32"/>
        </w:rPr>
      </w:pPr>
    </w:p>
    <w:p w14:paraId="38433E3C">
      <w:pPr>
        <w:jc w:val="left"/>
        <w:rPr>
          <w:rFonts w:ascii="仿宋" w:hAnsi="仿宋" w:eastAsia="仿宋"/>
          <w:sz w:val="32"/>
          <w:szCs w:val="32"/>
        </w:rPr>
      </w:pPr>
      <w:r>
        <w:rPr>
          <w:rFonts w:hint="eastAsia" w:ascii="仿宋" w:hAnsi="仿宋" w:eastAsia="仿宋"/>
          <w:sz w:val="32"/>
          <w:szCs w:val="32"/>
        </w:rPr>
        <w:t xml:space="preserve"> </w:t>
      </w:r>
    </w:p>
    <w:p w14:paraId="68250850">
      <w:pPr>
        <w:jc w:val="left"/>
        <w:rPr>
          <w:rFonts w:ascii="仿宋" w:hAnsi="仿宋" w:eastAsia="仿宋"/>
          <w:sz w:val="32"/>
          <w:szCs w:val="32"/>
        </w:rPr>
      </w:pPr>
    </w:p>
    <w:p w14:paraId="757010AF">
      <w:pPr>
        <w:jc w:val="left"/>
        <w:rPr>
          <w:rFonts w:ascii="仿宋" w:hAnsi="仿宋" w:eastAsia="仿宋"/>
          <w:sz w:val="32"/>
          <w:szCs w:val="32"/>
        </w:rPr>
      </w:pPr>
    </w:p>
    <w:p w14:paraId="1B9DA4B3">
      <w:pPr>
        <w:jc w:val="center"/>
        <w:rPr>
          <w:rFonts w:ascii="仿宋" w:hAnsi="仿宋" w:eastAsia="仿宋"/>
          <w:sz w:val="32"/>
          <w:szCs w:val="32"/>
        </w:rPr>
      </w:pPr>
      <w:r>
        <w:rPr>
          <w:rFonts w:hint="eastAsia" w:ascii="仿宋" w:hAnsi="仿宋" w:eastAsia="仿宋"/>
          <w:sz w:val="32"/>
          <w:szCs w:val="32"/>
        </w:rPr>
        <w:t>第四部分  预算表格</w:t>
      </w:r>
    </w:p>
    <w:p w14:paraId="0252C055">
      <w:pPr>
        <w:jc w:val="left"/>
        <w:rPr>
          <w:rFonts w:ascii="仿宋" w:hAnsi="仿宋" w:eastAsia="仿宋"/>
          <w:sz w:val="32"/>
          <w:szCs w:val="32"/>
        </w:rPr>
      </w:pPr>
      <w:r>
        <w:rPr>
          <w:rFonts w:hint="eastAsia" w:ascii="仿宋" w:hAnsi="仿宋" w:eastAsia="仿宋"/>
          <w:sz w:val="32"/>
          <w:szCs w:val="32"/>
        </w:rPr>
        <w:t>2026年部门预算表套表（预算一体化-“预算编制”模块-预算编制帆软报表查询中提取相应数据）。</w:t>
      </w:r>
    </w:p>
    <w:p w14:paraId="00E3AD42">
      <w:pPr>
        <w:rPr>
          <w:rFonts w:ascii="仿宋" w:hAnsi="仿宋" w:eastAsia="仿宋"/>
          <w:b/>
          <w:sz w:val="32"/>
          <w:szCs w:val="32"/>
        </w:rPr>
      </w:pPr>
      <w:bookmarkStart w:id="0" w:name="_GoBack"/>
      <w:bookmarkEnd w:id="0"/>
    </w:p>
    <w:sectPr>
      <w:pgSz w:w="11906" w:h="16838"/>
      <w:pgMar w:top="1440" w:right="1701"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8C56D3"/>
    <w:multiLevelType w:val="singleLevel"/>
    <w:tmpl w:val="1E8C56D3"/>
    <w:lvl w:ilvl="0" w:tentative="0">
      <w:start w:val="10"/>
      <w:numFmt w:val="chineseCounting"/>
      <w:suff w:val="nothing"/>
      <w:lvlText w:val="%1、"/>
      <w:lvlJc w:val="left"/>
      <w:pPr>
        <w:ind w:left="640" w:firstLine="0"/>
      </w:pPr>
      <w:rPr>
        <w:rFonts w:hint="eastAsia"/>
      </w:rPr>
    </w:lvl>
  </w:abstractNum>
  <w:abstractNum w:abstractNumId="1">
    <w:nsid w:val="2480E559"/>
    <w:multiLevelType w:val="singleLevel"/>
    <w:tmpl w:val="2480E559"/>
    <w:lvl w:ilvl="0" w:tentative="0">
      <w:start w:val="4"/>
      <w:numFmt w:val="chineseCounting"/>
      <w:suff w:val="nothing"/>
      <w:lvlText w:val="（%1）"/>
      <w:lvlJc w:val="left"/>
      <w:rPr>
        <w:rFonts w:hint="eastAsia"/>
      </w:rPr>
    </w:lvl>
  </w:abstractNum>
  <w:abstractNum w:abstractNumId="2">
    <w:nsid w:val="77206646"/>
    <w:multiLevelType w:val="multilevel"/>
    <w:tmpl w:val="77206646"/>
    <w:lvl w:ilvl="0" w:tentative="0">
      <w:start w:val="1"/>
      <w:numFmt w:val="japaneseCounting"/>
      <w:lvlText w:val="%1、"/>
      <w:lvlJc w:val="left"/>
      <w:pPr>
        <w:ind w:left="1245" w:hanging="420"/>
      </w:pPr>
      <w:rPr>
        <w:rFonts w:hint="default"/>
      </w:rPr>
    </w:lvl>
    <w:lvl w:ilvl="1" w:tentative="0">
      <w:start w:val="1"/>
      <w:numFmt w:val="lowerLetter"/>
      <w:lvlText w:val="%2)"/>
      <w:lvlJc w:val="left"/>
      <w:pPr>
        <w:ind w:left="1665" w:hanging="420"/>
      </w:pPr>
    </w:lvl>
    <w:lvl w:ilvl="2" w:tentative="0">
      <w:start w:val="1"/>
      <w:numFmt w:val="lowerRoman"/>
      <w:lvlText w:val="%3."/>
      <w:lvlJc w:val="right"/>
      <w:pPr>
        <w:ind w:left="2085" w:hanging="420"/>
      </w:pPr>
    </w:lvl>
    <w:lvl w:ilvl="3" w:tentative="0">
      <w:start w:val="1"/>
      <w:numFmt w:val="decimal"/>
      <w:lvlText w:val="%4."/>
      <w:lvlJc w:val="left"/>
      <w:pPr>
        <w:ind w:left="2505" w:hanging="420"/>
      </w:pPr>
    </w:lvl>
    <w:lvl w:ilvl="4" w:tentative="0">
      <w:start w:val="1"/>
      <w:numFmt w:val="lowerLetter"/>
      <w:lvlText w:val="%5)"/>
      <w:lvlJc w:val="left"/>
      <w:pPr>
        <w:ind w:left="2925" w:hanging="420"/>
      </w:pPr>
    </w:lvl>
    <w:lvl w:ilvl="5" w:tentative="0">
      <w:start w:val="1"/>
      <w:numFmt w:val="lowerRoman"/>
      <w:lvlText w:val="%6."/>
      <w:lvlJc w:val="right"/>
      <w:pPr>
        <w:ind w:left="3345" w:hanging="420"/>
      </w:pPr>
    </w:lvl>
    <w:lvl w:ilvl="6" w:tentative="0">
      <w:start w:val="1"/>
      <w:numFmt w:val="decimal"/>
      <w:lvlText w:val="%7."/>
      <w:lvlJc w:val="left"/>
      <w:pPr>
        <w:ind w:left="3765" w:hanging="420"/>
      </w:pPr>
    </w:lvl>
    <w:lvl w:ilvl="7" w:tentative="0">
      <w:start w:val="1"/>
      <w:numFmt w:val="lowerLetter"/>
      <w:lvlText w:val="%8)"/>
      <w:lvlJc w:val="left"/>
      <w:pPr>
        <w:ind w:left="4185" w:hanging="420"/>
      </w:pPr>
    </w:lvl>
    <w:lvl w:ilvl="8" w:tentative="0">
      <w:start w:val="1"/>
      <w:numFmt w:val="lowerRoman"/>
      <w:lvlText w:val="%9."/>
      <w:lvlJc w:val="right"/>
      <w:pPr>
        <w:ind w:left="4605" w:hanging="420"/>
      </w:pPr>
    </w:lvl>
  </w:abstractNum>
  <w:abstractNum w:abstractNumId="3">
    <w:nsid w:val="79E50641"/>
    <w:multiLevelType w:val="multilevel"/>
    <w:tmpl w:val="79E50641"/>
    <w:lvl w:ilvl="0" w:tentative="0">
      <w:start w:val="1"/>
      <w:numFmt w:val="japaneseCounting"/>
      <w:lvlText w:val="%1、"/>
      <w:lvlJc w:val="left"/>
      <w:pPr>
        <w:ind w:left="987" w:hanging="420"/>
      </w:pPr>
      <w:rPr>
        <w:rFonts w:hint="default"/>
      </w:r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zk4ZTRlMjA0ZDliMDM5MDYxNGViNmVhNzMxOWUyZTgifQ=="/>
  </w:docVars>
  <w:rsids>
    <w:rsidRoot w:val="00A12A00"/>
    <w:rsid w:val="00005AFD"/>
    <w:rsid w:val="00010A01"/>
    <w:rsid w:val="00021D06"/>
    <w:rsid w:val="0005667C"/>
    <w:rsid w:val="00065C15"/>
    <w:rsid w:val="00071665"/>
    <w:rsid w:val="00072FC1"/>
    <w:rsid w:val="000F2EE4"/>
    <w:rsid w:val="00124BCE"/>
    <w:rsid w:val="00170416"/>
    <w:rsid w:val="00197A4E"/>
    <w:rsid w:val="001A4D62"/>
    <w:rsid w:val="001E24AD"/>
    <w:rsid w:val="001F239D"/>
    <w:rsid w:val="00203564"/>
    <w:rsid w:val="00242E9B"/>
    <w:rsid w:val="00251CE0"/>
    <w:rsid w:val="00251F84"/>
    <w:rsid w:val="002E0B3B"/>
    <w:rsid w:val="002F1115"/>
    <w:rsid w:val="002F3222"/>
    <w:rsid w:val="00357E92"/>
    <w:rsid w:val="00380C14"/>
    <w:rsid w:val="003B5F35"/>
    <w:rsid w:val="003F5A34"/>
    <w:rsid w:val="004176EB"/>
    <w:rsid w:val="004763A7"/>
    <w:rsid w:val="00482664"/>
    <w:rsid w:val="004C1015"/>
    <w:rsid w:val="00567D16"/>
    <w:rsid w:val="00572D27"/>
    <w:rsid w:val="00576DB1"/>
    <w:rsid w:val="0059597A"/>
    <w:rsid w:val="005A01D8"/>
    <w:rsid w:val="005C384D"/>
    <w:rsid w:val="005F0428"/>
    <w:rsid w:val="005F5FA4"/>
    <w:rsid w:val="00622E82"/>
    <w:rsid w:val="006954BF"/>
    <w:rsid w:val="007007DA"/>
    <w:rsid w:val="00722D32"/>
    <w:rsid w:val="00740031"/>
    <w:rsid w:val="00745992"/>
    <w:rsid w:val="00746DAF"/>
    <w:rsid w:val="007663EF"/>
    <w:rsid w:val="00770198"/>
    <w:rsid w:val="007B276D"/>
    <w:rsid w:val="007D3846"/>
    <w:rsid w:val="00806CC6"/>
    <w:rsid w:val="00815C4B"/>
    <w:rsid w:val="0089282A"/>
    <w:rsid w:val="008B501D"/>
    <w:rsid w:val="00942596"/>
    <w:rsid w:val="00971A2E"/>
    <w:rsid w:val="009A3FBB"/>
    <w:rsid w:val="009C3948"/>
    <w:rsid w:val="009E4C36"/>
    <w:rsid w:val="00A12A00"/>
    <w:rsid w:val="00A26DC8"/>
    <w:rsid w:val="00A31D89"/>
    <w:rsid w:val="00A35B84"/>
    <w:rsid w:val="00A3789D"/>
    <w:rsid w:val="00A64FF7"/>
    <w:rsid w:val="00A73987"/>
    <w:rsid w:val="00A752E3"/>
    <w:rsid w:val="00AE2415"/>
    <w:rsid w:val="00AE2F02"/>
    <w:rsid w:val="00AF32ED"/>
    <w:rsid w:val="00B03AD0"/>
    <w:rsid w:val="00B2091C"/>
    <w:rsid w:val="00B27940"/>
    <w:rsid w:val="00B36C0B"/>
    <w:rsid w:val="00B62C43"/>
    <w:rsid w:val="00B74A8E"/>
    <w:rsid w:val="00BE1B87"/>
    <w:rsid w:val="00C37526"/>
    <w:rsid w:val="00C61D37"/>
    <w:rsid w:val="00CB2087"/>
    <w:rsid w:val="00CC2C0E"/>
    <w:rsid w:val="00CE6FE2"/>
    <w:rsid w:val="00CF7FF2"/>
    <w:rsid w:val="00D173AA"/>
    <w:rsid w:val="00D463CF"/>
    <w:rsid w:val="00D54CC0"/>
    <w:rsid w:val="00DA2F9D"/>
    <w:rsid w:val="00DA5EFE"/>
    <w:rsid w:val="00DB4298"/>
    <w:rsid w:val="00DC6B72"/>
    <w:rsid w:val="00DF1F1C"/>
    <w:rsid w:val="00DF38C6"/>
    <w:rsid w:val="00E168F9"/>
    <w:rsid w:val="00E20B1E"/>
    <w:rsid w:val="00E343EE"/>
    <w:rsid w:val="00E53AE6"/>
    <w:rsid w:val="00EA359C"/>
    <w:rsid w:val="00EB321B"/>
    <w:rsid w:val="00ED0CE4"/>
    <w:rsid w:val="00F30AB2"/>
    <w:rsid w:val="00F51569"/>
    <w:rsid w:val="00FD1DC5"/>
    <w:rsid w:val="00FF36E7"/>
    <w:rsid w:val="01640BD1"/>
    <w:rsid w:val="018E6F43"/>
    <w:rsid w:val="01EC1B1D"/>
    <w:rsid w:val="034968DF"/>
    <w:rsid w:val="03D7309C"/>
    <w:rsid w:val="03F014FB"/>
    <w:rsid w:val="03F248D4"/>
    <w:rsid w:val="05AE6735"/>
    <w:rsid w:val="07C71E05"/>
    <w:rsid w:val="0A450E4E"/>
    <w:rsid w:val="0A7F599D"/>
    <w:rsid w:val="0B4115AF"/>
    <w:rsid w:val="0C633590"/>
    <w:rsid w:val="0C7C5D37"/>
    <w:rsid w:val="0D0F40E1"/>
    <w:rsid w:val="0DD04666"/>
    <w:rsid w:val="0E0E4A27"/>
    <w:rsid w:val="0E235FAD"/>
    <w:rsid w:val="0E933B6E"/>
    <w:rsid w:val="0F4C4086"/>
    <w:rsid w:val="10D9450A"/>
    <w:rsid w:val="112B3A0C"/>
    <w:rsid w:val="117169F8"/>
    <w:rsid w:val="11DF6BD5"/>
    <w:rsid w:val="12C62CA4"/>
    <w:rsid w:val="14496F20"/>
    <w:rsid w:val="15DA5399"/>
    <w:rsid w:val="187E3884"/>
    <w:rsid w:val="189F4F3D"/>
    <w:rsid w:val="18F97B94"/>
    <w:rsid w:val="191A0446"/>
    <w:rsid w:val="1B4A363A"/>
    <w:rsid w:val="1BC526EF"/>
    <w:rsid w:val="1C882350"/>
    <w:rsid w:val="1CDC1A5B"/>
    <w:rsid w:val="1F451F7A"/>
    <w:rsid w:val="20EF71F1"/>
    <w:rsid w:val="21FE2E7E"/>
    <w:rsid w:val="2323212D"/>
    <w:rsid w:val="23FA4ECF"/>
    <w:rsid w:val="2527010D"/>
    <w:rsid w:val="26DC2BFA"/>
    <w:rsid w:val="27063D31"/>
    <w:rsid w:val="27742DDB"/>
    <w:rsid w:val="27747EDE"/>
    <w:rsid w:val="277B13CF"/>
    <w:rsid w:val="285B5D80"/>
    <w:rsid w:val="28753BF0"/>
    <w:rsid w:val="28AA47B7"/>
    <w:rsid w:val="28CB641B"/>
    <w:rsid w:val="29207EE3"/>
    <w:rsid w:val="29AC5B2F"/>
    <w:rsid w:val="2AC832F5"/>
    <w:rsid w:val="2D742D12"/>
    <w:rsid w:val="2E3342C6"/>
    <w:rsid w:val="344D4C9B"/>
    <w:rsid w:val="36273D08"/>
    <w:rsid w:val="368F70D3"/>
    <w:rsid w:val="37361A0B"/>
    <w:rsid w:val="38253B59"/>
    <w:rsid w:val="385B501F"/>
    <w:rsid w:val="38DE30B8"/>
    <w:rsid w:val="39284901"/>
    <w:rsid w:val="39AB5825"/>
    <w:rsid w:val="3A482539"/>
    <w:rsid w:val="3A915046"/>
    <w:rsid w:val="3B5C449E"/>
    <w:rsid w:val="3C4C15D1"/>
    <w:rsid w:val="3CE440CF"/>
    <w:rsid w:val="3CEA5A8A"/>
    <w:rsid w:val="3D897F97"/>
    <w:rsid w:val="3DA7578C"/>
    <w:rsid w:val="3F597259"/>
    <w:rsid w:val="3F6B774D"/>
    <w:rsid w:val="40095632"/>
    <w:rsid w:val="430260DD"/>
    <w:rsid w:val="442476FC"/>
    <w:rsid w:val="46345885"/>
    <w:rsid w:val="46B15537"/>
    <w:rsid w:val="46C17DAD"/>
    <w:rsid w:val="46F64D5D"/>
    <w:rsid w:val="49B80B05"/>
    <w:rsid w:val="49B81F53"/>
    <w:rsid w:val="4AAC7860"/>
    <w:rsid w:val="4CDB40F9"/>
    <w:rsid w:val="4D0265B8"/>
    <w:rsid w:val="4D8021B9"/>
    <w:rsid w:val="4DFF6777"/>
    <w:rsid w:val="4EB752BA"/>
    <w:rsid w:val="4ED6365B"/>
    <w:rsid w:val="4F735000"/>
    <w:rsid w:val="50041643"/>
    <w:rsid w:val="50F75E7E"/>
    <w:rsid w:val="51436F0F"/>
    <w:rsid w:val="51BB428B"/>
    <w:rsid w:val="52DF1D28"/>
    <w:rsid w:val="53A4083B"/>
    <w:rsid w:val="54923E8D"/>
    <w:rsid w:val="54941844"/>
    <w:rsid w:val="5538455E"/>
    <w:rsid w:val="566F21D7"/>
    <w:rsid w:val="567F658B"/>
    <w:rsid w:val="56A94595"/>
    <w:rsid w:val="580A299B"/>
    <w:rsid w:val="5B5D76B7"/>
    <w:rsid w:val="5B8E44C5"/>
    <w:rsid w:val="5C982767"/>
    <w:rsid w:val="5CD80EBE"/>
    <w:rsid w:val="5CFA751D"/>
    <w:rsid w:val="5D070F11"/>
    <w:rsid w:val="5D580A8A"/>
    <w:rsid w:val="5DB8541C"/>
    <w:rsid w:val="5E221344"/>
    <w:rsid w:val="5E32788E"/>
    <w:rsid w:val="5EC7698C"/>
    <w:rsid w:val="5FB128C2"/>
    <w:rsid w:val="60731B65"/>
    <w:rsid w:val="60D72763"/>
    <w:rsid w:val="61525EF8"/>
    <w:rsid w:val="615F5A3C"/>
    <w:rsid w:val="62856942"/>
    <w:rsid w:val="62B666A5"/>
    <w:rsid w:val="62E15FE9"/>
    <w:rsid w:val="65255B39"/>
    <w:rsid w:val="659C7B1A"/>
    <w:rsid w:val="65E847CC"/>
    <w:rsid w:val="67286561"/>
    <w:rsid w:val="691F508E"/>
    <w:rsid w:val="6A340295"/>
    <w:rsid w:val="6A5666B8"/>
    <w:rsid w:val="6AED777A"/>
    <w:rsid w:val="6B0B2A54"/>
    <w:rsid w:val="6C626D3D"/>
    <w:rsid w:val="6DF0400D"/>
    <w:rsid w:val="6E5B22F8"/>
    <w:rsid w:val="700E2DC7"/>
    <w:rsid w:val="70EF2762"/>
    <w:rsid w:val="71201EF9"/>
    <w:rsid w:val="716F5053"/>
    <w:rsid w:val="729E55FD"/>
    <w:rsid w:val="73D62900"/>
    <w:rsid w:val="73FA7C77"/>
    <w:rsid w:val="744F0BEE"/>
    <w:rsid w:val="746E51AC"/>
    <w:rsid w:val="74A55A8E"/>
    <w:rsid w:val="7539654A"/>
    <w:rsid w:val="75836739"/>
    <w:rsid w:val="76C753DE"/>
    <w:rsid w:val="76C775D8"/>
    <w:rsid w:val="77FC6956"/>
    <w:rsid w:val="7A64282A"/>
    <w:rsid w:val="7A8D6ADA"/>
    <w:rsid w:val="7AE2097E"/>
    <w:rsid w:val="7B997D56"/>
    <w:rsid w:val="7DB366E4"/>
    <w:rsid w:val="7E3B2C6B"/>
    <w:rsid w:val="7E492DA2"/>
    <w:rsid w:val="7E6E62E2"/>
    <w:rsid w:val="7EC11C74"/>
    <w:rsid w:val="7F690CDA"/>
    <w:rsid w:val="7F7C60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qFormat/>
    <w:uiPriority w:val="99"/>
    <w:rPr>
      <w:sz w:val="18"/>
      <w:szCs w:val="18"/>
    </w:rPr>
  </w:style>
  <w:style w:type="character" w:customStyle="1" w:styleId="7">
    <w:name w:val="页脚 Char"/>
    <w:basedOn w:val="5"/>
    <w:link w:val="2"/>
    <w:semiHidden/>
    <w:qFormat/>
    <w:uiPriority w:val="99"/>
    <w:rPr>
      <w:sz w:val="18"/>
      <w:szCs w:val="18"/>
    </w:rPr>
  </w:style>
  <w:style w:type="paragraph" w:styleId="8">
    <w:name w:val="List Paragraph"/>
    <w:basedOn w:val="1"/>
    <w:qFormat/>
    <w:uiPriority w:val="34"/>
    <w:pPr>
      <w:ind w:firstLine="420" w:firstLineChars="200"/>
    </w:pPr>
  </w:style>
  <w:style w:type="paragraph" w:customStyle="1" w:styleId="9">
    <w:name w:val="正文 New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0">
    <w:name w:val="正文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
    <w:name w:val="正文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
    <w:name w:val="正文 New New"/>
    <w:qFormat/>
    <w:uiPriority w:val="0"/>
    <w:pPr>
      <w:widowControl w:val="0"/>
      <w:jc w:val="both"/>
    </w:pPr>
    <w:rPr>
      <w:rFonts w:ascii="Calibri" w:hAnsi="Calibri" w:eastAsia="仿宋_GB2312" w:cs="Times New Roman"/>
      <w:kern w:val="2"/>
      <w:sz w:val="32"/>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8</Pages>
  <Words>2692</Words>
  <Characters>2912</Characters>
  <Lines>21</Lines>
  <Paragraphs>6</Paragraphs>
  <TotalTime>0</TotalTime>
  <ScaleCrop>false</ScaleCrop>
  <LinksUpToDate>false</LinksUpToDate>
  <CharactersWithSpaces>3063</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2018-01-03T01:07:00Z</dcterms:created>
  <dc:creator>lenovo</dc:creator>
  <cp:lastModifiedBy>胡海洋</cp:lastModifiedBy>
  <dcterms:modified xsi:type="dcterms:W3CDTF">2026-03-24T02:59:35Z</dcterms:modified>
  <cp:revision>70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015E53AB75C04A42A540DA5266089B66</vt:lpwstr>
  </property>
  <property fmtid="{D5CDD505-2E9C-101B-9397-08002B2CF9AE}" pid="4" name="KSOTemplateDocerSaveRecord">
    <vt:lpwstr>eyJoZGlkIjoiZmEwYjU5YmYzMmNlY2RiODhiODg5ZWQ0MWM2YjI3ZTgiLCJ1c2VySWQiOiI0MDMxMzg5NzIifQ==</vt:lpwstr>
  </property>
</Properties>
</file>