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B73CED0">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永吉县青少年业余体校</w:t>
      </w:r>
    </w:p>
    <w:p w14:paraId="00B59FF5">
      <w:pPr>
        <w:jc w:val="center"/>
        <w:rPr>
          <w:rFonts w:ascii="黑体" w:hAnsi="黑体" w:eastAsia="黑体" w:cstheme="minorBidi"/>
          <w:kern w:val="2"/>
          <w:sz w:val="52"/>
          <w:szCs w:val="52"/>
          <w:lang w:val="en-US" w:eastAsia="zh-CN" w:bidi="ar-SA"/>
        </w:rPr>
      </w:pPr>
      <w:r>
        <w:rPr>
          <w:rFonts w:hint="eastAsia" w:ascii="黑体" w:hAnsi="黑体" w:eastAsia="黑体" w:cstheme="minorBidi"/>
          <w:kern w:val="2"/>
          <w:sz w:val="52"/>
          <w:szCs w:val="52"/>
          <w:lang w:val="en-US" w:eastAsia="zh-CN" w:bidi="ar-SA"/>
        </w:rPr>
        <w:t>2026年预算公开</w:t>
      </w:r>
    </w:p>
    <w:p w14:paraId="41C2133E">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永吉县青少年业余体校</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79B01DC9">
      <w:pPr>
        <w:pStyle w:val="8"/>
        <w:widowControl w:val="0"/>
        <w:numPr>
          <w:ilvl w:val="0"/>
          <w:numId w:val="0"/>
        </w:numPr>
        <w:jc w:val="both"/>
        <w:rPr>
          <w:rFonts w:hint="eastAsia" w:ascii="仿宋" w:hAnsi="仿宋" w:eastAsia="仿宋"/>
          <w:sz w:val="32"/>
          <w:szCs w:val="32"/>
        </w:rPr>
      </w:pPr>
    </w:p>
    <w:p w14:paraId="56CCAFA8">
      <w:pPr>
        <w:pStyle w:val="8"/>
        <w:widowControl w:val="0"/>
        <w:numPr>
          <w:ilvl w:val="0"/>
          <w:numId w:val="0"/>
        </w:numPr>
        <w:jc w:val="both"/>
        <w:rPr>
          <w:rFonts w:hint="eastAsia" w:ascii="仿宋" w:hAnsi="仿宋" w:eastAsia="仿宋"/>
          <w:sz w:val="32"/>
          <w:szCs w:val="32"/>
        </w:rPr>
      </w:pPr>
    </w:p>
    <w:p w14:paraId="7ED9FB29">
      <w:pPr>
        <w:pStyle w:val="8"/>
        <w:widowControl w:val="0"/>
        <w:numPr>
          <w:ilvl w:val="0"/>
          <w:numId w:val="0"/>
        </w:numPr>
        <w:jc w:val="both"/>
        <w:rPr>
          <w:rFonts w:hint="eastAsia" w:ascii="仿宋" w:hAnsi="仿宋" w:eastAsia="仿宋"/>
          <w:sz w:val="32"/>
          <w:szCs w:val="32"/>
        </w:rPr>
      </w:pPr>
    </w:p>
    <w:p w14:paraId="2EFB1C7D">
      <w:pPr>
        <w:jc w:val="center"/>
        <w:rPr>
          <w:rFonts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第一部分 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018BF6A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b/>
          <w:bCs/>
          <w:sz w:val="32"/>
          <w:szCs w:val="32"/>
        </w:rPr>
      </w:pPr>
      <w:r>
        <w:rPr>
          <w:rFonts w:hint="eastAsia" w:ascii="仿宋" w:hAnsi="仿宋" w:eastAsia="仿宋"/>
          <w:sz w:val="32"/>
          <w:szCs w:val="32"/>
        </w:rPr>
        <w:t xml:space="preserve">  </w:t>
      </w:r>
      <w:r>
        <w:rPr>
          <w:rFonts w:hint="eastAsia" w:ascii="仿宋" w:hAnsi="仿宋" w:eastAsia="仿宋"/>
          <w:b/>
          <w:bCs/>
          <w:sz w:val="32"/>
          <w:szCs w:val="32"/>
        </w:rPr>
        <w:t>一、主要职能</w:t>
      </w:r>
    </w:p>
    <w:p w14:paraId="21BC7417">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永吉县青少年业余体校</w:t>
      </w:r>
    </w:p>
    <w:p w14:paraId="069400B9">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全额拨款事业单位（公益一类）</w:t>
      </w:r>
    </w:p>
    <w:p w14:paraId="33508AC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宣传贯彻国家体育工作的方针政策</w:t>
      </w:r>
      <w:r>
        <w:rPr>
          <w:rFonts w:hint="eastAsia" w:ascii="仿宋" w:hAnsi="仿宋" w:eastAsia="仿宋"/>
          <w:strike w:val="0"/>
          <w:dstrike w:val="0"/>
          <w:color w:val="auto"/>
          <w:kern w:val="0"/>
          <w:sz w:val="32"/>
          <w:szCs w:val="32"/>
          <w:lang w:eastAsia="zh-CN"/>
        </w:rPr>
        <w:t>，</w:t>
      </w:r>
      <w:r>
        <w:rPr>
          <w:rFonts w:hint="eastAsia" w:ascii="仿宋" w:hAnsi="仿宋" w:eastAsia="仿宋"/>
          <w:kern w:val="0"/>
          <w:sz w:val="32"/>
          <w:szCs w:val="32"/>
        </w:rPr>
        <w:t>选拔和发掘优秀体育后备人才</w:t>
      </w:r>
      <w:r>
        <w:rPr>
          <w:rFonts w:hint="eastAsia" w:ascii="仿宋" w:hAnsi="仿宋" w:eastAsia="仿宋"/>
          <w:kern w:val="0"/>
          <w:sz w:val="32"/>
          <w:szCs w:val="32"/>
          <w:lang w:eastAsia="zh-CN"/>
        </w:rPr>
        <w:t>；</w:t>
      </w:r>
      <w:r>
        <w:rPr>
          <w:rFonts w:hint="eastAsia" w:ascii="仿宋" w:hAnsi="仿宋" w:eastAsia="仿宋"/>
          <w:kern w:val="0"/>
          <w:sz w:val="32"/>
          <w:szCs w:val="32"/>
        </w:rPr>
        <w:t>培养具有体育专长的青少年，为上级输送优秀体育人才</w:t>
      </w:r>
      <w:r>
        <w:rPr>
          <w:rFonts w:hint="eastAsia" w:ascii="仿宋" w:hAnsi="仿宋" w:eastAsia="仿宋"/>
          <w:kern w:val="0"/>
          <w:sz w:val="32"/>
          <w:szCs w:val="32"/>
          <w:lang w:eastAsia="zh-CN"/>
        </w:rPr>
        <w:t>；</w:t>
      </w:r>
      <w:r>
        <w:rPr>
          <w:rFonts w:hint="eastAsia" w:ascii="仿宋" w:hAnsi="仿宋" w:eastAsia="仿宋"/>
          <w:kern w:val="0"/>
          <w:sz w:val="32"/>
          <w:szCs w:val="32"/>
        </w:rPr>
        <w:t>组织各项体育竞赛活动，做好赛前培训工作，参加上级举办的各项体育竞赛</w:t>
      </w:r>
      <w:r>
        <w:rPr>
          <w:rFonts w:hint="eastAsia" w:ascii="仿宋" w:hAnsi="仿宋" w:eastAsia="仿宋"/>
          <w:kern w:val="0"/>
          <w:sz w:val="32"/>
          <w:szCs w:val="32"/>
          <w:lang w:eastAsia="zh-CN"/>
        </w:rPr>
        <w:t>；</w:t>
      </w:r>
      <w:r>
        <w:rPr>
          <w:rFonts w:hint="eastAsia" w:ascii="仿宋" w:hAnsi="仿宋" w:eastAsia="仿宋"/>
          <w:kern w:val="0"/>
          <w:sz w:val="32"/>
          <w:szCs w:val="32"/>
        </w:rPr>
        <w:t>协助主管部门推进全县“全民健身计划”的实施，协助做好全县各项体育竞赛工作。</w:t>
      </w:r>
    </w:p>
    <w:p w14:paraId="30FE608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发掘和培训具有体育专长的青少年，组织参加上级举办的各项体育竞赛。</w:t>
      </w:r>
    </w:p>
    <w:p w14:paraId="39970336">
      <w:pPr>
        <w:pStyle w:val="10"/>
        <w:widowControl/>
        <w:spacing w:line="620" w:lineRule="exact"/>
        <w:ind w:firstLine="643" w:firstLineChars="200"/>
        <w:contextualSpacing/>
        <w:rPr>
          <w:rFonts w:ascii="仿宋" w:hAnsi="仿宋" w:eastAsia="仿宋"/>
          <w:b/>
          <w:bCs/>
          <w:sz w:val="32"/>
          <w:szCs w:val="32"/>
        </w:rPr>
      </w:pPr>
      <w:r>
        <w:rPr>
          <w:rFonts w:hint="eastAsia" w:ascii="仿宋" w:hAnsi="仿宋" w:eastAsia="仿宋"/>
          <w:b/>
          <w:bCs/>
          <w:sz w:val="32"/>
          <w:szCs w:val="32"/>
        </w:rPr>
        <w:t>二、机构设置</w:t>
      </w:r>
    </w:p>
    <w:p w14:paraId="0B52EB19">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机构设置：本单位内设机构包括财会室、办公室、训练组、场地组共 4 个科室</w:t>
      </w:r>
      <w:r>
        <w:rPr>
          <w:rFonts w:hint="eastAsia" w:ascii="仿宋" w:hAnsi="仿宋" w:eastAsia="仿宋"/>
          <w:kern w:val="0"/>
          <w:szCs w:val="32"/>
          <w:lang w:eastAsia="zh-CN"/>
        </w:rPr>
        <w:t>。</w:t>
      </w:r>
    </w:p>
    <w:p w14:paraId="57BB6C5E">
      <w:pPr>
        <w:pStyle w:val="12"/>
        <w:ind w:firstLine="627" w:firstLineChars="196"/>
        <w:rPr>
          <w:rFonts w:hint="eastAsia" w:ascii="仿宋" w:hAnsi="仿宋" w:eastAsia="仿宋"/>
          <w:kern w:val="0"/>
          <w:szCs w:val="32"/>
        </w:rPr>
      </w:pPr>
      <w:r>
        <w:rPr>
          <w:rFonts w:hint="eastAsia" w:ascii="仿宋" w:hAnsi="仿宋" w:eastAsia="仿宋"/>
          <w:kern w:val="0"/>
          <w:szCs w:val="32"/>
        </w:rPr>
        <w:t>人员情况：</w:t>
      </w:r>
      <w:r>
        <w:rPr>
          <w:rFonts w:hint="eastAsia" w:ascii="仿宋" w:hAnsi="仿宋" w:eastAsia="仿宋"/>
          <w:kern w:val="0"/>
          <w:szCs w:val="32"/>
          <w:lang w:val="en-US" w:eastAsia="zh-CN"/>
        </w:rPr>
        <w:t>编制9人，实有</w:t>
      </w:r>
      <w:r>
        <w:rPr>
          <w:rFonts w:hint="eastAsia" w:ascii="仿宋" w:hAnsi="仿宋" w:eastAsia="仿宋"/>
          <w:kern w:val="0"/>
          <w:szCs w:val="32"/>
        </w:rPr>
        <w:t>在职职工</w:t>
      </w:r>
      <w:r>
        <w:rPr>
          <w:rFonts w:hint="eastAsia" w:ascii="仿宋" w:hAnsi="仿宋" w:eastAsia="仿宋"/>
          <w:kern w:val="0"/>
          <w:szCs w:val="32"/>
          <w:lang w:val="en-US" w:eastAsia="zh-CN"/>
        </w:rPr>
        <w:t>7</w:t>
      </w:r>
      <w:r>
        <w:rPr>
          <w:rFonts w:hint="eastAsia" w:ascii="仿宋" w:hAnsi="仿宋" w:eastAsia="仿宋"/>
          <w:kern w:val="0"/>
          <w:szCs w:val="32"/>
        </w:rPr>
        <w:t>人，退休职工</w:t>
      </w:r>
      <w:r>
        <w:rPr>
          <w:rFonts w:hint="eastAsia" w:ascii="仿宋" w:hAnsi="仿宋" w:eastAsia="仿宋"/>
          <w:kern w:val="0"/>
          <w:szCs w:val="32"/>
          <w:lang w:val="en-US" w:eastAsia="zh-CN"/>
        </w:rPr>
        <w:t>7</w:t>
      </w:r>
      <w:r>
        <w:rPr>
          <w:rFonts w:hint="eastAsia" w:ascii="仿宋" w:hAnsi="仿宋" w:eastAsia="仿宋"/>
          <w:kern w:val="0"/>
          <w:szCs w:val="32"/>
        </w:rPr>
        <w:t>人。</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698D8FF2">
      <w:pPr>
        <w:pStyle w:val="11"/>
        <w:ind w:firstLine="640" w:firstLineChars="200"/>
        <w:jc w:val="left"/>
        <w:rPr>
          <w:rFonts w:ascii="仿宋" w:hAnsi="仿宋" w:eastAsia="仿宋" w:cs="Times New Roman"/>
          <w:kern w:val="2"/>
          <w:sz w:val="32"/>
          <w:szCs w:val="32"/>
          <w:lang w:val="en-US" w:eastAsia="zh-CN" w:bidi="ar-SA"/>
        </w:rPr>
      </w:pPr>
      <w:r>
        <w:rPr>
          <w:rFonts w:hint="eastAsia" w:ascii="仿宋" w:hAnsi="仿宋" w:eastAsia="仿宋" w:cstheme="minorBidi"/>
          <w:kern w:val="2"/>
          <w:sz w:val="32"/>
          <w:szCs w:val="32"/>
          <w:lang w:val="en-US" w:eastAsia="zh-CN" w:bidi="ar-SA"/>
        </w:rPr>
        <w:t>按照综合预算的原则，所有收入和支出全部纳入部门预算管理。2026年收支总预算 129.57万元，比2025年预算数126.47万元增加3.10万元，增长2.45%，主要原因是人员工资福利标准调整。</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750795F4">
      <w:pPr>
        <w:pStyle w:val="11"/>
        <w:ind w:left="19" w:leftChars="9" w:firstLine="617" w:firstLineChars="193"/>
        <w:jc w:val="left"/>
        <w:rPr>
          <w:rFonts w:ascii="仿宋" w:hAnsi="仿宋" w:eastAsia="仿宋" w:cs="Times New Roman"/>
          <w:kern w:val="2"/>
          <w:sz w:val="32"/>
          <w:szCs w:val="32"/>
          <w:lang w:val="en-US" w:eastAsia="zh-CN" w:bidi="ar-SA"/>
        </w:rPr>
      </w:pPr>
      <w:r>
        <w:rPr>
          <w:rFonts w:hint="eastAsia" w:ascii="仿宋" w:hAnsi="仿宋" w:eastAsia="仿宋" w:cstheme="minorBidi"/>
          <w:kern w:val="2"/>
          <w:sz w:val="32"/>
          <w:szCs w:val="32"/>
          <w:lang w:val="en-US" w:eastAsia="zh-CN" w:bidi="ar-SA"/>
        </w:rPr>
        <w:t>2026年本单位收入预算 129.57万元，全部为一般公共预算收入，占100%；无政府性基金收入、国有资本经营预算收入及其他收入。</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78F073CA">
      <w:pPr>
        <w:pStyle w:val="11"/>
        <w:ind w:firstLine="640" w:firstLineChars="200"/>
        <w:rPr>
          <w:rFonts w:ascii="仿宋" w:hAnsi="仿宋" w:eastAsia="仿宋" w:cs="Times New Roman"/>
          <w:kern w:val="2"/>
          <w:sz w:val="32"/>
          <w:szCs w:val="32"/>
          <w:lang w:val="en-US" w:eastAsia="zh-CN" w:bidi="ar-SA"/>
        </w:rPr>
      </w:pPr>
      <w:r>
        <w:rPr>
          <w:rFonts w:hint="eastAsia" w:ascii="仿宋" w:hAnsi="仿宋" w:eastAsia="仿宋" w:cstheme="minorBidi"/>
          <w:kern w:val="2"/>
          <w:sz w:val="32"/>
          <w:szCs w:val="32"/>
          <w:lang w:val="en-US" w:eastAsia="zh-CN" w:bidi="ar-SA"/>
        </w:rPr>
        <w:t>2026年支出预算129.57万元，其中：基本支出121.29万元，占93.61%；项目支出8.28万元，占6.39%。</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3498C7EF">
      <w:pPr>
        <w:pStyle w:val="11"/>
        <w:ind w:firstLine="640" w:firstLineChars="200"/>
        <w:rPr>
          <w:rFonts w:ascii="仿宋" w:hAnsi="仿宋" w:eastAsia="仿宋" w:cs="Times New Roman"/>
          <w:kern w:val="2"/>
          <w:sz w:val="32"/>
          <w:szCs w:val="32"/>
          <w:lang w:val="en-US" w:eastAsia="zh-CN" w:bidi="ar-SA"/>
        </w:rPr>
      </w:pPr>
      <w:r>
        <w:rPr>
          <w:rFonts w:hint="eastAsia" w:ascii="仿宋" w:hAnsi="仿宋" w:eastAsia="仿宋" w:cstheme="minorBidi"/>
          <w:kern w:val="2"/>
          <w:sz w:val="32"/>
          <w:szCs w:val="32"/>
          <w:lang w:val="en-US" w:eastAsia="zh-CN" w:bidi="ar-SA"/>
        </w:rPr>
        <w:t>2026年财政拨款收支总预算129.57万元，本年收入全部为一般公共预算拨款129.57万元。本年支出129.57万元，支出包括：文化旅游体育与传媒支出108.07万元，占83.40%，社会保障和就业支出12.20万元，占9.42%，住房保障支出9.30万元，占7.18%</w:t>
      </w:r>
      <w:r>
        <w:rPr>
          <w:rFonts w:hint="eastAsia" w:ascii="仿宋" w:hAnsi="仿宋" w:eastAsia="仿宋" w:cstheme="minorBidi"/>
          <w:strike w:val="0"/>
          <w:color w:val="auto"/>
          <w:kern w:val="2"/>
          <w:sz w:val="32"/>
          <w:szCs w:val="32"/>
          <w:u w:val="none"/>
          <w:shd w:val="clear" w:fill="auto"/>
          <w:lang w:val="en-US" w:eastAsia="zh-CN" w:bidi="ar-SA"/>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7B2023DD">
      <w:pPr>
        <w:ind w:firstLine="640" w:firstLineChars="200"/>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2026年一般公共预算当年拨款129.57万元，其中：基本支出121.29万元，占93.61%；项目支出8.28万元，占6.39%。基本支出中，人员经费106.16万元，占87.53%；公用经费15.13万元，占12.47%。</w:t>
      </w:r>
    </w:p>
    <w:p w14:paraId="3649AB7A">
      <w:pPr>
        <w:ind w:firstLine="640" w:firstLineChars="200"/>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文化旅游体育与传媒支出108.07万元，占83.40%，主要用于在职人员工资福利支出、商品和服务支出。</w:t>
      </w:r>
    </w:p>
    <w:p w14:paraId="7F7BAA9B">
      <w:pPr>
        <w:ind w:firstLine="640" w:firstLineChars="200"/>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社会保障和就业（类）支出12.20万元，占9.42%，主要用于缴纳在职职工基本养老保险。</w:t>
      </w:r>
    </w:p>
    <w:p w14:paraId="47D4610A">
      <w:pPr>
        <w:ind w:firstLine="640" w:firstLineChars="200"/>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住房保障（类）支出9.30万元，占7.18%，主要用于缴纳在职职工住房公积金。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B67ACB5">
      <w:pPr>
        <w:ind w:firstLine="640" w:firstLineChars="200"/>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2026年一般公共预算基本支出121.29万元，其中：</w:t>
      </w:r>
    </w:p>
    <w:p w14:paraId="5697E4BF">
      <w:pPr>
        <w:ind w:firstLine="640" w:firstLineChars="200"/>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人员经费106.16万元，主要包括：基本工资50.53万元、津贴补贴1.28万元、奖金4.21万元、绩效工资21.46万元、机关事业单位基本养老保险缴费12.20万元、职工基本医疗保险缴费5.64万元、其他社会保障缴费0.78万元、住房公积金9.30万元、生活补助0.56万元、奖励金0.20万元。</w:t>
      </w:r>
    </w:p>
    <w:p w14:paraId="49879857">
      <w:pPr>
        <w:pStyle w:val="9"/>
        <w:ind w:firstLine="627" w:firstLineChars="196"/>
        <w:rPr>
          <w:rFonts w:ascii="仿宋" w:hAnsi="仿宋" w:eastAsia="仿宋" w:cs="Times New Roman"/>
          <w:kern w:val="0"/>
          <w:sz w:val="32"/>
          <w:szCs w:val="32"/>
          <w:lang w:val="en-US" w:eastAsia="zh-CN" w:bidi="ar-SA"/>
        </w:rPr>
      </w:pPr>
      <w:r>
        <w:rPr>
          <w:rFonts w:hint="eastAsia" w:ascii="仿宋" w:hAnsi="仿宋" w:eastAsia="仿宋" w:cstheme="minorBidi"/>
          <w:kern w:val="2"/>
          <w:sz w:val="32"/>
          <w:szCs w:val="32"/>
          <w:lang w:val="en-US" w:eastAsia="zh-CN" w:bidi="ar-SA"/>
        </w:rPr>
        <w:t>公用经费15.13万元，主要包括：办公费1.36万元、水费0.81万元、电费2.70万元、邮电费0.37万元、取暖费6.36万元、差旅费0.56万元、公务接待费0.20万元、工会经费1.55万元、其他商品和服务支出1.22万元。</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6788AB99">
      <w:pPr>
        <w:pStyle w:val="9"/>
        <w:ind w:firstLine="627" w:firstLineChars="196"/>
        <w:rPr>
          <w:rFonts w:ascii="仿宋" w:hAnsi="仿宋" w:eastAsia="仿宋" w:cs="Times New Roman"/>
          <w:kern w:val="0"/>
          <w:sz w:val="32"/>
          <w:szCs w:val="32"/>
          <w:lang w:val="en-US" w:eastAsia="zh-CN" w:bidi="ar-SA"/>
        </w:rPr>
      </w:pPr>
      <w:r>
        <w:rPr>
          <w:rFonts w:hint="eastAsia" w:ascii="仿宋" w:hAnsi="仿宋" w:eastAsia="仿宋" w:cstheme="minorBidi"/>
          <w:kern w:val="2"/>
          <w:sz w:val="32"/>
          <w:szCs w:val="32"/>
          <w:lang w:val="en-US" w:eastAsia="zh-CN" w:bidi="ar-SA"/>
        </w:rPr>
        <w:t>2026年“三公”经费预算数0.20万元，与2025年预算数持平。其中：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8D83DDE">
      <w:pPr>
        <w:pStyle w:val="9"/>
        <w:ind w:firstLine="627" w:firstLineChars="196"/>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2.公务接待费0.20万元，与2025年预算数持平，主要用于按规定开支的各类公务接待支出，严格执行公务接待标准，控制接待规模。</w:t>
      </w:r>
    </w:p>
    <w:p w14:paraId="59D165A8">
      <w:pPr>
        <w:pStyle w:val="9"/>
        <w:ind w:firstLine="640" w:firstLineChars="200"/>
        <w:rPr>
          <w:rFonts w:hint="eastAsia" w:ascii="仿宋" w:hAnsi="仿宋" w:eastAsia="仿宋" w:cstheme="minorBidi"/>
          <w:kern w:val="2"/>
          <w:sz w:val="32"/>
          <w:szCs w:val="32"/>
          <w:lang w:val="en-US" w:eastAsia="zh-CN" w:bidi="ar-SA"/>
        </w:rPr>
      </w:pPr>
      <w:r>
        <w:rPr>
          <w:rFonts w:hint="eastAsia" w:ascii="仿宋" w:hAnsi="仿宋" w:eastAsia="仿宋"/>
          <w:kern w:val="0"/>
          <w:sz w:val="32"/>
          <w:szCs w:val="32"/>
        </w:rPr>
        <w:t>3.公务用车购置及运行费</w:t>
      </w:r>
      <w:r>
        <w:rPr>
          <w:rFonts w:hint="eastAsia" w:ascii="仿宋" w:hAnsi="仿宋" w:eastAsia="仿宋"/>
          <w:kern w:val="0"/>
          <w:sz w:val="32"/>
          <w:szCs w:val="32"/>
          <w:lang w:eastAsia="zh-CN"/>
        </w:rPr>
        <w:t>0.00</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万元</w:t>
      </w:r>
      <w:r>
        <w:rPr>
          <w:rFonts w:hint="eastAsia" w:ascii="仿宋" w:hAnsi="仿宋" w:eastAsia="仿宋"/>
          <w:strike w:val="0"/>
          <w:dstrike w:val="0"/>
          <w:color w:val="auto"/>
          <w:kern w:val="0"/>
          <w:sz w:val="32"/>
          <w:szCs w:val="32"/>
          <w:lang w:eastAsia="zh-CN"/>
        </w:rPr>
        <w:t>，</w:t>
      </w:r>
      <w:r>
        <w:rPr>
          <w:rFonts w:hint="eastAsia" w:ascii="仿宋" w:hAnsi="仿宋" w:eastAsia="仿宋"/>
          <w:kern w:val="0"/>
          <w:sz w:val="32"/>
          <w:szCs w:val="32"/>
        </w:rPr>
        <w:t>与</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r>
        <w:rPr>
          <w:rFonts w:hint="eastAsia" w:ascii="仿宋" w:hAnsi="仿宋" w:eastAsia="仿宋"/>
          <w:strike w:val="0"/>
          <w:dstrike w:val="0"/>
          <w:color w:val="auto"/>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4E39B48D">
      <w:pPr>
        <w:ind w:firstLine="640" w:firstLineChars="200"/>
        <w:jc w:val="left"/>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186E252D">
      <w:pPr>
        <w:pStyle w:val="8"/>
        <w:ind w:firstLine="640" w:firstLineChars="200"/>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2026年本单位机关运行经费财政拨款预算15.13万元，比2025年预算14.60万元增加0.53万元，增长3.63%，主要原因是新增其他商品和服务支出(残疾人保障金）预算。</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15ACEAE1">
      <w:pPr>
        <w:ind w:firstLine="640" w:firstLineChars="200"/>
        <w:jc w:val="left"/>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2026年本单位无政府采购预算安排。</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CF3A82C">
      <w:pPr>
        <w:pStyle w:val="8"/>
        <w:ind w:firstLine="640" w:firstLineChars="200"/>
        <w:jc w:val="left"/>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截至2026年1月，本单位无公务用车，无价值200万元以上大型设备。</w:t>
      </w:r>
    </w:p>
    <w:p w14:paraId="6D335B14">
      <w:pPr>
        <w:pStyle w:val="8"/>
        <w:ind w:firstLine="640" w:firstLineChars="200"/>
        <w:jc w:val="left"/>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2026年部门预算未安排购置车辆及价值200万元以上大型设备。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5CF26011">
      <w:pPr>
        <w:ind w:firstLine="640" w:firstLineChars="200"/>
        <w:jc w:val="left"/>
        <w:rPr>
          <w:rFonts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按照全面实施预算绩效管理的要求，结合本</w:t>
      </w:r>
      <w:r>
        <w:rPr>
          <w:rFonts w:hint="eastAsia" w:ascii="仿宋" w:hAnsi="仿宋" w:eastAsia="仿宋" w:cstheme="minorBidi"/>
          <w:strike w:val="0"/>
          <w:dstrike w:val="0"/>
          <w:color w:val="auto"/>
          <w:kern w:val="2"/>
          <w:sz w:val="32"/>
          <w:szCs w:val="32"/>
          <w:u w:val="none"/>
          <w:shd w:val="clear" w:fill="auto"/>
          <w:lang w:val="en-US" w:eastAsia="zh-CN" w:bidi="ar-SA"/>
        </w:rPr>
        <w:t>单位</w:t>
      </w:r>
      <w:r>
        <w:rPr>
          <w:rFonts w:hint="eastAsia" w:ascii="仿宋" w:hAnsi="仿宋" w:eastAsia="仿宋" w:cstheme="minorBidi"/>
          <w:kern w:val="2"/>
          <w:sz w:val="32"/>
          <w:szCs w:val="32"/>
          <w:lang w:val="en-US" w:eastAsia="zh-CN" w:bidi="ar-SA"/>
        </w:rPr>
        <w:t>职能和重点工作，2026年将2个项目支出的绩效目标和指标向社会公开，涉及金额8.28万元，分别为2026编外人员预算项目（5.80万元）和伙食补助费项目（2.48万元），确保资金使用效益，提升青少年体育训练保障水平。</w:t>
      </w:r>
    </w:p>
    <w:p w14:paraId="143B506C">
      <w:pPr>
        <w:jc w:val="center"/>
        <w:rPr>
          <w:rFonts w:ascii="仿宋" w:hAnsi="仿宋" w:eastAsia="仿宋"/>
          <w:sz w:val="32"/>
          <w:szCs w:val="32"/>
        </w:rPr>
      </w:pPr>
    </w:p>
    <w:p w14:paraId="3A0781D0">
      <w:pPr>
        <w:jc w:val="center"/>
        <w:rPr>
          <w:rFonts w:ascii="仿宋" w:hAnsi="仿宋" w:eastAsia="仿宋"/>
          <w:sz w:val="32"/>
          <w:szCs w:val="32"/>
        </w:rPr>
      </w:pPr>
    </w:p>
    <w:p w14:paraId="2E0E2DD8">
      <w:pPr>
        <w:jc w:val="center"/>
        <w:rPr>
          <w:rFonts w:ascii="仿宋" w:hAnsi="仿宋" w:eastAsia="仿宋"/>
          <w:sz w:val="32"/>
          <w:szCs w:val="32"/>
        </w:rPr>
      </w:pPr>
    </w:p>
    <w:p w14:paraId="6237BF1F">
      <w:pPr>
        <w:jc w:val="center"/>
        <w:rPr>
          <w:rFonts w:ascii="仿宋" w:hAnsi="仿宋" w:eastAsia="仿宋"/>
          <w:sz w:val="32"/>
          <w:szCs w:val="32"/>
        </w:rPr>
      </w:pPr>
    </w:p>
    <w:p w14:paraId="4E8EC756">
      <w:pPr>
        <w:jc w:val="center"/>
        <w:rPr>
          <w:rFonts w:ascii="仿宋" w:hAnsi="仿宋" w:eastAsia="仿宋"/>
          <w:sz w:val="32"/>
          <w:szCs w:val="32"/>
        </w:rPr>
      </w:pPr>
    </w:p>
    <w:p w14:paraId="3895072D">
      <w:pPr>
        <w:jc w:val="center"/>
        <w:rPr>
          <w:rFonts w:ascii="仿宋" w:hAnsi="仿宋" w:eastAsia="仿宋"/>
          <w:sz w:val="32"/>
          <w:szCs w:val="32"/>
        </w:rPr>
      </w:pPr>
    </w:p>
    <w:p w14:paraId="358A5343">
      <w:pPr>
        <w:jc w:val="center"/>
        <w:rPr>
          <w:rFonts w:ascii="仿宋" w:hAnsi="仿宋" w:eastAsia="仿宋"/>
          <w:sz w:val="32"/>
          <w:szCs w:val="32"/>
        </w:rPr>
      </w:pPr>
    </w:p>
    <w:p w14:paraId="2B13734A">
      <w:pPr>
        <w:jc w:val="center"/>
        <w:rPr>
          <w:rFonts w:ascii="仿宋" w:hAnsi="仿宋" w:eastAsia="仿宋"/>
          <w:sz w:val="32"/>
          <w:szCs w:val="32"/>
        </w:rPr>
      </w:pPr>
    </w:p>
    <w:p w14:paraId="3DE34E06">
      <w:pPr>
        <w:jc w:val="center"/>
        <w:rPr>
          <w:rFonts w:ascii="仿宋" w:hAnsi="仿宋" w:eastAsia="仿宋"/>
          <w:sz w:val="32"/>
          <w:szCs w:val="32"/>
        </w:rPr>
      </w:pPr>
    </w:p>
    <w:p w14:paraId="534D80EB">
      <w:pPr>
        <w:jc w:val="center"/>
        <w:rPr>
          <w:rFonts w:ascii="仿宋" w:hAnsi="仿宋" w:eastAsia="仿宋"/>
          <w:sz w:val="32"/>
          <w:szCs w:val="32"/>
        </w:rPr>
      </w:pPr>
    </w:p>
    <w:p w14:paraId="11032C03">
      <w:pPr>
        <w:jc w:val="center"/>
        <w:rPr>
          <w:rFonts w:ascii="仿宋" w:hAnsi="仿宋" w:eastAsia="仿宋"/>
          <w:sz w:val="32"/>
          <w:szCs w:val="32"/>
        </w:rPr>
      </w:pPr>
    </w:p>
    <w:p w14:paraId="75048F49">
      <w:pPr>
        <w:jc w:val="center"/>
        <w:rPr>
          <w:rFonts w:ascii="仿宋" w:hAnsi="仿宋" w:eastAsia="仿宋"/>
          <w:sz w:val="32"/>
          <w:szCs w:val="32"/>
        </w:rPr>
      </w:pPr>
    </w:p>
    <w:p w14:paraId="367BE9DD">
      <w:pPr>
        <w:jc w:val="center"/>
        <w:rPr>
          <w:rFonts w:ascii="仿宋" w:hAnsi="仿宋" w:eastAsia="仿宋"/>
          <w:sz w:val="32"/>
          <w:szCs w:val="32"/>
        </w:rPr>
      </w:pPr>
    </w:p>
    <w:p w14:paraId="4045AD34">
      <w:pPr>
        <w:jc w:val="center"/>
        <w:rPr>
          <w:rFonts w:ascii="仿宋" w:hAnsi="仿宋" w:eastAsia="仿宋"/>
          <w:sz w:val="32"/>
          <w:szCs w:val="32"/>
        </w:rPr>
      </w:pPr>
    </w:p>
    <w:p w14:paraId="3B8F772F">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109D8F65">
      <w:pPr>
        <w:jc w:val="left"/>
        <w:rPr>
          <w:rFonts w:ascii="仿宋" w:hAnsi="仿宋" w:eastAsia="仿宋"/>
          <w:sz w:val="32"/>
          <w:szCs w:val="32"/>
        </w:rPr>
      </w:pPr>
    </w:p>
    <w:p w14:paraId="27C61F21">
      <w:pPr>
        <w:jc w:val="left"/>
        <w:rPr>
          <w:rFonts w:ascii="仿宋" w:hAnsi="仿宋" w:eastAsia="仿宋"/>
          <w:sz w:val="32"/>
          <w:szCs w:val="32"/>
        </w:rPr>
      </w:pPr>
    </w:p>
    <w:p w14:paraId="79FF81AE">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252C05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sz w:val="32"/>
          <w:szCs w:val="32"/>
        </w:rPr>
      </w:pPr>
      <w:r>
        <w:rPr>
          <w:rFonts w:hint="eastAsia" w:ascii="仿宋" w:hAnsi="仿宋" w:eastAsia="仿宋"/>
          <w:sz w:val="32"/>
          <w:szCs w:val="32"/>
        </w:rPr>
        <w:t>2026年部门预算表套表（</w:t>
      </w:r>
      <w:bookmarkStart w:id="0" w:name="_GoBack"/>
      <w:bookmarkEnd w:id="0"/>
      <w:r>
        <w:rPr>
          <w:rFonts w:hint="eastAsia" w:ascii="仿宋" w:hAnsi="仿宋" w:eastAsia="仿宋"/>
          <w:sz w:val="32"/>
          <w:szCs w:val="32"/>
        </w:rPr>
        <w:t>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44682"/>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0E35C1"/>
    <w:rsid w:val="034968DF"/>
    <w:rsid w:val="03D7309C"/>
    <w:rsid w:val="03F014FB"/>
    <w:rsid w:val="03F248D4"/>
    <w:rsid w:val="05AE6735"/>
    <w:rsid w:val="07C71E05"/>
    <w:rsid w:val="0A450E4E"/>
    <w:rsid w:val="0A7F599D"/>
    <w:rsid w:val="0B4115AF"/>
    <w:rsid w:val="0C633590"/>
    <w:rsid w:val="0C7C5D37"/>
    <w:rsid w:val="0D0F40E1"/>
    <w:rsid w:val="0DA61673"/>
    <w:rsid w:val="0E0E4A27"/>
    <w:rsid w:val="0E235FAD"/>
    <w:rsid w:val="0E933B6E"/>
    <w:rsid w:val="0F4C4086"/>
    <w:rsid w:val="0F735BF1"/>
    <w:rsid w:val="100D1BA1"/>
    <w:rsid w:val="10D9450A"/>
    <w:rsid w:val="112B3A0C"/>
    <w:rsid w:val="117169F8"/>
    <w:rsid w:val="11DF6BD5"/>
    <w:rsid w:val="12C62CA4"/>
    <w:rsid w:val="14F86A77"/>
    <w:rsid w:val="15396F94"/>
    <w:rsid w:val="15DA5399"/>
    <w:rsid w:val="165D4F05"/>
    <w:rsid w:val="173A7524"/>
    <w:rsid w:val="187E3884"/>
    <w:rsid w:val="18F97B94"/>
    <w:rsid w:val="191A0446"/>
    <w:rsid w:val="1B4A363A"/>
    <w:rsid w:val="1BC526EF"/>
    <w:rsid w:val="1C882350"/>
    <w:rsid w:val="1CDC1A5B"/>
    <w:rsid w:val="1D5A1C1D"/>
    <w:rsid w:val="1D8202F5"/>
    <w:rsid w:val="1F451F7A"/>
    <w:rsid w:val="20C67EC8"/>
    <w:rsid w:val="20EF71F1"/>
    <w:rsid w:val="21867A05"/>
    <w:rsid w:val="21FE2E7E"/>
    <w:rsid w:val="22CF0F38"/>
    <w:rsid w:val="2323212D"/>
    <w:rsid w:val="23FA4ECF"/>
    <w:rsid w:val="2527010D"/>
    <w:rsid w:val="257A33DD"/>
    <w:rsid w:val="25D7082F"/>
    <w:rsid w:val="26DC2BFA"/>
    <w:rsid w:val="27063D31"/>
    <w:rsid w:val="27742DDB"/>
    <w:rsid w:val="27747EDE"/>
    <w:rsid w:val="277B13CF"/>
    <w:rsid w:val="285B5D80"/>
    <w:rsid w:val="28753BF0"/>
    <w:rsid w:val="28AA47B7"/>
    <w:rsid w:val="28CB641B"/>
    <w:rsid w:val="29207EE3"/>
    <w:rsid w:val="2A4B61FF"/>
    <w:rsid w:val="2AB52686"/>
    <w:rsid w:val="2AC832F5"/>
    <w:rsid w:val="2D742D12"/>
    <w:rsid w:val="2DBD655D"/>
    <w:rsid w:val="2E3342C6"/>
    <w:rsid w:val="300A115E"/>
    <w:rsid w:val="30494BBA"/>
    <w:rsid w:val="30F2476F"/>
    <w:rsid w:val="31F80989"/>
    <w:rsid w:val="344D4C9B"/>
    <w:rsid w:val="36273D08"/>
    <w:rsid w:val="368F70D3"/>
    <w:rsid w:val="37361A0B"/>
    <w:rsid w:val="37BE42C6"/>
    <w:rsid w:val="38253B59"/>
    <w:rsid w:val="385B501F"/>
    <w:rsid w:val="38DE30B8"/>
    <w:rsid w:val="39284901"/>
    <w:rsid w:val="39AB5825"/>
    <w:rsid w:val="3A482539"/>
    <w:rsid w:val="3A915046"/>
    <w:rsid w:val="3AD66EB0"/>
    <w:rsid w:val="3C4C15D1"/>
    <w:rsid w:val="3C526A0A"/>
    <w:rsid w:val="3C57218D"/>
    <w:rsid w:val="3C814BF9"/>
    <w:rsid w:val="3CE440CF"/>
    <w:rsid w:val="3CEA5A8A"/>
    <w:rsid w:val="3D897F97"/>
    <w:rsid w:val="3DA7578C"/>
    <w:rsid w:val="3DF116B7"/>
    <w:rsid w:val="3F597259"/>
    <w:rsid w:val="3F6B774D"/>
    <w:rsid w:val="40095632"/>
    <w:rsid w:val="4084115C"/>
    <w:rsid w:val="430260DD"/>
    <w:rsid w:val="442476FC"/>
    <w:rsid w:val="46345885"/>
    <w:rsid w:val="46B15537"/>
    <w:rsid w:val="46C17DAD"/>
    <w:rsid w:val="46F64D5D"/>
    <w:rsid w:val="49B81F53"/>
    <w:rsid w:val="49F70BF1"/>
    <w:rsid w:val="4AAC7860"/>
    <w:rsid w:val="4B3544BD"/>
    <w:rsid w:val="4BB9615E"/>
    <w:rsid w:val="4CDB40F9"/>
    <w:rsid w:val="4D0265B8"/>
    <w:rsid w:val="4D5D2D60"/>
    <w:rsid w:val="4D8021B9"/>
    <w:rsid w:val="4DFF6777"/>
    <w:rsid w:val="4EB752BA"/>
    <w:rsid w:val="4ED6365B"/>
    <w:rsid w:val="4EF7D6DA"/>
    <w:rsid w:val="4F735000"/>
    <w:rsid w:val="50041643"/>
    <w:rsid w:val="50F75E7E"/>
    <w:rsid w:val="51436F0F"/>
    <w:rsid w:val="518B61F8"/>
    <w:rsid w:val="51BB428B"/>
    <w:rsid w:val="52DF1D28"/>
    <w:rsid w:val="53A4083B"/>
    <w:rsid w:val="54923E8D"/>
    <w:rsid w:val="54941844"/>
    <w:rsid w:val="5538455E"/>
    <w:rsid w:val="566F21D7"/>
    <w:rsid w:val="567F658B"/>
    <w:rsid w:val="56A94595"/>
    <w:rsid w:val="56CD6F74"/>
    <w:rsid w:val="580A299B"/>
    <w:rsid w:val="5A5534F6"/>
    <w:rsid w:val="5B5D76B7"/>
    <w:rsid w:val="5B8E44C5"/>
    <w:rsid w:val="5C982767"/>
    <w:rsid w:val="5CD80EBE"/>
    <w:rsid w:val="5CFA751D"/>
    <w:rsid w:val="5D580A8A"/>
    <w:rsid w:val="5D9A3915"/>
    <w:rsid w:val="5DB8541C"/>
    <w:rsid w:val="5E221344"/>
    <w:rsid w:val="5E32788E"/>
    <w:rsid w:val="5E8C5954"/>
    <w:rsid w:val="5FB128C2"/>
    <w:rsid w:val="60731B65"/>
    <w:rsid w:val="60D72763"/>
    <w:rsid w:val="611001C7"/>
    <w:rsid w:val="61525EF8"/>
    <w:rsid w:val="61561BDD"/>
    <w:rsid w:val="615F5A3C"/>
    <w:rsid w:val="62B666A5"/>
    <w:rsid w:val="62E15FE9"/>
    <w:rsid w:val="64994927"/>
    <w:rsid w:val="65255B39"/>
    <w:rsid w:val="659C7B1A"/>
    <w:rsid w:val="65E847CC"/>
    <w:rsid w:val="67286561"/>
    <w:rsid w:val="691F508E"/>
    <w:rsid w:val="6A340295"/>
    <w:rsid w:val="6A5666B8"/>
    <w:rsid w:val="6C626D3D"/>
    <w:rsid w:val="6D0A63C2"/>
    <w:rsid w:val="6DF0400D"/>
    <w:rsid w:val="6E5B22F8"/>
    <w:rsid w:val="700E2DC7"/>
    <w:rsid w:val="70EF2762"/>
    <w:rsid w:val="71201EF9"/>
    <w:rsid w:val="716F5053"/>
    <w:rsid w:val="728754AC"/>
    <w:rsid w:val="729E55FD"/>
    <w:rsid w:val="73455CFA"/>
    <w:rsid w:val="73BE7F06"/>
    <w:rsid w:val="73D62900"/>
    <w:rsid w:val="73FA7C77"/>
    <w:rsid w:val="744F0BEE"/>
    <w:rsid w:val="746E51AC"/>
    <w:rsid w:val="74A55A8E"/>
    <w:rsid w:val="7539654A"/>
    <w:rsid w:val="75836739"/>
    <w:rsid w:val="765331AF"/>
    <w:rsid w:val="76C753DE"/>
    <w:rsid w:val="76C775D8"/>
    <w:rsid w:val="77FC6956"/>
    <w:rsid w:val="791B1956"/>
    <w:rsid w:val="7A64282A"/>
    <w:rsid w:val="7A8D6ADA"/>
    <w:rsid w:val="7AE2097E"/>
    <w:rsid w:val="7BC2430B"/>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10</Pages>
  <Words>2584</Words>
  <Characters>2950</Characters>
  <Lines>21</Lines>
  <Paragraphs>6</Paragraphs>
  <TotalTime>8</TotalTime>
  <ScaleCrop>false</ScaleCrop>
  <LinksUpToDate>false</LinksUpToDate>
  <CharactersWithSpaces>3014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2018-01-03T09:07:00Z</dcterms:created>
  <dc:creator>lenovo</dc:creator>
  <cp:lastModifiedBy>洪涛</cp:lastModifiedBy>
  <dcterms:modified xsi:type="dcterms:W3CDTF">2026-03-23T12:09:32Z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D28A1E4E3443F7341F21C1698D3E2942_43</vt:lpwstr>
  </property>
  <property fmtid="{D5CDD505-2E9C-101B-9397-08002B2CF9AE}" pid="4" name="KSOTemplateDocerSaveRecord">
    <vt:lpwstr>eyJoZGlkIjoiY2EyMTE4OTdiMjVjM2IwN2QyODg2ZjFmMTQwNjY5NDUiLCJ1c2VySWQiOiI0NTc4Mjc4MTcifQ==</vt:lpwstr>
  </property>
</Properties>
</file>