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吉林省吉林市磐石市取柴河镇人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p>
      <w:pPr>
        <w:spacing w:before="0" w:beforeLines="0" w:after="0" w:afterLines="0" w:line="240" w:lineRule="auto"/>
        <w:ind w:left="0" w:leftChars="0" w:right="0" w:rightChars="0" w:firstLine="0" w:firstLineChars="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
      <w:sdtPr>
        <w:rPr>
          <w:rFonts w:ascii="宋体" w:hAnsi="宋体" w:eastAsia="宋体" w:cs="Arial"/>
          <w:snapToGrid w:val="0"/>
          <w:color w:val="000000"/>
          <w:kern w:val="0"/>
          <w:sz w:val="21"/>
          <w:szCs w:val="21"/>
          <w:lang w:val="en-US" w:eastAsia="en-US" w:bidi="ar-SA"/>
        </w:rPr>
        <w:id w:val="14747164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TOC \o "1-1" \h \u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_Toc32115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基本履职事项清单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_Toc32115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_Toc11006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配合履职事项清单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_Toc11006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12</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_Toc2330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上级部门收回事项清单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_Toc2330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35</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numId w:val="0"/>
            </w:numPr>
            <w:tabs>
              <w:tab w:val="right" w:leader="dot" w:pos="14001"/>
            </w:tabs>
            <w:rPr>
              <w:rFonts w:ascii="Times New Roman" w:hAnsi="Times New Roman" w:eastAsia="方正小标宋_GBK" w:cs="Times New Roman"/>
              <w:color w:val="auto"/>
              <w:spacing w:val="7"/>
              <w:sz w:val="44"/>
              <w:szCs w:val="44"/>
              <w:lang w:eastAsia="zh-CN"/>
            </w:rPr>
          </w:pPr>
          <w:r>
            <w:rPr>
              <w:rFonts w:hint="eastAsia" w:ascii="Times New Roman" w:hAnsi="Times New Roman" w:eastAsia="方正公文小标宋" w:cs="Times New Roman"/>
              <w:snapToGrid w:val="0"/>
              <w:color w:val="auto"/>
              <w:kern w:val="0"/>
              <w:sz w:val="32"/>
              <w:szCs w:val="32"/>
              <w:lang w:val="zh-CN" w:eastAsia="zh-CN" w:bidi="ar-SA"/>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3211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加强乡镇党委自身建设，落实全面从严治党主体责任，严肃党内政治生活，贯彻民主集中制原则，抓好“三重一大”事项决策，落实理论学习、“三会一课”等制度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村民委员会、村务监督委员会、社区居民委员会和居务监督委员会规范化建设，指导、监督村（居）民委员会做好换届选举、村务公开、村务监督工作，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落实党代会代表任期制，做好代表选举和联络服务工作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抓好基层党组织建设，组织实施乡镇党委换届，负责下级党组织的成立、调整和撤销，指导下级党组织的换届工作，整顿软弱涣散基层党组织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按照干部管理权限，负责镇、村干部的选拔、培养、教育、考核、管理、监督等工作，做好离退休干部服务保障，配合做好公务员、事业单位人员招录（聘）工作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走好新时代党的群众路线，指导基层党组织开展便民服务活动，解决群众“急难愁盼”问题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加强基层党校建设，做好党员学习教育指导和保障等工作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推进反腐败工作，按照管理权限分类处置问题线索，加强基层监督体系建设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落实统战工作责任制，联系、团结、服务民主党派成员、无党派人士、党外知识分子、非公有制经济人士、新的社会阶层人士等各类统一战线工作对象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组织召开本级人民代表大会，做好人大代表换届选举（补选）工作，履行乡镇人大主席团职责，抓好人大代表之家建设，组织人大代表开展视察、调研、检查和联系人民群众活动，征集人大代表议案、建议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建立基层政协联络工作机制，联系辖区内政协委员开展政治协商和民主监督活动，做好委员服务保障工作，办理政协委员提案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推进基层工会组织建设，落实维权帮扶机制，加强经费收支管理，维护职工合法权益，做好工会年度统计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加强基层团组织建设，落实团员发展和团员教育管理，开展青少年服务工作，维护青少年合法权益，组织开展团内活动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加强基层妇联组织建设，维护妇女儿童合法权益，加强家庭家教家风建设，开展妇女儿童关心关爱服务，做好妇女思想引领及典型选树工作，开展创新创业、乡村振兴巾帼行动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加强基层关心下一代工作，发挥“五老”作用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加强文联组织规范化建设，发挥文联协会作用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加强社区工作者队伍建设，坚持专业化方向，做好社区工作者日常教育、管理和考核工作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优化营商环境，做好“九解一协调”等服务企业相关工作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落实农村集体产权制度改革，开展村集体经济组织成员身份认定工作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负责权限范围内的项目全周期管理工作，做好项目建设过程中的各类服务保障工作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开展就业创业促进工作，做好政策宣传、劳动力资源调查统计、就业困难人员、失业人员等重点群体动态管理工作；开展就业失业登记和证照办理、就业困难人员认定申请及相关补贴申报、公益性岗位申报等工作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做好就业创业需求摸排、岗位信息发布、援助帮扶、供需对接、技能培训等服务工作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督促缴费，负责辖区居民养老保险的参保登记、信息变更、补缴、死亡注销、信息查询、待遇申领、待遇暂停、待遇恢复、待遇资格确认、冒领调查以及死亡参保人员名单的汇总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负责退役军人思想政治教育、权益保障、政策宣传、联系服务、褒扬纪念等工作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做好残疾人服务和关心关爱，帮助残疾人申请更换辅具;协助开展残疾人康复就业，组织残疾人参加职业技能培训，做好公益助残；负责困难残疾人生活补贴、重度残疾人护理补贴的申请受理工作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负责城乡最低生活保障、特困人员、低保边缘家庭、刚性支出困难家庭资格申请受理、审核认定和动态管理等工作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负责对特殊原因导致基本生活陷入困境的对象开展临时救助工作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做好未成年人关爱服务工作，摸排辖区孤儿、留守儿童、困境儿童和事实无人抚养儿童情况，建立信息台账，开展关怀慰问，走访探视、救助保护工作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负责便民服务中心（站）标准化、规范化建设，做好便民服务工作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做好老龄宣传、统计、救助、关爱相关工作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负责12345政务服务便民热线和民生问题受办管理等平台工单的接收、流转、受理、处置和反馈等工作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负责职权范围内的供热保障监督工作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推进法治政府、法治文化建设，开展法治宣传、法制审核工作，落实普法责任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加强综治中心建设，推进基层治理网格化管理，深化“警地融合”，构建协同联动、多元共治的社会治理新格局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开展全民禁毒宣传教育工作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坚持和发展新时代“枫桥经验”，做好矛盾纠纷排查和化解工作，统筹力量开展人民调解工作，定期回访，防止矛盾反弹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核实脱贫人口收入情况，落实帮扶政策措施，帮助指导就业创业，制定“一户一策”帮扶措施，推动脱贫人口持续稳定增收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常态化开展防返贫动态监测排查，做好监测对象识别、纳入、帮扶和消除风险工作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推进美丽乡村建设，做好村庄清洁行动、村屯绿化管护、农村基础设施建设项目等工作，提升农村人居环境质量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负责秸秆离田工作，做好秸秆能源化、饲料化、肥料化等秸秆综合利用工作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负责农村饮用水安全宣传、农村集中供水工程的运行管理和分散式供水用户监督管理工作，保障农村饮用水安全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开展新型农业机械推广、农机购置和报废的补贴统计发放、农机安全宣传教育工作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负责编制辖区农村供水应急预案，统计农村供水水费收缴情况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负责农业防灾减灾、灾后生产恢复和农业保险政策宣传普及工作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负责规范村规民约，培育文明乡风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负责宣传解答各类惠农政策，做好惠农补贴的统计、核定、发放等工作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负责农村土地承包及流转业务指导、合同签订、合同备案和土地权属争议调解工作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负责畜禽养殖存栏出栏数据统计上报工作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加强与农业科研机构合作，优化推广食（药）用菌特色种植技术，发展食（药）用菌特色产业</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主动排查涉访矛盾，受理群众来信、来电、网上信访事项，接待群众来访，承办上级交办、督办的信访事项，督促、审核信访事项的办理回复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负责集体、个人人工林采伐申请受理、外业调查设计、采伐设计书制定等工作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落实林长制，统筹森林资源保护发展，组织开展巡林巡查，及时制止破坏森林资源的违法犯罪行为并上报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负责乡村建设规划法规和政策宣传，权限范围内的居民建房审批，闲置资源盘活利用情况统计上报工作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负责农村宅基地审批及管理、农村房屋翻建的审批工作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受理森林植物检疫申请并出具产地检疫合格证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对擅自移动或者毁坏森林保护标志的行政处罚（仅涉及森林保护标志所有权在乡镇的违法行为）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对擅自移动或者毁坏林业服务标志的行政处罚（仅涉及林业服务标志所在权在乡镇的违法行为）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对未经县级以上人民政府林业主管部门审核同意，擅自改变林地用途的行政处罚（仅涉及集体、个人所有或集体、个人经营的森林、林木范围内违法行为）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落实河长制，做好宣传教育、日常巡查、河道垃圾清理工作，发现问题及时制止、督促整改并上报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负责辖区内小型灌区橡胶坝、渠道管护工作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负责秸秆残茬计划性烧除方案制定、政策宣传、日常巡查、火点核实、违规火点扑灭等工作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负责辖区环境卫生、公共设施维护等工作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负责对物业管理活动的监督指导，调解物业管理纠纷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负责乡道、村道的养护工作，协助县级公路管理机构做好本行政区域内县道的养护工作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组织开展群众性文化体育和文艺演出活动，加强农村文化广场和文化站建设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落实文物安全管理责任，做好文物保护政策宣传、日常巡查、情况上报和非物质文化遗产的宣传工作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支持和发展乡村旅游，推进农文旅融合发展，依托知青城、漫红岭等景区，打造特色乡村旅游精品景观路线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健全应急能力体系，编制应急预案，明确专门工作力量，做好应急管理知识宣传普及工作，开展应急演练，发生事故灾难、自然灾害等突发事件后第一时间上报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落实森林防火责任制，制定并组织实施森林防火应急预案，做好宣传、培训、巡查、演练和火情上报等工作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负责受灾情况统计上报和灾后危险路段抢修工作，对受灾群众进行临时救助，组织开展生产生活恢复工作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负责公文流转、文字综合、信息报送、印信管理等机关日常运转工作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负责机关后勤服务、公共机构节能、公务用车管理、固定资产管理、机关办公用房管理等工作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负责财务管理、财务支付、会计核算等工作，指导村（社区）做好财务管理工作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开展公务员、事业单位人员工资和各类津贴、补贴及福利待遇相关材料统计、初审、报送工作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落实政务、财务公开制度，负责政府（政务）信息公开工作，推进政务数据共享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负责年鉴编纂及档案管理、统一移交等工作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100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1.负责乡科级领导干部出国（境）管理,以及乡科级领导干部个人事项报告、重大事项报告收集工作，并做好12380举报受理及教育和惩戒工作；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2.做好领导干部子女、近亲属任职情况和领导干部配偶、子女及其配偶经商办企业常态化管理及领导干部离任审计工作。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1.开展领导干部重大事项报告、出国（境）登记等工作；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2.指导督促乡镇开展干部人事档案材料收集、鉴别、归档、整理、信息化建设；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3.提供干部人事档案利用工作。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2.做好本单位干部人事档案材料收集、鉴别、整理、归档、转递、档案信息化等工作；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3.按规定利用干部人事档案。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1.对全市上报的“省部级及以上表彰奖励获得者待遇人员荣誉津贴和春节慰问金”人员信息进行审核、汇总。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2.协同市总工会进行荣誉津贴和春节慰问金发放。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4.开展人才评选推荐及相关材料收集等工作。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3.与辖区内企业建立沟通联系，掌握企业人才情况和企业人才需求，配合做好辖区内高层次人才引进、管理、服务等工作；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4.配合做好人才评选推荐及相关材料收集报送等工作。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2.重点抓好包保帮扶部门（单位）驻村干部的选派、调整、保障等工作；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3.统筹辖区内驻村干部管理、培训等工作。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1.负责驻村第一书记工作经费的使用审批工作；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2.监督驻村干部在岗考勤，督促驻村干部及时记录工作日志。</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1.组织开展经济普查、人口普查、农业普查等重大国情国力调查；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2.组织开展各类统计调查、专项调查。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1.依法组织实施辖区内的大型普查及统计调查；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2.认真开展统计数据质量审核，履行统计监督职责；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3.指导村（社区）和统计调查对象开展统计工作，督促、指导辖区内统计调查对象依法设置原始记录，建立统计台账。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2.统计人员变动征求市统计局意见；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3.负责建立健全辖区内统计工作制度和统计台账。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1.下发辖区内企业调整名单；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1.根据统计部门反馈的名单对辖区内新增、名录库内消亡的企业开展排查；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市商务局
市工业和信息化局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1.收集汇总全市达规、临规企业信息，统筹安排重点企业上门走访服务，上下联动，依法依规动员优质企业达规入统；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2.对入库入统工作进行前置培训。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负责规模以上工业企业指导、申报工作。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1.配合行管部门挖掘高质量企业,分专业配合建立“四上”企业培育库。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1.负责“专精特新”、高新技术企业、科技型中小企业培育、申报指导和推荐工作；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2.对乡镇上报的申请“专精特新”中小企业进行复核。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1.开展“专精特新”、高新技术企业、科技中小企业相关政策宣传；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2.指导辖区内符合“专精特新”中小企业条件的企业准备申报材料并进行初审上报。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负责全市企业融资需求工作。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负责监测、分析国民经济运行态势，总结经济运行情况，提供经济工作相关决策建议。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1.排查并上报企业融资需求情况；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2.组织企业参加问卷调查及相关活动。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1.负责全市招商引资有效项目信息收集、闲置资源统计、项目谋划包装等工作；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2.负责跟踪、协调招商引资项目的签约、前期手续办理与项目建设、投产后续服务等工作；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1.挖掘投资意向，开展沟通洽谈工作；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2.上报招商引资项目信息表；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3.领办代办已完成招商引资项目的立项、节能、环评、用地规划、工程规划、施工许可等前期手续。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1.宣传各项惠企活动和政策；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2.谋划部署资金和老字号申报工作；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3.统筹开展稳定和扩大消费领域各项工作，负责辖区内各类商务活动策划，动员辖区内商贸单位参与市商务局组织的各类活动。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1.转发并配合落实上级部门下发的关于资金和老字号申报的工作通知要求；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2.调度企业产品信息、采购需求，开展产需对接；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3.统计上报以旧换新销售企业名单；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4.上报参加产品推介会企业名单；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5.上报批零住餐行业限额培育目标。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
市发展和改革局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3.调度辖区内经济运行态势，做好经济运行数据采集、审核、报送等工作。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对经济领域重点单位开展闲置资源实地走访、信息推介、招商引资等工作。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1.配合做好闲置资产及双停企业排查盘活工作；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2.开展工业企业产需、产融对接工作。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1.初审企业在省、市科技计划项目系统填报的信息和企业送审的纸质材料，出具推荐函；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2.宣传推广省、市科技项目计划指南，鼓励企业填报；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3.针对乡镇种养殖技术需求，提供“送科技下乡”服务。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3.定期统计辖区内居民种养殖技术需求，并及时对接，配合开展“送科技下乡”工作。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市市场监督管理局等相关部门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1.相关部门按照职责分工对殡葬服务行业开展检查等管理工作；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1.开展殡葬工作相关法律法规宣传工作；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2.排查上报殡葬领域违规、违法问题；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3.提出建设公益性墓地申请。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1.下发慈善救助工作宣传材料；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3.审批相关申请，为救助活动提供必要的生活救助物资和资金。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2.开展“慈善救助圆梦大学”活动，走访可能符合条件的考生，核实情况、填写审批表并上报；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3.开展“下基层送温暖情暖万家”“99公益日”等慈善救助活动。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居家养老、老年助餐及老年人巡访关爱工作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1.为乡镇提供业务指导，建设居家养老、老年助餐服务场所，建成后督促乡镇完善场所功能；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2.组织开展辖区内老年人巡访关爱及信息采集录入工作；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3.负责高龄老人生活津贴的审核和发放、档案管理工作。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1.负责居家养老和老年助餐服务场所选址工作；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2.负责养老大院的运营指导和监督管理工作；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3.负责老年人信息采集、数据录入和报送工作；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4.负责高龄老人生活津贴的申请受理、材料初审、生存认证工作。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1.负责养老服务项目初审、上报，按上级部门审批结果指导乡镇开展相关工作；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2.负责养老服务机构安全监管工作；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3.负责审核特殊困难老年人家庭适老化改造；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4.指导乡镇做好改造项目的实施和完工验收工作；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1.根据上级指导要求，做好养老服务项目上报、建设、运营管理和补贴发放工作；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2.对辖区养老服务机构开展日常安全检查，指导其开展消防应急疏散演练；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3.负责特殊困难老年人家庭适老化改造的政策宣传、申请受理、材料初核、汇总上报和入户回访工作。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1.开展本市双拥共建工作；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4.挖掘、学习、宣传退役军人典型代表，组织优秀退役军人代表参加重要节庆日活动；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5.通过调查问卷、随机抽查等方式开展退役军人工作满意度评价。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1.开展退役军人节日慰问、走访等常态化服务工作；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3.配合做好光荣牌发放、悬挂、更换、收回等常态化管理服务；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4.配合做好“最美退役军人”“模范退役军人”等先进典型挖掘、学习、宣传工作；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5.组织优秀退役军人代表开展重要节庆日庆祝活动。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1.指导协调全市退役军人建档立卡工作；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1.组织开展“送温暖、献爱心”等捐助活动；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2.开展困难退役军人申请关爱基金或其他帮扶资金的审查、核实工作；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3.设立退役军人信息联络员，通过电话、走访、座谈等形式开展常态化联系；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4.开展调查摸底工作，制定帮扶计划；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5.在重大节日、重要节点组织开展走访慰问；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6.比对核实困难退役军人基础数据，及时纳入信息系统；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1.帮助符合条件的困难退役军人向上级部门申请低保、特困供养、医疗救助、教育救助、住房救助、临时救助等帮扶；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4.动态掌握退役军人及其家庭困难状况，协调提供精准帮扶援助，落实对退役军人的关心关爱措施。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1.负责残疾证的核发和档案管理工作；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2.负责抓好基层残疾人专职委员管理，负责残疾人就业等权益保障工作；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3.负责实施残疾人权益保障、教育保障、康复和无障碍环境建设等方面助残、惠残项目。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4.负责持证残疾人基本状况调查的培训、汇总和上报等工作。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1.帮助残疾人填写残疾证申请表，告知评定医院，审核通过后指导村（社区）予以公示；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2.对领证、换证、丢失补办、迁移、注销、等级变更等事项进行告知；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3.负责村级残疾人专职委员聘用、管理和考核工作；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5.负责持证残疾人的统计调查和上报工作；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6.负责持证残疾人基本状况调查和中国残联移动服务管理平台录入工作。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1.组织符合条件的残疾学生及残疾人子女进行网上或窗口申报；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2.开展扶残助学金申报材料的收集、整理和上报工作。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3.负责省医保基层服务平台运行环境调试、账号开通、权限设定等工作；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4.负责做好居民参保信息统计工作，将相关数据分发至乡镇，并指导乡镇动员未缴纳医保费用的居民及时缴纳医保费用。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1.做好医疗保障下沉事项的经办服务管理和医疗保障政策宣传等相关工作；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2.指导居民使用吉林省医保基层服务平台办理职工（居民）参保登记、信息查询、信息变更、安置退休人员备案、异地长期居住人员备案、常驻异地工作人员备案等事项；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3.协助居民帮办代办职工参保状态变更、单位基本信息、转移接续手续办理、城乡居民参保状态变更、护理补贴支付、打印参保证明、生育津贴补贴、围产补贴支付等事项；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4.动员未缴纳医保费用的居民及时缴纳医保费用。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1.定期摸排辖区内适龄儿童入学情况，建立辍学台账；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2.联合学校、村（社区）对辍学学生家庭入户动员；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1.对乡镇“以奖代补”人员进行备案，并进行监督检查；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2.拨付严重精神障碍患者“以奖代补”资金。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1.初审并上报“以奖代补”情况；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2.巡查走访辖区内三级以上发放“以奖代补”奖金的精神障碍患者及其监护人；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3.核查上报年初签订协议的严重精神障碍患者一年内居住地、外出、住院、用药、精神状况等情况；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4.发放严重精神障碍患者“以奖代补”资金。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1.开展宣传和日常排查工作；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1.制定年度农村户厕改造先建后补实施方案，明确改厕实施范围、改厕模式、奖补标准及工作流程；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2.开展改厕完工抽查验收，指导乡镇完善改厕档案，申请拨付奖补资金，健全长效管护机制；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3.制定问题厕所整改措施。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1.组织开展户厕改造政策宣传，确定改厕户并开展申报工作，指导农户或委托的施工队按技术要求进行建设；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2.组织开展户厕验收，完善农户改厕档案，做好改厕信息公示及奖补资金发放，明确后期农户自行运维管护工作；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3.对户厕改造情况进行走访调查，上报问题厕所情况，落实整改措施。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2.在全市范围内指导并开展测土配方施肥工作的田间采样工作；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3.化验分析乡镇送检土样；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4.指导乡镇完成田间试验；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5.制定测土配方施肥卡。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1.开展测土配方施肥宣传工作，指导农户使用相关APP开展测土配方施肥工作；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2.在辖区内开展测土配方施肥工作的田间采样；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3.采集、送检测土配方施肥土样；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4.开展测土配方施肥田间实验。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2.负责项目前期论证、组织设计踏查等工作；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3.负责组织进行初步设计报告编制工作；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1.开展高标准农田建设政策宣传；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2.配合开展需求摸排、项目申报、设计踏查、确定位置等工作；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3.配合监督工程质量、安全生产等工作；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4.配合处理实施过程中矛盾纠纷调解处理等工作；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5.配合项目验收、资产移交等工作；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4.组织相关部门开展黑土地巡查，依法处理破坏黑土地和永久基本农田的行为。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4.开展黑土地巡查工作，受理群众举报，发现疑似破坏黑土地和永久基本农田的情况时及时制止并上报。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渔业养殖和水产品采样检测工作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1.负责关键水产技术的引进、试验、示范与推广培训；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2.依据乡镇采集的数据逐级录入上报系统；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3.检测水产品送检样品。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2.统计报送辖区内渔业产值数据；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3.采集、送检水产品样品。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2.完成上级下达的农产品质量安全监测任务，健全农产品质量安全监管体系；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3.对农产品质量安全问题依法查处；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4.对重点整治品种进行调度，并建立重点农产品监管名录；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2.对农产品质量安全进行排查，发现问题及时上报；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3.配合开展农产品质量安全领域相关法律法规知识宣传。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2.强化农药包装废弃物和废旧地膜日常管理，整治农药包装废弃物和废旧地膜乱扔、乱放行为，妥善回收处置；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3.负责农药包装废弃物和废旧地膜回收资金申请受理及拨付。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2.组织农户上缴农药包装废弃物及废旧地膜，做好登记、统计和数据上报工作；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3.负责农药包装废弃物及废旧地膜的集中存放、检斤抽检、向上移交和回收资金发放等工作。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2.检疫性有害生物发生后，组织乡镇开展防控工作。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2.检疫性有害生物发生后，配合上级部门开展防控工作；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4.做好农户农药使用指导工作。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1.发布年度主推先进农业技术；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2.开展农技人员业务培训；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3.指导乡镇开展农业技术推广工作；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4.指导乡镇对园艺特产业相关数据进行统计、汇总、上报。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1.负责先进农业技术、园艺特产业新技术宣传推广工作；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2.组织技术人员参加农技培训；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3.对农户提出的农业技术问题进行指导；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4.踏查、统计、上报园艺特产业相关数据。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1.负责农村基础设施建设的组织实施工作；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2.做好固定资产移交，推动后期运行管护。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1.配合上级部门做好辖区内农村基础设施项目前期谋划、设计，协调施工难题；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2.加强项目资产管理，落实农村基础设施管护责任；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3.做好乡村建设项目库录入、更新工作。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负责病死畜禽及病死畜产品收集转运和无害化处理工作。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负责病死畜禽及病死畜产品日常排查、在收集点或暂存点的现场核查和数据上报；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1.对养殖场（户）开展养殖法律法规培训；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2.对日常检查过程中发现的问题或接到的线索举报进行核查处置；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1.开展有关动物疫病预防控制的法律、法规、政策宣传工作；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2.对规模养殖场（户）饲养、经营、运输环节进行业务指导，指导养殖户建立养殖档案。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1.负责组织全市动物疫病预防控制宣传工作，实施动物疫病强制免疫计划；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4.负责动物疫苗的订购、管理和发放；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1.开展动物疫病预防控制宣传工作，落实强制免疫计划；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2.发放疫苗及防疫物资，定期销毁疫苗空瓶；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3.调度、汇总、上报辖区内动物免疫进展情况和畜禽患口蹄疫、非洲猪瘟等流行病情况。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2.制定年度畜牧业技术推广工作方案并组织实施；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2.组织畜牧业农技人员参加技术培训。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畜禽产品质量安全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1.负责组织全市开展畜禽产品质量安全宣传；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4.制定畜禽质量安全监督抽查计划；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5.检测畜禽产品送检样品。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3.负责畜禽产品采样、送检工作。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1.制定惠农措施并实施；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2.定期对惠农政策执行情况进行评估和监督；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3.指导养殖户和畜牧业企业申报享受惠农政策。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1.开展“强牧惠民”政策宣传工作并做好落实；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2.收集、上报符合享受惠民政策的养殖场信息；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3.选拔推荐畜牧业发展示范基地、示范户并定点包保，协调解决养殖技术方面的问题。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负责规模以上畜禽养殖废弃物综合利用的指导和服务。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1.协助有关部门做好辖区内畜禽养殖污染防治工作；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2.发现畜禽养殖环境污染行为，及时制止并报告。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畜禽（生猪）屠宰监督管理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1.负责定点屠宰厂（场）日常生产经营活动的监督管理；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2.负责屠宰厂私屠滥宰、注水或注入其他物质的监督检查；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3.负责畜禽屠宰环节质量监测、风险评估、参与畜禽屠宰行业畜产品安全突发事件的应急处置；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4.对乡镇巡查发现和群众举报的私屠滥宰行为进行查处。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2.负责职权范围内的畜禽屠宰监督管理工作；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3.对发现私屠滥宰行为及时报告并配合执法部门进行查处。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1.组织宣传水库移民工作的方针政策；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2.组织落实全市大中型水库移民后期扶持政策，做好移民档案管理和移民资金管理工作；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3.负责组织编制、审核、上报全市大中型水库移民后期扶持年度计划。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3.申报水库移民工作后期扶持项目。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1.拟订全市行政区划总体规划，按照管理权限负责全市行政区划的设立、命名、变更和政府驻地迁移等审核工作；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2.上报地名命名、更名情况。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属地铁路护路联防工作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指导乡镇做好属地铁路护路联防工作。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2.建立爱路护路联防队伍；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3.常态化开展涉铁路矛盾排查调处；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4.做好铁路沿线重点人群管控；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5.做好重点时期铁路安保工作。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1.落实地质灾害防范处置工作责任，制定预案，指导开展演练，采取有效措施，防止灾害发生；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2.灾害发生后，派人赶赴现场，进行现场调查，指导相关单位采取相应措施防止灾情扩大；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3.组织专家对地质灾害的成因进行分析论证后认定责任主体；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4.指导乡镇做好地质灾害治理工程后期管护，提供技术支持。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1.对辖区内易发生地质灾害区域（省确）进行日常巡查，发现情况后及时上报；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2.维护地质灾害风险地区现场秩序，及时转移群众；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3.负责开展地质灾害治理工程后期管护工作。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1.指导乡镇开展乡镇国土空间总体规划的编制和成果初步审查；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2.指导乡镇编制村庄规划。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1.组织编制乡镇国土空间总体规划及村庄规划，提供相关资料；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2.履行规划审批前的征求部门意见、公示等相关程序；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3.组织实施村庄规划。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利用土地市场动态监测与监管系统平台，监测已审批的国有建设用地开、竣工情况，并及时向乡镇推送。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1.对国有建设用地改、扩建建设项目现场踏查；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2.巡查、监管已审批的国有建设用地项目，填报《建设项目用地跟踪管理卡》。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1.牵头开展“大棚房”问题清理整治工作，制定工作方案；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2.指导乡镇进行“大棚房”问题排查，负责清理和整治整改等相关工作。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配合开展“大棚房”问题排查工作，发现问题及时上报。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1.牵头负责违法图斑下发及核查工作；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2.对乡镇上报的农用地建设（种植和养殖）备案情况进行系统入库；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1.对上级反馈的违规卫片进行前期踏查并上报情况；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2.受理农用地建设（种植和养殖）备案并上报；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3.事后定期巡查。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5.按照有关规范和要求，对古树名木设立保护标志，建设相应的保护机制，采取相应的保护措施。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2.开展辖区内古树名木资源调查，补充上报古树名木信息；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3.协助签订保护协议，负责日常管护、悬挂保护标志、建设保护设施及其他保护管理工作。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负责对乡镇报送的林木种苗经营许可证申请进行审核并发证。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负责对辖区内林木种苗经营许可证申请受理、初审和上报工作。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3.负责迹地更新造林补植补造工作。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农村水土保持、水利工程建设工作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1.组织实施水土保持工程建设、农村水利工程农村供水工程新建及改造提升项目建设；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2.负责全市农村水利工程管理服务保障工作；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3.负责水土保持治理工程现场勘察、工程施工建设工作；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4.开展辖区内用水单位取水情况调查；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5.查处破坏水土保持、非法开采地下水资源和破坏农村水利工程等行为。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1.开展水土保持和水资源保护、农村水利工程宣传工作；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2.根据农村水土保持、农村水利工程建设需求协调开展现场勘察、项目申报、项目实施工作；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3.提供水土保持、水资源节约相关基础材料；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4.及时发现、制止、上报破坏水土保持、农村水利工程和非法开采地下水资源行为和相关线索。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1.负责农村供水管理、监督、安全等工作；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2.负责对申报的安全饮水项目进行包装上报；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3.负责对安全饮水工程的相关项目进行监管；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负责开展水质监测，检测结果反馈给市水利局。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1.配合上级部门对安全饮水工程进行日常检查，负责采样、送检农村供水水质样品；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2.摸排各村安全饮水工程项目建设需求、维养计划并上报；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3.配合做好修建农村安全饮水工程群众满意度调查，对安全饮水的问题进行回访、上报等工作；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4.监督供水运营单位，确保农村供水工程正常运转；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5.编制农村供水应急预案。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1.负责农村黑臭水体、生活污水整治工作，组织乡镇开展排查整治，建立问题清单和整改台账，推进问题整改落实；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3.对农村养殖、工业生产等污水违规排放情况进行查处。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1.对农村黑臭水体排查上报；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2.对农村养殖、工业生产等污水排放情况进行调查核实、劝导和上报；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3.做好农村生活污水治理管控“一村一档”材料整理及系统录入工作。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1.按照职能分工对环保督查问题进行转办；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2.做好环保督查案件查处工作；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3.对环保督查问题整改情况开展“回头看”，巩固整改成果。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2.对转办的环保督查进行实地踏查，协助行管部门开展整治工作并汇总反馈处理结果。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负责农村散户清洁取暖招标立项、方案制定和验收等工作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负责农村散户清洁取暖项目实施工作。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2.组织开展房屋安全督查检查，对存在安全隐患的房屋出具认定报告及时督促整改；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4.负责农村低收入群体等重点对象住房安全鉴定工作；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5.负责危房改造的招投标、安全管理和项目验收工作。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2.开展房屋安全隐患排查上报、信息系统维护、应急安全处置工作；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4.督促农户对存在安全隐患的自建房进行整治，及时做好人员迁出等工作。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农村公路交通安全监管工作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1.统筹道路交通安全管理工作；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2.开展农村公路交通违法行为劝导；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3.开展乡、村（屯）道路危险路段安全排查，消除隐患；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4.维护道路的警示标志、防护栏等设施；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5.落实道路交通安全责任制，及时消除安全隐患。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2.指导乡镇修改系统信息错误，及时处理内部、外部协查。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1.指导村（社区）在吉林省本级人口宏观管理与决策信息系统进行信息录入工作，采集汇总生成报表；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2.及时处理系统内错误信息，内、外部协查。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2.开展独生子父母奖励、“两项制度”申报等相关业务培训，按政策做好奖励、帮扶对象的初审上报、动态管理、慰问等工作，负责计划生育家庭特别扶助对象住院护理补贴申报工作；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4.依法上报人口与计划生育统计数据，完成“吉林省本级人口宏观管理与决策信息系统”中全员人口信息库的数据采集、录入、变更、维护工作；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5.配合做好基层计划生育组织基础工作。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1.制定爱国卫生总体工作计划，推进爱国卫生工作网格化管理体系建设；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2.组织动员有关单位和个人参加爱国卫生活动；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3.普及健康科学知识，定期开展健康科普活动；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4.开展鼠、蝇、蚊、蟑等病媒生物密度调查及等级评估工作。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1.开展健康教育和爱国卫生宣传、普及工作；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2.开展以整治环境卫生为重点的“爱国卫生月”活动；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职业病、传染病防治及疫情防控工作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1.开展艾滋病、性病、丙肝等传染病防治法律法规、防治知识识宣传工作，负责HIV检测，艾滋病患者管理工作；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2.负责本辖区传染病防治和监督管理工作，向乡镇提供传染病宣传重点内容；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3.组织开展“五进”活动，为其他相关部门艾滋病防治工作提供技术指导；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4.核实乡镇上报的暴发传染病疫情信息；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5.负责传染病暴发、流行时的流调、消杀等处置工作；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7.负责职业卫生监督检查和违法行为查处工作。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1.开展职业病、传染病知识宣传工作；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4.协助卫生行政主管部门和其他有关部门、医疗卫生机构做好疫情信息的收集和报告、人员的疏散隔离、公共卫生措施的落实工作。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1.建立健全红十字会基层组织，招募红十字志愿者，组织志愿者参与志愿服务；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2.组织红十字宣传活动；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3.发放红十字专项资金和物资；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5.开展应急救护等专业培训。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1.配合建立红十字会基层组织，开展相关活动；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2.开展红十字会相关法律法规、政策宣传活动；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3.帮助符合红十字会救助条件的困难群众进行人道主义救助项目申报；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4.做好无偿献血宣传发动工作；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5.参与上级组织的应急救护培训。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1.做好安全生产各类业务培训工作；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2.对生产经营单位应急预案编制、定期演练等事项进行监督检查，通知辖区内生产经营单位开展安全生产自查自纠；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3.依法对辖区内安全生产工作实施综合监督管理，对乡镇上报的问题隐患作出处理；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1.组织开展安全生产知识普及，制定辖区内应急预案并组织开展演练；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3.发生安全事故后，及时启动应急预案，并组织群众疏散撤离。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2.开展防火监督、开业前消防检查、消防知识普及、消防业务培训，及时督促整改火灾隐患。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1.编制辖区内消防工作应急预案，组织开展消防演练；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市消防救援大队
市发改局
市公安局等相关部门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负责下发电动自行车停放充电场所统计范围，对上报的统计情况进行研判，按配比推进小区充电桩建设工作。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负责负责电动车进楼入户、飞线充电以及占用堵塞疏散通道和安全出口等违法违规停放充电行为的整改处理和处罚。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按照职责分工负责相关安全整治工作。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2.排查违规停放电动自行车或者为电动自行车飞线充电行为进行劝阻，劝阻无效及时上报相关部门；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3.做好对小区内充电桩安装及使用投诉案件的核实、答复工作。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市住房和城乡建设局
市水利局
市气象局等相关部门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1.负责编制全市自然灾害类专项预案，组织开展预案演练；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2.指导全市应对自然灾害和综合防灾减灾救灾工作；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3.统筹专业应急救援力量，指导综合性应急救援队伍、各级各部门及社会应急救援力量开展自然灾害应急救援;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4.各相关部门根据职责分工，组织做好灾后救助工作。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通过宏观监测点进行地震监测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1.收集各类地震信息；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3.核实各类信息真伪。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1.对监测点发生异常情况进行实地踏查并上报；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2.配合上级部门现场核实地震观测点情况。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1.督促企业落实主体责任，开展食品生产经营单位食品安全日常监督检查和执法工作；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2.按照食品经营主体分布、规模进行分类定级，指导乡镇制定和建立“三单一书”；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3.督促指导乡镇包保干部开展食品安全督导，及时督促包保主体进行整改，并将整改情况反馈给乡镇；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4.指导乡镇做好农村群体聚餐、农村大集备案管理和食品安全预警、应急工作，适时进行食品安全督导检查。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1.排查属地食品安全风险隐患；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2.开展食品安全法律法规、政策文件的宣传和食品安全风险预警；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3.做好农村群体聚餐、农村大集备案管理和食品安全应急工作。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加强社会信用体系建设，提高城市信用指数，增强全社会诚信意识。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1.配合上级部门开展社会信用体系相关工作；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2.开展诚信宣传活动。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33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承接科室（单位）：接待科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1.协调各部门跟踪、劝返进京重点人员；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2.安排工作人员驻京值班，做好接待稳控工作。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2.根据检疫流程开展检疫工作。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1.受理屠宰场检疫申请；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2.根据流程开展屠宰检疫工作。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1.建立畜禽粪污工作台账；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2.督促养殖场按时完善台账；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3.指导和服务养殖场开展畜禽养殖废弃物综合利用工作。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2.成立工作组，开展安全监督检查。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对辖区殡葬领域违规情况巡查、核实、监管和祭祀用品市场违规行为的整治工作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承接科室（单位）：社会组织和社会事务科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2.联合有关部门对违法违规行为进行查处整治。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承接科室（单位）：社会福利和救助保障科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1.核实违规领取80岁以上高龄津贴的情况；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2.按照办理流程进行审核，对申请人的就业状况、社保缴费情况等进行核实；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3.审核通过后对人员名单进行公示，接收社会监督；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4.经过公示无异议后，对申请人的补贴资格进行最终确认，并按规定发放补贴。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1.系统数据提取；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2.定期统计与动态更新。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重度残疾人城乡居民基本养老保险代缴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承接部门：市社会保险事业管理局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承接科室（单位）：城乡居民养老保险科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1.汇总重度残疾人名单；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2.根据人员名单向市财政局申请资金代缴。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1.制定外来物种监管方案；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2.监测外来入侵物种，及时进行风险预警。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1.制定外来物种普查方案；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2.开展入侵物种普查工作。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1.开展林业有害生物检测、检疫和防治工作；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2.对林业有害生物的来源进行追溯；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4.建立监测预警、检疫预灾、防治减灾体系，及时发布林业有害生物发生趋势预报。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征占林地未批先建的现场核实工作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苗圃经营许可证延续申请的审批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2.落实保护、修复、利用、更新措施；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3.执行保护、修复、利用、更新制度；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4.监督保护修复效果。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1.对开展退耕还林工作的单位和个人进行综合考评；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2.对在退耕还林工作中做出显著成绩的单位和个人进行表彰和奖励。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承接科室（单位）：耕地保护科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土地权属争议的处理（单位与单位之间）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承接科室（单位）：自然资源所有者权益和开发利用科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对未依法取得乡村建设规划许可证（除农村宅基地外）或未按乡村建设规划许可证建设（除农村宅基地外），逾期不改正的予以拆除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责令退回违规占用土地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1.对拟征收地块及组卷材料进行合法性审核；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2.对审核通过的材料及时报送省自然资源主管部门进行审批；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3.审批通过后联合相关部门按照工作流程开展相关工作。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乡镇供水工程设计（实施方案）的审批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负责占用农业灌溉水源、灌排工程的设施审批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对未经业主大会决定或者业主共同决定，改变共有部分用途、利用共有部门从事经营活动或者处分共有部分的处罚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对建设单位未按照规定将筹备首次业主大会会议所需的建筑物面积清册、业主名册、规划总平面图、交付使用共用设施设备证明、物业服务用房配置证明等全部资料报送街道办事处、乡镇人民政府的处罚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2.对不拆除的予以强制拆除。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做好本行政区域内县道养护工作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承接科室（单位）：市农村公路管理所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1.对县道开展日常巡护；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2.清理、修整路肩边坡、边沟和泄水沟；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3.负责县道交通安全设施维护，开展县道小修保养和路面修复。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2.联合相关部门进行追缴。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计划生育综合治理管理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对危险化学用品安全生产监督检查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1.联合有关部门对非煤矿山事故现场进行调查；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2.根据调查结论提出处理意见。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对居民使用天燃气情况进行安全检查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对居民使用瓶装液化石油气情况进行安全检查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对非法经营燃气的单位和个人的整治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承接部门：市应急管理局及其他负有安全生产监督管理职责的部门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承接科室（单位）：市应急管理综合行政执法大队及其他负有安全生产监督管理职责的部门对应科室（单位）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1.确定微型消防站建设标准；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承接科室（单位）：治安管理大队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1.联合有关部门对民用爆炸物进行日常安全监管；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确定森林火灾责任单位和责任人并依法处理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1.联合有关部门对森林火灾发生原因、肇事者、受害森林面积、蓄积、人员伤亡以及其他经济损失等情况进行调查和评估，向市政府提供调查报告；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2.根据调查报告确定森林火灾责任单位和责任人，并依法处理。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农村综合改革财政奖补项目申报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1.申报财政奖补项目；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2.根据业务办理流程拨付资金。</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BF92"/>
    <w:multiLevelType w:val="singleLevel"/>
    <w:tmpl w:val="03A6BF92"/>
    <w:lvl w:ilvl="0" w:tentative="0">
      <w:start w:val="1"/>
      <w:numFmt w:val="decimal"/>
      <w:suff w:val="space"/>
      <w:lvlText w:val="%1."/>
      <w:lvlJc w:val="left"/>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4744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2025-06-27T10:21:41Z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855ACC8A31984914BF9ECD7C550CCCAA</vt:lpwstr>
  </property>
</Properties>
</file>