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吉林省吉林市磐石市松山镇人民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14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_Toc12991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_Toc12991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_Toc16378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_Toc16378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_Toc18500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_Toc18500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29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推广发展灵芝、木耳、五味子等特色种植产业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支持和发展乡村旅游，推进农文旅融合发展，发掘一站式乡村行、乡村游等特色旅游资源，打造爱耕村红色研学基地等特色乡村旅游品牌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发掘一站式乡村行、乡村游等特色旅游资源，做好宣传推广、安全保障等工作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637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850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598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2025-06-27T10:22:48Z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6EAA15BD5D5C415EB18036FEDC4523B6</vt:lpwstr>
  </property>
</Properties>
</file>