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磐石市水利局</w:t>
      </w:r>
    </w:p>
    <w:p>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2024年部门预算</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二〇二四年二月一日</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both"/>
        <w:rPr>
          <w:rFonts w:hint="eastAsia" w:ascii="黑体" w:hAnsi="黑体" w:eastAsia="黑体"/>
          <w:sz w:val="44"/>
          <w:szCs w:val="44"/>
          <w:highlight w:val="none"/>
        </w:rPr>
      </w:pPr>
    </w:p>
    <w:p>
      <w:pPr>
        <w:jc w:val="center"/>
        <w:rPr>
          <w:rFonts w:ascii="黑体" w:hAnsi="黑体" w:eastAsia="黑体"/>
          <w:sz w:val="44"/>
          <w:szCs w:val="44"/>
          <w:highlight w:val="none"/>
        </w:rPr>
      </w:pPr>
      <w:r>
        <w:rPr>
          <w:rFonts w:hint="eastAsia" w:ascii="黑体" w:hAnsi="黑体" w:eastAsia="黑体"/>
          <w:sz w:val="44"/>
          <w:szCs w:val="44"/>
          <w:highlight w:val="none"/>
          <w:lang w:val="en-US" w:eastAsia="zh-CN"/>
        </w:rPr>
        <w:t>磐石市水利局</w:t>
      </w:r>
      <w:r>
        <w:rPr>
          <w:rFonts w:hint="eastAsia" w:ascii="黑体" w:hAnsi="黑体" w:eastAsia="黑体"/>
          <w:sz w:val="44"/>
          <w:szCs w:val="44"/>
          <w:highlight w:val="none"/>
          <w:lang w:eastAsia="zh-CN"/>
        </w:rPr>
        <w:t>202</w:t>
      </w:r>
      <w:r>
        <w:rPr>
          <w:rFonts w:hint="eastAsia" w:ascii="黑体" w:hAnsi="黑体" w:eastAsia="黑体"/>
          <w:sz w:val="44"/>
          <w:szCs w:val="44"/>
          <w:highlight w:val="none"/>
          <w:lang w:val="en-US" w:eastAsia="zh-CN"/>
        </w:rPr>
        <w:t>4</w:t>
      </w:r>
      <w:r>
        <w:rPr>
          <w:rFonts w:hint="eastAsia" w:ascii="黑体" w:hAnsi="黑体" w:eastAsia="黑体"/>
          <w:sz w:val="44"/>
          <w:szCs w:val="44"/>
          <w:highlight w:val="none"/>
        </w:rPr>
        <w:t>年预算</w:t>
      </w:r>
    </w:p>
    <w:p>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pPr>
        <w:rPr>
          <w:rFonts w:ascii="仿宋" w:hAnsi="仿宋" w:eastAsia="仿宋"/>
          <w:sz w:val="32"/>
          <w:szCs w:val="32"/>
          <w:highlight w:val="none"/>
        </w:rPr>
      </w:pPr>
      <w:r>
        <w:rPr>
          <w:rFonts w:hint="eastAsia" w:ascii="仿宋" w:hAnsi="仿宋" w:eastAsia="仿宋"/>
          <w:sz w:val="32"/>
          <w:szCs w:val="32"/>
          <w:highlight w:val="none"/>
        </w:rPr>
        <w:t>第一部分  部门概况</w:t>
      </w:r>
    </w:p>
    <w:p>
      <w:pPr>
        <w:pStyle w:val="9"/>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pPr>
        <w:pStyle w:val="9"/>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pPr>
        <w:rPr>
          <w:rFonts w:ascii="仿宋" w:hAnsi="仿宋" w:eastAsia="仿宋"/>
          <w:sz w:val="32"/>
          <w:szCs w:val="32"/>
          <w:highlight w:val="none"/>
        </w:rPr>
      </w:pPr>
      <w:r>
        <w:rPr>
          <w:rFonts w:hint="eastAsia" w:ascii="仿宋" w:hAnsi="仿宋" w:eastAsia="仿宋"/>
          <w:sz w:val="32"/>
          <w:szCs w:val="32"/>
          <w:highlight w:val="none"/>
        </w:rPr>
        <w:t>第二部分  情况说明</w:t>
      </w:r>
    </w:p>
    <w:p>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pPr>
        <w:rPr>
          <w:rFonts w:ascii="仿宋" w:hAnsi="仿宋" w:eastAsia="仿宋"/>
          <w:sz w:val="32"/>
          <w:szCs w:val="32"/>
          <w:highlight w:val="none"/>
        </w:rPr>
      </w:pPr>
      <w:r>
        <w:rPr>
          <w:rFonts w:hint="eastAsia" w:ascii="仿宋" w:hAnsi="仿宋" w:eastAsia="仿宋"/>
          <w:sz w:val="32"/>
          <w:szCs w:val="32"/>
          <w:highlight w:val="none"/>
        </w:rPr>
        <w:t>第四部分  预算表格</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pPr>
        <w:rPr>
          <w:rFonts w:ascii="仿宋" w:hAnsi="仿宋" w:eastAsia="仿宋"/>
          <w:sz w:val="32"/>
          <w:szCs w:val="32"/>
          <w:highlight w:val="none"/>
        </w:rPr>
      </w:pPr>
    </w:p>
    <w:p>
      <w:pPr>
        <w:rPr>
          <w:rFonts w:ascii="仿宋" w:hAnsi="仿宋" w:eastAsia="仿宋"/>
          <w:sz w:val="32"/>
          <w:szCs w:val="32"/>
          <w:highlight w:val="none"/>
        </w:rPr>
      </w:pPr>
    </w:p>
    <w:p>
      <w:pP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r>
        <w:rPr>
          <w:rFonts w:hint="eastAsia" w:ascii="仿宋" w:hAnsi="仿宋" w:eastAsia="仿宋"/>
          <w:sz w:val="32"/>
          <w:szCs w:val="32"/>
          <w:highlight w:val="none"/>
        </w:rPr>
        <w:t>一、主要职能</w:t>
      </w:r>
    </w:p>
    <w:p>
      <w:pPr>
        <w:pStyle w:val="11"/>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val="en-US" w:eastAsia="zh-CN"/>
        </w:rPr>
        <w:t>磐石市水利局</w:t>
      </w:r>
    </w:p>
    <w:p>
      <w:pPr>
        <w:pStyle w:val="11"/>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1964</w:t>
      </w:r>
      <w:r>
        <w:rPr>
          <w:rFonts w:hint="eastAsia" w:ascii="仿宋" w:hAnsi="仿宋" w:eastAsia="仿宋"/>
          <w:bCs/>
          <w:kern w:val="0"/>
          <w:sz w:val="32"/>
          <w:szCs w:val="32"/>
          <w:highlight w:val="none"/>
        </w:rPr>
        <w:t>年</w:t>
      </w:r>
    </w:p>
    <w:p>
      <w:pPr>
        <w:pStyle w:val="11"/>
        <w:widowControl/>
        <w:spacing w:line="620" w:lineRule="exact"/>
        <w:ind w:firstLine="627" w:firstLineChars="196"/>
        <w:contextualSpacing/>
        <w:rPr>
          <w:rFonts w:hint="default" w:ascii="仿宋" w:hAnsi="仿宋" w:eastAsia="仿宋"/>
          <w:kern w:val="0"/>
          <w:sz w:val="32"/>
          <w:szCs w:val="32"/>
          <w:highlight w:val="none"/>
          <w:lang w:val="en-US" w:eastAsia="zh-CN"/>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val="en-US" w:eastAsia="zh-CN"/>
        </w:rPr>
        <w:t>政府机关单位</w:t>
      </w:r>
    </w:p>
    <w:p>
      <w:pPr>
        <w:pStyle w:val="4"/>
        <w:keepNext w:val="0"/>
        <w:keepLines w:val="0"/>
        <w:pageBreakBefore w:val="0"/>
        <w:kinsoku/>
        <w:wordWrap/>
        <w:overflowPunct/>
        <w:topLinePunct w:val="0"/>
        <w:autoSpaceDE/>
        <w:autoSpaceDN/>
        <w:bidi w:val="0"/>
        <w:adjustRightInd/>
        <w:snapToGrid/>
        <w:spacing w:line="240" w:lineRule="auto"/>
        <w:ind w:firstLine="480"/>
        <w:textAlignment w:val="auto"/>
        <w:rPr>
          <w:rFonts w:hint="eastAsia" w:ascii="仿宋_GB2312" w:hAnsi="仿宋_GB2312" w:eastAsia="仿宋_GB2312" w:cs="仿宋_GB2312"/>
          <w:color w:val="000000"/>
          <w:sz w:val="32"/>
          <w:szCs w:val="32"/>
          <w:highlight w:val="none"/>
          <w:lang w:val="en-US" w:eastAsia="zh-CN"/>
        </w:rPr>
      </w:pPr>
      <w:r>
        <w:rPr>
          <w:rFonts w:hint="eastAsia" w:ascii="仿宋" w:hAnsi="仿宋" w:eastAsia="仿宋"/>
          <w:bCs/>
          <w:kern w:val="0"/>
          <w:sz w:val="32"/>
          <w:szCs w:val="32"/>
          <w:highlight w:val="none"/>
        </w:rPr>
        <w:t>主要职能：</w:t>
      </w:r>
      <w:r>
        <w:rPr>
          <w:rFonts w:hint="eastAsia" w:ascii="仿宋" w:hAnsi="仿宋" w:eastAsia="仿宋"/>
          <w:sz w:val="32"/>
        </w:rPr>
        <w:t xml:space="preserve">  </w:t>
      </w:r>
      <w:r>
        <w:rPr>
          <w:rFonts w:hint="eastAsia" w:ascii="仿宋_GB2312" w:hAnsi="仿宋_GB2312" w:eastAsia="仿宋_GB2312" w:cs="仿宋_GB2312"/>
          <w:color w:val="000000"/>
          <w:sz w:val="32"/>
          <w:szCs w:val="32"/>
          <w:highlight w:val="none"/>
        </w:rPr>
        <w:t>(一)贯彻实施国家有关水利、政策和法律、法规</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负责保障水资源的合理开发利用</w:t>
      </w:r>
      <w:r>
        <w:rPr>
          <w:rFonts w:hint="eastAsia" w:ascii="仿宋_GB2312" w:hAnsi="仿宋_GB2312" w:eastAsia="仿宋_GB2312" w:cs="仿宋_GB2312"/>
          <w:color w:val="000000"/>
          <w:sz w:val="32"/>
          <w:szCs w:val="32"/>
          <w:highlight w:val="none"/>
        </w:rPr>
        <w:t>，拟定全市水利</w:t>
      </w:r>
      <w:r>
        <w:rPr>
          <w:rFonts w:hint="eastAsia" w:ascii="仿宋_GB2312" w:hAnsi="仿宋_GB2312" w:eastAsia="仿宋_GB2312" w:cs="仿宋_GB2312"/>
          <w:color w:val="000000"/>
          <w:sz w:val="32"/>
          <w:szCs w:val="32"/>
          <w:highlight w:val="none"/>
          <w:lang w:val="en-US" w:eastAsia="zh-CN"/>
        </w:rPr>
        <w:t>战略规划和政策，组织编制全市水资源战略规划、河流湖泊流域综合规划、防洪规划等重大水利规划。</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）负责生活、生产经营和生态环境用水的统筹和保</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障。组织实施最严格水资源管理制度，实施水资源的统一监督管理，拟订全市中长期供求规划、水量分配方案并监督实施。负责重要河流、区域以及重大调水工程的水资源调度。组织实施取水许可、水资源论证和防洪论证制度，指导开展水资源有偿使用工作。指导水利行业供水和乡镇供水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（三）按规定制定水利工程建设有关制度并组织实施，</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负责提出水利固定资产投资规模、方向、具体安排建议并组织指导实施，按规定权限审批、核准规划内和年度计划规划内固定资产投资项目，提出水利资金安排建议并负责项目实施的监督管理。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（四）指导水资源保护工作。组织编制并实施水资源保</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护规划。指导饮用水</w:t>
      </w:r>
      <w:r>
        <w:rPr>
          <w:rFonts w:hint="eastAsia" w:ascii="仿宋_GB2312" w:hAnsi="仿宋_GB2312" w:eastAsia="仿宋_GB2312" w:cs="仿宋_GB2312"/>
          <w:sz w:val="32"/>
          <w:szCs w:val="32"/>
          <w:lang w:val="en-US" w:eastAsia="zh-CN"/>
        </w:rPr>
        <w:t>资源</w:t>
      </w:r>
      <w:r>
        <w:rPr>
          <w:rFonts w:hint="eastAsia" w:ascii="仿宋_GB2312" w:hAnsi="仿宋_GB2312" w:eastAsia="仿宋_GB2312" w:cs="仿宋_GB2312"/>
          <w:sz w:val="32"/>
          <w:szCs w:val="32"/>
        </w:rPr>
        <w:t>保护有关工作，指导地下水开发利用</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地下水资源管理保护。组织指导地下水超采区综合治理。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（五）负责节约用水工作。组织节约用水政策的贯彻</w:t>
      </w:r>
      <w:r>
        <w:rPr>
          <w:rFonts w:hint="eastAsia" w:ascii="仿宋_GB2312" w:hAnsi="仿宋_GB2312" w:eastAsia="仿宋_GB2312" w:cs="仿宋_GB2312"/>
          <w:sz w:val="32"/>
          <w:szCs w:val="32"/>
          <w:lang w:val="en-US" w:eastAsia="zh-CN"/>
        </w:rPr>
        <w:t>落</w:t>
      </w:r>
      <w:r>
        <w:rPr>
          <w:rFonts w:hint="eastAsia" w:ascii="仿宋_GB2312" w:hAnsi="仿宋_GB2312" w:eastAsia="仿宋_GB2312" w:cs="仿宋_GB2312"/>
          <w:sz w:val="32"/>
          <w:szCs w:val="32"/>
        </w:rPr>
        <w:t>实，组织编制节约用水规划并监督实施。组织实施用水总量</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控制等管理制度，指导和推动节水型社会建设工作。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rPr>
        <w:t>）贯彻执行国家、省和吉林市颁布的水利行业的技术质量标准和水利工程规划、规范，结合本市实际，拟定相关规定和细则，并监督实施。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（七）组织指导全市水利设施，水域及其岸线的管理、保护与综合利用。组织指导水利基础设施网络建设。指导重</w:t>
      </w:r>
      <w:r>
        <w:rPr>
          <w:rFonts w:hint="eastAsia" w:ascii="仿宋_GB2312" w:hAnsi="仿宋_GB2312" w:eastAsia="仿宋_GB2312" w:cs="仿宋_GB2312"/>
          <w:sz w:val="32"/>
          <w:szCs w:val="32"/>
          <w:lang w:val="en-US" w:eastAsia="zh-CN"/>
        </w:rPr>
        <w:t>要</w:t>
      </w:r>
      <w:r>
        <w:rPr>
          <w:rFonts w:hint="eastAsia" w:ascii="仿宋_GB2312" w:hAnsi="仿宋_GB2312" w:eastAsia="仿宋_GB2312" w:cs="仿宋_GB2312"/>
          <w:sz w:val="32"/>
          <w:szCs w:val="32"/>
        </w:rPr>
        <w:t>江河湖泊及河口的治理、开发和保护。指导河湖水生态保护与修复、河湖生态流量水量管理以及河湖水系连通工作。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指导监督水利工程建设与运行管理。组织实施具有控制性的和区域内的水利工程建设与运行管理。指导水利工程建设与运行管理，指导监督工程安全运行，组织工程验收有关工作，督促指导区域内配套工程建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（九）组织协调全市水土保持工作，贯彻执行水土保持规划并监督实施，组织实施水土流失的综合防治、监测</w:t>
      </w:r>
      <w:r>
        <w:rPr>
          <w:rFonts w:hint="eastAsia" w:ascii="仿宋_GB2312" w:hAnsi="仿宋_GB2312" w:eastAsia="仿宋_GB2312" w:cs="仿宋_GB2312"/>
          <w:sz w:val="32"/>
          <w:szCs w:val="32"/>
          <w:lang w:val="en-US" w:eastAsia="zh-CN"/>
        </w:rPr>
        <w:t>预</w:t>
      </w:r>
      <w:r>
        <w:rPr>
          <w:rFonts w:hint="eastAsia" w:ascii="仿宋_GB2312" w:hAnsi="仿宋_GB2312" w:eastAsia="仿宋_GB2312" w:cs="仿宋_GB2312"/>
          <w:sz w:val="32"/>
          <w:szCs w:val="32"/>
        </w:rPr>
        <w:t>报并定期公告，负责建设项目水土保持监督管理工作，指导全市重点水土保持建设项目实施。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指导全市农村水利工作，组织开展中型灌排工程建设与改造。指导农村饮水安全工程建设管理工作，指导节水和灌溉有关工作。指导农村水利改革创新和社会化服务体系建设。指导农村水能资源开发、小水电改造和水电农村电气化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（十一）指导水利工程移民管理工作。贯彻执行水利工</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程移民有关政策并监督实施，组织实施水利工程移民安置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验收</w:t>
      </w:r>
      <w:r>
        <w:rPr>
          <w:rFonts w:hint="eastAsia" w:ascii="仿宋_GB2312" w:hAnsi="仿宋_GB2312" w:eastAsia="仿宋_GB2312" w:cs="仿宋_GB2312"/>
          <w:sz w:val="32"/>
          <w:szCs w:val="32"/>
        </w:rPr>
        <w:t xml:space="preserve"> 监督评估等制度。指导监督水库移民后期扶持政策的实施。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（十二）负责重大涉水违法事件的查处，协调水事纠纷，</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指导水政监察和水行政执法。指导水利建设市场的监督管理，组织实施水利工程建设的监督。</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（十三）负责全市水利方面的科技和外事工作，指导全市水利队伍建设。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负责落实综合防灾减灾规划相关要求，组织编制洪水干旱灾害防治规划和防护标准并指导实施。承担水情旱情监测预警工作。组织编制重要江河湖泊和重要水工程的防御洪水抗御旱灾调度及应急水量调度方案，按程序报批并组织实施，承担防御洪水应急抢险的技术支撑工作。承担台风防御期间重要水工程调度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rPr>
        <w:t>）承担水利行业领域的安全生产管理职责，指导督促企事业单位加强安全管理，依照有关法律、法规的规定履行安全生产监督管理职责，开展监管执法工作。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十六</w:t>
      </w:r>
      <w:r>
        <w:rPr>
          <w:rFonts w:hint="eastAsia" w:ascii="仿宋_GB2312" w:hAnsi="仿宋_GB2312" w:eastAsia="仿宋_GB2312" w:cs="仿宋_GB2312"/>
          <w:sz w:val="32"/>
          <w:szCs w:val="32"/>
        </w:rPr>
        <w:t>）承办市委和市政府交办的其他事项。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pPr>
      <w:r>
        <w:rPr>
          <w:rFonts w:hint="eastAsia" w:ascii="仿宋_GB2312" w:hAnsi="仿宋_GB2312" w:eastAsia="仿宋_GB2312" w:cs="仿宋_GB2312"/>
          <w:sz w:val="32"/>
          <w:szCs w:val="32"/>
        </w:rPr>
        <w:t>（十</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职能转变。市水利局应切实加强水资源合理利用、优化配置和节约保护。坚持节水优先，从增加供给转向更加重视需求管理，严格控制用水总量和提高用水效率。坚持保护优先，加强水资源、水域和水利工程的管理保护，维护河湖健康美丽。坚持统筹兼顾，保障合理用水需求和水资源的可持续利用，为经济社会发展提供水安全保障。</w:t>
      </w:r>
    </w:p>
    <w:p>
      <w:pPr>
        <w:pStyle w:val="11"/>
        <w:widowControl/>
        <w:spacing w:line="620" w:lineRule="exact"/>
        <w:ind w:firstLine="627" w:firstLineChars="196"/>
        <w:contextualSpacing/>
        <w:rPr>
          <w:rFonts w:hint="default" w:ascii="仿宋" w:hAnsi="仿宋" w:eastAsia="仿宋"/>
          <w:kern w:val="0"/>
          <w:sz w:val="32"/>
          <w:szCs w:val="32"/>
          <w:highlight w:val="none"/>
          <w:lang w:val="en-US" w:eastAsia="zh-CN"/>
        </w:rPr>
      </w:pPr>
      <w:r>
        <w:rPr>
          <w:rFonts w:hint="eastAsia" w:ascii="仿宋" w:hAnsi="仿宋" w:eastAsia="仿宋"/>
          <w:bCs/>
          <w:kern w:val="0"/>
          <w:sz w:val="32"/>
          <w:szCs w:val="32"/>
          <w:highlight w:val="none"/>
        </w:rPr>
        <w:t>主要业务：</w:t>
      </w:r>
      <w:r>
        <w:rPr>
          <w:rFonts w:hint="eastAsia" w:ascii="仿宋" w:hAnsi="仿宋" w:eastAsia="仿宋"/>
          <w:bCs/>
          <w:kern w:val="0"/>
          <w:sz w:val="32"/>
          <w:szCs w:val="32"/>
          <w:highlight w:val="none"/>
          <w:lang w:val="en-US" w:eastAsia="zh-CN"/>
        </w:rPr>
        <w:t>市水利局贯彻落实党中央、省委、吉林市委和磐石市委关于水利工作的方针政策和决策部署。在履职过程中坚持和加强对水利工作的集中统一领导。</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pPr>
        <w:pStyle w:val="13"/>
        <w:ind w:firstLine="627" w:firstLineChars="196"/>
        <w:rPr>
          <w:rFonts w:ascii="仿宋" w:hAnsi="仿宋" w:eastAsia="仿宋"/>
          <w:kern w:val="0"/>
          <w:szCs w:val="32"/>
          <w:highlight w:val="none"/>
        </w:rPr>
      </w:pPr>
      <w:r>
        <w:rPr>
          <w:rFonts w:hint="eastAsia" w:ascii="仿宋" w:hAnsi="仿宋" w:eastAsia="仿宋"/>
          <w:kern w:val="0"/>
          <w:szCs w:val="32"/>
          <w:highlight w:val="none"/>
        </w:rPr>
        <w:t>机构设置包括：</w:t>
      </w:r>
      <w:r>
        <w:rPr>
          <w:rFonts w:hint="eastAsia" w:ascii="仿宋" w:hAnsi="仿宋" w:eastAsia="仿宋"/>
          <w:kern w:val="0"/>
          <w:szCs w:val="32"/>
          <w:highlight w:val="none"/>
          <w:lang w:val="en-US" w:eastAsia="zh-CN"/>
        </w:rPr>
        <w:t>办公室（河长制办公室）、规划计划财务审计科、工程建设与运行管理科、水政科</w:t>
      </w:r>
      <w:r>
        <w:rPr>
          <w:rFonts w:hint="eastAsia" w:ascii="仿宋" w:hAnsi="仿宋" w:eastAsia="仿宋"/>
          <w:kern w:val="0"/>
          <w:szCs w:val="32"/>
          <w:highlight w:val="none"/>
        </w:rPr>
        <w:t>；</w:t>
      </w:r>
    </w:p>
    <w:p>
      <w:pPr>
        <w:pStyle w:val="13"/>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12</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12</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5</w:t>
      </w:r>
      <w:r>
        <w:rPr>
          <w:rFonts w:hint="eastAsia" w:ascii="仿宋" w:hAnsi="仿宋" w:eastAsia="仿宋"/>
          <w:kern w:val="0"/>
          <w:szCs w:val="32"/>
          <w:highlight w:val="none"/>
        </w:rPr>
        <w:t>个。</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4</w:t>
      </w:r>
      <w:r>
        <w:rPr>
          <w:rFonts w:hint="eastAsia" w:ascii="楷体" w:hAnsi="楷体" w:eastAsia="楷体"/>
          <w:sz w:val="32"/>
          <w:szCs w:val="32"/>
          <w:highlight w:val="none"/>
        </w:rPr>
        <w:t>年收支预算总体情况</w:t>
      </w:r>
    </w:p>
    <w:p>
      <w:pPr>
        <w:pStyle w:val="12"/>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收入包括：一般公共预算拨款收入、国有资本经营预算拨款收入、其他收入；支出包括：、社会保障和就业支出、卫生健康支出、住房保障支出、</w:t>
      </w:r>
      <w:r>
        <w:rPr>
          <w:rFonts w:hint="eastAsia" w:ascii="仿宋" w:hAnsi="仿宋" w:eastAsia="仿宋"/>
          <w:sz w:val="32"/>
          <w:szCs w:val="32"/>
          <w:highlight w:val="none"/>
          <w:lang w:val="en-US" w:eastAsia="zh-CN"/>
        </w:rPr>
        <w:t>农林水支出</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 xml:space="preserve">949.38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1209.71</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w:t>
      </w: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260.33</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 xml:space="preserve">2024年度项目减少 </w:t>
      </w:r>
      <w:r>
        <w:rPr>
          <w:rFonts w:hint="eastAsia" w:ascii="仿宋" w:hAnsi="仿宋" w:eastAsia="仿宋"/>
          <w:sz w:val="32"/>
          <w:szCs w:val="32"/>
          <w:highlight w:val="none"/>
          <w:lang w:eastAsia="zh-CN"/>
        </w:rPr>
        <w:t>。</w:t>
      </w:r>
    </w:p>
    <w:p>
      <w:pPr>
        <w:pStyle w:val="12"/>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4</w:t>
      </w:r>
      <w:r>
        <w:rPr>
          <w:rFonts w:hint="eastAsia" w:ascii="楷体" w:hAnsi="楷体" w:eastAsia="楷体"/>
          <w:sz w:val="32"/>
          <w:szCs w:val="32"/>
          <w:highlight w:val="none"/>
        </w:rPr>
        <w:t>年收入预算情况</w:t>
      </w:r>
    </w:p>
    <w:p>
      <w:pPr>
        <w:pStyle w:val="12"/>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949.38 </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949.38万元，占100%；上年结转 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949.38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pPr>
        <w:pStyle w:val="12"/>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4</w:t>
      </w:r>
      <w:r>
        <w:rPr>
          <w:rFonts w:hint="eastAsia" w:ascii="楷体" w:hAnsi="楷体" w:eastAsia="楷体"/>
          <w:sz w:val="32"/>
          <w:szCs w:val="32"/>
          <w:highlight w:val="none"/>
        </w:rPr>
        <w:t>年支出预算情况</w:t>
      </w:r>
    </w:p>
    <w:p>
      <w:pPr>
        <w:pStyle w:val="12"/>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949.38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139.37</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14.68</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810.01</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85.32</w:t>
      </w:r>
      <w:r>
        <w:rPr>
          <w:rFonts w:hint="eastAsia" w:ascii="仿宋" w:hAnsi="仿宋" w:eastAsia="仿宋"/>
          <w:sz w:val="32"/>
          <w:szCs w:val="32"/>
          <w:highlight w:val="none"/>
          <w:lang w:eastAsia="zh-CN"/>
        </w:rPr>
        <w:t>%。</w:t>
      </w:r>
    </w:p>
    <w:p>
      <w:pPr>
        <w:pStyle w:val="12"/>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4</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pPr>
        <w:pStyle w:val="12"/>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949.38</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949.38万元，上年结转0万元。支出包括：社会保障和就业支出20.17万元，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6.09</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农林水支出912.66万元，</w:t>
      </w:r>
      <w:r>
        <w:rPr>
          <w:rFonts w:hint="eastAsia" w:ascii="仿宋" w:hAnsi="仿宋" w:eastAsia="仿宋"/>
          <w:sz w:val="32"/>
          <w:szCs w:val="32"/>
          <w:highlight w:val="none"/>
        </w:rPr>
        <w:t>住房保障支出</w:t>
      </w:r>
      <w:r>
        <w:rPr>
          <w:rFonts w:hint="eastAsia" w:ascii="仿宋" w:hAnsi="仿宋" w:eastAsia="仿宋"/>
          <w:sz w:val="32"/>
          <w:szCs w:val="32"/>
          <w:highlight w:val="none"/>
          <w:lang w:val="en-US" w:eastAsia="zh-CN"/>
        </w:rPr>
        <w:t>10.47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w:t>
      </w:r>
    </w:p>
    <w:p>
      <w:pPr>
        <w:pStyle w:val="12"/>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4</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949.38</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139.37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14.68</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810.01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85.32</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126.42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90.71</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12.95</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9.29</w:t>
      </w:r>
      <w:r>
        <w:rPr>
          <w:rFonts w:hint="eastAsia" w:ascii="仿宋" w:hAnsi="仿宋" w:eastAsia="仿宋"/>
          <w:sz w:val="32"/>
          <w:szCs w:val="32"/>
          <w:highlight w:val="none"/>
        </w:rPr>
        <w:t>%。</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社会保障和就业（类）支出20.17万元，占2.12</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支付本年度在职人员养老保险、职业年金、工伤保险。</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卫生健康（类）支出6.09万元，占0.64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支付本年度在职人员医疗保险。</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住房保障（类）支出10.47万元，占1.10</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支付本年度在职人员住房公积金。</w:t>
      </w:r>
    </w:p>
    <w:p>
      <w:pPr>
        <w:pStyle w:val="10"/>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农林水（类）支出912.66万元，占96.13%，主要用于本年度公务经费支出、人员经费支出和项目支出。</w:t>
      </w:r>
    </w:p>
    <w:p>
      <w:pPr>
        <w:pStyle w:val="10"/>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2024年一般公共预算基本支出情况</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2024年一般公共预算基本支出949.38 万元，其中：</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126.42</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机关事业单位基本养老保险缴费、</w:t>
      </w:r>
      <w:r>
        <w:rPr>
          <w:rFonts w:hint="eastAsia" w:ascii="仿宋" w:hAnsi="仿宋" w:eastAsia="仿宋"/>
          <w:sz w:val="32"/>
          <w:szCs w:val="32"/>
          <w:highlight w:val="none"/>
          <w:lang w:val="en-US" w:eastAsia="zh-CN"/>
        </w:rPr>
        <w:t>职业年金缴费、</w:t>
      </w:r>
      <w:r>
        <w:rPr>
          <w:rFonts w:hint="eastAsia" w:ascii="仿宋" w:hAnsi="仿宋" w:eastAsia="仿宋"/>
          <w:sz w:val="32"/>
          <w:szCs w:val="32"/>
          <w:highlight w:val="none"/>
          <w:lang w:eastAsia="zh-CN"/>
        </w:rPr>
        <w:t>职工基本医疗保险缴费、其他社会保障缴费、住房公积金、</w:t>
      </w:r>
      <w:r>
        <w:rPr>
          <w:rFonts w:hint="eastAsia" w:ascii="仿宋" w:hAnsi="仿宋" w:eastAsia="仿宋"/>
          <w:sz w:val="32"/>
          <w:szCs w:val="32"/>
          <w:highlight w:val="none"/>
          <w:lang w:val="en-US" w:eastAsia="zh-CN"/>
        </w:rPr>
        <w:t>其他工资福利支出、奖励金</w:t>
      </w:r>
      <w:r>
        <w:rPr>
          <w:rFonts w:hint="eastAsia" w:ascii="仿宋" w:hAnsi="仿宋" w:eastAsia="仿宋"/>
          <w:sz w:val="32"/>
          <w:szCs w:val="32"/>
          <w:highlight w:val="none"/>
        </w:rPr>
        <w:t>；</w:t>
      </w:r>
    </w:p>
    <w:p>
      <w:pPr>
        <w:pStyle w:val="10"/>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12.95</w:t>
      </w:r>
      <w:r>
        <w:rPr>
          <w:rFonts w:hint="eastAsia" w:ascii="仿宋" w:hAnsi="仿宋" w:eastAsia="仿宋"/>
          <w:sz w:val="32"/>
          <w:szCs w:val="32"/>
          <w:highlight w:val="none"/>
        </w:rPr>
        <w:t>万元，主要包括：办公费</w:t>
      </w:r>
      <w:r>
        <w:rPr>
          <w:rFonts w:hint="eastAsia" w:ascii="仿宋" w:hAnsi="仿宋" w:eastAsia="仿宋"/>
          <w:sz w:val="32"/>
          <w:szCs w:val="32"/>
          <w:highlight w:val="none"/>
          <w:lang w:eastAsia="zh-CN"/>
        </w:rPr>
        <w:t>、</w:t>
      </w:r>
      <w:r>
        <w:rPr>
          <w:rFonts w:hint="eastAsia" w:ascii="仿宋" w:hAnsi="仿宋" w:eastAsia="仿宋"/>
          <w:sz w:val="32"/>
          <w:szCs w:val="32"/>
          <w:highlight w:val="none"/>
        </w:rPr>
        <w:t>工会经费、</w:t>
      </w:r>
      <w:r>
        <w:rPr>
          <w:rFonts w:hint="eastAsia" w:ascii="仿宋" w:hAnsi="仿宋" w:eastAsia="仿宋"/>
          <w:sz w:val="32"/>
          <w:szCs w:val="32"/>
          <w:highlight w:val="none"/>
          <w:lang w:val="en-US" w:eastAsia="zh-CN"/>
        </w:rPr>
        <w:t>其他交通费</w:t>
      </w:r>
      <w:r>
        <w:rPr>
          <w:rFonts w:hint="eastAsia" w:ascii="仿宋" w:hAnsi="仿宋" w:eastAsia="仿宋"/>
          <w:sz w:val="32"/>
          <w:szCs w:val="32"/>
          <w:highlight w:val="none"/>
        </w:rPr>
        <w:t>。</w:t>
      </w:r>
    </w:p>
    <w:p>
      <w:pPr>
        <w:pStyle w:val="10"/>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4</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pPr>
        <w:pStyle w:val="10"/>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3</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万元。其中：</w:t>
      </w:r>
    </w:p>
    <w:p>
      <w:pPr>
        <w:pStyle w:val="10"/>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3</w:t>
      </w:r>
      <w:r>
        <w:rPr>
          <w:rFonts w:hint="eastAsia" w:ascii="仿宋" w:hAnsi="仿宋" w:eastAsia="仿宋"/>
          <w:kern w:val="0"/>
          <w:sz w:val="32"/>
          <w:szCs w:val="32"/>
          <w:highlight w:val="none"/>
        </w:rPr>
        <w:t>年预算数相同。</w:t>
      </w:r>
    </w:p>
    <w:p>
      <w:pPr>
        <w:pStyle w:val="10"/>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2023</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本年度无此业务发生</w:t>
      </w:r>
      <w:r>
        <w:rPr>
          <w:rFonts w:hint="eastAsia" w:ascii="仿宋" w:hAnsi="仿宋" w:eastAsia="仿宋"/>
          <w:kern w:val="0"/>
          <w:sz w:val="32"/>
          <w:szCs w:val="32"/>
          <w:highlight w:val="none"/>
          <w:lang w:eastAsia="zh-CN"/>
        </w:rPr>
        <w:t>。</w:t>
      </w:r>
    </w:p>
    <w:p>
      <w:pPr>
        <w:pStyle w:val="10"/>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3</w:t>
      </w:r>
      <w:r>
        <w:rPr>
          <w:rFonts w:hint="eastAsia" w:ascii="仿宋" w:hAnsi="仿宋" w:eastAsia="仿宋"/>
          <w:kern w:val="0"/>
          <w:sz w:val="32"/>
          <w:szCs w:val="32"/>
          <w:highlight w:val="none"/>
        </w:rPr>
        <w:t xml:space="preserve"> 年预算数减</w:t>
      </w:r>
    </w:p>
    <w:p>
      <w:pPr>
        <w:pStyle w:val="10"/>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万元。其中，公务用车运行维护费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3</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本年度无此业务发生</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3</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本年度无此业务发生</w:t>
      </w:r>
      <w:r>
        <w:rPr>
          <w:rFonts w:hint="eastAsia" w:ascii="仿宋" w:hAnsi="仿宋" w:eastAsia="仿宋"/>
          <w:kern w:val="0"/>
          <w:sz w:val="32"/>
          <w:szCs w:val="32"/>
          <w:highlight w:val="none"/>
        </w:rPr>
        <w:t>。</w:t>
      </w:r>
    </w:p>
    <w:p>
      <w:pPr>
        <w:pStyle w:val="10"/>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2024年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pPr>
        <w:pStyle w:val="10"/>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2024年国有资本经营预算支出情况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pPr>
        <w:pStyle w:val="9"/>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家行政单位的机关运行经费财政拨款预算</w:t>
      </w:r>
      <w:r>
        <w:rPr>
          <w:rFonts w:hint="eastAsia" w:ascii="仿宋" w:hAnsi="仿宋" w:eastAsia="仿宋"/>
          <w:sz w:val="32"/>
          <w:szCs w:val="32"/>
          <w:highlight w:val="none"/>
          <w:lang w:val="en-US" w:eastAsia="zh-CN"/>
        </w:rPr>
        <w:t xml:space="preserve">139.37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w:t>
      </w:r>
      <w:r>
        <w:rPr>
          <w:rFonts w:hint="eastAsia" w:ascii="仿宋" w:hAnsi="仿宋" w:eastAsia="仿宋"/>
          <w:sz w:val="32"/>
          <w:szCs w:val="32"/>
          <w:highlight w:val="none"/>
          <w:lang w:val="en-US" w:eastAsia="zh-CN"/>
        </w:rPr>
        <w:t>减少19.92</w:t>
      </w:r>
      <w:r>
        <w:rPr>
          <w:rFonts w:hint="eastAsia" w:ascii="仿宋" w:hAnsi="仿宋" w:eastAsia="仿宋"/>
          <w:sz w:val="32"/>
          <w:szCs w:val="32"/>
          <w:highlight w:val="none"/>
        </w:rPr>
        <w:t>万元，增长</w:t>
      </w:r>
      <w:r>
        <w:rPr>
          <w:rFonts w:hint="eastAsia" w:ascii="仿宋" w:hAnsi="仿宋" w:eastAsia="仿宋"/>
          <w:sz w:val="32"/>
          <w:szCs w:val="32"/>
          <w:highlight w:val="none"/>
          <w:lang w:val="en-US" w:eastAsia="zh-CN"/>
        </w:rPr>
        <w:t>14.29</w:t>
      </w:r>
      <w:r>
        <w:rPr>
          <w:rFonts w:hint="eastAsia" w:ascii="仿宋" w:hAnsi="仿宋" w:eastAsia="仿宋"/>
          <w:sz w:val="32"/>
          <w:szCs w:val="32"/>
          <w:highlight w:val="none"/>
        </w:rPr>
        <w:t>%，主要原因是</w:t>
      </w:r>
      <w:r>
        <w:rPr>
          <w:rFonts w:hint="eastAsia" w:ascii="仿宋" w:hAnsi="仿宋" w:eastAsia="仿宋"/>
          <w:sz w:val="32"/>
          <w:szCs w:val="32"/>
          <w:highlight w:val="none"/>
          <w:lang w:val="en-US" w:eastAsia="zh-CN"/>
        </w:rPr>
        <w:t>人员减少</w:t>
      </w:r>
      <w:r>
        <w:rPr>
          <w:rFonts w:hint="eastAsia" w:ascii="仿宋" w:hAnsi="仿宋" w:eastAsia="仿宋"/>
          <w:sz w:val="32"/>
          <w:szCs w:val="32"/>
          <w:highlight w:val="none"/>
          <w:lang w:eastAsia="zh-CN"/>
        </w:rPr>
        <w:t>。</w:t>
      </w:r>
    </w:p>
    <w:p>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pPr>
        <w:pStyle w:val="9"/>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辆、一般公务用车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台（套）。</w:t>
      </w:r>
    </w:p>
    <w:p>
      <w:pPr>
        <w:pStyle w:val="9"/>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 xml:space="preserve">5 </w:t>
      </w:r>
      <w:r>
        <w:rPr>
          <w:rFonts w:hint="eastAsia" w:ascii="仿宋" w:hAnsi="仿宋" w:eastAsia="仿宋"/>
          <w:sz w:val="32"/>
          <w:szCs w:val="32"/>
          <w:highlight w:val="none"/>
        </w:rPr>
        <w:t>个部门本级预算项目，涉及金额</w:t>
      </w:r>
      <w:r>
        <w:rPr>
          <w:rFonts w:hint="eastAsia" w:ascii="仿宋" w:hAnsi="仿宋" w:eastAsia="仿宋"/>
          <w:sz w:val="32"/>
          <w:szCs w:val="32"/>
          <w:highlight w:val="none"/>
          <w:lang w:val="en-US" w:eastAsia="zh-CN"/>
        </w:rPr>
        <w:t>2114.89</w:t>
      </w:r>
      <w:r>
        <w:rPr>
          <w:rFonts w:hint="eastAsia" w:ascii="仿宋" w:hAnsi="仿宋" w:eastAsia="仿宋"/>
          <w:sz w:val="32"/>
          <w:szCs w:val="32"/>
          <w:highlight w:val="none"/>
        </w:rPr>
        <w:t>万元，项目内容为</w:t>
      </w:r>
      <w:r>
        <w:rPr>
          <w:rFonts w:hint="eastAsia" w:ascii="仿宋" w:hAnsi="仿宋" w:eastAsia="仿宋"/>
          <w:sz w:val="32"/>
          <w:szCs w:val="32"/>
          <w:highlight w:val="none"/>
          <w:lang w:val="en-US" w:eastAsia="zh-CN"/>
        </w:rPr>
        <w:t>水利业务工作</w:t>
      </w:r>
      <w:r>
        <w:rPr>
          <w:rFonts w:hint="eastAsia" w:ascii="仿宋" w:hAnsi="仿宋" w:eastAsia="仿宋"/>
          <w:sz w:val="32"/>
          <w:szCs w:val="32"/>
          <w:highlight w:val="none"/>
        </w:rPr>
        <w:t>主要目标为</w:t>
      </w:r>
      <w:r>
        <w:rPr>
          <w:rFonts w:hint="eastAsia" w:ascii="仿宋" w:hAnsi="仿宋" w:eastAsia="仿宋"/>
          <w:sz w:val="32"/>
          <w:szCs w:val="32"/>
          <w:highlight w:val="none"/>
          <w:lang w:val="en-US" w:eastAsia="zh-CN"/>
        </w:rPr>
        <w:t>保障水利局本年度业务工作正常开展</w:t>
      </w:r>
      <w:r>
        <w:rPr>
          <w:rFonts w:hint="eastAsia" w:ascii="仿宋" w:hAnsi="仿宋" w:eastAsia="仿宋"/>
          <w:sz w:val="32"/>
          <w:szCs w:val="32"/>
          <w:highlight w:val="none"/>
        </w:rPr>
        <w:t>。同时，将预算项目绩效目标进一步细化为绩效指标和指标值（附预算项目绩效目标申报表）。</w:t>
      </w:r>
    </w:p>
    <w:p>
      <w:pPr>
        <w:jc w:val="left"/>
        <w:rPr>
          <w:rFonts w:ascii="仿宋" w:hAnsi="仿宋" w:eastAsia="仿宋"/>
          <w:sz w:val="32"/>
          <w:szCs w:val="32"/>
          <w:highlight w:val="none"/>
        </w:rPr>
      </w:pPr>
      <w:r>
        <w:rPr>
          <w:rFonts w:hint="eastAsia" w:ascii="仿宋" w:hAnsi="仿宋" w:eastAsia="仿宋"/>
          <w:sz w:val="32"/>
          <w:szCs w:val="32"/>
          <w:highlight w:val="none"/>
        </w:rPr>
        <w:t>同时，将预算项目绩效目标进一步细化为绩效指标和指标值（附预算项目绩效目标申报表）。</w:t>
      </w:r>
    </w:p>
    <w:p>
      <w:pPr>
        <w:jc w:val="left"/>
        <w:rPr>
          <w:rFonts w:ascii="仿宋" w:hAnsi="仿宋" w:eastAsia="仿宋"/>
          <w:sz w:val="32"/>
          <w:szCs w:val="32"/>
          <w:highlight w:val="none"/>
        </w:rPr>
      </w:pPr>
    </w:p>
    <w:p>
      <w:pPr>
        <w:jc w:val="center"/>
        <w:rPr>
          <w:rFonts w:ascii="仿宋" w:hAnsi="仿宋" w:eastAsia="仿宋"/>
          <w:sz w:val="32"/>
          <w:szCs w:val="32"/>
          <w:highlight w:val="none"/>
        </w:rPr>
      </w:pPr>
    </w:p>
    <w:p>
      <w:pPr>
        <w:jc w:val="center"/>
        <w:rPr>
          <w:rFonts w:ascii="仿宋" w:hAnsi="仿宋" w:eastAsia="仿宋"/>
          <w:sz w:val="32"/>
          <w:szCs w:val="32"/>
          <w:highlight w:val="none"/>
        </w:rPr>
      </w:pPr>
    </w:p>
    <w:p>
      <w:pPr>
        <w:jc w:val="center"/>
        <w:rPr>
          <w:rFonts w:ascii="仿宋" w:hAnsi="仿宋" w:eastAsia="仿宋"/>
          <w:sz w:val="32"/>
          <w:szCs w:val="32"/>
          <w:highlight w:val="none"/>
        </w:rPr>
      </w:pPr>
    </w:p>
    <w:p>
      <w:pPr>
        <w:jc w:val="center"/>
        <w:rPr>
          <w:rFonts w:ascii="仿宋" w:hAnsi="仿宋" w:eastAsia="仿宋"/>
          <w:sz w:val="32"/>
          <w:szCs w:val="32"/>
          <w:highlight w:val="none"/>
        </w:rPr>
      </w:pPr>
    </w:p>
    <w:p>
      <w:pPr>
        <w:jc w:val="cente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pPr>
        <w:ind w:firstLine="640" w:firstLineChars="200"/>
        <w:rPr>
          <w:rFonts w:ascii="仿宋_GB2312" w:eastAsia="仿宋_GB2312"/>
          <w:sz w:val="32"/>
          <w:szCs w:val="32"/>
          <w:highlight w:val="none"/>
        </w:rPr>
      </w:pP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p>
    <w:p>
      <w:pPr>
        <w:jc w:val="left"/>
        <w:rPr>
          <w:rFonts w:ascii="仿宋" w:hAnsi="仿宋" w:eastAsia="仿宋"/>
          <w:sz w:val="32"/>
          <w:szCs w:val="32"/>
          <w:highlight w:val="none"/>
        </w:rPr>
      </w:pPr>
      <w:bookmarkStart w:id="0" w:name="_GoBack"/>
      <w:bookmarkEnd w:id="0"/>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pPr>
        <w:rPr>
          <w:rFonts w:ascii="仿宋" w:hAnsi="仿宋" w:eastAsia="仿宋"/>
          <w:sz w:val="32"/>
          <w:szCs w:val="32"/>
          <w:highlight w:val="none"/>
        </w:rPr>
      </w:pPr>
    </w:p>
    <w:p>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NmM2U5M2RhZjM3ZTI5ODZkNWZiYjYxZTBlMzI1ZTk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8190FFD"/>
    <w:rsid w:val="0A450E4E"/>
    <w:rsid w:val="0A7F599D"/>
    <w:rsid w:val="0B4115AF"/>
    <w:rsid w:val="0C633590"/>
    <w:rsid w:val="0C7C5D37"/>
    <w:rsid w:val="0D0F40E1"/>
    <w:rsid w:val="0E0E4A27"/>
    <w:rsid w:val="0E235FAD"/>
    <w:rsid w:val="0E933B6E"/>
    <w:rsid w:val="0F4C4086"/>
    <w:rsid w:val="0FC65E97"/>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484045"/>
    <w:rsid w:val="2D742D12"/>
    <w:rsid w:val="2DB21965"/>
    <w:rsid w:val="2DB7713C"/>
    <w:rsid w:val="2E3342C6"/>
    <w:rsid w:val="344D4C9B"/>
    <w:rsid w:val="36273D08"/>
    <w:rsid w:val="37361A0B"/>
    <w:rsid w:val="38253B59"/>
    <w:rsid w:val="385B501F"/>
    <w:rsid w:val="38DE30B8"/>
    <w:rsid w:val="39284901"/>
    <w:rsid w:val="3A482539"/>
    <w:rsid w:val="3A710A98"/>
    <w:rsid w:val="3A915046"/>
    <w:rsid w:val="3C4C15D1"/>
    <w:rsid w:val="3CEA5A8A"/>
    <w:rsid w:val="3D897F97"/>
    <w:rsid w:val="3DA7578C"/>
    <w:rsid w:val="3DEB2817"/>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7CD3E75"/>
    <w:rsid w:val="580A299B"/>
    <w:rsid w:val="5B5D76B7"/>
    <w:rsid w:val="5B8E44C5"/>
    <w:rsid w:val="5C982767"/>
    <w:rsid w:val="5CD80EBE"/>
    <w:rsid w:val="5CFA751D"/>
    <w:rsid w:val="5DB8541C"/>
    <w:rsid w:val="5E221344"/>
    <w:rsid w:val="5E32788E"/>
    <w:rsid w:val="5E8F5162"/>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E6D14"/>
    <w:rsid w:val="70EF2762"/>
    <w:rsid w:val="71201EF9"/>
    <w:rsid w:val="716F5053"/>
    <w:rsid w:val="729E55FD"/>
    <w:rsid w:val="73D62900"/>
    <w:rsid w:val="73FA7C77"/>
    <w:rsid w:val="744F0BEE"/>
    <w:rsid w:val="74A55A8E"/>
    <w:rsid w:val="7539654A"/>
    <w:rsid w:val="75836739"/>
    <w:rsid w:val="76C753DE"/>
    <w:rsid w:val="76C775D8"/>
    <w:rsid w:val="76F260C3"/>
    <w:rsid w:val="77322505"/>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taSourceCollection xmlns="http://www.yonyou.com/datasource"/>
</file>

<file path=customXml/item2.xml><?xml version="1.0" encoding="utf-8"?>
<relations xmlns="http://www.yonyou.com/relation"/>
</file>

<file path=customXml/itemProps1.xml><?xml version="1.0" encoding="utf-8"?>
<ds:datastoreItem xmlns:ds="http://schemas.openxmlformats.org/officeDocument/2006/customXml" ds:itemID="{eb297dda-bfc4-48f0-b104-c35ea0cf4333}">
  <ds:schemaRefs/>
</ds:datastoreItem>
</file>

<file path=customXml/itemProps2.xml><?xml version="1.0" encoding="utf-8"?>
<ds:datastoreItem xmlns:ds="http://schemas.openxmlformats.org/officeDocument/2006/customXml" ds:itemID="{36eff5d2-2585-44b3-a522-e79aad19181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2786</Words>
  <Characters>3025</Characters>
  <Lines>19</Lines>
  <Paragraphs>5</Paragraphs>
  <TotalTime>102</TotalTime>
  <ScaleCrop>false</ScaleCrop>
  <LinksUpToDate>false</LinksUpToDate>
  <CharactersWithSpaces>3194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cp:lastPrinted>2024-02-20T07:06:17Z</cp:lastPrinted>
  <dcterms:modified xsi:type="dcterms:W3CDTF">2024-02-20T08:42:48Z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88436E2E9A0A4CAAB74FC1E6DC7FA90B</vt:lpwstr>
  </property>
</Properties>
</file>