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Arial" w:hAnsi="Arial" w:eastAsia="方正小标宋简体" w:cs="Arial"/>
          <w:sz w:val="52"/>
          <w:szCs w:val="52"/>
        </w:rPr>
        <w:t>中共磐石市委政法委员会</w:t>
      </w:r>
      <w:r>
        <w:rPr>
          <w:rFonts w:hint="eastAsia" w:ascii="黑体" w:hAnsi="黑体" w:eastAsia="黑体"/>
          <w:sz w:val="52"/>
          <w:szCs w:val="52"/>
        </w:rPr>
        <w:t>2024年</w:t>
      </w:r>
    </w:p>
    <w:p>
      <w:pPr>
        <w:jc w:val="center"/>
        <w:rPr>
          <w:rFonts w:ascii="黑体" w:hAnsi="黑体" w:eastAsia="黑体"/>
          <w:sz w:val="44"/>
          <w:szCs w:val="44"/>
        </w:rPr>
      </w:pPr>
      <w:r>
        <w:rPr>
          <w:rFonts w:hint="eastAsia" w:ascii="黑体" w:hAnsi="黑体" w:eastAsia="黑体"/>
          <w:sz w:val="52"/>
          <w:szCs w:val="52"/>
        </w:rPr>
        <w:t>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二〇二四年二月一日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rPr>
          <w:rFonts w:ascii="黑体" w:hAnsi="黑体" w:eastAsia="黑体"/>
          <w:sz w:val="44"/>
          <w:szCs w:val="44"/>
        </w:rPr>
      </w:pPr>
    </w:p>
    <w:p>
      <w:pPr>
        <w:jc w:val="center"/>
        <w:rPr>
          <w:rFonts w:hint="eastAsia" w:ascii="黑体" w:hAnsi="黑体" w:eastAsia="黑体" w:cs="黑体"/>
          <w:sz w:val="44"/>
          <w:szCs w:val="44"/>
        </w:rPr>
      </w:pPr>
    </w:p>
    <w:p>
      <w:pPr>
        <w:jc w:val="center"/>
        <w:rPr>
          <w:rFonts w:ascii="黑体" w:hAnsi="黑体" w:eastAsia="黑体" w:cs="黑体"/>
          <w:sz w:val="44"/>
          <w:szCs w:val="44"/>
        </w:rPr>
      </w:pPr>
      <w:r>
        <w:rPr>
          <w:rFonts w:hint="eastAsia" w:ascii="黑体" w:hAnsi="黑体" w:eastAsia="黑体" w:cs="黑体"/>
          <w:sz w:val="44"/>
          <w:szCs w:val="44"/>
        </w:rPr>
        <w:t>中共磐石市委政法委员会</w:t>
      </w:r>
      <w:r>
        <w:rPr>
          <w:rFonts w:hint="eastAsia" w:ascii="黑体" w:hAnsi="黑体" w:eastAsia="黑体"/>
          <w:sz w:val="44"/>
          <w:szCs w:val="44"/>
        </w:rPr>
        <w:t>2024年预算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hint="eastAsia" w:ascii="仿宋" w:hAnsi="仿宋" w:eastAsia="仿宋"/>
          <w:sz w:val="32"/>
          <w:szCs w:val="32"/>
        </w:rPr>
      </w:pPr>
    </w:p>
    <w:p>
      <w:pPr>
        <w:rPr>
          <w:rFonts w:hint="eastAsia"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cs="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sz w:val="32"/>
          <w:szCs w:val="32"/>
        </w:rPr>
        <w:t>中共磐石市委政法委员会</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成立时间：1983年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：党政机关</w:t>
      </w:r>
    </w:p>
    <w:p>
      <w:pPr>
        <w:spacing w:line="576" w:lineRule="exact"/>
        <w:ind w:firstLine="640" w:firstLineChars="200"/>
        <w:rPr>
          <w:rFonts w:ascii="仿宋" w:hAnsi="仿宋" w:eastAsia="仿宋"/>
          <w:bCs/>
          <w:kern w:val="0"/>
          <w:sz w:val="32"/>
          <w:szCs w:val="32"/>
        </w:rPr>
      </w:pPr>
      <w:r>
        <w:rPr>
          <w:rFonts w:hint="eastAsia" w:ascii="仿宋" w:hAnsi="仿宋" w:eastAsia="仿宋"/>
          <w:bCs/>
          <w:kern w:val="0"/>
          <w:sz w:val="32"/>
          <w:szCs w:val="32"/>
        </w:rPr>
        <w:t>主要职能：</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一）贯彻习近平新时代中国特色社会主义思想，坚持党对政法工作的绝对领导，坚决执行党的路线方针政策和党中央重大决策部署。贯彻中央、省委、吉林市委以及市委组织决定，研究协调政法单位之间、政法单位和有关部门之间有关重大事项。</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（二）加强对政法领域实践和理论问题调查研究，协助市委决策和统筹推进政法改革等工作。</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三）了解掌握和分析研判社会稳定形势、政法工作情况动态，创新完善多部门参与的平安建设工作协调机制，协调推动预防、化解影响稳定的社会矛盾和风险，协调应对和妥善处置重大突发事件，协调指导政法单位和相关部门做好反邪教、反暴恐工作。</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（四）支持和监督政法单位依法行使职权，检查政法单位执行党的路线方针政策、党中央重大决策部署和国家法律法规的情况，指导和协调政法单位密切配合，推进严格执法、公正司法。</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五）指导和推动政法单位党的建设和政法队伍建设，协助党委及其组织部门加强政法单位领导班子和干部队伍建设，协助市委和纪检监察机关做好监督检查、审查调查工作，派员列席同级政法单位党组（党委）民主生活会。</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（六）落实中央和地方各级国家安全领导机构、全面依法治国领导机构的决策部署，支持配合其办事机构工作；指导和协调政法单位维护政治安全工作和执法司法相关工作。</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（七）掌握分析政法舆情动态，指导和协调政法单位和有关部门做好依法办理、宣传报道和舆论引导等相关工作。</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（八）代管市法学会。</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sz w:val="32"/>
          <w:szCs w:val="32"/>
        </w:rPr>
        <w:t>（九）完成市委和上级党委政法委员会交办的其他任务。</w:t>
      </w:r>
    </w:p>
    <w:p>
      <w:pPr>
        <w:jc w:val="left"/>
        <w:rPr>
          <w:rFonts w:ascii="仿宋" w:hAnsi="仿宋" w:eastAsia="仿宋"/>
          <w:sz w:val="32"/>
          <w:szCs w:val="32"/>
        </w:rPr>
      </w:pPr>
      <w:r>
        <w:rPr>
          <w:rFonts w:hint="eastAsia" w:ascii="仿宋" w:hAnsi="仿宋" w:eastAsia="仿宋"/>
          <w:sz w:val="32"/>
          <w:szCs w:val="32"/>
        </w:rPr>
        <w:t xml:space="preserve">   二、机构设置</w:t>
      </w:r>
    </w:p>
    <w:p>
      <w:pPr>
        <w:ind w:firstLine="640" w:firstLineChars="200"/>
        <w:jc w:val="left"/>
        <w:rPr>
          <w:rFonts w:ascii="仿宋_GB2312"/>
          <w:szCs w:val="32"/>
        </w:rPr>
      </w:pPr>
      <w:r>
        <w:rPr>
          <w:rFonts w:hint="eastAsia" w:ascii="仿宋" w:hAnsi="仿宋" w:eastAsia="仿宋" w:cs="仿宋"/>
          <w:sz w:val="32"/>
          <w:szCs w:val="32"/>
        </w:rPr>
        <w:t>磐石市委政法委内设政治处（办公室）、执法监督科、综治科、维护稳定工作科、反邪教协调科；代管市法学会。</w:t>
      </w:r>
    </w:p>
    <w:p>
      <w:pPr>
        <w:ind w:firstLine="640" w:firstLineChars="200"/>
        <w:rPr>
          <w:rFonts w:ascii="仿宋" w:hAnsi="仿宋" w:eastAsia="仿宋"/>
          <w:kern w:val="0"/>
          <w:sz w:val="32"/>
          <w:szCs w:val="32"/>
        </w:rPr>
      </w:pPr>
      <w:r>
        <w:rPr>
          <w:rFonts w:hint="eastAsia" w:ascii="仿宋" w:hAnsi="仿宋" w:eastAsia="仿宋"/>
          <w:sz w:val="32"/>
          <w:szCs w:val="32"/>
        </w:rPr>
        <w:t>扫黑办、法学会与政法委合署办公。</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人员情况：在职人员14人，编制数19人，领导职数3个。</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p>
    <w:p>
      <w:pPr>
        <w:jc w:val="left"/>
        <w:rPr>
          <w:rFonts w:ascii="楷体" w:hAnsi="楷体" w:eastAsia="楷体"/>
          <w:sz w:val="32"/>
          <w:szCs w:val="32"/>
        </w:rPr>
      </w:pPr>
      <w:r>
        <w:rPr>
          <w:rFonts w:hint="eastAsia" w:ascii="楷体" w:hAnsi="楷体" w:eastAsia="楷体"/>
          <w:sz w:val="32"/>
          <w:szCs w:val="32"/>
        </w:rPr>
        <w:t>一、2024年收支预算总体情况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2024年收支总预算748.61万元，比 2023年预算数727.52万元增加21.09万元，主要原因：在职人员工资调整，基本支出增加。</w:t>
      </w:r>
    </w:p>
    <w:p>
      <w:pPr>
        <w:pStyle w:val="11"/>
        <w:jc w:val="left"/>
        <w:rPr>
          <w:rFonts w:ascii="楷体" w:hAnsi="楷体" w:eastAsia="楷体"/>
          <w:sz w:val="32"/>
          <w:szCs w:val="32"/>
        </w:rPr>
      </w:pPr>
      <w:r>
        <w:rPr>
          <w:rFonts w:hint="eastAsia" w:ascii="楷体" w:hAnsi="楷体" w:eastAsia="楷体"/>
          <w:sz w:val="32"/>
          <w:szCs w:val="32"/>
        </w:rPr>
        <w:t>二、2024年收入预算情况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2024年本单位收入预算748.61万元，其中：本年收入748.61万元，占100%；上年结转0万元，占0%。本年收入中，一般公共预算财政拨款收入748.61万元，占100%；政府性基金收入0万元，占0%；国有资本经营预算拨款收入0 万元，占0%；其他收入0万元，占0%。</w:t>
      </w:r>
    </w:p>
    <w:p>
      <w:pPr>
        <w:pStyle w:val="11"/>
        <w:jc w:val="left"/>
        <w:rPr>
          <w:rFonts w:ascii="楷体" w:hAnsi="楷体" w:eastAsia="楷体"/>
          <w:sz w:val="32"/>
          <w:szCs w:val="32"/>
        </w:rPr>
      </w:pPr>
      <w:r>
        <w:rPr>
          <w:rFonts w:hint="eastAsia" w:ascii="楷体" w:hAnsi="楷体" w:eastAsia="楷体"/>
          <w:sz w:val="32"/>
          <w:szCs w:val="32"/>
        </w:rPr>
        <w:t>三、2024年支出预算情况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2024年支出预算748.61万元，其中：基本支出215.31万元，占28.8%；项目支出533.3万元，占71.2%。</w:t>
      </w:r>
    </w:p>
    <w:p>
      <w:pPr>
        <w:pStyle w:val="11"/>
        <w:jc w:val="left"/>
        <w:rPr>
          <w:rFonts w:ascii="楷体" w:hAnsi="楷体" w:eastAsia="楷体"/>
          <w:sz w:val="32"/>
          <w:szCs w:val="32"/>
        </w:rPr>
      </w:pPr>
      <w:r>
        <w:rPr>
          <w:rFonts w:hint="eastAsia" w:ascii="楷体" w:hAnsi="楷体" w:eastAsia="楷体"/>
          <w:sz w:val="32"/>
          <w:szCs w:val="32"/>
        </w:rPr>
        <w:t>四、2024年财政拨款收支预算情况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2024年财政拨款收支总预算748.61万元，其中：本年收入748.61万元，上年结转0万元。支出包括：公共安全支出690.27万元，社会保障和就业支出32.66万元，卫生健康支出9.03万元，住房保障支出16.65万元，国有资本经营预算支0万元。</w:t>
      </w:r>
    </w:p>
    <w:p>
      <w:pPr>
        <w:pStyle w:val="11"/>
        <w:rPr>
          <w:rFonts w:ascii="楷体" w:hAnsi="楷体" w:eastAsia="楷体"/>
          <w:sz w:val="32"/>
          <w:szCs w:val="32"/>
        </w:rPr>
      </w:pPr>
      <w:r>
        <w:rPr>
          <w:rFonts w:hint="eastAsia" w:ascii="楷体" w:hAnsi="楷体" w:eastAsia="楷体" w:cs="楷体"/>
          <w:kern w:val="0"/>
          <w:sz w:val="32"/>
          <w:szCs w:val="32"/>
        </w:rPr>
        <w:t>五、2024</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2024年一般公共预算当年拨款748.61万元，其中：基本支出215.31万元，占28.8%；项目支出533.3万元，占71.2%。基本支出中，人员经费199.6万元，占92.7%；公用经费15.71万元，占7.3%。</w:t>
      </w:r>
    </w:p>
    <w:p>
      <w:pPr>
        <w:ind w:firstLine="640" w:firstLineChars="200"/>
        <w:rPr>
          <w:rFonts w:ascii="仿宋" w:hAnsi="仿宋" w:eastAsia="仿宋"/>
          <w:sz w:val="32"/>
          <w:szCs w:val="32"/>
        </w:rPr>
      </w:pPr>
      <w:r>
        <w:rPr>
          <w:rFonts w:hint="eastAsia" w:ascii="仿宋" w:hAnsi="仿宋" w:eastAsia="仿宋"/>
          <w:sz w:val="32"/>
          <w:szCs w:val="32"/>
        </w:rPr>
        <w:t>公共安全（类）支出690.27万元，占92.2%，主要用于：人员经费、公用经费和项目经费支出。</w:t>
      </w:r>
    </w:p>
    <w:p>
      <w:pPr>
        <w:ind w:firstLine="640" w:firstLineChars="200"/>
        <w:rPr>
          <w:rFonts w:ascii="仿宋" w:hAnsi="仿宋" w:eastAsia="仿宋"/>
          <w:sz w:val="32"/>
          <w:szCs w:val="32"/>
        </w:rPr>
      </w:pPr>
      <w:r>
        <w:rPr>
          <w:rFonts w:hint="eastAsia" w:ascii="仿宋" w:hAnsi="仿宋" w:eastAsia="仿宋"/>
          <w:sz w:val="32"/>
          <w:szCs w:val="32"/>
        </w:rPr>
        <w:t>社会保障和就业（类）支出32.66万元，占4.4%，主要用于：在职人员养老保险、失业保险、工伤保险和职业年金支出。</w:t>
      </w:r>
    </w:p>
    <w:p>
      <w:pPr>
        <w:ind w:firstLine="640" w:firstLineChars="200"/>
        <w:rPr>
          <w:rFonts w:ascii="仿宋" w:hAnsi="仿宋" w:eastAsia="仿宋"/>
          <w:sz w:val="32"/>
          <w:szCs w:val="32"/>
        </w:rPr>
      </w:pPr>
      <w:r>
        <w:rPr>
          <w:rFonts w:hint="eastAsia" w:ascii="仿宋" w:hAnsi="仿宋" w:eastAsia="仿宋"/>
          <w:sz w:val="32"/>
          <w:szCs w:val="32"/>
        </w:rPr>
        <w:t>卫生健康（类）支出9.03万元，占1.2%，主要用于：在职人员医疗保险支出。</w:t>
      </w:r>
    </w:p>
    <w:p>
      <w:pPr>
        <w:ind w:firstLine="640" w:firstLineChars="200"/>
        <w:rPr>
          <w:rFonts w:ascii="仿宋" w:hAnsi="仿宋" w:eastAsia="仿宋"/>
          <w:sz w:val="32"/>
          <w:szCs w:val="32"/>
        </w:rPr>
      </w:pPr>
      <w:r>
        <w:rPr>
          <w:rFonts w:hint="eastAsia" w:ascii="仿宋" w:hAnsi="仿宋" w:eastAsia="仿宋"/>
          <w:sz w:val="32"/>
          <w:szCs w:val="32"/>
        </w:rPr>
        <w:t>住房保障（类）支出16.65万元，占2.2%，主要用于：在职人员住房保障住房公积金支出。</w:t>
      </w:r>
    </w:p>
    <w:p>
      <w:pPr>
        <w:pStyle w:val="9"/>
        <w:rPr>
          <w:rFonts w:ascii="楷体" w:hAnsi="楷体" w:eastAsia="楷体"/>
          <w:kern w:val="0"/>
          <w:sz w:val="32"/>
          <w:szCs w:val="32"/>
        </w:rPr>
      </w:pPr>
      <w:r>
        <w:rPr>
          <w:rFonts w:hint="eastAsia" w:ascii="楷体" w:hAnsi="楷体" w:eastAsia="楷体"/>
          <w:kern w:val="0"/>
          <w:sz w:val="32"/>
          <w:szCs w:val="32"/>
        </w:rPr>
        <w:t>六、2024年一般公共预算基本支出情况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2024年一般公共预算基本支出215.31万元，其中：</w:t>
      </w:r>
    </w:p>
    <w:p>
      <w:pPr>
        <w:ind w:firstLine="640" w:firstLineChars="200"/>
        <w:rPr>
          <w:rFonts w:ascii="仿宋" w:hAnsi="仿宋" w:eastAsia="仿宋"/>
          <w:sz w:val="32"/>
          <w:szCs w:val="32"/>
        </w:rPr>
      </w:pPr>
      <w:r>
        <w:rPr>
          <w:rFonts w:hint="eastAsia" w:ascii="仿宋" w:hAnsi="仿宋" w:eastAsia="仿宋"/>
          <w:sz w:val="32"/>
          <w:szCs w:val="32"/>
        </w:rPr>
        <w:t>人员经费199.6万元，主要包括：基本工资、津贴补贴、奖金、绩效工资、机关事业单位基本养老保险缴费、职工基本医疗保险缴费、其他社会保障缴费、住房公积金、其他工资福利支出等；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公用经费15.71万元，主要包括：办公费、印刷费、邮电费、差旅费、工会经费、其他交通费等。</w:t>
      </w:r>
    </w:p>
    <w:p>
      <w:pPr>
        <w:pStyle w:val="9"/>
        <w:rPr>
          <w:rFonts w:ascii="楷体" w:hAnsi="楷体" w:eastAsia="楷体"/>
          <w:kern w:val="0"/>
          <w:sz w:val="32"/>
          <w:szCs w:val="32"/>
        </w:rPr>
      </w:pPr>
      <w:r>
        <w:rPr>
          <w:rFonts w:hint="eastAsia" w:ascii="楷体" w:hAnsi="楷体" w:eastAsia="楷体"/>
          <w:kern w:val="0"/>
          <w:sz w:val="32"/>
          <w:szCs w:val="32"/>
        </w:rPr>
        <w:t>七、2024年一般公共预算财政拨款“三公经费”情况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2024年“三公”经费预算数1万元，与2023年预算相同。 </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2023年预算数相同。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2.公务接待费1万元，与 2023年预算数相同。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3.公务用车购置及运行费0万元，与 2023年预算数相同。其中，公务用车运行维护费0万元，公务用车购置0万元，与 2023年预算数相同。</w:t>
      </w:r>
    </w:p>
    <w:p>
      <w:pPr>
        <w:pStyle w:val="9"/>
        <w:rPr>
          <w:rFonts w:ascii="楷体" w:hAnsi="楷体" w:eastAsia="楷体" w:cs="楷体"/>
          <w:sz w:val="32"/>
          <w:szCs w:val="32"/>
        </w:rPr>
      </w:pPr>
      <w:r>
        <w:rPr>
          <w:rFonts w:hint="eastAsia" w:ascii="楷体" w:hAnsi="楷体" w:eastAsia="楷体" w:cs="楷体"/>
          <w:sz w:val="32"/>
          <w:szCs w:val="32"/>
        </w:rPr>
        <w:t>八、2024年政府性基金预算支出情况</w:t>
      </w:r>
    </w:p>
    <w:p>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pPr>
        <w:pStyle w:val="9"/>
        <w:rPr>
          <w:rFonts w:ascii="楷体" w:hAnsi="楷体" w:eastAsia="楷体" w:cs="楷体"/>
          <w:sz w:val="32"/>
          <w:szCs w:val="32"/>
        </w:rPr>
      </w:pPr>
      <w:r>
        <w:rPr>
          <w:rFonts w:hint="eastAsia" w:ascii="楷体" w:hAnsi="楷体" w:eastAsia="楷体" w:cs="楷体"/>
          <w:sz w:val="32"/>
          <w:szCs w:val="32"/>
        </w:rPr>
        <w:t>九、2024年国有资本经营预算支出情况</w:t>
      </w:r>
    </w:p>
    <w:p>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pPr>
        <w:jc w:val="left"/>
        <w:rPr>
          <w:rFonts w:ascii="楷体" w:hAnsi="楷体" w:eastAsia="楷体" w:cs="楷体"/>
          <w:sz w:val="32"/>
          <w:szCs w:val="32"/>
        </w:rPr>
      </w:pPr>
      <w:r>
        <w:rPr>
          <w:rFonts w:hint="eastAsia" w:ascii="楷体" w:hAnsi="楷体" w:eastAsia="楷体" w:cs="楷体"/>
          <w:sz w:val="32"/>
          <w:szCs w:val="32"/>
        </w:rPr>
        <w:t>十、其他重要事项的说明情况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2024年部门本级1家行政单位的机关运行经费财政拨款预算15.71万元，比 2023年预算增加16.9万元，减少7.1%，主要原因是在职人员减少，办公支出减少。</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2024年政府采购预算总额0万元，其中：政府采购办公设备和其他设备预算0万元，政府采购工程预算0万元，政府采购服务预算0万元。</w:t>
      </w:r>
    </w:p>
    <w:p>
      <w:pPr>
        <w:jc w:val="left"/>
        <w:rPr>
          <w:rFonts w:ascii="楷体" w:hAnsi="楷体" w:eastAsia="楷体"/>
          <w:sz w:val="32"/>
          <w:szCs w:val="32"/>
        </w:rPr>
      </w:pP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截至2024年1月，部门本级和所属各预算单位共有车辆0辆，其中，领导干部用车0辆、一般公务用车0辆,一般执法执勤用车0辆、特种专业技术用车0辆、其他用车0辆，价值200万元以上大型设备0台（套）。</w:t>
      </w:r>
    </w:p>
    <w:p>
      <w:pPr>
        <w:pStyle w:val="8"/>
        <w:ind w:firstLine="640"/>
        <w:jc w:val="left"/>
        <w:rPr>
          <w:rFonts w:ascii="仿宋" w:hAnsi="仿宋" w:eastAsia="仿宋"/>
          <w:sz w:val="32"/>
          <w:szCs w:val="32"/>
        </w:rPr>
      </w:pPr>
      <w:r>
        <w:rPr>
          <w:rFonts w:hint="eastAsia" w:ascii="仿宋" w:hAnsi="仿宋" w:eastAsia="仿宋"/>
          <w:sz w:val="32"/>
          <w:szCs w:val="32"/>
        </w:rPr>
        <w:t>2024年部门预算安排购置车辆及价值200万元以上大型设备0</w:t>
      </w:r>
      <w:r>
        <w:rPr>
          <w:rFonts w:hint="eastAsia" w:ascii="仿宋" w:hAnsi="仿宋" w:eastAsia="仿宋"/>
          <w:sz w:val="32"/>
          <w:szCs w:val="32"/>
          <w:lang w:eastAsia="zh-CN"/>
        </w:rPr>
        <w:t>台（套）</w:t>
      </w:r>
      <w:r>
        <w:rPr>
          <w:rFonts w:hint="eastAsia" w:ascii="仿宋" w:hAnsi="仿宋" w:eastAsia="仿宋"/>
          <w:sz w:val="32"/>
          <w:szCs w:val="32"/>
        </w:rPr>
        <w:t>。</w:t>
      </w:r>
      <w:bookmarkStart w:id="0" w:name="_GoBack"/>
      <w:bookmarkEnd w:id="0"/>
    </w:p>
    <w:p>
      <w:pPr>
        <w:numPr>
          <w:ilvl w:val="0"/>
          <w:numId w:val="3"/>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2024年确定13个部门本级预算项目，涉及金额533.3万元，项目内容为：法律专家服务站经费、反邪教工作经费、公务接待费、会议费、扫黑除恶工作经费、维护稳定工作经费、司法救助金、严重精神障碍患者以奖代补、综合治理工作经费、综治中心二期项目、综治中心经费，人民防线及政法委工作经费，主要目标为：为了维护社会稳定和谐，为了规划建设一网统筹治理模式。提高基层社区治理效能，贯彻司法为民，维护司法公正对生活困难的案件当事人应急一次性救助金，维护社会稳定规划建设综治中心，需要后勤保障人员3人负责事乡两级综治中心运行及管理工作，提高基层社区治理效能。维护国家安全和政治稳定处理信访案件，保证扫黑除恶及维护稳定工作正常运转，为国家安全、政治稳定、社会安全提供基础保障。同时，将预算项目绩效目标进一步细化为绩效指标和指标值（附预算项目绩效目标申报表）。</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2024年部门预算表套表（预算一体化系统报表查询模块中提取相应数据）.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80E559"/>
    <w:multiLevelType w:val="singleLevel"/>
    <w:tmpl w:val="2480E559"/>
    <w:lvl w:ilvl="0" w:tentative="0">
      <w:start w:val="4"/>
      <w:numFmt w:val="chineseCounting"/>
      <w:suff w:val="nothing"/>
      <w:lvlText w:val="（%1）"/>
      <w:lvlJc w:val="left"/>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IzNmE4MDZiNjAwYzc5YTM5ZWI4NTg4NDY5ZTYzMTYifQ=="/>
  </w:docVars>
  <w:rsids>
    <w:rsidRoot w:val="00A12A00"/>
    <w:rsid w:val="00005AFD"/>
    <w:rsid w:val="00010A01"/>
    <w:rsid w:val="00021D06"/>
    <w:rsid w:val="0005667C"/>
    <w:rsid w:val="00065C15"/>
    <w:rsid w:val="00071665"/>
    <w:rsid w:val="00072FC1"/>
    <w:rsid w:val="000F2EE4"/>
    <w:rsid w:val="00117499"/>
    <w:rsid w:val="00124BCE"/>
    <w:rsid w:val="00156215"/>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46B1E"/>
    <w:rsid w:val="004763A7"/>
    <w:rsid w:val="00482664"/>
    <w:rsid w:val="004C1015"/>
    <w:rsid w:val="004F74AD"/>
    <w:rsid w:val="00567D16"/>
    <w:rsid w:val="00572D27"/>
    <w:rsid w:val="00576DB1"/>
    <w:rsid w:val="0059597A"/>
    <w:rsid w:val="005C384D"/>
    <w:rsid w:val="005F0428"/>
    <w:rsid w:val="00622E82"/>
    <w:rsid w:val="006439B6"/>
    <w:rsid w:val="006A7513"/>
    <w:rsid w:val="00722D32"/>
    <w:rsid w:val="00740031"/>
    <w:rsid w:val="00745992"/>
    <w:rsid w:val="00746DAF"/>
    <w:rsid w:val="007663EF"/>
    <w:rsid w:val="00770198"/>
    <w:rsid w:val="007B276D"/>
    <w:rsid w:val="007D3846"/>
    <w:rsid w:val="007D58F1"/>
    <w:rsid w:val="007F6395"/>
    <w:rsid w:val="00802603"/>
    <w:rsid w:val="00806CC6"/>
    <w:rsid w:val="00815C4B"/>
    <w:rsid w:val="008B501D"/>
    <w:rsid w:val="00942596"/>
    <w:rsid w:val="00971A2E"/>
    <w:rsid w:val="009A3FBB"/>
    <w:rsid w:val="009C3948"/>
    <w:rsid w:val="009E4C36"/>
    <w:rsid w:val="00A01E68"/>
    <w:rsid w:val="00A12A00"/>
    <w:rsid w:val="00A14DF3"/>
    <w:rsid w:val="00A31D89"/>
    <w:rsid w:val="00A3789D"/>
    <w:rsid w:val="00A64FF7"/>
    <w:rsid w:val="00A73987"/>
    <w:rsid w:val="00A752E3"/>
    <w:rsid w:val="00AE2415"/>
    <w:rsid w:val="00AE2F02"/>
    <w:rsid w:val="00AF32ED"/>
    <w:rsid w:val="00B03AD0"/>
    <w:rsid w:val="00B2091C"/>
    <w:rsid w:val="00B27940"/>
    <w:rsid w:val="00B36C0B"/>
    <w:rsid w:val="00B62C43"/>
    <w:rsid w:val="00B74A8E"/>
    <w:rsid w:val="00B90DF7"/>
    <w:rsid w:val="00B93B89"/>
    <w:rsid w:val="00C37526"/>
    <w:rsid w:val="00C61D37"/>
    <w:rsid w:val="00C70FED"/>
    <w:rsid w:val="00CB2087"/>
    <w:rsid w:val="00CC2C0E"/>
    <w:rsid w:val="00CE6FE2"/>
    <w:rsid w:val="00CF7FF2"/>
    <w:rsid w:val="00D463CF"/>
    <w:rsid w:val="00D54CC0"/>
    <w:rsid w:val="00D94B5A"/>
    <w:rsid w:val="00DA5EFE"/>
    <w:rsid w:val="00DC6B72"/>
    <w:rsid w:val="00DF38C6"/>
    <w:rsid w:val="00E168F9"/>
    <w:rsid w:val="00E20B1E"/>
    <w:rsid w:val="00E343EE"/>
    <w:rsid w:val="00E53AE6"/>
    <w:rsid w:val="00ED0CE4"/>
    <w:rsid w:val="00F30AB2"/>
    <w:rsid w:val="00F51569"/>
    <w:rsid w:val="00F909D5"/>
    <w:rsid w:val="00FD1DC5"/>
    <w:rsid w:val="01640BD1"/>
    <w:rsid w:val="018E6F43"/>
    <w:rsid w:val="01EC1B1D"/>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6F63175E"/>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603</Words>
  <Characters>3439</Characters>
  <Lines>28</Lines>
  <Paragraphs>8</Paragraphs>
  <TotalTime>74</TotalTime>
  <ScaleCrop>false</ScaleCrop>
  <LinksUpToDate>false</LinksUpToDate>
  <CharactersWithSpaces>4034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婷婷</cp:lastModifiedBy>
  <dcterms:modified xsi:type="dcterms:W3CDTF">2024-02-23T05:25:52Z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015E53AB75C04A42A540DA5266089B66</vt:lpwstr>
  </property>
</Properties>
</file>