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085B3">
      <w:pPr>
        <w:jc w:val="center"/>
        <w:rPr>
          <w:rFonts w:ascii="黑体" w:hAnsi="黑体" w:eastAsia="黑体"/>
          <w:sz w:val="44"/>
          <w:szCs w:val="44"/>
        </w:rPr>
      </w:pPr>
    </w:p>
    <w:p w14:paraId="10BFD853">
      <w:pPr>
        <w:jc w:val="center"/>
        <w:rPr>
          <w:rFonts w:ascii="黑体" w:hAnsi="黑体" w:eastAsia="黑体"/>
          <w:sz w:val="44"/>
          <w:szCs w:val="44"/>
        </w:rPr>
      </w:pPr>
    </w:p>
    <w:p w14:paraId="36838299">
      <w:pPr>
        <w:jc w:val="center"/>
        <w:rPr>
          <w:rFonts w:ascii="黑体" w:hAnsi="黑体" w:eastAsia="黑体"/>
          <w:sz w:val="44"/>
          <w:szCs w:val="44"/>
        </w:rPr>
      </w:pPr>
    </w:p>
    <w:p w14:paraId="5BEEAA79">
      <w:pPr>
        <w:jc w:val="center"/>
        <w:rPr>
          <w:rFonts w:ascii="黑体" w:hAnsi="黑体" w:eastAsia="黑体"/>
          <w:sz w:val="44"/>
          <w:szCs w:val="44"/>
        </w:rPr>
      </w:pPr>
    </w:p>
    <w:p w14:paraId="1B76B54C">
      <w:pPr>
        <w:jc w:val="center"/>
        <w:rPr>
          <w:rFonts w:ascii="黑体" w:hAnsi="黑体" w:eastAsia="黑体"/>
          <w:sz w:val="44"/>
          <w:szCs w:val="44"/>
        </w:rPr>
      </w:pPr>
    </w:p>
    <w:p w14:paraId="202FE93F">
      <w:pPr>
        <w:jc w:val="center"/>
        <w:rPr>
          <w:rFonts w:hint="eastAsia" w:ascii="黑体" w:hAnsi="黑体" w:eastAsia="黑体"/>
          <w:sz w:val="52"/>
          <w:szCs w:val="52"/>
        </w:rPr>
      </w:pPr>
      <w:r>
        <w:rPr>
          <w:rFonts w:hint="eastAsia" w:ascii="Arial" w:hAnsi="Arial" w:eastAsia="方正小标宋简体" w:cs="Arial"/>
          <w:sz w:val="52"/>
          <w:szCs w:val="52"/>
        </w:rPr>
        <w:t>中共磐石市委政法委员会</w:t>
      </w:r>
      <w:r>
        <w:rPr>
          <w:rFonts w:hint="eastAsia" w:ascii="方正小标宋简体" w:hAnsi="方正小标宋简体" w:eastAsia="方正小标宋简体" w:cs="方正小标宋简体"/>
          <w:sz w:val="52"/>
          <w:szCs w:val="52"/>
        </w:rPr>
        <w:t>2025年</w:t>
      </w:r>
    </w:p>
    <w:p w14:paraId="72C49EF8">
      <w:pPr>
        <w:jc w:val="center"/>
        <w:rPr>
          <w:rFonts w:ascii="Arial" w:hAnsi="Arial" w:eastAsia="方正小标宋简体" w:cs="Arial"/>
          <w:sz w:val="52"/>
          <w:szCs w:val="52"/>
        </w:rPr>
      </w:pPr>
      <w:r>
        <w:rPr>
          <w:rFonts w:hint="eastAsia" w:ascii="黑体" w:hAnsi="黑体" w:eastAsia="黑体"/>
          <w:sz w:val="52"/>
          <w:szCs w:val="52"/>
        </w:rPr>
        <w:t>部门预算</w:t>
      </w:r>
    </w:p>
    <w:p w14:paraId="1B9948CF">
      <w:pPr>
        <w:jc w:val="center"/>
        <w:rPr>
          <w:rFonts w:ascii="黑体" w:hAnsi="黑体" w:eastAsia="黑体"/>
          <w:sz w:val="44"/>
          <w:szCs w:val="44"/>
        </w:rPr>
      </w:pPr>
    </w:p>
    <w:p w14:paraId="74A13379">
      <w:pPr>
        <w:jc w:val="center"/>
        <w:rPr>
          <w:rFonts w:ascii="黑体" w:hAnsi="黑体" w:eastAsia="黑体"/>
          <w:sz w:val="44"/>
          <w:szCs w:val="44"/>
        </w:rPr>
      </w:pPr>
    </w:p>
    <w:p w14:paraId="271B92BA">
      <w:pPr>
        <w:jc w:val="center"/>
        <w:rPr>
          <w:rFonts w:ascii="黑体" w:hAnsi="黑体" w:eastAsia="黑体"/>
          <w:sz w:val="44"/>
          <w:szCs w:val="44"/>
        </w:rPr>
      </w:pPr>
    </w:p>
    <w:p w14:paraId="6001ED4B">
      <w:pPr>
        <w:jc w:val="center"/>
        <w:rPr>
          <w:rFonts w:ascii="黑体" w:hAnsi="黑体" w:eastAsia="黑体"/>
          <w:sz w:val="44"/>
          <w:szCs w:val="44"/>
        </w:rPr>
      </w:pPr>
    </w:p>
    <w:p w14:paraId="459C7293">
      <w:pPr>
        <w:jc w:val="center"/>
        <w:rPr>
          <w:rFonts w:ascii="黑体" w:hAnsi="黑体" w:eastAsia="黑体"/>
          <w:sz w:val="44"/>
          <w:szCs w:val="44"/>
        </w:rPr>
      </w:pPr>
    </w:p>
    <w:p w14:paraId="0B053582">
      <w:pPr>
        <w:jc w:val="center"/>
        <w:rPr>
          <w:rFonts w:ascii="黑体" w:hAnsi="黑体" w:eastAsia="黑体"/>
          <w:sz w:val="44"/>
          <w:szCs w:val="44"/>
        </w:rPr>
      </w:pPr>
    </w:p>
    <w:p w14:paraId="4FA26DBA">
      <w:pPr>
        <w:jc w:val="center"/>
        <w:rPr>
          <w:rFonts w:ascii="黑体" w:hAnsi="黑体" w:eastAsia="黑体"/>
          <w:sz w:val="44"/>
          <w:szCs w:val="44"/>
        </w:rPr>
      </w:pPr>
    </w:p>
    <w:p w14:paraId="2E17B89E">
      <w:pPr>
        <w:jc w:val="center"/>
        <w:rPr>
          <w:rFonts w:ascii="黑体" w:hAnsi="黑体" w:eastAsia="黑体"/>
          <w:sz w:val="44"/>
          <w:szCs w:val="44"/>
        </w:rPr>
      </w:pPr>
    </w:p>
    <w:p w14:paraId="23B5E3C9">
      <w:pPr>
        <w:jc w:val="center"/>
        <w:rPr>
          <w:rFonts w:ascii="黑体" w:hAnsi="黑体" w:eastAsia="黑体"/>
          <w:sz w:val="44"/>
          <w:szCs w:val="44"/>
        </w:rPr>
      </w:pPr>
    </w:p>
    <w:p w14:paraId="0E1DCCF7">
      <w:pPr>
        <w:jc w:val="center"/>
        <w:rPr>
          <w:rFonts w:ascii="黑体" w:hAnsi="黑体" w:eastAsia="黑体"/>
          <w:sz w:val="44"/>
          <w:szCs w:val="44"/>
        </w:rPr>
      </w:pPr>
    </w:p>
    <w:p w14:paraId="36645543">
      <w:pPr>
        <w:jc w:val="center"/>
        <w:rPr>
          <w:rFonts w:ascii="黑体" w:hAnsi="黑体" w:eastAsia="黑体"/>
          <w:sz w:val="44"/>
          <w:szCs w:val="44"/>
        </w:rPr>
      </w:pPr>
      <w:r>
        <w:rPr>
          <w:rFonts w:hint="eastAsia" w:ascii="黑体" w:hAnsi="黑体" w:eastAsia="黑体"/>
          <w:sz w:val="44"/>
          <w:szCs w:val="44"/>
        </w:rPr>
        <w:t>二〇二五年二月五日</w:t>
      </w:r>
    </w:p>
    <w:p w14:paraId="0BE578E0">
      <w:pPr>
        <w:jc w:val="center"/>
        <w:rPr>
          <w:rFonts w:ascii="黑体" w:hAnsi="黑体" w:eastAsia="黑体"/>
          <w:sz w:val="44"/>
          <w:szCs w:val="44"/>
        </w:rPr>
      </w:pPr>
    </w:p>
    <w:p w14:paraId="60C33522">
      <w:pPr>
        <w:jc w:val="center"/>
        <w:rPr>
          <w:rFonts w:ascii="黑体" w:hAnsi="黑体" w:eastAsia="黑体"/>
          <w:sz w:val="44"/>
          <w:szCs w:val="44"/>
        </w:rPr>
      </w:pPr>
    </w:p>
    <w:p w14:paraId="1863DD53">
      <w:pPr>
        <w:rPr>
          <w:rFonts w:ascii="黑体" w:hAnsi="黑体" w:eastAsia="黑体"/>
          <w:sz w:val="44"/>
          <w:szCs w:val="44"/>
        </w:rPr>
      </w:pPr>
    </w:p>
    <w:p w14:paraId="28468BEB">
      <w:pPr>
        <w:jc w:val="center"/>
        <w:rPr>
          <w:rFonts w:ascii="黑体" w:hAnsi="黑体" w:eastAsia="黑体" w:cs="黑体"/>
          <w:sz w:val="44"/>
          <w:szCs w:val="44"/>
        </w:rPr>
      </w:pPr>
      <w:r>
        <w:rPr>
          <w:rFonts w:hint="eastAsia" w:ascii="黑体" w:hAnsi="黑体" w:eastAsia="黑体" w:cs="黑体"/>
          <w:sz w:val="44"/>
          <w:szCs w:val="44"/>
        </w:rPr>
        <w:t>中共磐石市委政法委员会</w:t>
      </w:r>
      <w:r>
        <w:rPr>
          <w:rFonts w:hint="eastAsia" w:ascii="黑体" w:hAnsi="黑体" w:eastAsia="黑体"/>
          <w:sz w:val="44"/>
          <w:szCs w:val="44"/>
        </w:rPr>
        <w:t>2025年预算</w:t>
      </w:r>
    </w:p>
    <w:p w14:paraId="0ADB580B">
      <w:pPr>
        <w:tabs>
          <w:tab w:val="left" w:pos="3240"/>
        </w:tabs>
        <w:rPr>
          <w:rFonts w:hint="eastAsia"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11DABD49">
      <w:pPr>
        <w:tabs>
          <w:tab w:val="left" w:pos="3240"/>
        </w:tabs>
        <w:rPr>
          <w:rFonts w:ascii="黑体" w:hAnsi="黑体" w:eastAsia="黑体"/>
          <w:sz w:val="44"/>
          <w:szCs w:val="44"/>
        </w:rPr>
      </w:pPr>
    </w:p>
    <w:p w14:paraId="30FA36BB">
      <w:pPr>
        <w:rPr>
          <w:rFonts w:ascii="仿宋" w:hAnsi="仿宋" w:eastAsia="仿宋"/>
          <w:sz w:val="32"/>
          <w:szCs w:val="32"/>
        </w:rPr>
      </w:pPr>
      <w:r>
        <w:rPr>
          <w:rFonts w:hint="eastAsia" w:ascii="仿宋" w:hAnsi="仿宋" w:eastAsia="仿宋"/>
          <w:sz w:val="32"/>
          <w:szCs w:val="32"/>
        </w:rPr>
        <w:t>第一部分  部门概况</w:t>
      </w:r>
    </w:p>
    <w:p w14:paraId="39D5A776">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59FFE00">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31609E4E">
      <w:pPr>
        <w:rPr>
          <w:rFonts w:ascii="仿宋" w:hAnsi="仿宋" w:eastAsia="仿宋"/>
          <w:sz w:val="32"/>
          <w:szCs w:val="32"/>
        </w:rPr>
      </w:pPr>
      <w:r>
        <w:rPr>
          <w:rFonts w:hint="eastAsia" w:ascii="仿宋" w:hAnsi="仿宋" w:eastAsia="仿宋"/>
          <w:sz w:val="32"/>
          <w:szCs w:val="32"/>
        </w:rPr>
        <w:t>第二部分  情况说明</w:t>
      </w:r>
    </w:p>
    <w:p w14:paraId="6E4B49BA">
      <w:pPr>
        <w:rPr>
          <w:rFonts w:ascii="仿宋" w:hAnsi="仿宋" w:eastAsia="仿宋"/>
          <w:sz w:val="32"/>
          <w:szCs w:val="32"/>
        </w:rPr>
      </w:pPr>
      <w:r>
        <w:rPr>
          <w:rFonts w:hint="eastAsia" w:ascii="仿宋" w:hAnsi="仿宋" w:eastAsia="仿宋"/>
          <w:sz w:val="32"/>
          <w:szCs w:val="32"/>
        </w:rPr>
        <w:t xml:space="preserve">第三部分  名词解释 </w:t>
      </w:r>
    </w:p>
    <w:p w14:paraId="423E5FDE">
      <w:pPr>
        <w:rPr>
          <w:rFonts w:ascii="仿宋" w:hAnsi="仿宋" w:eastAsia="仿宋"/>
          <w:sz w:val="32"/>
          <w:szCs w:val="32"/>
        </w:rPr>
      </w:pPr>
      <w:r>
        <w:rPr>
          <w:rFonts w:hint="eastAsia" w:ascii="仿宋" w:hAnsi="仿宋" w:eastAsia="仿宋"/>
          <w:sz w:val="32"/>
          <w:szCs w:val="32"/>
        </w:rPr>
        <w:t>第四部分  预算表格</w:t>
      </w:r>
    </w:p>
    <w:p w14:paraId="07776B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6967F1C0">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28FF06E9">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69796779">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64AF4998">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66BD5C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30CE0B75">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3183C414">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1D2E9BC3">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01208671">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21084FF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14:paraId="542EAAF8">
      <w:pPr>
        <w:rPr>
          <w:rFonts w:ascii="仿宋" w:hAnsi="仿宋" w:eastAsia="仿宋"/>
          <w:sz w:val="32"/>
          <w:szCs w:val="32"/>
        </w:rPr>
      </w:pPr>
    </w:p>
    <w:p w14:paraId="787654A5">
      <w:pPr>
        <w:rPr>
          <w:rFonts w:ascii="仿宋" w:hAnsi="仿宋" w:eastAsia="仿宋"/>
          <w:sz w:val="32"/>
          <w:szCs w:val="32"/>
        </w:rPr>
      </w:pPr>
    </w:p>
    <w:p w14:paraId="104C0F3F">
      <w:pPr>
        <w:jc w:val="center"/>
        <w:rPr>
          <w:rFonts w:ascii="黑体" w:hAnsi="黑体" w:eastAsia="黑体"/>
          <w:sz w:val="32"/>
          <w:szCs w:val="32"/>
        </w:rPr>
      </w:pPr>
      <w:r>
        <w:rPr>
          <w:rFonts w:hint="eastAsia" w:ascii="黑体" w:hAnsi="黑体" w:eastAsia="黑体"/>
          <w:sz w:val="32"/>
          <w:szCs w:val="32"/>
        </w:rPr>
        <w:t>第一部分    部门（单位）概况</w:t>
      </w:r>
    </w:p>
    <w:p w14:paraId="1F2D391D">
      <w:pPr>
        <w:jc w:val="left"/>
        <w:rPr>
          <w:rFonts w:ascii="仿宋" w:hAnsi="仿宋" w:eastAsia="仿宋"/>
          <w:sz w:val="32"/>
          <w:szCs w:val="32"/>
        </w:rPr>
      </w:pPr>
      <w:r>
        <w:rPr>
          <w:rFonts w:hint="eastAsia" w:ascii="仿宋" w:hAnsi="仿宋" w:eastAsia="仿宋"/>
          <w:sz w:val="32"/>
          <w:szCs w:val="32"/>
        </w:rPr>
        <w:t xml:space="preserve"> 一、主要职能</w:t>
      </w:r>
    </w:p>
    <w:p w14:paraId="76F9A314">
      <w:pPr>
        <w:pStyle w:val="10"/>
        <w:widowControl/>
        <w:spacing w:line="620" w:lineRule="exact"/>
        <w:ind w:firstLine="627" w:firstLineChars="196"/>
        <w:contextualSpacing/>
        <w:rPr>
          <w:rFonts w:ascii="仿宋" w:hAnsi="仿宋" w:eastAsia="仿宋" w:cs="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cs="仿宋"/>
          <w:sz w:val="32"/>
          <w:szCs w:val="32"/>
        </w:rPr>
        <w:t>中共磐石市委政法委员会</w:t>
      </w:r>
    </w:p>
    <w:p w14:paraId="6961DEE8">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成立时间：1983年</w:t>
      </w:r>
    </w:p>
    <w:p w14:paraId="2F60F370">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：党政机关</w:t>
      </w:r>
    </w:p>
    <w:p w14:paraId="3CEF2B3A">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hAnsi="仿宋_GB2312" w:eastAsia="仿宋_GB2312" w:cs="仿宋_GB2312"/>
          <w:sz w:val="32"/>
          <w:szCs w:val="32"/>
        </w:rPr>
        <w:t>主要职责为掌握和分析研判社会稳定形势、政法工作情况动态，加强对政法领域实践和理论问题调查研究，完善平安建设工作协调机制，协调推动预防、化解影响稳定的社会矛盾和风险，协调应对和妥善处置重大突发事件，指导政法单位和相关部门做好反邪教、反暴恐工作，掌握分析政法舆情动态，支持和监督政法单位依法行使职权，检查政法单位执行党的路线方针政策、党中央重大决策部署和国家法律法规的情况，指导和协调政法单位密切配合，推进严格执法、公正司法，指导和推动政法单位党的建设和政法队伍建设，派员列席同级政法单位党组（党委）民主生活会。代管磐石市法学会和磐石市社会治安综合治理服务中心。</w:t>
      </w:r>
    </w:p>
    <w:p w14:paraId="5CEEA3A5">
      <w:pPr>
        <w:jc w:val="left"/>
        <w:rPr>
          <w:rFonts w:ascii="仿宋" w:hAnsi="仿宋" w:eastAsia="仿宋"/>
          <w:sz w:val="32"/>
          <w:szCs w:val="32"/>
        </w:rPr>
      </w:pPr>
      <w:r>
        <w:rPr>
          <w:rFonts w:hint="eastAsia" w:ascii="仿宋" w:hAnsi="仿宋" w:eastAsia="仿宋"/>
          <w:sz w:val="32"/>
          <w:szCs w:val="32"/>
        </w:rPr>
        <w:t xml:space="preserve"> 二、机构设置</w:t>
      </w:r>
    </w:p>
    <w:p w14:paraId="74E439D9">
      <w:pPr>
        <w:spacing w:line="576" w:lineRule="exact"/>
        <w:ind w:firstLine="640" w:firstLineChars="200"/>
        <w:rPr>
          <w:rFonts w:ascii="仿宋_GB2312" w:hAnsi="仿宋_GB2312" w:eastAsia="仿宋_GB2312" w:cs="仿宋_GB2312"/>
          <w:sz w:val="32"/>
          <w:szCs w:val="32"/>
        </w:rPr>
      </w:pPr>
      <w:r>
        <w:rPr>
          <w:rFonts w:hint="eastAsia" w:ascii="仿宋" w:hAnsi="仿宋" w:eastAsia="仿宋" w:cs="楷体_GB2312"/>
          <w:sz w:val="32"/>
          <w:szCs w:val="32"/>
        </w:rPr>
        <w:t>（一）政治部(办公室)。</w:t>
      </w:r>
      <w:r>
        <w:rPr>
          <w:rFonts w:hint="eastAsia" w:ascii="仿宋_GB2312" w:hAnsi="仿宋_GB2312" w:eastAsia="仿宋_GB2312" w:cs="仿宋_GB2312"/>
          <w:sz w:val="32"/>
          <w:szCs w:val="32"/>
        </w:rPr>
        <w:t>主要职责：负责本部门、本系统干部队伍建设工作。推动落实政治督察和纪律作风督查巡查制度，组织开展督察检查，针对突出问题提出整改意见建议；配合市委组织部门，研究提出加强政法队伍建设和政法单位领导班子建设的意见措施；协助市委及市委组织部门管理政法单位领导干部工作；协助主管政法工作的市委领导同志了解政法单位领导班子的思想作风情况。推动政法队伍纪律作风和廉政建设，指导推动政法部门开展政治轮训和教育培训工作；指导政法系统人才队伍建设，配合有关部门办理政法系统党和国家功勋荣誉表彰工作。负责机关日常运转、内外联系及综合协调工作。负责机关干部人事管理、机构编制管理、机关退休干部服务管理等工作。负责机关文电、保密和行政后勤事务及财务管理工作。调查掌握全市政法工作动态和社会治安、社会稳定形势；研究政法工作重大政策和关系全市政法工作全局的重大事项，提出对策建议；指导协调全市政法调研工作，承担重要文稿起草和文字综合等工作。指导政法部门做好涉及政法工作的重大宣传活动；指导政法部门和有关单位拟订宣传方案和口径；承担新闻发布工作。根据授权，代管市法学会的干部。</w:t>
      </w:r>
    </w:p>
    <w:p w14:paraId="3807F2EA">
      <w:pPr>
        <w:spacing w:line="576" w:lineRule="exact"/>
        <w:ind w:firstLine="640" w:firstLineChars="200"/>
        <w:rPr>
          <w:rFonts w:ascii="仿宋_GB2312" w:hAnsi="仿宋_GB2312" w:eastAsia="仿宋_GB2312" w:cs="仿宋_GB2312"/>
          <w:sz w:val="32"/>
          <w:szCs w:val="32"/>
        </w:rPr>
      </w:pPr>
      <w:r>
        <w:rPr>
          <w:rFonts w:hint="eastAsia" w:ascii="仿宋" w:hAnsi="仿宋" w:eastAsia="仿宋" w:cs="楷体_GB2312"/>
          <w:sz w:val="32"/>
          <w:szCs w:val="32"/>
        </w:rPr>
        <w:t>（二）执法监督科(政法举报中心)。</w:t>
      </w:r>
      <w:r>
        <w:rPr>
          <w:rFonts w:hint="eastAsia" w:ascii="仿宋" w:hAnsi="仿宋" w:eastAsia="仿宋" w:cs="仿宋_GB2312"/>
          <w:sz w:val="32"/>
          <w:szCs w:val="32"/>
        </w:rPr>
        <w:t>主</w:t>
      </w:r>
      <w:r>
        <w:rPr>
          <w:rFonts w:hint="eastAsia" w:ascii="仿宋_GB2312" w:hAnsi="仿宋_GB2312" w:eastAsia="仿宋_GB2312" w:cs="仿宋_GB2312"/>
          <w:sz w:val="32"/>
          <w:szCs w:val="32"/>
        </w:rPr>
        <w:t>要职责：监督检查全市政法单位执行党的路线方针政策和国家法律法规的情况，调查分析和及时纠正存在的倾向性问题，研究制定相关对策措施；指导推动政法部门建立健全执法监督制度，针对突出违法问题组织开展专项检查和专项治理；监督和支持政法单位依法履行职责、行使职权，督促依法及时办理有重大影响、群众反映强烈的案件；指导协调吉林市委政法委和市委交办案(事)件和需要市委政法委统筹研究把握原则政策的重大敏感案(事)件的依法处理工作；研究掌握政法改革和法治磐石建设中有关重大问题并提出对策建议。负责统一接收、转办涉法涉诉信访事项、涉黑涉恶和政法干警违法违纪问题线索，开展重点案件督办、协调、评查等工作；负责指导、监督、协调全市涉法涉诉信访工作；指导协调各乡镇街区、部门开展常态化扫黑除恶工作；指导和协调政法单位密切配合，完善与纪检监察机关工作衔接和协作配合机制。</w:t>
      </w:r>
    </w:p>
    <w:p w14:paraId="00BF867F">
      <w:pPr>
        <w:spacing w:line="576" w:lineRule="exact"/>
        <w:ind w:firstLine="640" w:firstLineChars="200"/>
        <w:rPr>
          <w:rFonts w:ascii="仿宋_GB2312" w:hAnsi="仿宋_GB2312" w:eastAsia="仿宋_GB2312" w:cs="仿宋_GB2312"/>
          <w:sz w:val="32"/>
          <w:szCs w:val="32"/>
        </w:rPr>
      </w:pPr>
      <w:r>
        <w:rPr>
          <w:rFonts w:hint="eastAsia" w:ascii="仿宋" w:hAnsi="仿宋" w:eastAsia="仿宋" w:cs="楷体_GB2312"/>
          <w:sz w:val="32"/>
          <w:szCs w:val="32"/>
        </w:rPr>
        <w:t>（三）综治督导科。</w:t>
      </w:r>
      <w:r>
        <w:rPr>
          <w:rFonts w:hint="eastAsia" w:ascii="仿宋" w:hAnsi="仿宋" w:eastAsia="仿宋" w:cs="仿宋_GB2312"/>
          <w:sz w:val="32"/>
          <w:szCs w:val="32"/>
        </w:rPr>
        <w:t>主</w:t>
      </w:r>
      <w:r>
        <w:rPr>
          <w:rFonts w:hint="eastAsia" w:ascii="仿宋_GB2312" w:hAnsi="仿宋_GB2312" w:eastAsia="仿宋_GB2312" w:cs="仿宋_GB2312"/>
          <w:sz w:val="32"/>
          <w:szCs w:val="32"/>
        </w:rPr>
        <w:t>要职责：调研分析全市社会治安形势并提出对策建议；承担全市平安磐石创建、社会治安综合治理工作的组织协调、督导检查和综合考评；指导协调各乡镇街区、各部门推进社会治安重点地区和突出治安问题排查整治、社会治安防控体系建设；协调推动重点领域、行业、物品安全管理；调查研究流动人口、特殊人群和重点青少年群体等服务管理工作有关问题并提出对策建议；协调推动建立覆盖全部实有人口的动态管理体系、特殊人群社会关怀帮扶体系；指导协调预防和减少青少年违法犯罪工作。</w:t>
      </w:r>
    </w:p>
    <w:p w14:paraId="5BAAB5CF">
      <w:pPr>
        <w:spacing w:line="576" w:lineRule="exact"/>
        <w:ind w:firstLine="640" w:firstLineChars="200"/>
        <w:rPr>
          <w:rFonts w:ascii="仿宋_GB2312" w:hAnsi="仿宋_GB2312" w:eastAsia="仿宋_GB2312" w:cs="仿宋_GB2312"/>
          <w:sz w:val="32"/>
          <w:szCs w:val="32"/>
        </w:rPr>
      </w:pPr>
      <w:r>
        <w:rPr>
          <w:rFonts w:hint="eastAsia" w:ascii="仿宋" w:hAnsi="仿宋" w:eastAsia="仿宋" w:cs="楷体_GB2312"/>
          <w:sz w:val="32"/>
          <w:szCs w:val="32"/>
        </w:rPr>
        <w:t>（四）维护安全稳定工作指导科。</w:t>
      </w:r>
      <w:r>
        <w:rPr>
          <w:rFonts w:hint="eastAsia" w:ascii="仿宋" w:hAnsi="仿宋" w:eastAsia="仿宋" w:cs="仿宋_GB2312"/>
          <w:sz w:val="32"/>
          <w:szCs w:val="32"/>
        </w:rPr>
        <w:t>主</w:t>
      </w:r>
      <w:r>
        <w:rPr>
          <w:rFonts w:hint="eastAsia" w:ascii="仿宋_GB2312" w:hAnsi="仿宋_GB2312" w:eastAsia="仿宋_GB2312" w:cs="仿宋_GB2312"/>
          <w:sz w:val="32"/>
          <w:szCs w:val="32"/>
        </w:rPr>
        <w:t>要职责：指导全市政法系统加强国家政治安全战略研究，分析研判政治安全形势，提出工作意见建议；调研掌握一定时期内政治安全重大问题、突出情况、重要动向，指导协调政法等部门维护政治安全工作；组织政法系统开展政治安全风险评估和监测预警，督促检查政法等部门做好政治安全风险防控、危机管控工作；调研掌握影响全市社会稳定的情况动态，分析研判形势并提出对策建议；统筹协调全市政法等部门处理影响社会稳定的重大事项，推动预防、化解影响社会稳定的社会矛盾和风险。</w:t>
      </w:r>
    </w:p>
    <w:p w14:paraId="5DC86FCC">
      <w:pPr>
        <w:spacing w:line="576" w:lineRule="exact"/>
        <w:ind w:firstLine="640" w:firstLineChars="200"/>
        <w:rPr>
          <w:rFonts w:ascii="仿宋_GB2312" w:hAnsi="仿宋_GB2312" w:eastAsia="仿宋_GB2312" w:cs="仿宋_GB2312"/>
          <w:sz w:val="32"/>
          <w:szCs w:val="32"/>
        </w:rPr>
      </w:pPr>
      <w:r>
        <w:rPr>
          <w:rFonts w:hint="eastAsia" w:ascii="仿宋" w:hAnsi="仿宋" w:eastAsia="仿宋" w:cs="楷体_GB2312"/>
          <w:sz w:val="32"/>
          <w:szCs w:val="32"/>
        </w:rPr>
        <w:t>（五）反邪教协调科(基层社会治理科、综治中心)。</w:t>
      </w:r>
      <w:r>
        <w:rPr>
          <w:rFonts w:hint="eastAsia" w:ascii="仿宋" w:hAnsi="仿宋" w:eastAsia="仿宋" w:cs="仿宋_GB2312"/>
          <w:sz w:val="32"/>
          <w:szCs w:val="32"/>
        </w:rPr>
        <w:t>主要</w:t>
      </w:r>
      <w:r>
        <w:rPr>
          <w:rFonts w:hint="eastAsia" w:ascii="仿宋_GB2312" w:hAnsi="仿宋_GB2312" w:eastAsia="仿宋_GB2312" w:cs="仿宋_GB2312"/>
          <w:sz w:val="32"/>
          <w:szCs w:val="32"/>
        </w:rPr>
        <w:t>职责：教协调科。调查研究涉邪教问题</w:t>
      </w:r>
      <w:bookmarkStart w:id="0" w:name="_GoBack"/>
      <w:bookmarkEnd w:id="0"/>
      <w:r>
        <w:rPr>
          <w:rFonts w:hint="eastAsia" w:ascii="仿宋_GB2312" w:hAnsi="仿宋_GB2312" w:eastAsia="仿宋_GB2312" w:cs="仿宋_GB2312"/>
          <w:sz w:val="32"/>
          <w:szCs w:val="32"/>
        </w:rPr>
        <w:t>，了解掌握邪教和对社会有危害气功组织的情况，分析研判形势，及时提出对策建议。统筹协调推动各相关部门做好反邪教工作，统筹部署开展重大反邪教斗争活动。调研分析社会稳定形势并提出对策建议；协调推进全市基层社会治安综合治理体系建设，推动开展基层平安创建活动；深化拓展网格化服务管理，完善乡镇(街道)、村(社区)综治维稳机制；协调推动政法等部门开展群防群治，指导协调公用设施和重要基础设施安全防护、护路护线联防、校园和医院及周边社会治安综合治理工作；指导协调推动“雪亮工程”等社会治安综合治理信息化建设。指导推动各级综治中心(社会矛盾纠纷调处化解中心)标准化建设和实体化运行；组织推动综治信息动态分析、监测预警；组织协调矛盾纠纷多元化解工作；负责对基层综治中心业务指导、督导检查和综合考评。调查掌握全市政法领域意识形态、反邪教形势，指导协调政法部门新媒体建设和媒体宣传工作；协助市委宣传部门做好政法领域重大案(事)件的舆论引导工作，组织协调全市政法舆情的监控分析，研究影响国家安全和社会稳定的国内外舆论情况和信息，提出对策建议，并将有关情况通报市委宣传部门。</w:t>
      </w:r>
    </w:p>
    <w:p w14:paraId="6ABA653A">
      <w:pPr>
        <w:spacing w:line="576" w:lineRule="exact"/>
        <w:ind w:firstLine="640" w:firstLineChars="200"/>
        <w:rPr>
          <w:rFonts w:ascii="仿宋_GB2312" w:hAnsi="仿宋_GB2312" w:eastAsia="仿宋_GB2312" w:cs="仿宋_GB2312"/>
          <w:sz w:val="32"/>
          <w:szCs w:val="32"/>
        </w:rPr>
      </w:pPr>
      <w:r>
        <w:rPr>
          <w:rFonts w:hint="eastAsia" w:ascii="仿宋" w:hAnsi="仿宋" w:eastAsia="仿宋" w:cs="楷体_GB2312"/>
          <w:sz w:val="32"/>
          <w:szCs w:val="32"/>
        </w:rPr>
        <w:t>（六）机关党支部。</w:t>
      </w:r>
      <w:r>
        <w:rPr>
          <w:rFonts w:hint="eastAsia" w:ascii="仿宋_GB2312" w:hAnsi="仿宋_GB2312" w:eastAsia="仿宋_GB2312" w:cs="仿宋_GB2312"/>
          <w:sz w:val="32"/>
          <w:szCs w:val="32"/>
        </w:rPr>
        <w:t>主要职责：负责机关和直属单位的党群工作。</w:t>
      </w:r>
    </w:p>
    <w:p w14:paraId="07A07363">
      <w:pPr>
        <w:pStyle w:val="12"/>
        <w:ind w:firstLine="627" w:firstLineChars="196"/>
        <w:rPr>
          <w:rFonts w:hint="eastAsia" w:ascii="仿宋" w:hAnsi="仿宋" w:eastAsia="仿宋"/>
          <w:kern w:val="0"/>
          <w:szCs w:val="32"/>
        </w:rPr>
      </w:pPr>
      <w:r>
        <w:rPr>
          <w:rFonts w:hint="eastAsia" w:ascii="仿宋" w:hAnsi="仿宋" w:eastAsia="仿宋"/>
          <w:kern w:val="0"/>
          <w:szCs w:val="32"/>
        </w:rPr>
        <w:t>人员情况：</w:t>
      </w:r>
    </w:p>
    <w:p w14:paraId="1D05E759">
      <w:pPr>
        <w:spacing w:line="576" w:lineRule="exact"/>
        <w:ind w:firstLine="640" w:firstLineChars="200"/>
        <w:rPr>
          <w:rFonts w:ascii="仿宋" w:hAnsi="仿宋" w:eastAsia="仿宋" w:cs="仿宋_GB2312"/>
          <w:sz w:val="32"/>
          <w:szCs w:val="32"/>
        </w:rPr>
      </w:pPr>
      <w:r>
        <w:rPr>
          <w:rFonts w:hint="eastAsia" w:ascii="仿宋" w:hAnsi="仿宋" w:eastAsia="仿宋" w:cs="楷体_GB2312"/>
          <w:sz w:val="32"/>
          <w:szCs w:val="32"/>
        </w:rPr>
        <w:t>1.中共磐石市委政法委员会。</w:t>
      </w:r>
      <w:r>
        <w:rPr>
          <w:rFonts w:hint="eastAsia" w:ascii="仿宋" w:hAnsi="仿宋" w:eastAsia="仿宋" w:cs="仿宋_GB2312"/>
          <w:sz w:val="32"/>
          <w:szCs w:val="32"/>
        </w:rPr>
        <w:t>行政编制13名，现实有13人。</w:t>
      </w:r>
      <w:r>
        <w:rPr>
          <w:rFonts w:hint="eastAsia" w:ascii="仿宋_GB2312" w:hAnsi="仿宋_GB2312" w:eastAsia="仿宋_GB2312" w:cs="仿宋_GB2312"/>
          <w:sz w:val="32"/>
          <w:szCs w:val="32"/>
          <w:lang w:val="en-US" w:eastAsia="zh-CN"/>
        </w:rPr>
        <w:t>机关工勤事业编制按实有人数暂保留1名，现实有1人。</w:t>
      </w:r>
    </w:p>
    <w:p w14:paraId="2B8D6DD9">
      <w:pPr>
        <w:spacing w:line="576" w:lineRule="exact"/>
        <w:ind w:firstLine="640" w:firstLineChars="200"/>
        <w:rPr>
          <w:rFonts w:ascii="仿宋" w:hAnsi="仿宋" w:eastAsia="仿宋" w:cs="仿宋_GB2312"/>
          <w:sz w:val="32"/>
          <w:szCs w:val="32"/>
        </w:rPr>
      </w:pPr>
      <w:r>
        <w:rPr>
          <w:rFonts w:hint="eastAsia" w:ascii="仿宋" w:hAnsi="仿宋" w:eastAsia="仿宋" w:cs="楷体_GB2312"/>
          <w:sz w:val="32"/>
          <w:szCs w:val="32"/>
        </w:rPr>
        <w:t>2.磐石市法学会。</w:t>
      </w:r>
      <w:r>
        <w:rPr>
          <w:rFonts w:hint="eastAsia" w:ascii="仿宋" w:hAnsi="仿宋" w:eastAsia="仿宋" w:cs="仿宋_GB2312"/>
          <w:sz w:val="32"/>
          <w:szCs w:val="32"/>
        </w:rPr>
        <w:t>事业编制5名，现实有4人。</w:t>
      </w:r>
    </w:p>
    <w:p w14:paraId="76EDCFA0">
      <w:pPr>
        <w:spacing w:line="576" w:lineRule="exact"/>
        <w:ind w:firstLine="640" w:firstLineChars="200"/>
        <w:rPr>
          <w:rFonts w:ascii="仿宋" w:hAnsi="仿宋" w:eastAsia="仿宋"/>
          <w:kern w:val="0"/>
          <w:szCs w:val="32"/>
        </w:rPr>
      </w:pPr>
      <w:r>
        <w:rPr>
          <w:rFonts w:hint="eastAsia" w:ascii="仿宋" w:hAnsi="仿宋" w:eastAsia="仿宋" w:cs="楷体_GB2312"/>
          <w:sz w:val="32"/>
          <w:szCs w:val="32"/>
        </w:rPr>
        <w:t>3.磐石市社会治安综合治理服务中心。</w:t>
      </w:r>
      <w:r>
        <w:rPr>
          <w:rFonts w:hint="eastAsia" w:ascii="仿宋" w:hAnsi="仿宋" w:eastAsia="仿宋" w:cs="仿宋_GB2312"/>
          <w:sz w:val="32"/>
          <w:szCs w:val="32"/>
        </w:rPr>
        <w:t>事业编制5名，现实有3人。</w:t>
      </w:r>
    </w:p>
    <w:p w14:paraId="62A1B70E">
      <w:pPr>
        <w:rPr>
          <w:rFonts w:hint="eastAsia" w:ascii="仿宋" w:hAnsi="仿宋" w:eastAsia="仿宋"/>
          <w:sz w:val="32"/>
          <w:szCs w:val="32"/>
        </w:rPr>
      </w:pPr>
    </w:p>
    <w:p w14:paraId="6A49900E">
      <w:pPr>
        <w:rPr>
          <w:rFonts w:hint="eastAsia" w:ascii="仿宋" w:hAnsi="仿宋" w:eastAsia="仿宋"/>
          <w:sz w:val="32"/>
          <w:szCs w:val="32"/>
        </w:rPr>
      </w:pPr>
    </w:p>
    <w:p w14:paraId="2483A79E">
      <w:pPr>
        <w:rPr>
          <w:rFonts w:hint="eastAsia" w:ascii="仿宋" w:hAnsi="仿宋" w:eastAsia="仿宋"/>
          <w:sz w:val="32"/>
          <w:szCs w:val="32"/>
        </w:rPr>
      </w:pPr>
    </w:p>
    <w:p w14:paraId="1CAAA5F2">
      <w:pPr>
        <w:rPr>
          <w:rFonts w:hint="eastAsia" w:ascii="仿宋" w:hAnsi="仿宋" w:eastAsia="仿宋"/>
          <w:sz w:val="32"/>
          <w:szCs w:val="32"/>
        </w:rPr>
      </w:pPr>
    </w:p>
    <w:p w14:paraId="24BC2C64">
      <w:pPr>
        <w:rPr>
          <w:rFonts w:hint="eastAsia" w:ascii="仿宋" w:hAnsi="仿宋" w:eastAsia="仿宋"/>
          <w:sz w:val="32"/>
          <w:szCs w:val="32"/>
        </w:rPr>
      </w:pPr>
    </w:p>
    <w:p w14:paraId="0FCC1F61">
      <w:pPr>
        <w:jc w:val="center"/>
        <w:rPr>
          <w:rFonts w:ascii="黑体" w:hAnsi="黑体" w:eastAsia="黑体"/>
          <w:sz w:val="32"/>
          <w:szCs w:val="32"/>
        </w:rPr>
      </w:pPr>
      <w:r>
        <w:rPr>
          <w:rFonts w:hint="eastAsia" w:ascii="黑体" w:hAnsi="黑体" w:eastAsia="黑体"/>
          <w:sz w:val="32"/>
          <w:szCs w:val="32"/>
        </w:rPr>
        <w:t>第二部分  情况说明</w:t>
      </w:r>
    </w:p>
    <w:p w14:paraId="71789BA8">
      <w:pPr>
        <w:jc w:val="left"/>
        <w:rPr>
          <w:rFonts w:ascii="仿宋" w:hAnsi="仿宋" w:eastAsia="仿宋"/>
          <w:sz w:val="32"/>
          <w:szCs w:val="32"/>
        </w:rPr>
      </w:pPr>
    </w:p>
    <w:p w14:paraId="529A17C7">
      <w:pPr>
        <w:jc w:val="left"/>
        <w:rPr>
          <w:rFonts w:ascii="楷体" w:hAnsi="楷体" w:eastAsia="楷体"/>
          <w:sz w:val="32"/>
          <w:szCs w:val="32"/>
        </w:rPr>
      </w:pPr>
      <w:r>
        <w:rPr>
          <w:rFonts w:hint="eastAsia" w:ascii="楷体" w:hAnsi="楷体" w:eastAsia="楷体"/>
          <w:sz w:val="32"/>
          <w:szCs w:val="32"/>
        </w:rPr>
        <w:t>一、2025年收支预算总体情况</w:t>
      </w:r>
    </w:p>
    <w:p w14:paraId="648278D2">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2025年收支总预算452.25万元，比 2024年预算数748.61万元增减少296.36万元，主要原因：减少严重精神障碍以奖代补、综治中心二期项目以及司法救助金等专项经费支出。</w:t>
      </w:r>
    </w:p>
    <w:p w14:paraId="1DE06E74">
      <w:pPr>
        <w:pStyle w:val="11"/>
        <w:jc w:val="left"/>
        <w:rPr>
          <w:rFonts w:ascii="楷体" w:hAnsi="楷体" w:eastAsia="楷体"/>
          <w:sz w:val="32"/>
          <w:szCs w:val="32"/>
        </w:rPr>
      </w:pPr>
      <w:r>
        <w:rPr>
          <w:rFonts w:hint="eastAsia" w:ascii="楷体" w:hAnsi="楷体" w:eastAsia="楷体"/>
          <w:sz w:val="32"/>
          <w:szCs w:val="32"/>
        </w:rPr>
        <w:t>二、2025年收入预算情况</w:t>
      </w:r>
    </w:p>
    <w:p w14:paraId="7611BA06">
      <w:pPr>
        <w:pStyle w:val="11"/>
        <w:ind w:firstLine="640" w:firstLineChars="200"/>
        <w:jc w:val="left"/>
        <w:rPr>
          <w:rFonts w:ascii="仿宋" w:hAnsi="仿宋" w:eastAsia="仿宋"/>
          <w:sz w:val="32"/>
          <w:szCs w:val="32"/>
        </w:rPr>
      </w:pPr>
      <w:r>
        <w:rPr>
          <w:rFonts w:hint="eastAsia" w:ascii="仿宋" w:hAnsi="仿宋" w:eastAsia="仿宋"/>
          <w:sz w:val="32"/>
          <w:szCs w:val="32"/>
        </w:rPr>
        <w:t>2025年本单位收入预算452.25万元，其中：本年收入257.99万元，占57%；上年结转194.26万元，占43%。本年收入中，一般公共预算财政拨款收入257.99万元，占100%；政府性基金收入0万元，占0%；国有资本经营预算拨款收入0万元，占0%；其他收入0万元，占0%。</w:t>
      </w:r>
    </w:p>
    <w:p w14:paraId="509A1D47">
      <w:pPr>
        <w:pStyle w:val="11"/>
        <w:jc w:val="left"/>
        <w:rPr>
          <w:rFonts w:ascii="楷体" w:hAnsi="楷体" w:eastAsia="楷体"/>
          <w:sz w:val="32"/>
          <w:szCs w:val="32"/>
        </w:rPr>
      </w:pPr>
      <w:r>
        <w:rPr>
          <w:rFonts w:hint="eastAsia" w:ascii="楷体" w:hAnsi="楷体" w:eastAsia="楷体"/>
          <w:sz w:val="32"/>
          <w:szCs w:val="32"/>
        </w:rPr>
        <w:t xml:space="preserve"> 三、2025年支出预算情况</w:t>
      </w:r>
    </w:p>
    <w:p w14:paraId="0C7B8E3E">
      <w:pPr>
        <w:pStyle w:val="11"/>
        <w:ind w:firstLine="640" w:firstLineChars="200"/>
        <w:rPr>
          <w:rFonts w:ascii="仿宋" w:hAnsi="仿宋" w:eastAsia="仿宋"/>
          <w:sz w:val="32"/>
          <w:szCs w:val="32"/>
        </w:rPr>
      </w:pPr>
      <w:r>
        <w:rPr>
          <w:rFonts w:hint="eastAsia" w:ascii="仿宋" w:hAnsi="仿宋" w:eastAsia="仿宋"/>
          <w:sz w:val="32"/>
          <w:szCs w:val="32"/>
        </w:rPr>
        <w:t>2025年支出预算452.25万元，其中：基本支出215.16万元，占47.6%；项目支出237.08万元，占52.4%。</w:t>
      </w:r>
    </w:p>
    <w:p w14:paraId="08699962">
      <w:pPr>
        <w:pStyle w:val="11"/>
        <w:ind w:firstLine="640" w:firstLineChars="200"/>
        <w:jc w:val="left"/>
        <w:rPr>
          <w:rFonts w:ascii="楷体" w:hAnsi="楷体" w:eastAsia="楷体"/>
          <w:sz w:val="32"/>
          <w:szCs w:val="32"/>
        </w:rPr>
      </w:pPr>
      <w:r>
        <w:rPr>
          <w:rFonts w:hint="eastAsia" w:ascii="楷体" w:hAnsi="楷体" w:eastAsia="楷体"/>
          <w:sz w:val="32"/>
          <w:szCs w:val="32"/>
        </w:rPr>
        <w:t>四、2025年财政拨款收支预算情况</w:t>
      </w:r>
    </w:p>
    <w:p w14:paraId="4EE8F2FD">
      <w:pPr>
        <w:pStyle w:val="11"/>
        <w:ind w:firstLine="640" w:firstLineChars="200"/>
        <w:rPr>
          <w:rFonts w:ascii="仿宋" w:hAnsi="仿宋" w:eastAsia="仿宋"/>
          <w:sz w:val="32"/>
          <w:szCs w:val="32"/>
        </w:rPr>
      </w:pPr>
      <w:r>
        <w:rPr>
          <w:rFonts w:hint="eastAsia" w:ascii="仿宋" w:hAnsi="仿宋" w:eastAsia="仿宋"/>
          <w:sz w:val="32"/>
          <w:szCs w:val="32"/>
        </w:rPr>
        <w:t>2025年财政拨款收支总预算452.25万元，其中：本年收入257.99万元，上年结转194.26万元。支出包括：一般公共服务支出0万元，公共安全支出390.62万元，社会保障和就业支出34.34万元，卫生健康支出9.74万元，住房保障支出17.55万元，国有资本经营预算支0万元。</w:t>
      </w:r>
    </w:p>
    <w:p w14:paraId="689FDE94">
      <w:pPr>
        <w:pStyle w:val="11"/>
        <w:rPr>
          <w:rFonts w:ascii="楷体" w:hAnsi="楷体" w:eastAsia="楷体"/>
          <w:sz w:val="32"/>
          <w:szCs w:val="32"/>
        </w:rPr>
      </w:pPr>
      <w:r>
        <w:rPr>
          <w:rFonts w:hint="eastAsia" w:ascii="楷体" w:hAnsi="楷体" w:eastAsia="楷体" w:cs="楷体"/>
          <w:kern w:val="0"/>
          <w:sz w:val="32"/>
          <w:szCs w:val="32"/>
        </w:rPr>
        <w:t>五、2025</w:t>
      </w:r>
      <w:r>
        <w:rPr>
          <w:rFonts w:hint="eastAsia" w:ascii="楷体" w:hAnsi="楷体" w:eastAsia="楷体"/>
          <w:kern w:val="0"/>
          <w:sz w:val="32"/>
          <w:szCs w:val="32"/>
        </w:rPr>
        <w:t>年一般公共预算支出情况</w:t>
      </w:r>
    </w:p>
    <w:p w14:paraId="41BE5DB0">
      <w:pPr>
        <w:ind w:firstLine="640" w:firstLineChars="200"/>
        <w:rPr>
          <w:rFonts w:ascii="仿宋" w:hAnsi="仿宋" w:eastAsia="仿宋"/>
          <w:sz w:val="32"/>
          <w:szCs w:val="32"/>
        </w:rPr>
      </w:pPr>
      <w:r>
        <w:rPr>
          <w:rFonts w:hint="eastAsia" w:ascii="仿宋" w:hAnsi="仿宋" w:eastAsia="仿宋"/>
          <w:sz w:val="32"/>
          <w:szCs w:val="32"/>
        </w:rPr>
        <w:t>2025年一般公共预算当年拨款452.25万元，其中：基本支出215.17元，占47.6%；项目支出237.08万元，占52.4%。基本支出中，人员经费198.28万元，占92.2%；公用经费16.89万元，占7.8%。</w:t>
      </w:r>
    </w:p>
    <w:p w14:paraId="27D74E82">
      <w:pPr>
        <w:ind w:firstLine="640" w:firstLineChars="200"/>
        <w:rPr>
          <w:rFonts w:ascii="仿宋" w:hAnsi="仿宋" w:eastAsia="仿宋"/>
          <w:sz w:val="32"/>
          <w:szCs w:val="32"/>
        </w:rPr>
      </w:pPr>
      <w:r>
        <w:rPr>
          <w:rFonts w:hint="eastAsia" w:ascii="仿宋" w:hAnsi="仿宋" w:eastAsia="仿宋"/>
          <w:sz w:val="32"/>
          <w:szCs w:val="32"/>
        </w:rPr>
        <w:t>公共安全（类）支出390.62万元，占86.3%，主要用于：在职人员工资发放以及公用经费支出等。</w:t>
      </w:r>
    </w:p>
    <w:p w14:paraId="6197F648">
      <w:pPr>
        <w:ind w:firstLine="640" w:firstLineChars="200"/>
        <w:rPr>
          <w:rFonts w:ascii="仿宋" w:hAnsi="仿宋" w:eastAsia="仿宋"/>
          <w:sz w:val="32"/>
          <w:szCs w:val="32"/>
        </w:rPr>
      </w:pPr>
      <w:r>
        <w:rPr>
          <w:rFonts w:hint="eastAsia" w:ascii="仿宋" w:hAnsi="仿宋" w:eastAsia="仿宋"/>
          <w:sz w:val="32"/>
          <w:szCs w:val="32"/>
        </w:rPr>
        <w:t>社会保障和就业（类）支出34.34万元，占7.6%，主要用于：在职人员养老保险、失业保险、工伤保险和职业年金支出。</w:t>
      </w:r>
    </w:p>
    <w:p w14:paraId="4122028E">
      <w:pPr>
        <w:ind w:firstLine="640" w:firstLineChars="200"/>
        <w:rPr>
          <w:rFonts w:ascii="仿宋" w:hAnsi="仿宋" w:eastAsia="仿宋"/>
          <w:sz w:val="32"/>
          <w:szCs w:val="32"/>
        </w:rPr>
      </w:pPr>
      <w:r>
        <w:rPr>
          <w:rFonts w:hint="eastAsia" w:ascii="仿宋" w:hAnsi="仿宋" w:eastAsia="仿宋"/>
          <w:sz w:val="32"/>
          <w:szCs w:val="32"/>
        </w:rPr>
        <w:t>卫生健康（类）支出9.74万元，占2.2%，主要用于：在职人员医疗保险等经费支出。</w:t>
      </w:r>
    </w:p>
    <w:p w14:paraId="741499BC">
      <w:pPr>
        <w:ind w:firstLine="640" w:firstLineChars="200"/>
        <w:rPr>
          <w:rFonts w:ascii="仿宋" w:hAnsi="仿宋" w:eastAsia="仿宋"/>
          <w:sz w:val="32"/>
          <w:szCs w:val="32"/>
        </w:rPr>
      </w:pPr>
      <w:r>
        <w:rPr>
          <w:rFonts w:hint="eastAsia" w:ascii="仿宋" w:hAnsi="仿宋" w:eastAsia="仿宋"/>
          <w:sz w:val="32"/>
          <w:szCs w:val="32"/>
        </w:rPr>
        <w:t>住房保障（类）支出17.55万元，占3.9%，主要用于：在职人员住房保障住房公积金支出。</w:t>
      </w:r>
    </w:p>
    <w:p w14:paraId="4C023EEB">
      <w:pPr>
        <w:rPr>
          <w:rFonts w:ascii="楷体" w:hAnsi="楷体" w:eastAsia="楷体"/>
          <w:kern w:val="0"/>
          <w:sz w:val="32"/>
          <w:szCs w:val="32"/>
        </w:rPr>
      </w:pPr>
      <w:r>
        <w:rPr>
          <w:rFonts w:hint="eastAsia" w:ascii="楷体" w:hAnsi="楷体" w:eastAsia="楷体"/>
          <w:kern w:val="0"/>
          <w:sz w:val="32"/>
          <w:szCs w:val="32"/>
        </w:rPr>
        <w:t>六、2025年一般公共预算基本支出情况</w:t>
      </w:r>
    </w:p>
    <w:p w14:paraId="3C01A61F">
      <w:pPr>
        <w:ind w:firstLine="640" w:firstLineChars="200"/>
        <w:rPr>
          <w:rFonts w:ascii="仿宋" w:hAnsi="仿宋" w:eastAsia="仿宋"/>
          <w:sz w:val="32"/>
          <w:szCs w:val="32"/>
        </w:rPr>
      </w:pPr>
      <w:r>
        <w:rPr>
          <w:rFonts w:hint="eastAsia" w:ascii="仿宋" w:hAnsi="仿宋" w:eastAsia="仿宋"/>
          <w:sz w:val="32"/>
          <w:szCs w:val="32"/>
        </w:rPr>
        <w:t>2025年一般公共预算基本支出215.17万元，其中：</w:t>
      </w:r>
    </w:p>
    <w:p w14:paraId="7E6EF119">
      <w:pPr>
        <w:ind w:firstLine="640" w:firstLineChars="200"/>
        <w:rPr>
          <w:rFonts w:ascii="仿宋" w:hAnsi="仿宋" w:eastAsia="仿宋"/>
          <w:sz w:val="32"/>
          <w:szCs w:val="32"/>
        </w:rPr>
      </w:pPr>
      <w:r>
        <w:rPr>
          <w:rFonts w:hint="eastAsia" w:ascii="仿宋" w:hAnsi="仿宋" w:eastAsia="仿宋"/>
          <w:sz w:val="32"/>
          <w:szCs w:val="32"/>
        </w:rPr>
        <w:t>人员经费198.28万元，主要包括：基本工资、津贴补贴、奖金、绩效工资、机关事业单位基本养老保险缴费、职工基本医疗保险缴费、其他社会保障缴费、住房公积金、其他工资福利支出、生活补助、其他对个人和家庭补助支出等；</w:t>
      </w:r>
    </w:p>
    <w:p w14:paraId="2ACCF820">
      <w:pPr>
        <w:pStyle w:val="9"/>
        <w:ind w:firstLine="627" w:firstLineChars="196"/>
        <w:rPr>
          <w:rFonts w:ascii="仿宋" w:hAnsi="仿宋" w:eastAsia="仿宋"/>
          <w:kern w:val="0"/>
          <w:sz w:val="32"/>
          <w:szCs w:val="32"/>
        </w:rPr>
      </w:pPr>
      <w:r>
        <w:rPr>
          <w:rFonts w:hint="eastAsia" w:ascii="仿宋" w:hAnsi="仿宋" w:eastAsia="仿宋"/>
          <w:sz w:val="32"/>
          <w:szCs w:val="32"/>
        </w:rPr>
        <w:t>公用经费16.89万元，主要包括：办公费、印刷费、邮电费、差旅费、会议费、公务接待费、工会经费等。</w:t>
      </w:r>
    </w:p>
    <w:p w14:paraId="61CCB80A">
      <w:pPr>
        <w:pStyle w:val="9"/>
        <w:rPr>
          <w:rFonts w:ascii="楷体" w:hAnsi="楷体" w:eastAsia="楷体"/>
          <w:kern w:val="0"/>
          <w:sz w:val="32"/>
          <w:szCs w:val="32"/>
        </w:rPr>
      </w:pPr>
      <w:r>
        <w:rPr>
          <w:rFonts w:hint="eastAsia" w:ascii="楷体" w:hAnsi="楷体" w:eastAsia="楷体"/>
          <w:kern w:val="0"/>
          <w:sz w:val="32"/>
          <w:szCs w:val="32"/>
        </w:rPr>
        <w:t>七、2025年一般公共预算财政拨款“三公经费”情况</w:t>
      </w:r>
    </w:p>
    <w:p w14:paraId="021EB5C2">
      <w:pPr>
        <w:pStyle w:val="9"/>
        <w:ind w:firstLine="627" w:firstLineChars="196"/>
        <w:rPr>
          <w:rFonts w:ascii="仿宋" w:hAnsi="仿宋" w:eastAsia="仿宋"/>
          <w:kern w:val="0"/>
          <w:sz w:val="32"/>
          <w:szCs w:val="32"/>
        </w:rPr>
      </w:pPr>
      <w:r>
        <w:rPr>
          <w:rFonts w:hint="eastAsia" w:ascii="仿宋" w:hAnsi="仿宋" w:eastAsia="仿宋"/>
          <w:kern w:val="0"/>
          <w:sz w:val="32"/>
          <w:szCs w:val="32"/>
        </w:rPr>
        <w:t>2025年“三公”经费预算数0万元，比2024年预算减少 1万元。其中：</w:t>
      </w:r>
    </w:p>
    <w:p w14:paraId="2ED0088E">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2024年预算数相同。</w:t>
      </w:r>
    </w:p>
    <w:p w14:paraId="2C06A369">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2.公务接待费0万元，比 2024年预算数减少1万元，主要原因是厉行节约，严格落实中央八项规定。</w:t>
      </w:r>
    </w:p>
    <w:p w14:paraId="3DEE1E28">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3.公务用车购置及运行费0万元，与 2024年预算数相同。其中，公务用车运行维护费0万元，与 2024年预算数相同，公务用车购置0万元，与 2024年预算数相同。</w:t>
      </w:r>
    </w:p>
    <w:p w14:paraId="4935D740">
      <w:pPr>
        <w:pStyle w:val="9"/>
        <w:rPr>
          <w:rFonts w:ascii="楷体" w:hAnsi="楷体" w:eastAsia="楷体" w:cs="楷体"/>
          <w:sz w:val="32"/>
          <w:szCs w:val="32"/>
        </w:rPr>
      </w:pPr>
      <w:r>
        <w:rPr>
          <w:rFonts w:hint="eastAsia" w:ascii="楷体" w:hAnsi="楷体" w:eastAsia="楷体" w:cs="楷体"/>
          <w:sz w:val="32"/>
          <w:szCs w:val="32"/>
        </w:rPr>
        <w:t>八、2025年政府性基金预算支出情况</w:t>
      </w:r>
    </w:p>
    <w:p w14:paraId="6D79F362">
      <w:pPr>
        <w:ind w:left="720"/>
        <w:jc w:val="left"/>
        <w:rPr>
          <w:rFonts w:ascii="仿宋" w:hAnsi="仿宋" w:eastAsia="仿宋"/>
          <w:sz w:val="32"/>
          <w:szCs w:val="32"/>
        </w:rPr>
      </w:pPr>
      <w:r>
        <w:rPr>
          <w:rFonts w:hint="eastAsia" w:ascii="仿宋" w:hAnsi="仿宋" w:eastAsia="仿宋"/>
          <w:sz w:val="32"/>
          <w:szCs w:val="32"/>
        </w:rPr>
        <w:t>本部门（单位）无政府性基金预算支出。</w:t>
      </w:r>
    </w:p>
    <w:p w14:paraId="27C565AB">
      <w:pPr>
        <w:pStyle w:val="9"/>
        <w:rPr>
          <w:rFonts w:ascii="楷体" w:hAnsi="楷体" w:eastAsia="楷体" w:cs="楷体"/>
          <w:sz w:val="32"/>
          <w:szCs w:val="32"/>
        </w:rPr>
      </w:pPr>
      <w:r>
        <w:rPr>
          <w:rFonts w:hint="eastAsia" w:ascii="楷体" w:hAnsi="楷体" w:eastAsia="楷体" w:cs="楷体"/>
          <w:sz w:val="32"/>
          <w:szCs w:val="32"/>
        </w:rPr>
        <w:t>九、2025年国有资本经营预算支出情况</w:t>
      </w:r>
    </w:p>
    <w:p w14:paraId="6D31DB2D">
      <w:pPr>
        <w:ind w:left="720"/>
        <w:jc w:val="left"/>
        <w:rPr>
          <w:rFonts w:ascii="仿宋" w:hAnsi="仿宋" w:eastAsia="仿宋"/>
          <w:sz w:val="32"/>
          <w:szCs w:val="32"/>
        </w:rPr>
      </w:pPr>
      <w:r>
        <w:rPr>
          <w:rFonts w:hint="eastAsia" w:ascii="仿宋" w:hAnsi="仿宋" w:eastAsia="仿宋"/>
          <w:sz w:val="32"/>
          <w:szCs w:val="32"/>
        </w:rPr>
        <w:t>本部门（单位）无国有资本经营预算支出。</w:t>
      </w:r>
    </w:p>
    <w:p w14:paraId="75D3D1F6">
      <w:pPr>
        <w:pStyle w:val="8"/>
        <w:numPr>
          <w:ilvl w:val="0"/>
          <w:numId w:val="3"/>
        </w:numPr>
        <w:ind w:firstLineChars="0"/>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3EA3C256">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47A2398C">
      <w:pPr>
        <w:pStyle w:val="8"/>
        <w:ind w:firstLine="640"/>
        <w:rPr>
          <w:rFonts w:ascii="仿宋" w:hAnsi="仿宋" w:eastAsia="仿宋"/>
          <w:sz w:val="32"/>
          <w:szCs w:val="32"/>
        </w:rPr>
      </w:pPr>
      <w:r>
        <w:rPr>
          <w:rFonts w:hint="eastAsia" w:ascii="仿宋" w:hAnsi="仿宋" w:eastAsia="仿宋"/>
          <w:sz w:val="32"/>
          <w:szCs w:val="32"/>
        </w:rPr>
        <w:t>2025年部门本级1家行政单位的机关运行经费财政拨款预算16.89万元，比 2024年预算增加1.18万元，增加7.5%，主要原因是在职人员增加，办公经费增加。</w:t>
      </w:r>
    </w:p>
    <w:p w14:paraId="73827CBF">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77A21F36">
      <w:pPr>
        <w:ind w:firstLine="640" w:firstLineChars="200"/>
        <w:jc w:val="left"/>
        <w:rPr>
          <w:rFonts w:ascii="仿宋" w:hAnsi="仿宋" w:eastAsia="仿宋"/>
          <w:sz w:val="32"/>
          <w:szCs w:val="32"/>
        </w:rPr>
      </w:pPr>
      <w:r>
        <w:rPr>
          <w:rFonts w:hint="eastAsia" w:ascii="仿宋" w:hAnsi="仿宋" w:eastAsia="仿宋"/>
          <w:sz w:val="32"/>
          <w:szCs w:val="32"/>
        </w:rPr>
        <w:t>2025年政府采购预算总额0万元，其中：政府采购办公设备和其他设备预算0万元，政府采购工程预算0万元，政府采购服务预算0万元。</w:t>
      </w:r>
    </w:p>
    <w:p w14:paraId="051D7722">
      <w:pPr>
        <w:jc w:val="left"/>
        <w:rPr>
          <w:rFonts w:ascii="楷体" w:hAnsi="楷体" w:eastAsia="楷体"/>
          <w:sz w:val="32"/>
          <w:szCs w:val="32"/>
        </w:rPr>
      </w:pPr>
      <w:r>
        <w:rPr>
          <w:rFonts w:hint="eastAsia" w:ascii="楷体" w:hAnsi="楷体" w:eastAsia="楷体"/>
          <w:sz w:val="32"/>
          <w:szCs w:val="32"/>
        </w:rPr>
        <w:t>（三）国有资产占有使用情况</w:t>
      </w:r>
    </w:p>
    <w:p w14:paraId="1B25EA5E">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截至2025年1月，部门本级和所属各预算单位共有车辆0辆，其中，领导干部用车0辆、一般公务用车0辆,一般执法执勤用车0辆、特种专业技术用车0辆、其他用车0辆，价值200万元以上大型设备0台（套）。</w:t>
      </w:r>
    </w:p>
    <w:p w14:paraId="3833EF65">
      <w:pPr>
        <w:pStyle w:val="8"/>
        <w:ind w:firstLine="640"/>
        <w:jc w:val="left"/>
        <w:rPr>
          <w:rFonts w:ascii="仿宋" w:hAnsi="仿宋" w:eastAsia="仿宋"/>
          <w:sz w:val="32"/>
          <w:szCs w:val="32"/>
        </w:rPr>
      </w:pPr>
      <w:r>
        <w:rPr>
          <w:rFonts w:hint="eastAsia" w:ascii="仿宋" w:hAnsi="仿宋" w:eastAsia="仿宋"/>
          <w:sz w:val="32"/>
          <w:szCs w:val="32"/>
        </w:rPr>
        <w:t>2025年部门预算安排购置车辆及价值200万元以上大型设备0万元.</w:t>
      </w:r>
    </w:p>
    <w:p w14:paraId="1FA81F67">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567632F7">
      <w:pPr>
        <w:ind w:firstLine="645"/>
        <w:jc w:val="left"/>
        <w:rPr>
          <w:rFonts w:hint="eastAsia" w:ascii="仿宋" w:hAnsi="仿宋" w:eastAsia="仿宋"/>
          <w:sz w:val="32"/>
          <w:szCs w:val="32"/>
        </w:rPr>
      </w:pPr>
      <w:r>
        <w:rPr>
          <w:rFonts w:hint="eastAsia" w:ascii="仿宋" w:hAnsi="仿宋" w:eastAsia="仿宋"/>
          <w:sz w:val="32"/>
          <w:szCs w:val="32"/>
        </w:rPr>
        <w:t>按照全面实施预算绩效管理的要求，结合本部门职能和重点工作，2025年确定6个部门本级预算项目，涉及金额50万元，项目内容为：反邪教工作经费、会议费、维护稳定工作经费、综合治理工作经费、人民防线及政法委工作经费，主要目标为：为了维护社会稳定和谐，为了规划建设一网统筹治理模式。提高基层社区治理效能，贯彻司法为民，维护国家安全和政治稳定处理信访案件，保证扫黑除恶及维护稳定工作正常运转，为国家安全、政治稳定、社会安全提供基础保障。同时，将预算项目绩效目标进一步细化为绩效指标和指标值（附预算项目绩效目标申报表）。</w:t>
      </w:r>
    </w:p>
    <w:p w14:paraId="3C5A2DA7">
      <w:pPr>
        <w:ind w:firstLine="645"/>
        <w:jc w:val="left"/>
        <w:rPr>
          <w:rFonts w:hint="eastAsia" w:ascii="仿宋" w:hAnsi="仿宋" w:eastAsia="仿宋"/>
          <w:sz w:val="32"/>
          <w:szCs w:val="32"/>
        </w:rPr>
      </w:pPr>
    </w:p>
    <w:p w14:paraId="1C83856A">
      <w:pPr>
        <w:ind w:firstLine="645"/>
        <w:jc w:val="left"/>
        <w:rPr>
          <w:rFonts w:hint="eastAsia" w:ascii="仿宋" w:hAnsi="仿宋" w:eastAsia="仿宋"/>
          <w:sz w:val="32"/>
          <w:szCs w:val="32"/>
        </w:rPr>
      </w:pPr>
    </w:p>
    <w:p w14:paraId="2694ECCE">
      <w:pPr>
        <w:ind w:firstLine="645"/>
        <w:jc w:val="left"/>
        <w:rPr>
          <w:rFonts w:hint="eastAsia" w:ascii="仿宋" w:hAnsi="仿宋" w:eastAsia="仿宋"/>
          <w:sz w:val="32"/>
          <w:szCs w:val="32"/>
        </w:rPr>
      </w:pPr>
    </w:p>
    <w:p w14:paraId="0A887DEB">
      <w:pPr>
        <w:ind w:firstLine="645"/>
        <w:jc w:val="left"/>
        <w:rPr>
          <w:rFonts w:hint="eastAsia" w:ascii="仿宋" w:hAnsi="仿宋" w:eastAsia="仿宋"/>
          <w:sz w:val="32"/>
          <w:szCs w:val="32"/>
        </w:rPr>
      </w:pPr>
    </w:p>
    <w:p w14:paraId="3AE347E8">
      <w:pPr>
        <w:ind w:firstLine="645"/>
        <w:jc w:val="left"/>
        <w:rPr>
          <w:rFonts w:ascii="仿宋" w:hAnsi="仿宋" w:eastAsia="仿宋"/>
          <w:sz w:val="32"/>
          <w:szCs w:val="32"/>
        </w:rPr>
      </w:pPr>
    </w:p>
    <w:p w14:paraId="22CC5D21">
      <w:pPr>
        <w:jc w:val="center"/>
        <w:rPr>
          <w:rFonts w:ascii="黑体" w:hAnsi="黑体" w:eastAsia="黑体"/>
          <w:sz w:val="32"/>
          <w:szCs w:val="32"/>
        </w:rPr>
      </w:pPr>
      <w:r>
        <w:rPr>
          <w:rFonts w:hint="eastAsia" w:ascii="黑体" w:hAnsi="黑体" w:eastAsia="黑体"/>
          <w:sz w:val="32"/>
          <w:szCs w:val="32"/>
        </w:rPr>
        <w:t>第三部分  名词解释</w:t>
      </w:r>
    </w:p>
    <w:p w14:paraId="0BE991EA">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09D114BF">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67491CE5">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FADB1FA">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6BD155E9">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03523833">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31ECBAE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633F91FF">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70DBBC0C">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4F20975E">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1C01293">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241737F">
      <w:pPr>
        <w:ind w:firstLine="640" w:firstLineChars="200"/>
        <w:jc w:val="left"/>
        <w:rPr>
          <w:rFonts w:hint="eastAsia"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187F3A04">
      <w:pPr>
        <w:ind w:firstLine="640" w:firstLineChars="200"/>
        <w:jc w:val="left"/>
        <w:rPr>
          <w:rFonts w:hint="eastAsia" w:ascii="仿宋_GB2312" w:hAnsi="仿宋_GB2312" w:eastAsia="仿宋_GB2312" w:cs="Times New Roman"/>
          <w:kern w:val="0"/>
          <w:sz w:val="32"/>
          <w:szCs w:val="32"/>
        </w:rPr>
      </w:pPr>
    </w:p>
    <w:p w14:paraId="7FE388F5">
      <w:pPr>
        <w:ind w:firstLine="640" w:firstLineChars="200"/>
        <w:jc w:val="left"/>
        <w:rPr>
          <w:rFonts w:hint="eastAsia" w:ascii="仿宋_GB2312" w:hAnsi="仿宋_GB2312" w:eastAsia="仿宋_GB2312" w:cs="Times New Roman"/>
          <w:kern w:val="0"/>
          <w:sz w:val="32"/>
          <w:szCs w:val="32"/>
        </w:rPr>
      </w:pPr>
    </w:p>
    <w:p w14:paraId="49E1B595">
      <w:pPr>
        <w:ind w:firstLine="640" w:firstLineChars="200"/>
        <w:jc w:val="left"/>
        <w:rPr>
          <w:rFonts w:hint="eastAsia" w:ascii="仿宋_GB2312" w:hAnsi="仿宋_GB2312" w:eastAsia="仿宋_GB2312" w:cs="Times New Roman"/>
          <w:kern w:val="0"/>
          <w:sz w:val="32"/>
          <w:szCs w:val="32"/>
        </w:rPr>
      </w:pPr>
    </w:p>
    <w:p w14:paraId="09B36BFF">
      <w:pPr>
        <w:ind w:firstLine="640" w:firstLineChars="200"/>
        <w:jc w:val="left"/>
        <w:rPr>
          <w:rFonts w:hint="eastAsia" w:ascii="仿宋_GB2312" w:hAnsi="仿宋_GB2312" w:eastAsia="仿宋_GB2312" w:cs="Times New Roman"/>
          <w:kern w:val="0"/>
          <w:sz w:val="32"/>
          <w:szCs w:val="32"/>
        </w:rPr>
      </w:pPr>
    </w:p>
    <w:p w14:paraId="5C068AB3">
      <w:pPr>
        <w:ind w:firstLine="640" w:firstLineChars="200"/>
        <w:jc w:val="left"/>
        <w:rPr>
          <w:rFonts w:ascii="仿宋_GB2312" w:hAnsi="仿宋_GB2312" w:eastAsia="仿宋_GB2312" w:cs="Times New Roman"/>
          <w:kern w:val="0"/>
          <w:sz w:val="32"/>
          <w:szCs w:val="32"/>
        </w:rPr>
      </w:pPr>
    </w:p>
    <w:p w14:paraId="25DEE929">
      <w:pPr>
        <w:jc w:val="center"/>
        <w:rPr>
          <w:rFonts w:ascii="仿宋" w:hAnsi="仿宋" w:eastAsia="仿宋"/>
          <w:b/>
          <w:sz w:val="32"/>
          <w:szCs w:val="32"/>
        </w:rPr>
      </w:pPr>
      <w:r>
        <w:rPr>
          <w:rFonts w:hint="eastAsia" w:ascii="仿宋" w:hAnsi="仿宋" w:eastAsia="仿宋"/>
          <w:b/>
          <w:sz w:val="32"/>
          <w:szCs w:val="32"/>
        </w:rPr>
        <w:t>第四部分  预算表格</w:t>
      </w:r>
    </w:p>
    <w:p w14:paraId="0CEA3503">
      <w:pPr>
        <w:jc w:val="left"/>
        <w:rPr>
          <w:rFonts w:ascii="仿宋" w:hAnsi="仿宋" w:eastAsia="仿宋"/>
          <w:sz w:val="32"/>
          <w:szCs w:val="32"/>
        </w:rPr>
      </w:pPr>
      <w:r>
        <w:rPr>
          <w:rFonts w:hint="eastAsia" w:ascii="仿宋" w:hAnsi="仿宋" w:eastAsia="仿宋"/>
          <w:sz w:val="32"/>
          <w:szCs w:val="32"/>
        </w:rPr>
        <w:t>2025年部门预算表套表（预算一体化系统报表查询模块中提取相应数据）.</w:t>
      </w:r>
    </w:p>
    <w:p w14:paraId="7D18D783">
      <w:pPr>
        <w:rPr>
          <w:rFonts w:ascii="仿宋" w:hAnsi="仿宋" w:eastAsia="仿宋"/>
          <w:sz w:val="32"/>
          <w:szCs w:val="32"/>
        </w:rPr>
      </w:pPr>
    </w:p>
    <w:p w14:paraId="0D9675BE">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方正小标宋简体">
    <w:panose1 w:val="00000600000000000000"/>
    <w:charset w:val="86"/>
    <w:family w:val="auto"/>
    <w:pitch w:val="default"/>
    <w:sig w:usb0="800002BF" w:usb1="184F6CF8" w:usb2="00000012" w:usb3="00000000" w:csb0="00160001" w:csb1="1203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EB5BA5"/>
    <w:multiLevelType w:val="multilevel"/>
    <w:tmpl w:val="16EB5BA5"/>
    <w:lvl w:ilvl="0" w:tentative="0">
      <w:start w:val="10"/>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434D6"/>
    <w:rsid w:val="0005667C"/>
    <w:rsid w:val="00065C15"/>
    <w:rsid w:val="00071665"/>
    <w:rsid w:val="00072FC1"/>
    <w:rsid w:val="000C7099"/>
    <w:rsid w:val="000F2EE4"/>
    <w:rsid w:val="00124BCE"/>
    <w:rsid w:val="00133CBB"/>
    <w:rsid w:val="00170220"/>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93206"/>
    <w:rsid w:val="004C1015"/>
    <w:rsid w:val="004F111B"/>
    <w:rsid w:val="00534078"/>
    <w:rsid w:val="0056248A"/>
    <w:rsid w:val="00567D16"/>
    <w:rsid w:val="00572D27"/>
    <w:rsid w:val="00576DB1"/>
    <w:rsid w:val="005866C8"/>
    <w:rsid w:val="0059597A"/>
    <w:rsid w:val="005C384D"/>
    <w:rsid w:val="005F0428"/>
    <w:rsid w:val="00600F22"/>
    <w:rsid w:val="00622E82"/>
    <w:rsid w:val="00703402"/>
    <w:rsid w:val="00710E3B"/>
    <w:rsid w:val="00722D32"/>
    <w:rsid w:val="00740031"/>
    <w:rsid w:val="00745992"/>
    <w:rsid w:val="00746DAF"/>
    <w:rsid w:val="007663EF"/>
    <w:rsid w:val="00770198"/>
    <w:rsid w:val="007B276D"/>
    <w:rsid w:val="007D3846"/>
    <w:rsid w:val="00806CC6"/>
    <w:rsid w:val="00815C4B"/>
    <w:rsid w:val="00841FCC"/>
    <w:rsid w:val="008B501D"/>
    <w:rsid w:val="008E3737"/>
    <w:rsid w:val="00942596"/>
    <w:rsid w:val="00971A2E"/>
    <w:rsid w:val="009A3FBB"/>
    <w:rsid w:val="009C3948"/>
    <w:rsid w:val="009E4C36"/>
    <w:rsid w:val="00A12A00"/>
    <w:rsid w:val="00A31D89"/>
    <w:rsid w:val="00A3789D"/>
    <w:rsid w:val="00A55397"/>
    <w:rsid w:val="00A64FF7"/>
    <w:rsid w:val="00A73987"/>
    <w:rsid w:val="00A752E3"/>
    <w:rsid w:val="00A8570F"/>
    <w:rsid w:val="00AB72FD"/>
    <w:rsid w:val="00AE2415"/>
    <w:rsid w:val="00AE2F02"/>
    <w:rsid w:val="00AF32ED"/>
    <w:rsid w:val="00B03AD0"/>
    <w:rsid w:val="00B2091C"/>
    <w:rsid w:val="00B25DCC"/>
    <w:rsid w:val="00B27940"/>
    <w:rsid w:val="00B36C0B"/>
    <w:rsid w:val="00B62C43"/>
    <w:rsid w:val="00B74A8E"/>
    <w:rsid w:val="00BE56A0"/>
    <w:rsid w:val="00C37526"/>
    <w:rsid w:val="00C61D37"/>
    <w:rsid w:val="00CB2087"/>
    <w:rsid w:val="00CC2C0E"/>
    <w:rsid w:val="00CE6FE2"/>
    <w:rsid w:val="00CF0F52"/>
    <w:rsid w:val="00CF7FF2"/>
    <w:rsid w:val="00D21C44"/>
    <w:rsid w:val="00D463CF"/>
    <w:rsid w:val="00D50E97"/>
    <w:rsid w:val="00D54CC0"/>
    <w:rsid w:val="00D56751"/>
    <w:rsid w:val="00DA5EFE"/>
    <w:rsid w:val="00DC6B72"/>
    <w:rsid w:val="00DF38C6"/>
    <w:rsid w:val="00E03F67"/>
    <w:rsid w:val="00E168F9"/>
    <w:rsid w:val="00E20AA8"/>
    <w:rsid w:val="00E20B1E"/>
    <w:rsid w:val="00E343EE"/>
    <w:rsid w:val="00E53AE6"/>
    <w:rsid w:val="00E9559F"/>
    <w:rsid w:val="00ED0CE4"/>
    <w:rsid w:val="00EE5A59"/>
    <w:rsid w:val="00F30AB2"/>
    <w:rsid w:val="00F51569"/>
    <w:rsid w:val="00F62531"/>
    <w:rsid w:val="00F6723D"/>
    <w:rsid w:val="00F81012"/>
    <w:rsid w:val="00FD1DC5"/>
    <w:rsid w:val="01640BD1"/>
    <w:rsid w:val="018E6F43"/>
    <w:rsid w:val="01EC1B1D"/>
    <w:rsid w:val="025766C1"/>
    <w:rsid w:val="034968DF"/>
    <w:rsid w:val="03D7309C"/>
    <w:rsid w:val="03F248D4"/>
    <w:rsid w:val="07C71E05"/>
    <w:rsid w:val="08190FFD"/>
    <w:rsid w:val="0A450E4E"/>
    <w:rsid w:val="0A7F599D"/>
    <w:rsid w:val="0B4115AF"/>
    <w:rsid w:val="0C633590"/>
    <w:rsid w:val="0C7C5D37"/>
    <w:rsid w:val="0D0F40E1"/>
    <w:rsid w:val="0D4F52A0"/>
    <w:rsid w:val="0E0E4A27"/>
    <w:rsid w:val="0E235FAD"/>
    <w:rsid w:val="0E933B6E"/>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DB21965"/>
    <w:rsid w:val="2DB7713C"/>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094911"/>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5085</Words>
  <Characters>5388</Characters>
  <Lines>39</Lines>
  <Paragraphs>11</Paragraphs>
  <TotalTime>2</TotalTime>
  <ScaleCrop>false</ScaleCrop>
  <LinksUpToDate>false</LinksUpToDate>
  <CharactersWithSpaces>5427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饕餮</cp:lastModifiedBy>
  <cp:lastPrinted>2025-04-10T01:43:45Z</cp:lastPrinted>
  <dcterms:modified xsi:type="dcterms:W3CDTF">2025-04-10T01:44:37Z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eyJoZGlkIjoiYmQ3NjQxYmZmN2ZkODIxYWNiNTEzMzQyMTZmNzQ1MmMiLCJ1c2VySWQiOiIyNjY2MDkxNTUifQ==</vt:lpwstr>
  </property>
</Properties>
</file>