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C9AE7">
      <w:pPr>
        <w:jc w:val="center"/>
        <w:rPr>
          <w:rFonts w:hint="eastAsia" w:ascii="黑体" w:hAnsi="黑体" w:eastAsia="黑体"/>
          <w:sz w:val="44"/>
          <w:szCs w:val="44"/>
          <w:highlight w:val="none"/>
          <w:lang w:val="en-US" w:eastAsia="zh-CN"/>
        </w:rPr>
      </w:pPr>
    </w:p>
    <w:p w14:paraId="59F5A3D6">
      <w:pPr>
        <w:jc w:val="center"/>
        <w:rPr>
          <w:rFonts w:hint="eastAsia" w:ascii="黑体" w:hAnsi="黑体" w:eastAsia="黑体"/>
          <w:sz w:val="44"/>
          <w:szCs w:val="44"/>
          <w:highlight w:val="none"/>
          <w:lang w:val="en-US" w:eastAsia="zh-CN"/>
        </w:rPr>
      </w:pPr>
    </w:p>
    <w:p w14:paraId="1A860141">
      <w:pPr>
        <w:jc w:val="center"/>
        <w:rPr>
          <w:rFonts w:hint="eastAsia" w:ascii="黑体" w:hAnsi="黑体" w:eastAsia="黑体"/>
          <w:sz w:val="44"/>
          <w:szCs w:val="44"/>
          <w:highlight w:val="none"/>
          <w:lang w:val="en-US" w:eastAsia="zh-CN"/>
        </w:rPr>
      </w:pPr>
    </w:p>
    <w:p w14:paraId="4B9A393E">
      <w:pPr>
        <w:jc w:val="center"/>
        <w:rPr>
          <w:rFonts w:hint="eastAsia" w:ascii="黑体" w:hAnsi="黑体" w:eastAsia="黑体"/>
          <w:sz w:val="44"/>
          <w:szCs w:val="44"/>
          <w:highlight w:val="none"/>
          <w:lang w:val="en-US" w:eastAsia="zh-CN"/>
        </w:rPr>
      </w:pPr>
    </w:p>
    <w:p w14:paraId="22443314">
      <w:pPr>
        <w:jc w:val="center"/>
        <w:rPr>
          <w:rFonts w:hint="eastAsia" w:ascii="黑体" w:hAnsi="黑体" w:eastAsia="黑体"/>
          <w:sz w:val="44"/>
          <w:szCs w:val="44"/>
          <w:highlight w:val="none"/>
          <w:lang w:val="en-US" w:eastAsia="zh-CN"/>
        </w:rPr>
      </w:pPr>
    </w:p>
    <w:p w14:paraId="6AF2F102">
      <w:pPr>
        <w:widowControl/>
        <w:shd w:val="clear" w:color="auto" w:fill="FFFFFF"/>
        <w:jc w:val="center"/>
        <w:rPr>
          <w:rFonts w:hint="eastAsia" w:ascii="黑体" w:hAnsi="宋体" w:eastAsia="黑体" w:cs="黑体"/>
          <w:color w:val="000000"/>
          <w:kern w:val="0"/>
          <w:sz w:val="48"/>
          <w:szCs w:val="52"/>
          <w:shd w:val="clear" w:color="auto" w:fill="FFFFFF"/>
        </w:rPr>
      </w:pPr>
      <w:r>
        <w:rPr>
          <w:rFonts w:hint="eastAsia" w:ascii="黑体" w:hAnsi="宋体" w:eastAsia="黑体" w:cs="黑体"/>
          <w:color w:val="000000"/>
          <w:kern w:val="0"/>
          <w:sz w:val="48"/>
          <w:szCs w:val="52"/>
          <w:shd w:val="clear" w:color="auto" w:fill="FFFFFF"/>
        </w:rPr>
        <w:t>中国人民政治协商会议吉林省磐石市</w:t>
      </w:r>
    </w:p>
    <w:p w14:paraId="7F954436">
      <w:pPr>
        <w:widowControl/>
        <w:shd w:val="clear" w:color="auto" w:fill="FFFFFF"/>
        <w:jc w:val="center"/>
        <w:rPr>
          <w:rFonts w:ascii="微软雅黑" w:hAnsi="微软雅黑" w:eastAsia="微软雅黑" w:cs="微软雅黑"/>
          <w:color w:val="000000"/>
          <w:sz w:val="22"/>
          <w:szCs w:val="24"/>
        </w:rPr>
      </w:pPr>
      <w:r>
        <w:rPr>
          <w:rFonts w:hint="eastAsia" w:ascii="黑体" w:hAnsi="宋体" w:eastAsia="黑体" w:cs="黑体"/>
          <w:color w:val="000000"/>
          <w:kern w:val="0"/>
          <w:sz w:val="48"/>
          <w:szCs w:val="52"/>
          <w:shd w:val="clear" w:color="auto" w:fill="FFFFFF"/>
        </w:rPr>
        <w:t>委员会办公室</w:t>
      </w:r>
    </w:p>
    <w:p w14:paraId="321DFA4E">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2025年部门预算</w:t>
      </w:r>
    </w:p>
    <w:p w14:paraId="78F1BDD8">
      <w:pPr>
        <w:jc w:val="center"/>
        <w:rPr>
          <w:rFonts w:hint="eastAsia" w:ascii="黑体" w:hAnsi="黑体" w:eastAsia="黑体"/>
          <w:sz w:val="44"/>
          <w:szCs w:val="44"/>
          <w:highlight w:val="none"/>
        </w:rPr>
      </w:pPr>
    </w:p>
    <w:p w14:paraId="17D29941">
      <w:pPr>
        <w:jc w:val="center"/>
        <w:rPr>
          <w:rFonts w:hint="eastAsia" w:ascii="黑体" w:hAnsi="黑体" w:eastAsia="黑体"/>
          <w:sz w:val="44"/>
          <w:szCs w:val="44"/>
          <w:highlight w:val="none"/>
        </w:rPr>
      </w:pPr>
    </w:p>
    <w:p w14:paraId="4AFB9E8F">
      <w:pPr>
        <w:jc w:val="center"/>
        <w:rPr>
          <w:rFonts w:hint="eastAsia" w:ascii="黑体" w:hAnsi="黑体" w:eastAsia="黑体"/>
          <w:sz w:val="44"/>
          <w:szCs w:val="44"/>
          <w:highlight w:val="none"/>
        </w:rPr>
      </w:pPr>
    </w:p>
    <w:p w14:paraId="56AED26C">
      <w:pPr>
        <w:jc w:val="center"/>
        <w:rPr>
          <w:rFonts w:hint="eastAsia" w:ascii="黑体" w:hAnsi="黑体" w:eastAsia="黑体"/>
          <w:sz w:val="44"/>
          <w:szCs w:val="44"/>
          <w:highlight w:val="none"/>
        </w:rPr>
      </w:pPr>
    </w:p>
    <w:p w14:paraId="40BF917F">
      <w:pPr>
        <w:jc w:val="center"/>
        <w:rPr>
          <w:rFonts w:hint="eastAsia" w:ascii="黑体" w:hAnsi="黑体" w:eastAsia="黑体"/>
          <w:sz w:val="44"/>
          <w:szCs w:val="44"/>
          <w:highlight w:val="none"/>
        </w:rPr>
      </w:pPr>
    </w:p>
    <w:p w14:paraId="3318F1C8">
      <w:pPr>
        <w:jc w:val="center"/>
        <w:rPr>
          <w:rFonts w:hint="eastAsia" w:ascii="黑体" w:hAnsi="黑体" w:eastAsia="黑体"/>
          <w:sz w:val="44"/>
          <w:szCs w:val="44"/>
          <w:highlight w:val="none"/>
        </w:rPr>
      </w:pPr>
    </w:p>
    <w:p w14:paraId="47FF53DD">
      <w:pPr>
        <w:jc w:val="both"/>
        <w:rPr>
          <w:rFonts w:hint="eastAsia" w:ascii="黑体" w:hAnsi="黑体" w:eastAsia="黑体"/>
          <w:sz w:val="44"/>
          <w:szCs w:val="44"/>
          <w:highlight w:val="none"/>
        </w:rPr>
      </w:pPr>
    </w:p>
    <w:p w14:paraId="11F16FA2">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二〇二五年二月五日</w:t>
      </w:r>
    </w:p>
    <w:p w14:paraId="6AE0A70C">
      <w:pPr>
        <w:jc w:val="center"/>
        <w:rPr>
          <w:rFonts w:hint="eastAsia" w:ascii="黑体" w:hAnsi="黑体" w:eastAsia="黑体"/>
          <w:sz w:val="44"/>
          <w:szCs w:val="44"/>
          <w:highlight w:val="none"/>
        </w:rPr>
      </w:pPr>
    </w:p>
    <w:p w14:paraId="1D8048BB">
      <w:pPr>
        <w:jc w:val="center"/>
        <w:rPr>
          <w:rFonts w:hint="eastAsia" w:ascii="黑体" w:hAnsi="黑体" w:eastAsia="黑体"/>
          <w:sz w:val="44"/>
          <w:szCs w:val="44"/>
          <w:highlight w:val="none"/>
        </w:rPr>
      </w:pPr>
    </w:p>
    <w:p w14:paraId="0F8E1F90">
      <w:pPr>
        <w:jc w:val="center"/>
        <w:rPr>
          <w:rFonts w:hint="eastAsia" w:ascii="黑体" w:hAnsi="黑体" w:eastAsia="黑体"/>
          <w:sz w:val="44"/>
          <w:szCs w:val="44"/>
          <w:highlight w:val="none"/>
        </w:rPr>
      </w:pPr>
    </w:p>
    <w:p w14:paraId="0A1D3EEA">
      <w:pPr>
        <w:jc w:val="center"/>
        <w:rPr>
          <w:rFonts w:hint="eastAsia" w:ascii="黑体" w:hAnsi="黑体" w:eastAsia="黑体"/>
          <w:sz w:val="44"/>
          <w:szCs w:val="44"/>
          <w:highlight w:val="none"/>
        </w:rPr>
      </w:pPr>
    </w:p>
    <w:p w14:paraId="1DB137CB">
      <w:pPr>
        <w:jc w:val="center"/>
        <w:rPr>
          <w:rFonts w:hint="eastAsia" w:ascii="黑体" w:hAnsi="黑体" w:eastAsia="黑体"/>
          <w:sz w:val="44"/>
          <w:szCs w:val="44"/>
          <w:highlight w:val="none"/>
        </w:rPr>
      </w:pPr>
    </w:p>
    <w:p w14:paraId="4C08CE05">
      <w:pPr>
        <w:jc w:val="center"/>
        <w:rPr>
          <w:rFonts w:hint="eastAsia" w:ascii="黑体" w:hAnsi="黑体" w:eastAsia="黑体"/>
          <w:sz w:val="44"/>
          <w:szCs w:val="44"/>
          <w:highlight w:val="none"/>
        </w:rPr>
      </w:pPr>
    </w:p>
    <w:p w14:paraId="122D14F8">
      <w:pPr>
        <w:widowControl/>
        <w:shd w:val="clear" w:color="auto" w:fill="FFFFFF"/>
        <w:jc w:val="center"/>
        <w:rPr>
          <w:rFonts w:hint="eastAsia" w:ascii="黑体" w:hAnsi="宋体" w:eastAsia="黑体" w:cs="黑体"/>
          <w:color w:val="000000"/>
          <w:kern w:val="0"/>
          <w:sz w:val="48"/>
          <w:szCs w:val="52"/>
          <w:shd w:val="clear" w:color="auto" w:fill="FFFFFF"/>
        </w:rPr>
      </w:pPr>
      <w:r>
        <w:rPr>
          <w:rFonts w:hint="eastAsia" w:ascii="黑体" w:hAnsi="宋体" w:eastAsia="黑体" w:cs="黑体"/>
          <w:color w:val="000000"/>
          <w:kern w:val="0"/>
          <w:sz w:val="48"/>
          <w:szCs w:val="52"/>
          <w:shd w:val="clear" w:color="auto" w:fill="FFFFFF"/>
        </w:rPr>
        <w:t>中国人民政治协商会议吉林省磐石市</w:t>
      </w:r>
    </w:p>
    <w:p w14:paraId="58FDDFD6">
      <w:pPr>
        <w:widowControl/>
        <w:shd w:val="clear" w:color="auto" w:fill="FFFFFF"/>
        <w:jc w:val="center"/>
        <w:rPr>
          <w:rFonts w:ascii="黑体" w:hAnsi="黑体" w:eastAsia="黑体"/>
          <w:sz w:val="44"/>
          <w:szCs w:val="44"/>
          <w:highlight w:val="none"/>
        </w:rPr>
      </w:pPr>
      <w:r>
        <w:rPr>
          <w:rFonts w:hint="eastAsia" w:ascii="黑体" w:hAnsi="宋体" w:eastAsia="黑体" w:cs="黑体"/>
          <w:color w:val="000000"/>
          <w:kern w:val="0"/>
          <w:sz w:val="48"/>
          <w:szCs w:val="52"/>
          <w:shd w:val="clear" w:color="auto" w:fill="FFFFFF"/>
        </w:rPr>
        <w:t>委员会办公室</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4E0D6DB5">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67482311">
      <w:pPr>
        <w:rPr>
          <w:rFonts w:hint="eastAsia" w:ascii="仿宋" w:hAnsi="仿宋" w:eastAsia="仿宋"/>
          <w:sz w:val="32"/>
          <w:szCs w:val="32"/>
          <w:highlight w:val="none"/>
        </w:rPr>
      </w:pPr>
    </w:p>
    <w:p w14:paraId="75B914AA">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1A18ED6">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637655BF">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6767A5CB">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6F2F1DF2">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04559DDF">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6E7B876">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F5162E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6DFA41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A86BD6B">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E7B66B1">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00D8FB9E">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66405AC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6DEEC0C">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6A5382B4">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12EBDFFF">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24B80883">
      <w:pPr>
        <w:pStyle w:val="9"/>
        <w:numPr>
          <w:ilvl w:val="0"/>
          <w:numId w:val="0"/>
        </w:numPr>
        <w:ind w:left="825" w:leftChars="0"/>
        <w:rPr>
          <w:rFonts w:ascii="仿宋" w:hAnsi="仿宋" w:eastAsia="仿宋"/>
          <w:sz w:val="32"/>
          <w:szCs w:val="32"/>
          <w:highlight w:val="none"/>
        </w:rPr>
      </w:pPr>
      <w:r>
        <w:rPr>
          <w:rFonts w:hint="eastAsia" w:ascii="仿宋" w:hAnsi="仿宋" w:eastAsia="仿宋"/>
          <w:sz w:val="32"/>
          <w:szCs w:val="32"/>
          <w:highlight w:val="none"/>
          <w:lang w:val="en-US" w:eastAsia="zh-CN"/>
        </w:rPr>
        <w:t>十一、</w:t>
      </w:r>
      <w:r>
        <w:rPr>
          <w:rFonts w:hint="eastAsia" w:ascii="仿宋" w:hAnsi="仿宋" w:eastAsia="仿宋"/>
          <w:sz w:val="32"/>
          <w:szCs w:val="32"/>
          <w:highlight w:val="none"/>
        </w:rPr>
        <w:t>项目支出绩效目标表</w:t>
      </w:r>
    </w:p>
    <w:p w14:paraId="2FAAC7EE">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3B79AF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1D80C65">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8364D2A">
      <w:pPr>
        <w:pStyle w:val="4"/>
        <w:widowControl/>
        <w:shd w:val="clear" w:color="auto" w:fill="FFFFFF"/>
        <w:spacing w:line="620" w:lineRule="atLeast"/>
        <w:ind w:firstLine="627"/>
        <w:rPr>
          <w:rFonts w:ascii="微软雅黑" w:hAnsi="微软雅黑" w:eastAsia="微软雅黑" w:cs="微软雅黑"/>
          <w:color w:val="000000"/>
          <w:szCs w:val="24"/>
        </w:rPr>
      </w:pPr>
      <w:r>
        <w:rPr>
          <w:rFonts w:hint="eastAsia" w:ascii="仿宋" w:hAnsi="仿宋" w:eastAsia="仿宋" w:cs="仿宋"/>
          <w:color w:val="000000"/>
          <w:sz w:val="32"/>
          <w:szCs w:val="32"/>
          <w:shd w:val="clear" w:color="auto" w:fill="FFFFFF"/>
        </w:rPr>
        <w:t>单位名称：中国人民政治协商会议吉林省磐石市委员会办公室</w:t>
      </w:r>
    </w:p>
    <w:p w14:paraId="4C959691">
      <w:pPr>
        <w:pStyle w:val="4"/>
        <w:widowControl/>
        <w:shd w:val="clear" w:color="auto" w:fill="FFFFFF"/>
        <w:spacing w:line="620" w:lineRule="atLeast"/>
        <w:ind w:firstLine="627"/>
        <w:rPr>
          <w:rFonts w:ascii="微软雅黑" w:hAnsi="微软雅黑" w:eastAsia="微软雅黑" w:cs="微软雅黑"/>
          <w:color w:val="000000"/>
          <w:szCs w:val="24"/>
        </w:rPr>
      </w:pPr>
      <w:r>
        <w:rPr>
          <w:rFonts w:hint="eastAsia" w:ascii="仿宋" w:hAnsi="仿宋" w:eastAsia="仿宋" w:cs="仿宋"/>
          <w:color w:val="000000"/>
          <w:sz w:val="32"/>
          <w:szCs w:val="32"/>
          <w:shd w:val="clear" w:color="auto" w:fill="FFFFFF"/>
        </w:rPr>
        <w:t>成立时间：1957年</w:t>
      </w:r>
    </w:p>
    <w:p w14:paraId="22BF081F">
      <w:pPr>
        <w:pStyle w:val="4"/>
        <w:widowControl/>
        <w:shd w:val="clear" w:color="auto" w:fill="FFFFFF"/>
        <w:spacing w:line="620" w:lineRule="atLeast"/>
        <w:ind w:firstLine="627"/>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单位性质：政协机关</w:t>
      </w:r>
    </w:p>
    <w:p w14:paraId="0FC5BA1B">
      <w:pPr>
        <w:pStyle w:val="4"/>
        <w:widowControl/>
        <w:shd w:val="clear" w:color="auto" w:fill="FFFFFF"/>
        <w:spacing w:line="620" w:lineRule="atLeast"/>
        <w:ind w:firstLine="627"/>
        <w:rPr>
          <w:rFonts w:ascii="微软雅黑" w:hAnsi="微软雅黑" w:eastAsia="微软雅黑" w:cs="微软雅黑"/>
          <w:color w:val="000000"/>
          <w:szCs w:val="24"/>
        </w:rPr>
      </w:pPr>
      <w:r>
        <w:rPr>
          <w:rFonts w:hint="eastAsia" w:ascii="仿宋" w:hAnsi="仿宋" w:eastAsia="仿宋" w:cs="仿宋"/>
          <w:color w:val="000000"/>
          <w:sz w:val="32"/>
          <w:szCs w:val="32"/>
          <w:shd w:val="clear" w:color="auto" w:fill="FFFFFF"/>
        </w:rPr>
        <w:t>主要职能：</w:t>
      </w:r>
    </w:p>
    <w:p w14:paraId="45699B11">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（一）负责政协磐石市委员会的各项会务工作;</w:t>
      </w:r>
    </w:p>
    <w:p w14:paraId="47948441">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（二）组织实施政协磐石市委员会全体会议、常委会议、主席会议的决议、决定;</w:t>
      </w:r>
    </w:p>
    <w:p w14:paraId="76666444">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（三）负责委员视察、参观、调研等活动的秘书、服务和具体组织工作;</w:t>
      </w:r>
    </w:p>
    <w:p w14:paraId="616AE2CD">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（四）研究统一战线和人民政协的理论政策,调查研究地方政协的工作经验、共同性问题及解决办法,供领导参阅;</w:t>
      </w:r>
    </w:p>
    <w:p w14:paraId="020FDB27">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（五）负责政协的对内对外宣传,收集和反映各界人土的意见和建议;</w:t>
      </w:r>
    </w:p>
    <w:p w14:paraId="2409C84C">
      <w:pPr>
        <w:widowControl/>
        <w:shd w:val="clear" w:color="auto" w:fill="FFFFFF"/>
        <w:spacing w:line="576" w:lineRule="atLeast"/>
        <w:ind w:firstLine="64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（六）负责磐石市政协开展活动的后勤保障;</w:t>
      </w:r>
    </w:p>
    <w:p w14:paraId="4141B7C1">
      <w:pPr>
        <w:widowControl/>
        <w:shd w:val="clear" w:color="auto" w:fill="FFFFFF"/>
        <w:spacing w:line="576" w:lineRule="atLeast"/>
        <w:ind w:left="638"/>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（七）负责组织委员学习、宣传国家的方针政策和法律；（八）就国家的大政方针及政治、经济文化和社会生活</w:t>
      </w:r>
    </w:p>
    <w:p w14:paraId="085CED9F">
      <w:pPr>
        <w:widowControl/>
        <w:shd w:val="clear" w:color="auto" w:fill="FFFFFF"/>
        <w:spacing w:line="576" w:lineRule="atLeast"/>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中的重要问题，人民群众普遍关心的问题，选择其中具有综合性、全局性、前瞻性的课题，深入开展调查研究，提出意见、建议和提案；</w:t>
      </w:r>
    </w:p>
    <w:p w14:paraId="116A866A">
      <w:pPr>
        <w:widowControl/>
        <w:shd w:val="clear" w:color="auto" w:fill="FFFFFF"/>
        <w:spacing w:line="576" w:lineRule="atLeast"/>
        <w:ind w:firstLine="80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（九）团结和联系委员及各族各界人士，积极反映社情民意；</w:t>
      </w:r>
    </w:p>
    <w:p w14:paraId="36418AA0">
      <w:pPr>
        <w:widowControl/>
        <w:shd w:val="clear" w:color="auto" w:fill="FFFFFF"/>
        <w:spacing w:line="576" w:lineRule="atLeast"/>
        <w:ind w:firstLine="80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（十）维护社会稳定和民族团结，促进祖国和平统一，加强同域外人士的友好往来与合作；</w:t>
      </w:r>
    </w:p>
    <w:p w14:paraId="29EA5484">
      <w:pPr>
        <w:widowControl/>
        <w:shd w:val="clear" w:color="auto" w:fill="FFFFFF"/>
        <w:spacing w:line="576" w:lineRule="atLeast"/>
        <w:ind w:firstLine="80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（十一）组织各种活动，积极为政协委员知情出力、履行职责创造条件。</w:t>
      </w:r>
    </w:p>
    <w:p w14:paraId="2508BFFB">
      <w:pPr>
        <w:widowControl/>
        <w:shd w:val="clear" w:color="auto" w:fill="FFFFFF"/>
        <w:spacing w:line="576" w:lineRule="atLeast"/>
        <w:ind w:firstLine="800"/>
        <w:jc w:val="left"/>
        <w:rPr>
          <w:rFonts w:ascii="仿宋" w:hAnsi="仿宋" w:eastAsia="仿宋" w:cs="微软雅黑"/>
          <w:color w:val="000000"/>
          <w:sz w:val="24"/>
          <w:szCs w:val="24"/>
        </w:rPr>
      </w:pPr>
      <w:r>
        <w:rPr>
          <w:rFonts w:ascii="仿宋" w:hAnsi="仿宋" w:eastAsia="仿宋" w:cs="仿宋_GB2312"/>
          <w:color w:val="000000"/>
          <w:kern w:val="0"/>
          <w:sz w:val="32"/>
          <w:szCs w:val="32"/>
          <w:shd w:val="clear" w:color="auto" w:fill="FFFFFF"/>
        </w:rPr>
        <w:t>（十二）承担磐石市政协主席、副主席交办的其他事项等。</w:t>
      </w:r>
    </w:p>
    <w:p w14:paraId="3925E186">
      <w:pPr>
        <w:pStyle w:val="4"/>
        <w:widowControl/>
        <w:shd w:val="clear" w:color="auto" w:fill="FFFFFF"/>
        <w:spacing w:line="620" w:lineRule="atLeast"/>
        <w:ind w:firstLine="627"/>
        <w:rPr>
          <w:rFonts w:ascii="微软雅黑" w:hAnsi="微软雅黑" w:eastAsia="微软雅黑" w:cs="微软雅黑"/>
          <w:color w:val="000000"/>
          <w:szCs w:val="24"/>
        </w:rPr>
      </w:pPr>
      <w:r>
        <w:rPr>
          <w:rFonts w:hint="eastAsia" w:ascii="仿宋" w:hAnsi="仿宋" w:eastAsia="仿宋" w:cs="仿宋"/>
          <w:color w:val="000000"/>
          <w:sz w:val="32"/>
          <w:szCs w:val="32"/>
          <w:shd w:val="clear" w:color="auto" w:fill="FFFFFF"/>
        </w:rPr>
        <w:t>主要业务：</w:t>
      </w:r>
    </w:p>
    <w:p w14:paraId="50FE81E5">
      <w:pPr>
        <w:ind w:firstLine="640" w:firstLineChars="200"/>
        <w:rPr>
          <w:rFonts w:hint="eastAsia" w:ascii="仿宋_GB2312" w:hAnsi="仿宋_GB2312" w:eastAsia="仿宋_GB2312" w:cs="仿宋_GB2312"/>
          <w:color w:val="484848"/>
          <w:kern w:val="0"/>
          <w:sz w:val="32"/>
          <w:szCs w:val="32"/>
          <w:lang w:val="en-US"/>
        </w:rPr>
      </w:pPr>
      <w:r>
        <w:rPr>
          <w:rFonts w:hint="eastAsia" w:ascii="仿宋_GB2312" w:hAnsi="仿宋_GB2312" w:eastAsia="仿宋_GB2312" w:cs="仿宋_GB2312"/>
          <w:color w:val="484848"/>
          <w:kern w:val="0"/>
          <w:sz w:val="32"/>
          <w:szCs w:val="32"/>
        </w:rPr>
        <w:t>负责市政协重要会议的组织协调和有关决议决定的实施;起草各类文件；整理报送调研视察报告</w:t>
      </w:r>
      <w:r>
        <w:rPr>
          <w:rFonts w:hint="eastAsia" w:ascii="仿宋_GB2312" w:hAnsi="仿宋_GB2312" w:eastAsia="仿宋_GB2312" w:cs="仿宋_GB2312"/>
          <w:color w:val="484848"/>
          <w:kern w:val="0"/>
          <w:sz w:val="32"/>
          <w:szCs w:val="32"/>
          <w:lang w:eastAsia="zh-CN"/>
        </w:rPr>
        <w:t>等</w:t>
      </w:r>
      <w:r>
        <w:rPr>
          <w:rFonts w:hint="eastAsia" w:ascii="仿宋_GB2312" w:hAnsi="仿宋_GB2312" w:eastAsia="仿宋_GB2312" w:cs="仿宋_GB2312"/>
          <w:color w:val="484848"/>
          <w:kern w:val="0"/>
          <w:sz w:val="32"/>
          <w:szCs w:val="32"/>
        </w:rPr>
        <w:t>;信息及外宣工作;提案及社情民意工作;委员履职活动的组织和服务;友好交往</w:t>
      </w:r>
      <w:r>
        <w:rPr>
          <w:rFonts w:hint="eastAsia" w:ascii="仿宋_GB2312" w:hAnsi="仿宋_GB2312" w:eastAsia="仿宋_GB2312" w:cs="仿宋_GB2312"/>
          <w:color w:val="484848"/>
          <w:kern w:val="0"/>
          <w:sz w:val="32"/>
          <w:szCs w:val="32"/>
          <w:lang w:eastAsia="zh-CN"/>
        </w:rPr>
        <w:t>和</w:t>
      </w:r>
      <w:r>
        <w:rPr>
          <w:rFonts w:hint="eastAsia" w:ascii="仿宋_GB2312" w:hAnsi="仿宋_GB2312" w:eastAsia="仿宋_GB2312" w:cs="仿宋_GB2312"/>
          <w:color w:val="484848"/>
          <w:kern w:val="0"/>
          <w:sz w:val="32"/>
          <w:szCs w:val="32"/>
        </w:rPr>
        <w:t>公务接待；机关机构编制、人事工资</w:t>
      </w:r>
      <w:r>
        <w:rPr>
          <w:rFonts w:hint="eastAsia" w:ascii="仿宋_GB2312" w:hAnsi="仿宋_GB2312" w:eastAsia="仿宋_GB2312" w:cs="仿宋_GB2312"/>
          <w:color w:val="484848"/>
          <w:kern w:val="0"/>
          <w:sz w:val="32"/>
          <w:szCs w:val="32"/>
          <w:lang w:eastAsia="zh-CN"/>
        </w:rPr>
        <w:t>、</w:t>
      </w:r>
      <w:r>
        <w:rPr>
          <w:rFonts w:hint="eastAsia" w:ascii="仿宋_GB2312" w:hAnsi="仿宋_GB2312" w:eastAsia="仿宋_GB2312" w:cs="仿宋_GB2312"/>
          <w:color w:val="484848"/>
          <w:kern w:val="0"/>
          <w:sz w:val="32"/>
          <w:szCs w:val="32"/>
        </w:rPr>
        <w:t>财务</w:t>
      </w:r>
      <w:r>
        <w:rPr>
          <w:rFonts w:hint="eastAsia" w:ascii="仿宋_GB2312" w:hAnsi="仿宋_GB2312" w:eastAsia="仿宋_GB2312" w:cs="仿宋_GB2312"/>
          <w:color w:val="484848"/>
          <w:kern w:val="0"/>
          <w:sz w:val="32"/>
          <w:szCs w:val="32"/>
          <w:lang w:eastAsia="zh-CN"/>
        </w:rPr>
        <w:t>、</w:t>
      </w:r>
      <w:r>
        <w:rPr>
          <w:rFonts w:hint="eastAsia" w:ascii="仿宋_GB2312" w:hAnsi="仿宋_GB2312" w:eastAsia="仿宋_GB2312" w:cs="仿宋_GB2312"/>
          <w:color w:val="484848"/>
          <w:kern w:val="0"/>
          <w:sz w:val="32"/>
          <w:szCs w:val="32"/>
        </w:rPr>
        <w:t>公文处理、档案、保密</w:t>
      </w:r>
      <w:r>
        <w:rPr>
          <w:rFonts w:hint="eastAsia" w:ascii="仿宋_GB2312" w:hAnsi="仿宋_GB2312" w:eastAsia="仿宋_GB2312" w:cs="仿宋_GB2312"/>
          <w:color w:val="484848"/>
          <w:kern w:val="0"/>
          <w:sz w:val="32"/>
          <w:szCs w:val="32"/>
          <w:lang w:eastAsia="zh-CN"/>
        </w:rPr>
        <w:t>、老干部</w:t>
      </w:r>
      <w:r>
        <w:rPr>
          <w:rFonts w:hint="eastAsia" w:ascii="仿宋_GB2312" w:hAnsi="仿宋_GB2312" w:eastAsia="仿宋_GB2312" w:cs="仿宋_GB2312"/>
          <w:color w:val="484848"/>
          <w:kern w:val="0"/>
          <w:sz w:val="32"/>
          <w:szCs w:val="32"/>
        </w:rPr>
        <w:t>及其他行政性事务；联系安排市政协领导内外事活动;机关自身建设工作。</w:t>
      </w:r>
    </w:p>
    <w:p w14:paraId="6CE0E920">
      <w:pPr>
        <w:widowControl/>
        <w:shd w:val="clear" w:color="auto" w:fill="FFFFFF"/>
        <w:jc w:val="left"/>
        <w:rPr>
          <w:rFonts w:ascii="仿宋" w:hAnsi="仿宋" w:eastAsia="仿宋" w:cs="微软雅黑"/>
          <w:color w:val="000000"/>
          <w:sz w:val="24"/>
          <w:szCs w:val="24"/>
        </w:rPr>
      </w:pPr>
      <w:r>
        <w:rPr>
          <w:rFonts w:hint="eastAsia" w:ascii="仿宋" w:hAnsi="仿宋" w:eastAsia="仿宋" w:cs="仿宋"/>
          <w:color w:val="000000"/>
          <w:kern w:val="0"/>
          <w:sz w:val="32"/>
          <w:szCs w:val="32"/>
          <w:shd w:val="clear" w:color="auto" w:fill="FFFFFF"/>
        </w:rPr>
        <w:t>  二、机构设置</w:t>
      </w:r>
    </w:p>
    <w:p w14:paraId="2D78478F">
      <w:pPr>
        <w:pStyle w:val="4"/>
        <w:widowControl/>
        <w:shd w:val="clear" w:color="auto" w:fill="FFFFFF"/>
        <w:ind w:firstLine="627"/>
        <w:rPr>
          <w:rFonts w:ascii="仿宋" w:hAnsi="仿宋" w:eastAsia="仿宋" w:cs="微软雅黑"/>
          <w:color w:val="000000"/>
          <w:szCs w:val="24"/>
        </w:rPr>
      </w:pPr>
      <w:r>
        <w:rPr>
          <w:rFonts w:hint="eastAsia" w:ascii="仿宋" w:hAnsi="仿宋" w:eastAsia="仿宋" w:cs="仿宋"/>
          <w:color w:val="000000"/>
          <w:sz w:val="32"/>
          <w:szCs w:val="32"/>
          <w:shd w:val="clear" w:color="auto" w:fill="FFFFFF"/>
        </w:rPr>
        <w:t>机构设置包括：</w:t>
      </w:r>
      <w:r>
        <w:rPr>
          <w:rFonts w:ascii="仿宋" w:hAnsi="仿宋" w:eastAsia="仿宋" w:cs="仿宋_GB2312"/>
          <w:color w:val="000000"/>
          <w:sz w:val="32"/>
          <w:szCs w:val="32"/>
          <w:shd w:val="clear" w:color="auto" w:fill="FFFFFF"/>
        </w:rPr>
        <w:t>政协常委会办公室、</w:t>
      </w:r>
      <w:r>
        <w:rPr>
          <w:rFonts w:hint="eastAsia" w:ascii="仿宋" w:hAnsi="仿宋" w:eastAsia="仿宋" w:cs="仿宋_GB2312"/>
          <w:color w:val="000000"/>
          <w:sz w:val="32"/>
          <w:szCs w:val="32"/>
          <w:shd w:val="clear" w:color="auto" w:fill="FFFFFF"/>
          <w:lang w:val="en-US" w:eastAsia="zh-CN"/>
        </w:rPr>
        <w:t>经济科技委员会办公室</w:t>
      </w:r>
      <w:r>
        <w:rPr>
          <w:rFonts w:ascii="仿宋" w:hAnsi="仿宋" w:eastAsia="仿宋" w:cs="仿宋_GB2312"/>
          <w:color w:val="000000"/>
          <w:sz w:val="32"/>
          <w:szCs w:val="32"/>
          <w:shd w:val="clear" w:color="auto" w:fill="FFFFFF"/>
        </w:rPr>
        <w:t>、</w:t>
      </w:r>
      <w:r>
        <w:rPr>
          <w:rFonts w:hint="eastAsia" w:ascii="仿宋" w:hAnsi="仿宋" w:eastAsia="仿宋" w:cs="仿宋_GB2312"/>
          <w:color w:val="000000"/>
          <w:sz w:val="32"/>
          <w:szCs w:val="32"/>
          <w:shd w:val="clear" w:color="auto" w:fill="FFFFFF"/>
          <w:lang w:val="en-US" w:eastAsia="zh-CN"/>
        </w:rPr>
        <w:t>文教法制委员会办公室、文史提案委员会办公室、农业和农村委员会、</w:t>
      </w:r>
      <w:r>
        <w:rPr>
          <w:rFonts w:ascii="仿宋" w:hAnsi="仿宋" w:eastAsia="仿宋" w:cs="仿宋_GB2312"/>
          <w:color w:val="000000"/>
          <w:sz w:val="32"/>
          <w:szCs w:val="32"/>
          <w:shd w:val="clear" w:color="auto" w:fill="FFFFFF"/>
        </w:rPr>
        <w:t>秘书科、农业和农村委员会办公室、政协办公室综合保障中心</w:t>
      </w:r>
      <w:r>
        <w:rPr>
          <w:rFonts w:hint="eastAsia" w:ascii="仿宋" w:hAnsi="仿宋" w:eastAsia="仿宋" w:cs="仿宋"/>
          <w:color w:val="000000"/>
          <w:sz w:val="32"/>
          <w:szCs w:val="32"/>
          <w:shd w:val="clear" w:color="auto" w:fill="FFFFFF"/>
        </w:rPr>
        <w:t>。</w:t>
      </w:r>
    </w:p>
    <w:p w14:paraId="377C2C02">
      <w:pPr>
        <w:pStyle w:val="4"/>
        <w:widowControl/>
        <w:shd w:val="clear" w:color="auto" w:fill="FFFFFF"/>
        <w:ind w:firstLine="627"/>
        <w:rPr>
          <w:rFonts w:ascii="微软雅黑" w:hAnsi="微软雅黑" w:eastAsia="微软雅黑" w:cs="微软雅黑"/>
          <w:color w:val="000000"/>
          <w:szCs w:val="24"/>
        </w:rPr>
      </w:pPr>
      <w:r>
        <w:rPr>
          <w:rFonts w:hint="eastAsia" w:ascii="仿宋" w:hAnsi="仿宋" w:eastAsia="仿宋" w:cs="仿宋"/>
          <w:color w:val="000000"/>
          <w:sz w:val="32"/>
          <w:szCs w:val="32"/>
          <w:shd w:val="clear" w:color="auto" w:fill="FFFFFF"/>
        </w:rPr>
        <w:t>人员情况：</w:t>
      </w:r>
      <w:r>
        <w:rPr>
          <w:rFonts w:hint="eastAsia" w:ascii="仿宋" w:hAnsi="仿宋" w:eastAsia="仿宋" w:cs="仿宋"/>
          <w:color w:val="000000"/>
          <w:sz w:val="32"/>
          <w:szCs w:val="32"/>
          <w:shd w:val="clear" w:color="auto" w:fill="FFFFFF"/>
          <w:lang w:val="en-US" w:eastAsia="zh-CN"/>
        </w:rPr>
        <w:t>编制19名，</w:t>
      </w:r>
      <w:r>
        <w:rPr>
          <w:rFonts w:hint="eastAsia" w:ascii="仿宋" w:hAnsi="仿宋" w:eastAsia="仿宋" w:cs="仿宋"/>
          <w:color w:val="000000"/>
          <w:sz w:val="32"/>
          <w:szCs w:val="32"/>
          <w:shd w:val="clear" w:color="auto" w:fill="FFFFFF"/>
        </w:rPr>
        <w:t>在职人员1</w:t>
      </w:r>
      <w:r>
        <w:rPr>
          <w:rFonts w:hint="eastAsia" w:ascii="仿宋" w:hAnsi="仿宋" w:eastAsia="仿宋" w:cs="仿宋"/>
          <w:color w:val="000000"/>
          <w:sz w:val="32"/>
          <w:szCs w:val="32"/>
          <w:shd w:val="clear" w:color="auto" w:fill="FFFFFF"/>
          <w:lang w:val="en-US" w:eastAsia="zh-CN"/>
        </w:rPr>
        <w:t>8</w:t>
      </w:r>
      <w:r>
        <w:rPr>
          <w:rFonts w:hint="eastAsia" w:ascii="仿宋" w:hAnsi="仿宋" w:eastAsia="仿宋" w:cs="仿宋"/>
          <w:color w:val="000000"/>
          <w:sz w:val="32"/>
          <w:szCs w:val="32"/>
          <w:shd w:val="clear" w:color="auto" w:fill="FFFFFF"/>
        </w:rPr>
        <w:t>人，领导职数10个。</w:t>
      </w:r>
    </w:p>
    <w:p w14:paraId="204BCDD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66C9151">
      <w:pPr>
        <w:jc w:val="left"/>
        <w:rPr>
          <w:rFonts w:ascii="仿宋" w:hAnsi="仿宋" w:eastAsia="仿宋"/>
          <w:sz w:val="32"/>
          <w:szCs w:val="32"/>
          <w:highlight w:val="none"/>
        </w:rPr>
      </w:pPr>
    </w:p>
    <w:p w14:paraId="7A2FCCA9">
      <w:pPr>
        <w:jc w:val="left"/>
        <w:rPr>
          <w:rFonts w:ascii="仿宋" w:hAnsi="仿宋" w:eastAsia="仿宋"/>
          <w:sz w:val="32"/>
          <w:szCs w:val="32"/>
          <w:highlight w:val="none"/>
        </w:rPr>
      </w:pPr>
    </w:p>
    <w:p w14:paraId="53C2DC72">
      <w:pPr>
        <w:jc w:val="left"/>
        <w:rPr>
          <w:rFonts w:ascii="仿宋" w:hAnsi="仿宋" w:eastAsia="仿宋"/>
          <w:sz w:val="32"/>
          <w:szCs w:val="32"/>
          <w:highlight w:val="none"/>
        </w:rPr>
      </w:pPr>
    </w:p>
    <w:p w14:paraId="17FA0ABF">
      <w:pPr>
        <w:jc w:val="left"/>
        <w:rPr>
          <w:rFonts w:ascii="仿宋" w:hAnsi="仿宋" w:eastAsia="仿宋"/>
          <w:sz w:val="32"/>
          <w:szCs w:val="32"/>
          <w:highlight w:val="none"/>
        </w:rPr>
      </w:pPr>
    </w:p>
    <w:p w14:paraId="188708DD">
      <w:pPr>
        <w:jc w:val="left"/>
        <w:rPr>
          <w:rFonts w:ascii="仿宋" w:hAnsi="仿宋" w:eastAsia="仿宋"/>
          <w:sz w:val="32"/>
          <w:szCs w:val="32"/>
          <w:highlight w:val="none"/>
        </w:rPr>
      </w:pPr>
    </w:p>
    <w:p w14:paraId="1877AA93">
      <w:pPr>
        <w:jc w:val="left"/>
        <w:rPr>
          <w:rFonts w:ascii="仿宋" w:hAnsi="仿宋" w:eastAsia="仿宋"/>
          <w:sz w:val="32"/>
          <w:szCs w:val="32"/>
          <w:highlight w:val="none"/>
        </w:rPr>
      </w:pPr>
    </w:p>
    <w:p w14:paraId="5A772830">
      <w:pPr>
        <w:jc w:val="left"/>
        <w:rPr>
          <w:rFonts w:ascii="仿宋" w:hAnsi="仿宋" w:eastAsia="仿宋"/>
          <w:sz w:val="32"/>
          <w:szCs w:val="32"/>
          <w:highlight w:val="none"/>
        </w:rPr>
      </w:pPr>
    </w:p>
    <w:p w14:paraId="6B5E4C61">
      <w:pPr>
        <w:jc w:val="left"/>
        <w:rPr>
          <w:rFonts w:ascii="仿宋" w:hAnsi="仿宋" w:eastAsia="仿宋"/>
          <w:sz w:val="32"/>
          <w:szCs w:val="32"/>
          <w:highlight w:val="none"/>
        </w:rPr>
      </w:pPr>
    </w:p>
    <w:p w14:paraId="2B116098">
      <w:pPr>
        <w:jc w:val="left"/>
        <w:rPr>
          <w:rFonts w:ascii="仿宋" w:hAnsi="仿宋" w:eastAsia="仿宋"/>
          <w:sz w:val="32"/>
          <w:szCs w:val="32"/>
          <w:highlight w:val="none"/>
        </w:rPr>
      </w:pPr>
    </w:p>
    <w:p w14:paraId="79CBCD9B">
      <w:pPr>
        <w:jc w:val="left"/>
        <w:rPr>
          <w:rFonts w:ascii="仿宋" w:hAnsi="仿宋" w:eastAsia="仿宋"/>
          <w:sz w:val="32"/>
          <w:szCs w:val="32"/>
          <w:highlight w:val="none"/>
        </w:rPr>
      </w:pPr>
    </w:p>
    <w:p w14:paraId="4F832EFD">
      <w:pPr>
        <w:jc w:val="left"/>
        <w:rPr>
          <w:rFonts w:ascii="仿宋" w:hAnsi="仿宋" w:eastAsia="仿宋"/>
          <w:sz w:val="32"/>
          <w:szCs w:val="32"/>
          <w:highlight w:val="none"/>
        </w:rPr>
      </w:pPr>
    </w:p>
    <w:p w14:paraId="5A90CC69">
      <w:pPr>
        <w:jc w:val="left"/>
        <w:rPr>
          <w:rFonts w:ascii="仿宋" w:hAnsi="仿宋" w:eastAsia="仿宋"/>
          <w:sz w:val="32"/>
          <w:szCs w:val="32"/>
          <w:highlight w:val="none"/>
        </w:rPr>
      </w:pPr>
    </w:p>
    <w:p w14:paraId="3A406D90">
      <w:pPr>
        <w:jc w:val="left"/>
        <w:rPr>
          <w:rFonts w:ascii="仿宋" w:hAnsi="仿宋" w:eastAsia="仿宋"/>
          <w:sz w:val="32"/>
          <w:szCs w:val="32"/>
          <w:highlight w:val="none"/>
        </w:rPr>
      </w:pPr>
    </w:p>
    <w:p w14:paraId="2EFA05FF">
      <w:pPr>
        <w:jc w:val="left"/>
        <w:rPr>
          <w:rFonts w:ascii="仿宋" w:hAnsi="仿宋" w:eastAsia="仿宋"/>
          <w:sz w:val="32"/>
          <w:szCs w:val="32"/>
          <w:highlight w:val="none"/>
        </w:rPr>
      </w:pPr>
    </w:p>
    <w:p w14:paraId="119CD4C7">
      <w:pPr>
        <w:jc w:val="left"/>
        <w:rPr>
          <w:rFonts w:ascii="仿宋" w:hAnsi="仿宋" w:eastAsia="仿宋"/>
          <w:sz w:val="32"/>
          <w:szCs w:val="32"/>
          <w:highlight w:val="none"/>
        </w:rPr>
      </w:pPr>
    </w:p>
    <w:p w14:paraId="55D38DDE">
      <w:pPr>
        <w:jc w:val="left"/>
        <w:rPr>
          <w:rFonts w:ascii="仿宋" w:hAnsi="仿宋" w:eastAsia="仿宋"/>
          <w:sz w:val="32"/>
          <w:szCs w:val="32"/>
          <w:highlight w:val="none"/>
        </w:rPr>
      </w:pPr>
    </w:p>
    <w:p w14:paraId="4AEE77B2">
      <w:pPr>
        <w:jc w:val="left"/>
        <w:rPr>
          <w:rFonts w:ascii="仿宋" w:hAnsi="仿宋" w:eastAsia="仿宋"/>
          <w:sz w:val="32"/>
          <w:szCs w:val="32"/>
          <w:highlight w:val="none"/>
        </w:rPr>
      </w:pPr>
    </w:p>
    <w:p w14:paraId="6868264F">
      <w:pPr>
        <w:jc w:val="left"/>
        <w:rPr>
          <w:rFonts w:ascii="仿宋" w:hAnsi="仿宋" w:eastAsia="仿宋"/>
          <w:sz w:val="32"/>
          <w:szCs w:val="32"/>
          <w:highlight w:val="none"/>
        </w:rPr>
      </w:pPr>
    </w:p>
    <w:p w14:paraId="1BDD5C70">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8524AC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8300D5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2566C095">
      <w:pPr>
        <w:pStyle w:val="12"/>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337.01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284.42</w:t>
      </w:r>
      <w:r>
        <w:rPr>
          <w:rFonts w:hint="eastAsia" w:ascii="仿宋" w:hAnsi="仿宋" w:eastAsia="仿宋"/>
          <w:sz w:val="32"/>
          <w:szCs w:val="32"/>
          <w:highlight w:val="none"/>
        </w:rPr>
        <w:t xml:space="preserve">万元增加 </w:t>
      </w:r>
      <w:r>
        <w:rPr>
          <w:rFonts w:hint="eastAsia" w:ascii="仿宋" w:hAnsi="仿宋" w:eastAsia="仿宋"/>
          <w:sz w:val="32"/>
          <w:szCs w:val="32"/>
          <w:highlight w:val="none"/>
          <w:lang w:val="en-US" w:eastAsia="zh-CN"/>
        </w:rPr>
        <w:t>52.59</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在职人员增多，工资调整工资额增加导致基本支出增多</w:t>
      </w:r>
      <w:r>
        <w:rPr>
          <w:rFonts w:hint="eastAsia" w:ascii="仿宋" w:hAnsi="仿宋" w:eastAsia="仿宋"/>
          <w:sz w:val="32"/>
          <w:szCs w:val="32"/>
          <w:highlight w:val="none"/>
          <w:lang w:eastAsia="zh-CN"/>
        </w:rPr>
        <w:t>。</w:t>
      </w:r>
    </w:p>
    <w:p w14:paraId="22E4AA85">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828CBE3">
      <w:pPr>
        <w:pStyle w:val="12"/>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337.01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314.99万元，占93.5%；上年结转22.01万元，占6.5%。本年收入中，一般公共预算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314.99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067524B0">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33AB3545">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337.01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255.83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75.9%</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81.18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24.1</w:t>
      </w:r>
      <w:r>
        <w:rPr>
          <w:rFonts w:hint="eastAsia" w:ascii="仿宋" w:hAnsi="仿宋" w:eastAsia="仿宋"/>
          <w:sz w:val="32"/>
          <w:szCs w:val="32"/>
          <w:highlight w:val="none"/>
          <w:lang w:eastAsia="zh-CN"/>
        </w:rPr>
        <w:t>%。</w:t>
      </w:r>
    </w:p>
    <w:p w14:paraId="4D6633D8">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05819B29">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337.01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314.99万元，上年结转22.01万元。支出包括：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268.55</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38.36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10.57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19.53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7086029F">
      <w:pPr>
        <w:pStyle w:val="12"/>
        <w:ind w:firstLine="640" w:firstLineChars="200"/>
        <w:rPr>
          <w:rFonts w:ascii="楷体" w:hAnsi="楷体" w:eastAsia="楷体"/>
          <w:sz w:val="32"/>
          <w:szCs w:val="32"/>
          <w:highlight w:val="none"/>
        </w:rPr>
      </w:pP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5A90110">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337.01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255.83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75.9%</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81.18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24.1</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234.79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91.8</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21.05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8.2</w:t>
      </w:r>
      <w:r>
        <w:rPr>
          <w:rFonts w:hint="eastAsia" w:ascii="仿宋" w:hAnsi="仿宋" w:eastAsia="仿宋"/>
          <w:sz w:val="32"/>
          <w:szCs w:val="32"/>
          <w:highlight w:val="none"/>
        </w:rPr>
        <w:t>%。</w:t>
      </w:r>
    </w:p>
    <w:p w14:paraId="18E85A2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268.55万元，占79.69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人员工资和政协项目支出。</w:t>
      </w:r>
    </w:p>
    <w:p w14:paraId="22654641">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社会保障和就业（类）支出38.36万元，占11.38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缴纳机关在职人员养老保险、职业年金、工伤保险和公益岗位养老保险、工伤保险、失业保险的支出。</w:t>
      </w:r>
    </w:p>
    <w:p w14:paraId="75F03FD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10.57 万元，占3.14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缴纳机关在职及公益岗位医保缴费的支出。</w:t>
      </w:r>
    </w:p>
    <w:p w14:paraId="07AAE22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19.53 万元，占5.79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缴纳机关在职人员公积金缴存的支出。</w:t>
      </w:r>
    </w:p>
    <w:p w14:paraId="0AD8E3DF">
      <w:pPr>
        <w:pStyle w:val="10"/>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lang w:val="en-US" w:eastAsia="zh-CN"/>
        </w:rPr>
        <w:t xml:space="preserve"> </w:t>
      </w: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3484D1D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255.83 万元，其中：</w:t>
      </w:r>
    </w:p>
    <w:p w14:paraId="7F4E32DD">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234.79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和其他福利支出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544E76DD">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21.05</w:t>
      </w:r>
      <w:r>
        <w:rPr>
          <w:rFonts w:hint="eastAsia" w:ascii="仿宋" w:hAnsi="仿宋" w:eastAsia="仿宋"/>
          <w:sz w:val="32"/>
          <w:szCs w:val="32"/>
          <w:highlight w:val="none"/>
        </w:rPr>
        <w:t>万元，主要包括：办公费、工会经费</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其他交通费用、对个人和家庭的补助费用</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3B76E733">
      <w:pPr>
        <w:pStyle w:val="10"/>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7A312E9D">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4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数相同</w:t>
      </w:r>
      <w:r>
        <w:rPr>
          <w:rFonts w:hint="eastAsia" w:ascii="仿宋" w:hAnsi="仿宋" w:eastAsia="仿宋"/>
          <w:kern w:val="0"/>
          <w:sz w:val="32"/>
          <w:szCs w:val="32"/>
          <w:highlight w:val="none"/>
        </w:rPr>
        <w:t>。其中：</w:t>
      </w:r>
    </w:p>
    <w:p w14:paraId="1F2AF4ED">
      <w:pPr>
        <w:pStyle w:val="10"/>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77A8860">
      <w:pPr>
        <w:pStyle w:val="10"/>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4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与</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数相同。</w:t>
      </w:r>
    </w:p>
    <w:p w14:paraId="633D3BB0">
      <w:pPr>
        <w:pStyle w:val="10"/>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0FDE1564">
      <w:pPr>
        <w:pStyle w:val="10"/>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6D242C24">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4AB45A5">
      <w:pPr>
        <w:pStyle w:val="10"/>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126B10F9">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77EE0905">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50F3BAA">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2A2C0384">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w:t>
      </w:r>
      <w:r>
        <w:rPr>
          <w:rFonts w:hint="eastAsia" w:ascii="仿宋" w:hAnsi="仿宋" w:eastAsia="仿宋"/>
          <w:sz w:val="32"/>
          <w:szCs w:val="32"/>
          <w:highlight w:val="none"/>
          <w:lang w:val="en-US" w:eastAsia="zh-CN"/>
        </w:rPr>
        <w:t>的</w:t>
      </w:r>
      <w:r>
        <w:rPr>
          <w:rFonts w:hint="eastAsia" w:ascii="仿宋" w:hAnsi="仿宋" w:eastAsia="仿宋"/>
          <w:sz w:val="32"/>
          <w:szCs w:val="32"/>
          <w:highlight w:val="none"/>
        </w:rPr>
        <w:t>机关运行经费财政拨款预算</w:t>
      </w:r>
      <w:r>
        <w:rPr>
          <w:rFonts w:hint="eastAsia" w:ascii="仿宋" w:hAnsi="仿宋" w:eastAsia="仿宋"/>
          <w:sz w:val="32"/>
          <w:szCs w:val="32"/>
          <w:highlight w:val="none"/>
          <w:lang w:val="en-US" w:eastAsia="zh-CN"/>
        </w:rPr>
        <w:t xml:space="preserve"> 21.05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4.34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25.97</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在职人员增加，导致办公经费增加</w:t>
      </w:r>
      <w:r>
        <w:rPr>
          <w:rFonts w:hint="eastAsia" w:ascii="仿宋" w:hAnsi="仿宋" w:eastAsia="仿宋"/>
          <w:sz w:val="32"/>
          <w:szCs w:val="32"/>
          <w:highlight w:val="none"/>
          <w:lang w:eastAsia="zh-CN"/>
        </w:rPr>
        <w:t>。</w:t>
      </w:r>
    </w:p>
    <w:p w14:paraId="2949A87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243EA49C">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E5C5C05">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5415168">
      <w:pPr>
        <w:pStyle w:val="9"/>
        <w:ind w:firstLine="0" w:firstLineChars="0"/>
        <w:jc w:val="left"/>
        <w:rPr>
          <w:rFonts w:ascii="仿宋" w:hAnsi="仿宋" w:eastAsia="仿宋"/>
          <w:sz w:val="32"/>
          <w:szCs w:val="32"/>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w:t>
      </w:r>
      <w:r>
        <w:rPr>
          <w:rFonts w:hint="eastAsia" w:ascii="仿宋" w:hAnsi="仿宋" w:eastAsia="仿宋"/>
          <w:sz w:val="32"/>
          <w:szCs w:val="32"/>
        </w:rPr>
        <w:t>部门本级和所属各预算单位共有车辆0辆，其中，领导干部用车0辆、一般公务用车0辆,一般执法执勤用车0辆、特种专业技术用车0辆、其他用车0辆，价值200万元以上大型设备0台（套）。</w:t>
      </w:r>
    </w:p>
    <w:p w14:paraId="472B575D">
      <w:pPr>
        <w:pStyle w:val="9"/>
        <w:ind w:firstLine="640"/>
        <w:jc w:val="left"/>
        <w:rPr>
          <w:rFonts w:ascii="仿宋" w:hAnsi="仿宋" w:eastAsia="仿宋"/>
          <w:sz w:val="32"/>
          <w:szCs w:val="32"/>
          <w:highlight w:val="none"/>
        </w:rPr>
      </w:pPr>
      <w:r>
        <w:rPr>
          <w:rFonts w:hint="eastAsia" w:ascii="仿宋" w:hAnsi="仿宋" w:eastAsia="仿宋"/>
          <w:sz w:val="32"/>
          <w:szCs w:val="32"/>
        </w:rPr>
        <w:t>2024年部门预算安排购置车辆及价值200万元以上大型设备0台（套）。</w:t>
      </w:r>
    </w:p>
    <w:p w14:paraId="04C8A7CE">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02B6F2F">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59.84</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政协公务接待费、政协办临聘人员工资、政协工作经费、政协会议大会及常委会、政协视察经费、政协文史资料。项目</w:t>
      </w:r>
      <w:r>
        <w:rPr>
          <w:rFonts w:hint="eastAsia" w:ascii="仿宋" w:hAnsi="仿宋" w:eastAsia="仿宋"/>
          <w:sz w:val="32"/>
          <w:szCs w:val="32"/>
          <w:highlight w:val="none"/>
        </w:rPr>
        <w:t>主要目标</w:t>
      </w:r>
      <w:r>
        <w:rPr>
          <w:rFonts w:hint="eastAsia" w:ascii="仿宋" w:hAnsi="仿宋" w:eastAsia="仿宋" w:cs="仿宋"/>
          <w:color w:val="000000"/>
          <w:kern w:val="0"/>
          <w:sz w:val="32"/>
          <w:szCs w:val="32"/>
          <w:shd w:val="clear" w:color="auto" w:fill="FFFFFF"/>
        </w:rPr>
        <w:t>为通过召开常委会议和全委会议，综合委员智慧，为全市经济发展等出谋划策贡献政协力量</w:t>
      </w:r>
      <w:r>
        <w:rPr>
          <w:rFonts w:hint="eastAsia" w:ascii="仿宋" w:hAnsi="仿宋" w:eastAsia="仿宋" w:cs="仿宋"/>
          <w:color w:val="000000"/>
          <w:kern w:val="0"/>
          <w:sz w:val="32"/>
          <w:szCs w:val="32"/>
          <w:shd w:val="clear" w:color="auto" w:fill="FFFFFF"/>
          <w:lang w:eastAsia="zh-CN"/>
        </w:rPr>
        <w:t>；</w:t>
      </w:r>
      <w:r>
        <w:rPr>
          <w:rFonts w:hint="eastAsia" w:ascii="仿宋" w:hAnsi="仿宋" w:eastAsia="仿宋" w:cs="仿宋"/>
          <w:color w:val="000000"/>
          <w:kern w:val="0"/>
          <w:sz w:val="32"/>
          <w:szCs w:val="32"/>
          <w:shd w:val="clear" w:color="auto" w:fill="FFFFFF"/>
          <w:lang w:val="en-US" w:eastAsia="zh-CN"/>
        </w:rPr>
        <w:t>进一步发挥政协存史的重要性，每年编撰出本一辑文史资料；为上级来磐指导工作及调研视察、县市区工作业务交流、委员培训和专委会调研视察活动的开展做好服务保障等</w:t>
      </w:r>
      <w:r>
        <w:rPr>
          <w:rFonts w:hint="eastAsia" w:ascii="仿宋" w:hAnsi="仿宋" w:eastAsia="仿宋"/>
          <w:sz w:val="32"/>
          <w:szCs w:val="32"/>
          <w:highlight w:val="none"/>
        </w:rPr>
        <w:t>。同时，将预算项目绩效目标进一步细化为绩效指标和指标值（附预算项目绩效目标申报表）。</w:t>
      </w:r>
      <w:bookmarkStart w:id="0" w:name="_GoBack"/>
      <w:bookmarkEnd w:id="0"/>
    </w:p>
    <w:p w14:paraId="158FADD2">
      <w:pPr>
        <w:jc w:val="left"/>
        <w:rPr>
          <w:rFonts w:ascii="仿宋" w:hAnsi="仿宋" w:eastAsia="仿宋"/>
          <w:sz w:val="32"/>
          <w:szCs w:val="32"/>
          <w:highlight w:val="none"/>
        </w:rPr>
      </w:pPr>
    </w:p>
    <w:p w14:paraId="20B22D21">
      <w:pPr>
        <w:jc w:val="left"/>
        <w:rPr>
          <w:rFonts w:ascii="仿宋" w:hAnsi="仿宋" w:eastAsia="仿宋"/>
          <w:sz w:val="32"/>
          <w:szCs w:val="32"/>
          <w:highlight w:val="none"/>
        </w:rPr>
      </w:pPr>
    </w:p>
    <w:p w14:paraId="7D260EAD">
      <w:pPr>
        <w:jc w:val="both"/>
        <w:rPr>
          <w:rFonts w:hint="eastAsia" w:ascii="黑体" w:hAnsi="黑体" w:eastAsia="黑体"/>
          <w:sz w:val="32"/>
          <w:szCs w:val="32"/>
          <w:highlight w:val="none"/>
        </w:rPr>
      </w:pPr>
    </w:p>
    <w:p w14:paraId="55E912A3">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33EA8F5A">
      <w:pPr>
        <w:ind w:firstLine="640" w:firstLineChars="200"/>
        <w:rPr>
          <w:rFonts w:hint="eastAsia" w:ascii="仿宋_GB2312" w:eastAsia="仿宋_GB2312"/>
          <w:sz w:val="32"/>
          <w:szCs w:val="32"/>
          <w:highlight w:val="none"/>
        </w:rPr>
      </w:pPr>
    </w:p>
    <w:p w14:paraId="47E19314">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5814B7AD">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56DAEBE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54B4C2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69C0BF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7FD2B54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667F96B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300F878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72EC76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318793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F5490F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5D0B4DA">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1490A165">
      <w:pPr>
        <w:ind w:firstLine="640" w:firstLineChars="200"/>
        <w:rPr>
          <w:rFonts w:ascii="仿宋_GB2312" w:eastAsia="仿宋_GB2312"/>
          <w:sz w:val="32"/>
          <w:szCs w:val="32"/>
          <w:highlight w:val="none"/>
        </w:rPr>
      </w:pPr>
    </w:p>
    <w:p w14:paraId="46A5C44F">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EBB621C">
      <w:pPr>
        <w:jc w:val="left"/>
        <w:rPr>
          <w:rFonts w:ascii="仿宋" w:hAnsi="仿宋" w:eastAsia="仿宋"/>
          <w:sz w:val="32"/>
          <w:szCs w:val="32"/>
          <w:highlight w:val="none"/>
        </w:rPr>
      </w:pPr>
    </w:p>
    <w:p w14:paraId="2682DA0E">
      <w:pPr>
        <w:jc w:val="left"/>
        <w:rPr>
          <w:rFonts w:ascii="仿宋" w:hAnsi="仿宋" w:eastAsia="仿宋"/>
          <w:sz w:val="32"/>
          <w:szCs w:val="32"/>
          <w:highlight w:val="none"/>
        </w:rPr>
      </w:pPr>
    </w:p>
    <w:p w14:paraId="6330BC5A">
      <w:pPr>
        <w:jc w:val="left"/>
        <w:rPr>
          <w:rFonts w:ascii="仿宋" w:hAnsi="仿宋" w:eastAsia="仿宋"/>
          <w:sz w:val="32"/>
          <w:szCs w:val="32"/>
          <w:highlight w:val="none"/>
        </w:rPr>
      </w:pPr>
    </w:p>
    <w:p w14:paraId="61F811AF">
      <w:pPr>
        <w:jc w:val="left"/>
        <w:rPr>
          <w:rFonts w:ascii="仿宋" w:hAnsi="仿宋" w:eastAsia="仿宋"/>
          <w:sz w:val="32"/>
          <w:szCs w:val="32"/>
          <w:highlight w:val="none"/>
        </w:rPr>
      </w:pPr>
    </w:p>
    <w:p w14:paraId="5DBD6796">
      <w:pPr>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第四部分  预算表格</w:t>
      </w:r>
    </w:p>
    <w:p w14:paraId="3E6D7C4F">
      <w:pPr>
        <w:ind w:firstLine="640" w:firstLineChars="200"/>
        <w:jc w:val="left"/>
        <w:rPr>
          <w:rFonts w:hint="eastAsia" w:ascii="仿宋" w:hAnsi="仿宋" w:eastAsia="仿宋"/>
          <w:sz w:val="32"/>
          <w:szCs w:val="32"/>
          <w:highlight w:val="none"/>
          <w:lang w:eastAsia="zh-CN"/>
        </w:rPr>
      </w:pPr>
    </w:p>
    <w:p w14:paraId="58B2C04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12A8DA46">
      <w:pPr>
        <w:rPr>
          <w:rFonts w:ascii="仿宋" w:hAnsi="仿宋" w:eastAsia="仿宋"/>
          <w:sz w:val="32"/>
          <w:szCs w:val="32"/>
          <w:highlight w:val="none"/>
        </w:rPr>
      </w:pPr>
    </w:p>
    <w:p w14:paraId="55416CC7">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565C22"/>
    <w:rsid w:val="01640BD1"/>
    <w:rsid w:val="018E6F43"/>
    <w:rsid w:val="01EC1B1D"/>
    <w:rsid w:val="025766C1"/>
    <w:rsid w:val="034968DF"/>
    <w:rsid w:val="03D7309C"/>
    <w:rsid w:val="03F248D4"/>
    <w:rsid w:val="07C71E05"/>
    <w:rsid w:val="08190FFD"/>
    <w:rsid w:val="08F655F4"/>
    <w:rsid w:val="0A450E4E"/>
    <w:rsid w:val="0A7F599D"/>
    <w:rsid w:val="0B09418A"/>
    <w:rsid w:val="0B4115AF"/>
    <w:rsid w:val="0C633590"/>
    <w:rsid w:val="0C7C5D37"/>
    <w:rsid w:val="0D0F40E1"/>
    <w:rsid w:val="0E0E4A27"/>
    <w:rsid w:val="0E235FAD"/>
    <w:rsid w:val="0E933B6E"/>
    <w:rsid w:val="0EDD3A74"/>
    <w:rsid w:val="0F4C4086"/>
    <w:rsid w:val="0FC65E97"/>
    <w:rsid w:val="0FF72FB2"/>
    <w:rsid w:val="10D9450A"/>
    <w:rsid w:val="112B3A0C"/>
    <w:rsid w:val="117169F8"/>
    <w:rsid w:val="11DF6BD5"/>
    <w:rsid w:val="12C62CA4"/>
    <w:rsid w:val="15DA5399"/>
    <w:rsid w:val="18035D05"/>
    <w:rsid w:val="187E3884"/>
    <w:rsid w:val="18F97B94"/>
    <w:rsid w:val="191A0446"/>
    <w:rsid w:val="1B4A363A"/>
    <w:rsid w:val="1BC526EF"/>
    <w:rsid w:val="1C454471"/>
    <w:rsid w:val="1C882350"/>
    <w:rsid w:val="1CDC1A5B"/>
    <w:rsid w:val="1F451F7A"/>
    <w:rsid w:val="20EF71F1"/>
    <w:rsid w:val="2323212D"/>
    <w:rsid w:val="23FA4ECF"/>
    <w:rsid w:val="24C83E91"/>
    <w:rsid w:val="2527010D"/>
    <w:rsid w:val="26B741BD"/>
    <w:rsid w:val="26DC2BFA"/>
    <w:rsid w:val="27063D31"/>
    <w:rsid w:val="27742DDB"/>
    <w:rsid w:val="27747EDE"/>
    <w:rsid w:val="277B13CF"/>
    <w:rsid w:val="285B5D80"/>
    <w:rsid w:val="28753BF0"/>
    <w:rsid w:val="28AA47B7"/>
    <w:rsid w:val="28CB641B"/>
    <w:rsid w:val="29207EE3"/>
    <w:rsid w:val="2A475858"/>
    <w:rsid w:val="2AC832F5"/>
    <w:rsid w:val="2CDA5AF8"/>
    <w:rsid w:val="2D742D12"/>
    <w:rsid w:val="2DB21965"/>
    <w:rsid w:val="2DB7713C"/>
    <w:rsid w:val="2E3342C6"/>
    <w:rsid w:val="344D4C9B"/>
    <w:rsid w:val="36273D08"/>
    <w:rsid w:val="37361A0B"/>
    <w:rsid w:val="38253B59"/>
    <w:rsid w:val="385B501F"/>
    <w:rsid w:val="38DE30B8"/>
    <w:rsid w:val="39284901"/>
    <w:rsid w:val="3A482539"/>
    <w:rsid w:val="3A915046"/>
    <w:rsid w:val="3AAC3BE1"/>
    <w:rsid w:val="3C4C15D1"/>
    <w:rsid w:val="3CEA5A8A"/>
    <w:rsid w:val="3D897F97"/>
    <w:rsid w:val="3DA7578C"/>
    <w:rsid w:val="3F597259"/>
    <w:rsid w:val="3F6B774D"/>
    <w:rsid w:val="430260DD"/>
    <w:rsid w:val="442476FC"/>
    <w:rsid w:val="46C17DAD"/>
    <w:rsid w:val="46F64D5D"/>
    <w:rsid w:val="4812704D"/>
    <w:rsid w:val="49B81F53"/>
    <w:rsid w:val="4AAC7860"/>
    <w:rsid w:val="4AE87984"/>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6D26326"/>
    <w:rsid w:val="57CD3E75"/>
    <w:rsid w:val="580A299B"/>
    <w:rsid w:val="5AD22D98"/>
    <w:rsid w:val="5B5D76B7"/>
    <w:rsid w:val="5B8E44C5"/>
    <w:rsid w:val="5C982767"/>
    <w:rsid w:val="5CD80EBE"/>
    <w:rsid w:val="5CFA751D"/>
    <w:rsid w:val="5D7D55CE"/>
    <w:rsid w:val="5DB8541C"/>
    <w:rsid w:val="5E221344"/>
    <w:rsid w:val="5E32788E"/>
    <w:rsid w:val="5E8F5162"/>
    <w:rsid w:val="5E9F11E3"/>
    <w:rsid w:val="5F094911"/>
    <w:rsid w:val="5FB128C2"/>
    <w:rsid w:val="60731B65"/>
    <w:rsid w:val="60D72763"/>
    <w:rsid w:val="61525EF8"/>
    <w:rsid w:val="62B666A5"/>
    <w:rsid w:val="62E15FE9"/>
    <w:rsid w:val="63906A63"/>
    <w:rsid w:val="65255B39"/>
    <w:rsid w:val="659C7B1A"/>
    <w:rsid w:val="65E847CC"/>
    <w:rsid w:val="66495ED8"/>
    <w:rsid w:val="67000C8D"/>
    <w:rsid w:val="67286561"/>
    <w:rsid w:val="68A13DAA"/>
    <w:rsid w:val="691F508E"/>
    <w:rsid w:val="6A340295"/>
    <w:rsid w:val="6A5666B8"/>
    <w:rsid w:val="6C626D3D"/>
    <w:rsid w:val="6DF0400D"/>
    <w:rsid w:val="6E5B22F8"/>
    <w:rsid w:val="6EBE6D14"/>
    <w:rsid w:val="6FBB39A3"/>
    <w:rsid w:val="70EF2762"/>
    <w:rsid w:val="71201EF9"/>
    <w:rsid w:val="716F5053"/>
    <w:rsid w:val="72677E12"/>
    <w:rsid w:val="729E55FD"/>
    <w:rsid w:val="72B8241C"/>
    <w:rsid w:val="73D62900"/>
    <w:rsid w:val="73FA7C77"/>
    <w:rsid w:val="744F0BEE"/>
    <w:rsid w:val="74A55A8E"/>
    <w:rsid w:val="7539654A"/>
    <w:rsid w:val="75836739"/>
    <w:rsid w:val="76C753DE"/>
    <w:rsid w:val="76C775D8"/>
    <w:rsid w:val="76F260C3"/>
    <w:rsid w:val="77322505"/>
    <w:rsid w:val="77FC6956"/>
    <w:rsid w:val="7A64282A"/>
    <w:rsid w:val="7A8D6ADA"/>
    <w:rsid w:val="7BE848EB"/>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3469</Words>
  <Characters>3774</Characters>
  <Lines>19</Lines>
  <Paragraphs>5</Paragraphs>
  <TotalTime>101</TotalTime>
  <ScaleCrop>false</ScaleCrop>
  <LinksUpToDate>false</LinksUpToDate>
  <CharactersWithSpaces>3868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阿狸</cp:lastModifiedBy>
  <cp:lastPrinted>2025-04-11T01:49:29Z</cp:lastPrinted>
  <dcterms:modified xsi:type="dcterms:W3CDTF">2025-04-11T01:49:32Z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eyJoZGlkIjoiNjlmN2I2OWRiMzk2MWNkYmJiMGZmNjI2MDQ1OTg5NDMiLCJ1c2VySWQiOiI1NzgwMDgwOTIifQ==</vt:lpwstr>
  </property>
</Properties>
</file>