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AEA68">
      <w:pPr>
        <w:jc w:val="center"/>
        <w:rPr>
          <w:rFonts w:hint="eastAsia" w:ascii="黑体" w:hAnsi="黑体" w:eastAsia="黑体"/>
          <w:sz w:val="44"/>
          <w:szCs w:val="44"/>
          <w:highlight w:val="none"/>
          <w:lang w:val="en-US" w:eastAsia="zh-CN"/>
        </w:rPr>
      </w:pPr>
    </w:p>
    <w:p w14:paraId="02FDE25D">
      <w:pPr>
        <w:jc w:val="center"/>
        <w:rPr>
          <w:rFonts w:hint="eastAsia" w:ascii="黑体" w:hAnsi="黑体" w:eastAsia="黑体"/>
          <w:sz w:val="44"/>
          <w:szCs w:val="44"/>
          <w:highlight w:val="none"/>
          <w:lang w:val="en-US" w:eastAsia="zh-CN"/>
        </w:rPr>
      </w:pPr>
    </w:p>
    <w:p w14:paraId="7872965C">
      <w:pPr>
        <w:jc w:val="center"/>
        <w:rPr>
          <w:rFonts w:hint="eastAsia" w:ascii="黑体" w:hAnsi="黑体" w:eastAsia="黑体"/>
          <w:sz w:val="44"/>
          <w:szCs w:val="44"/>
          <w:highlight w:val="none"/>
          <w:lang w:val="en-US" w:eastAsia="zh-CN"/>
        </w:rPr>
      </w:pPr>
    </w:p>
    <w:p w14:paraId="507833E2">
      <w:pPr>
        <w:jc w:val="center"/>
        <w:rPr>
          <w:rFonts w:hint="eastAsia" w:ascii="黑体" w:hAnsi="黑体" w:eastAsia="黑体"/>
          <w:sz w:val="44"/>
          <w:szCs w:val="44"/>
          <w:highlight w:val="none"/>
          <w:lang w:val="en-US" w:eastAsia="zh-CN"/>
        </w:rPr>
      </w:pPr>
    </w:p>
    <w:p w14:paraId="52521DB5">
      <w:pPr>
        <w:jc w:val="center"/>
        <w:rPr>
          <w:rFonts w:hint="eastAsia" w:ascii="黑体" w:hAnsi="黑体" w:eastAsia="黑体"/>
          <w:sz w:val="44"/>
          <w:szCs w:val="44"/>
          <w:highlight w:val="none"/>
          <w:lang w:val="en-US" w:eastAsia="zh-CN"/>
        </w:rPr>
      </w:pPr>
    </w:p>
    <w:p w14:paraId="2FBCCFFA">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磐石市旅游产业发展办公室</w:t>
      </w:r>
    </w:p>
    <w:p w14:paraId="5B723424">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351D1175">
      <w:pPr>
        <w:jc w:val="center"/>
        <w:rPr>
          <w:rFonts w:hint="eastAsia" w:ascii="黑体" w:hAnsi="黑体" w:eastAsia="黑体"/>
          <w:sz w:val="44"/>
          <w:szCs w:val="44"/>
          <w:highlight w:val="none"/>
        </w:rPr>
      </w:pPr>
    </w:p>
    <w:p w14:paraId="06A8D189">
      <w:pPr>
        <w:jc w:val="center"/>
        <w:rPr>
          <w:rFonts w:hint="eastAsia" w:ascii="黑体" w:hAnsi="黑体" w:eastAsia="黑体"/>
          <w:sz w:val="44"/>
          <w:szCs w:val="44"/>
          <w:highlight w:val="none"/>
        </w:rPr>
      </w:pPr>
    </w:p>
    <w:p w14:paraId="254F51B5">
      <w:pPr>
        <w:jc w:val="center"/>
        <w:rPr>
          <w:rFonts w:hint="eastAsia" w:ascii="黑体" w:hAnsi="黑体" w:eastAsia="黑体"/>
          <w:sz w:val="44"/>
          <w:szCs w:val="44"/>
          <w:highlight w:val="none"/>
        </w:rPr>
      </w:pPr>
    </w:p>
    <w:p w14:paraId="68D98462">
      <w:pPr>
        <w:jc w:val="center"/>
        <w:rPr>
          <w:rFonts w:hint="eastAsia" w:ascii="黑体" w:hAnsi="黑体" w:eastAsia="黑体"/>
          <w:sz w:val="44"/>
          <w:szCs w:val="44"/>
          <w:highlight w:val="none"/>
        </w:rPr>
      </w:pPr>
    </w:p>
    <w:p w14:paraId="67A45EA6">
      <w:pPr>
        <w:jc w:val="center"/>
        <w:rPr>
          <w:rFonts w:hint="eastAsia" w:ascii="黑体" w:hAnsi="黑体" w:eastAsia="黑体"/>
          <w:sz w:val="44"/>
          <w:szCs w:val="44"/>
          <w:highlight w:val="none"/>
        </w:rPr>
      </w:pPr>
    </w:p>
    <w:p w14:paraId="75ECB8C7">
      <w:pPr>
        <w:jc w:val="center"/>
        <w:rPr>
          <w:rFonts w:hint="eastAsia" w:ascii="黑体" w:hAnsi="黑体" w:eastAsia="黑体"/>
          <w:sz w:val="44"/>
          <w:szCs w:val="44"/>
          <w:highlight w:val="none"/>
        </w:rPr>
      </w:pPr>
    </w:p>
    <w:p w14:paraId="53543253">
      <w:pPr>
        <w:jc w:val="center"/>
        <w:rPr>
          <w:rFonts w:hint="eastAsia" w:ascii="黑体" w:hAnsi="黑体" w:eastAsia="黑体"/>
          <w:sz w:val="44"/>
          <w:szCs w:val="44"/>
          <w:highlight w:val="none"/>
        </w:rPr>
      </w:pPr>
    </w:p>
    <w:p w14:paraId="5255CAFC">
      <w:pPr>
        <w:jc w:val="center"/>
        <w:rPr>
          <w:rFonts w:hint="eastAsia" w:ascii="黑体" w:hAnsi="黑体" w:eastAsia="黑体"/>
          <w:sz w:val="44"/>
          <w:szCs w:val="44"/>
          <w:highlight w:val="none"/>
        </w:rPr>
      </w:pPr>
    </w:p>
    <w:p w14:paraId="5F2119C5">
      <w:pPr>
        <w:jc w:val="center"/>
        <w:rPr>
          <w:rFonts w:hint="eastAsia" w:ascii="黑体" w:hAnsi="黑体" w:eastAsia="黑体"/>
          <w:sz w:val="44"/>
          <w:szCs w:val="44"/>
          <w:highlight w:val="none"/>
        </w:rPr>
      </w:pPr>
    </w:p>
    <w:p w14:paraId="36D76079">
      <w:pPr>
        <w:jc w:val="center"/>
        <w:rPr>
          <w:rFonts w:hint="eastAsia" w:ascii="黑体" w:hAnsi="黑体" w:eastAsia="黑体"/>
          <w:sz w:val="44"/>
          <w:szCs w:val="44"/>
          <w:highlight w:val="none"/>
        </w:rPr>
      </w:pPr>
    </w:p>
    <w:p w14:paraId="050EC43E">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二〇二五年二月五日</w:t>
      </w:r>
    </w:p>
    <w:p w14:paraId="5BC1B394">
      <w:pPr>
        <w:jc w:val="center"/>
        <w:rPr>
          <w:rFonts w:hint="eastAsia" w:ascii="黑体" w:hAnsi="黑体" w:eastAsia="黑体"/>
          <w:sz w:val="44"/>
          <w:szCs w:val="44"/>
          <w:highlight w:val="none"/>
        </w:rPr>
      </w:pPr>
    </w:p>
    <w:p w14:paraId="0D205F14">
      <w:pPr>
        <w:jc w:val="center"/>
        <w:rPr>
          <w:rFonts w:hint="eastAsia" w:ascii="黑体" w:hAnsi="黑体" w:eastAsia="黑体"/>
          <w:sz w:val="44"/>
          <w:szCs w:val="44"/>
          <w:highlight w:val="none"/>
        </w:rPr>
      </w:pPr>
    </w:p>
    <w:p w14:paraId="257F5258">
      <w:pPr>
        <w:jc w:val="center"/>
        <w:rPr>
          <w:rFonts w:hint="eastAsia" w:ascii="黑体" w:hAnsi="黑体" w:eastAsia="黑体"/>
          <w:sz w:val="44"/>
          <w:szCs w:val="44"/>
          <w:highlight w:val="none"/>
        </w:rPr>
      </w:pPr>
      <w:bookmarkStart w:id="0" w:name="_GoBack"/>
      <w:bookmarkEnd w:id="0"/>
    </w:p>
    <w:p w14:paraId="17E048CE">
      <w:pPr>
        <w:jc w:val="center"/>
        <w:rPr>
          <w:rFonts w:hint="eastAsia" w:ascii="黑体" w:hAnsi="黑体" w:eastAsia="黑体"/>
          <w:sz w:val="44"/>
          <w:szCs w:val="44"/>
          <w:highlight w:val="none"/>
        </w:rPr>
      </w:pPr>
    </w:p>
    <w:p w14:paraId="0A9682B3">
      <w:pPr>
        <w:jc w:val="center"/>
        <w:rPr>
          <w:rFonts w:hint="eastAsia" w:ascii="黑体" w:hAnsi="黑体" w:eastAsia="黑体"/>
          <w:sz w:val="44"/>
          <w:szCs w:val="44"/>
          <w:highlight w:val="none"/>
        </w:rPr>
      </w:pPr>
    </w:p>
    <w:p w14:paraId="41BEF156">
      <w:pPr>
        <w:jc w:val="center"/>
        <w:rPr>
          <w:rFonts w:hint="eastAsia" w:ascii="黑体" w:hAnsi="黑体" w:eastAsia="黑体"/>
          <w:sz w:val="44"/>
          <w:szCs w:val="44"/>
          <w:highlight w:val="none"/>
        </w:rPr>
      </w:pPr>
    </w:p>
    <w:p w14:paraId="13B96416">
      <w:pPr>
        <w:jc w:val="center"/>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磐石市旅游产业发展办公室</w:t>
      </w:r>
    </w:p>
    <w:p w14:paraId="7845025F">
      <w:pPr>
        <w:jc w:val="center"/>
        <w:rPr>
          <w:rFonts w:ascii="黑体" w:hAnsi="黑体" w:eastAsia="黑体"/>
          <w:sz w:val="44"/>
          <w:szCs w:val="44"/>
          <w:highlight w:val="none"/>
        </w:rPr>
      </w:pP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3E1C10CC">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3D52D98">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1405A7DF">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63552B1F">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4956C65">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E46EB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3922503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19F469E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680529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8A35D4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B3C80F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CE2F49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39B4DA2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3CA8804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497C6E9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48D616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C65C49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AD1ACC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1045A75F">
      <w:pPr>
        <w:rPr>
          <w:rFonts w:ascii="仿宋" w:hAnsi="仿宋" w:eastAsia="仿宋"/>
          <w:sz w:val="32"/>
          <w:szCs w:val="32"/>
          <w:highlight w:val="none"/>
        </w:rPr>
      </w:pPr>
    </w:p>
    <w:p w14:paraId="23F176C1">
      <w:pPr>
        <w:rPr>
          <w:rFonts w:ascii="仿宋" w:hAnsi="仿宋" w:eastAsia="仿宋"/>
          <w:sz w:val="32"/>
          <w:szCs w:val="32"/>
          <w:highlight w:val="none"/>
        </w:rPr>
      </w:pPr>
    </w:p>
    <w:p w14:paraId="15E941DB">
      <w:pPr>
        <w:rPr>
          <w:rFonts w:ascii="仿宋" w:hAnsi="仿宋" w:eastAsia="仿宋"/>
          <w:sz w:val="32"/>
          <w:szCs w:val="32"/>
          <w:highlight w:val="none"/>
        </w:rPr>
      </w:pPr>
    </w:p>
    <w:p w14:paraId="3291D15A">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5273909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A0FB5A5">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09AF28CF">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磐石市旅游产业发展办公室</w:t>
      </w:r>
    </w:p>
    <w:p w14:paraId="08B0ABCF">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2002</w:t>
      </w:r>
      <w:r>
        <w:rPr>
          <w:rFonts w:hint="eastAsia" w:ascii="仿宋" w:hAnsi="仿宋" w:eastAsia="仿宋"/>
          <w:bCs/>
          <w:kern w:val="0"/>
          <w:sz w:val="32"/>
          <w:szCs w:val="32"/>
          <w:highlight w:val="none"/>
        </w:rPr>
        <w:t>年</w:t>
      </w:r>
    </w:p>
    <w:p w14:paraId="31112ED8">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磐石市旅游产业发展办公室</w:t>
      </w:r>
      <w:r>
        <w:rPr>
          <w:rFonts w:hint="eastAsia" w:ascii="仿宋" w:hAnsi="仿宋" w:eastAsia="仿宋"/>
          <w:kern w:val="0"/>
          <w:sz w:val="32"/>
          <w:szCs w:val="32"/>
          <w:highlight w:val="none"/>
        </w:rPr>
        <w:t>是</w:t>
      </w:r>
      <w:r>
        <w:rPr>
          <w:rFonts w:hint="eastAsia" w:ascii="仿宋" w:hAnsi="仿宋" w:eastAsia="仿宋"/>
          <w:kern w:val="0"/>
          <w:sz w:val="32"/>
          <w:szCs w:val="32"/>
          <w:highlight w:val="none"/>
          <w:lang w:eastAsia="zh-CN"/>
        </w:rPr>
        <w:t>为加强我市旅游资源的开发管理，加快旅游事业的发展，经市委常委会议决定，成立磐石市旅游局。</w:t>
      </w:r>
    </w:p>
    <w:p w14:paraId="3C28D591">
      <w:pPr>
        <w:ind w:firstLine="640" w:firstLineChars="200"/>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78F63F57">
      <w:pPr>
        <w:ind w:firstLine="640" w:firstLineChars="200"/>
        <w:rPr>
          <w:rFonts w:ascii="仿宋_GB2312" w:eastAsia="仿宋_GB2312"/>
          <w:sz w:val="32"/>
          <w:szCs w:val="32"/>
        </w:rPr>
      </w:pPr>
      <w:r>
        <w:rPr>
          <w:rFonts w:hint="eastAsia" w:ascii="仿宋_GB2312" w:eastAsia="仿宋_GB2312"/>
          <w:sz w:val="32"/>
          <w:szCs w:val="32"/>
        </w:rPr>
        <w:t>（一）贯彻落实国家、省和吉林市旅游业法律、法规和政策；研究制定全市旅游产业发展的方针、政策；起草全市旅游业的地方性法规、规章，并监督实施；编制全市旅游产业发展战略目标和中长期规划及年度计划，并组织实施；</w:t>
      </w:r>
    </w:p>
    <w:p w14:paraId="5B12992C">
      <w:pPr>
        <w:ind w:firstLine="640" w:firstLineChars="200"/>
        <w:rPr>
          <w:rFonts w:ascii="仿宋_GB2312" w:eastAsia="仿宋_GB2312"/>
          <w:sz w:val="32"/>
          <w:szCs w:val="32"/>
        </w:rPr>
      </w:pPr>
      <w:r>
        <w:rPr>
          <w:rFonts w:hint="eastAsia" w:ascii="仿宋_GB2312" w:eastAsia="仿宋_GB2312"/>
          <w:sz w:val="32"/>
          <w:szCs w:val="32"/>
        </w:rPr>
        <w:t>（二）促进和引导旅游产业利用外资和社会投资；负责全市旅游资源的普查和规划，协调开发利用和保护工作；负责对旅游开发项目，景区（点）设施建设项目的预审及投资立项审批；指导各乡镇、部门的旅游管理工作；</w:t>
      </w:r>
    </w:p>
    <w:p w14:paraId="65051BFA">
      <w:pPr>
        <w:ind w:firstLine="640" w:firstLineChars="200"/>
        <w:rPr>
          <w:rFonts w:ascii="仿宋_GB2312" w:eastAsia="仿宋_GB2312"/>
          <w:sz w:val="32"/>
          <w:szCs w:val="32"/>
        </w:rPr>
      </w:pPr>
      <w:r>
        <w:rPr>
          <w:rFonts w:hint="eastAsia" w:ascii="仿宋_GB2312" w:eastAsia="仿宋_GB2312"/>
          <w:sz w:val="32"/>
          <w:szCs w:val="32"/>
        </w:rPr>
        <w:t>（三）研究拟定旅游基本建设计划及投资项目；管理和使用国家、省和吉林市旅游发展专项基金及专项投资；</w:t>
      </w:r>
    </w:p>
    <w:p w14:paraId="4C85F989">
      <w:pPr>
        <w:ind w:firstLine="640" w:firstLineChars="200"/>
        <w:rPr>
          <w:rFonts w:ascii="仿宋_GB2312" w:eastAsia="仿宋_GB2312"/>
          <w:sz w:val="32"/>
          <w:szCs w:val="32"/>
        </w:rPr>
      </w:pPr>
      <w:r>
        <w:rPr>
          <w:rFonts w:hint="eastAsia" w:ascii="仿宋_GB2312" w:eastAsia="仿宋_GB2312"/>
          <w:sz w:val="32"/>
          <w:szCs w:val="32"/>
        </w:rPr>
        <w:t>（四）制定开拓国际、国内旅游市场的计划并组织实施；组织旅游整体形象的宣传和开展促销活动；并指导旅游产品的开发、生产和销售。研究和推进我市旅游业体制改革，培育和完善旅游市场，扩大旅游业的对外开放，推动旅游业的健康发展；</w:t>
      </w:r>
    </w:p>
    <w:p w14:paraId="6A88DFCE">
      <w:pPr>
        <w:ind w:firstLine="640" w:firstLineChars="200"/>
        <w:rPr>
          <w:rFonts w:ascii="仿宋_GB2312" w:eastAsia="仿宋_GB2312"/>
          <w:sz w:val="32"/>
          <w:szCs w:val="32"/>
        </w:rPr>
      </w:pPr>
      <w:r>
        <w:rPr>
          <w:rFonts w:hint="eastAsia" w:ascii="仿宋_GB2312" w:eastAsia="仿宋_GB2312"/>
          <w:sz w:val="32"/>
          <w:szCs w:val="32"/>
        </w:rPr>
        <w:t>（五）对经营旅游业务的企事业单位实施行业审核，设立旅行社；组织推荐评定星级饭店；组织有关部门对全市景区（点）旅游交通运输实施监督、检查、协调和指导；对旅游企业的经营及服务质量实施监督检查；负责旅游企业信誉保证金的收缴和管理；受理国内旅游者投诉；</w:t>
      </w:r>
    </w:p>
    <w:p w14:paraId="69D7EA78">
      <w:pPr>
        <w:ind w:firstLine="640" w:firstLineChars="200"/>
        <w:rPr>
          <w:rFonts w:ascii="仿宋_GB2312" w:eastAsia="仿宋_GB2312"/>
          <w:sz w:val="32"/>
          <w:szCs w:val="32"/>
        </w:rPr>
      </w:pPr>
      <w:r>
        <w:rPr>
          <w:rFonts w:hint="eastAsia" w:ascii="仿宋_GB2312" w:eastAsia="仿宋_GB2312"/>
          <w:sz w:val="32"/>
          <w:szCs w:val="32"/>
        </w:rPr>
        <w:t>（六）归口管理全市旅游涉外事务和旅游业在我市开设的旅游机构。代表市政府签订旅游协定，指导旅游对外交流与合作；</w:t>
      </w:r>
    </w:p>
    <w:p w14:paraId="73807268">
      <w:pPr>
        <w:ind w:firstLine="640" w:firstLineChars="200"/>
        <w:rPr>
          <w:rFonts w:ascii="仿宋_GB2312" w:eastAsia="仿宋_GB2312"/>
          <w:sz w:val="32"/>
          <w:szCs w:val="32"/>
        </w:rPr>
      </w:pPr>
      <w:r>
        <w:rPr>
          <w:rFonts w:hint="eastAsia" w:ascii="仿宋_GB2312" w:eastAsia="仿宋_GB2312"/>
          <w:sz w:val="32"/>
          <w:szCs w:val="32"/>
        </w:rPr>
        <w:t>（七）指导全市旅游教育、导游培训工作；指导实施旅游从业人员的职业资格制度和等级制度；指导旅游行业精神文明建设；</w:t>
      </w:r>
    </w:p>
    <w:p w14:paraId="34596ECA">
      <w:pPr>
        <w:ind w:firstLine="640" w:firstLineChars="200"/>
        <w:rPr>
          <w:rFonts w:ascii="仿宋_GB2312" w:eastAsia="仿宋_GB2312"/>
          <w:sz w:val="32"/>
          <w:szCs w:val="32"/>
        </w:rPr>
      </w:pPr>
      <w:r>
        <w:rPr>
          <w:rFonts w:hint="eastAsia" w:ascii="仿宋_GB2312" w:eastAsia="仿宋_GB2312"/>
          <w:sz w:val="32"/>
          <w:szCs w:val="32"/>
        </w:rPr>
        <w:t>（八）牵头协调组织全市大型旅游行业节庆活动的策划、组织、协调和运作工作。负责全市旅游整体形象策划与对外宣传工作。搞好全市旅游对外宣传活动及节庆宣传活动。组织好全市各旅游企业搞好国内外大型会展活动的参展，积极组织旅游企业参加国内的各种旅游交易会。做好全市旅游宣传品的审核、印刷工作；</w:t>
      </w:r>
    </w:p>
    <w:p w14:paraId="2ADE0B37">
      <w:pPr>
        <w:ind w:firstLine="640" w:firstLineChars="200"/>
        <w:rPr>
          <w:rFonts w:hint="eastAsia" w:ascii="仿宋_GB2312" w:eastAsia="仿宋_GB2312"/>
          <w:sz w:val="32"/>
          <w:szCs w:val="32"/>
        </w:rPr>
      </w:pPr>
      <w:r>
        <w:rPr>
          <w:rFonts w:hint="eastAsia" w:ascii="仿宋_GB2312" w:eastAsia="仿宋_GB2312"/>
          <w:sz w:val="32"/>
          <w:szCs w:val="32"/>
        </w:rPr>
        <w:t>（九）负责全市旅游建设项目的策划包装，投资运作。建立全市旅游项目数据库系统，负责全市的旅游建设项目的推进工作。</w:t>
      </w:r>
    </w:p>
    <w:p w14:paraId="62FC23E4">
      <w:pPr>
        <w:ind w:firstLine="640" w:firstLineChars="200"/>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eastAsia="zh-CN"/>
        </w:rPr>
        <w:t>旅游资源开发，旅游行业管理，指导服务旅游企业晋档升级，旅游产品宣传，整合旅游资源，指导旅游从业人员提高旅游服务。</w:t>
      </w:r>
    </w:p>
    <w:p w14:paraId="7A66AF8C">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B25186A">
      <w:pPr>
        <w:pStyle w:val="13"/>
        <w:ind w:firstLine="640" w:firstLineChars="200"/>
        <w:rPr>
          <w:rFonts w:ascii="仿宋" w:hAnsi="仿宋" w:eastAsia="仿宋"/>
          <w:kern w:val="0"/>
          <w:szCs w:val="32"/>
          <w:highlight w:val="none"/>
        </w:rPr>
      </w:pPr>
      <w:r>
        <w:rPr>
          <w:rFonts w:hint="eastAsia" w:ascii="仿宋" w:hAnsi="仿宋" w:eastAsia="仿宋"/>
          <w:kern w:val="0"/>
          <w:sz w:val="32"/>
          <w:szCs w:val="32"/>
          <w:highlight w:val="none"/>
        </w:rPr>
        <w:t>机构设置包括：</w:t>
      </w:r>
      <w:r>
        <w:rPr>
          <w:rFonts w:hint="eastAsia" w:ascii="仿宋" w:hAnsi="仿宋" w:eastAsia="仿宋" w:cs="仿宋"/>
          <w:sz w:val="32"/>
          <w:szCs w:val="32"/>
          <w:u w:val="none"/>
          <w:lang w:eastAsia="zh-CN"/>
        </w:rPr>
        <w:t>旅游办</w:t>
      </w:r>
      <w:r>
        <w:rPr>
          <w:rFonts w:hint="eastAsia" w:ascii="仿宋" w:hAnsi="仿宋" w:eastAsia="仿宋" w:cs="仿宋"/>
          <w:sz w:val="32"/>
          <w:szCs w:val="32"/>
        </w:rPr>
        <w:t>内设</w:t>
      </w:r>
      <w:r>
        <w:rPr>
          <w:rFonts w:hint="eastAsia" w:ascii="仿宋" w:hAnsi="仿宋" w:eastAsia="仿宋" w:cs="仿宋"/>
          <w:sz w:val="32"/>
          <w:szCs w:val="32"/>
          <w:u w:val="none"/>
        </w:rPr>
        <w:t xml:space="preserve"> </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 xml:space="preserve"> </w:t>
      </w:r>
      <w:r>
        <w:rPr>
          <w:rFonts w:hint="eastAsia" w:ascii="仿宋" w:hAnsi="仿宋" w:eastAsia="仿宋" w:cs="仿宋"/>
          <w:sz w:val="32"/>
          <w:szCs w:val="32"/>
        </w:rPr>
        <w:t>个机构，分别为</w:t>
      </w:r>
      <w:r>
        <w:rPr>
          <w:rFonts w:hint="eastAsia" w:ascii="仿宋" w:hAnsi="仿宋" w:eastAsia="仿宋" w:cs="仿宋"/>
          <w:sz w:val="32"/>
          <w:szCs w:val="32"/>
          <w:lang w:eastAsia="zh-CN"/>
        </w:rPr>
        <w:t>行政审批办公室、综合科、安全监管科</w:t>
      </w:r>
      <w:r>
        <w:rPr>
          <w:rFonts w:hint="eastAsia" w:ascii="仿宋" w:hAnsi="仿宋" w:eastAsia="仿宋" w:cs="仿宋"/>
          <w:sz w:val="32"/>
          <w:szCs w:val="32"/>
        </w:rPr>
        <w:t>。</w:t>
      </w:r>
    </w:p>
    <w:p w14:paraId="58109675">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6</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226D304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F252095">
      <w:pPr>
        <w:jc w:val="left"/>
        <w:rPr>
          <w:rFonts w:ascii="仿宋" w:hAnsi="仿宋" w:eastAsia="仿宋"/>
          <w:sz w:val="32"/>
          <w:szCs w:val="32"/>
          <w:highlight w:val="none"/>
        </w:rPr>
      </w:pPr>
    </w:p>
    <w:p w14:paraId="63F2A694">
      <w:pPr>
        <w:jc w:val="left"/>
        <w:rPr>
          <w:rFonts w:ascii="仿宋" w:hAnsi="仿宋" w:eastAsia="仿宋"/>
          <w:sz w:val="32"/>
          <w:szCs w:val="32"/>
          <w:highlight w:val="none"/>
        </w:rPr>
      </w:pPr>
    </w:p>
    <w:p w14:paraId="5037748B">
      <w:pPr>
        <w:jc w:val="left"/>
        <w:rPr>
          <w:rFonts w:ascii="仿宋" w:hAnsi="仿宋" w:eastAsia="仿宋"/>
          <w:sz w:val="32"/>
          <w:szCs w:val="32"/>
          <w:highlight w:val="none"/>
        </w:rPr>
      </w:pPr>
    </w:p>
    <w:p w14:paraId="04B609D5">
      <w:pPr>
        <w:jc w:val="left"/>
        <w:rPr>
          <w:rFonts w:ascii="仿宋" w:hAnsi="仿宋" w:eastAsia="仿宋"/>
          <w:sz w:val="32"/>
          <w:szCs w:val="32"/>
          <w:highlight w:val="none"/>
        </w:rPr>
      </w:pPr>
    </w:p>
    <w:p w14:paraId="49FC1B7C">
      <w:pPr>
        <w:jc w:val="left"/>
        <w:rPr>
          <w:rFonts w:ascii="仿宋" w:hAnsi="仿宋" w:eastAsia="仿宋"/>
          <w:sz w:val="32"/>
          <w:szCs w:val="32"/>
          <w:highlight w:val="none"/>
        </w:rPr>
      </w:pPr>
    </w:p>
    <w:p w14:paraId="00B379EB">
      <w:pPr>
        <w:jc w:val="left"/>
        <w:rPr>
          <w:rFonts w:ascii="仿宋" w:hAnsi="仿宋" w:eastAsia="仿宋"/>
          <w:sz w:val="32"/>
          <w:szCs w:val="32"/>
          <w:highlight w:val="none"/>
        </w:rPr>
      </w:pPr>
    </w:p>
    <w:p w14:paraId="677B2076">
      <w:pPr>
        <w:jc w:val="left"/>
        <w:rPr>
          <w:rFonts w:ascii="仿宋" w:hAnsi="仿宋" w:eastAsia="仿宋"/>
          <w:sz w:val="32"/>
          <w:szCs w:val="32"/>
          <w:highlight w:val="none"/>
        </w:rPr>
      </w:pPr>
    </w:p>
    <w:p w14:paraId="390D5AF6">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37A3312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B7450E3">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4D7E26E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114</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60.1</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 xml:space="preserve">53.9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人员工资预算增加、项目预算增加</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2FBCC29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3633D112">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114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64.6万元，占57%；上年结转49.4万元，占43%。本年收入中，一般公共预算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114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xx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**%；国有资本经营预算拨款收入 xx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**%；其他收入 xx 万元，占**%。</w:t>
      </w:r>
    </w:p>
    <w:p w14:paraId="54A9F07E">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6B092DE0">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59.6</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52</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54.4</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48</w:t>
      </w:r>
      <w:r>
        <w:rPr>
          <w:rFonts w:hint="eastAsia" w:ascii="仿宋" w:hAnsi="仿宋" w:eastAsia="仿宋"/>
          <w:sz w:val="32"/>
          <w:szCs w:val="32"/>
          <w:highlight w:val="none"/>
          <w:lang w:eastAsia="zh-CN"/>
        </w:rPr>
        <w:t>%。</w:t>
      </w:r>
    </w:p>
    <w:p w14:paraId="7C008090">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6DCE22D">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114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64.6万元，上年结转 49.4 万元。支出包括：</w:t>
      </w:r>
      <w:r>
        <w:rPr>
          <w:rFonts w:hint="eastAsia" w:ascii="仿宋" w:hAnsi="仿宋" w:eastAsia="仿宋"/>
          <w:sz w:val="32"/>
          <w:szCs w:val="32"/>
          <w:highlight w:val="none"/>
          <w:lang w:eastAsia="zh-CN"/>
        </w:rPr>
        <w:t>文化旅游体育与传媒</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98.1</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8.8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4.5</w:t>
      </w:r>
      <w:r>
        <w:rPr>
          <w:rFonts w:hint="eastAsia" w:ascii="仿宋" w:hAnsi="仿宋" w:eastAsia="仿宋"/>
          <w:sz w:val="32"/>
          <w:szCs w:val="32"/>
          <w:highlight w:val="none"/>
        </w:rPr>
        <w:t>万元。</w:t>
      </w:r>
    </w:p>
    <w:p w14:paraId="655FDFD8">
      <w:pPr>
        <w:pStyle w:val="11"/>
        <w:ind w:firstLine="640" w:firstLineChars="200"/>
        <w:rPr>
          <w:rFonts w:ascii="仿宋" w:hAnsi="仿宋" w:eastAsia="仿宋"/>
          <w:sz w:val="32"/>
          <w:szCs w:val="32"/>
          <w:highlight w:val="none"/>
        </w:rPr>
      </w:pPr>
    </w:p>
    <w:p w14:paraId="79E35A88">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73289934">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59.6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54.4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54.5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w:t>
      </w:r>
    </w:p>
    <w:p w14:paraId="24335F8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文化旅游体育与传媒支出</w:t>
      </w:r>
      <w:r>
        <w:rPr>
          <w:rFonts w:hint="eastAsia" w:ascii="仿宋" w:hAnsi="仿宋" w:eastAsia="仿宋"/>
          <w:sz w:val="32"/>
          <w:szCs w:val="32"/>
          <w:highlight w:val="none"/>
          <w:lang w:val="en-US" w:eastAsia="zh-CN"/>
        </w:rPr>
        <w:t xml:space="preserve"> 98.1万元，占86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旅游项目支出。</w:t>
      </w:r>
    </w:p>
    <w:p w14:paraId="5EC89DC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8.8 万元，占8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缴纳养老保险，职业年金等。</w:t>
      </w:r>
    </w:p>
    <w:p w14:paraId="0895553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1.5 万元，占2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缴纳医保、工伤等。</w:t>
      </w:r>
    </w:p>
    <w:p w14:paraId="263151B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住房保障（类）支出4.5万元，占4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缴纳住房公积金。</w:t>
      </w:r>
    </w:p>
    <w:p w14:paraId="3A19C4D1">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64377EE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43.7万元，其中：</w:t>
      </w:r>
    </w:p>
    <w:p w14:paraId="5EF05F9D">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38.6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D141846">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5.1</w:t>
      </w:r>
      <w:r>
        <w:rPr>
          <w:rFonts w:hint="eastAsia" w:ascii="仿宋" w:hAnsi="仿宋" w:eastAsia="仿宋"/>
          <w:sz w:val="32"/>
          <w:szCs w:val="32"/>
          <w:highlight w:val="none"/>
        </w:rPr>
        <w:t>万元，主要包括：</w:t>
      </w:r>
      <w:r>
        <w:rPr>
          <w:rFonts w:hint="eastAsia" w:ascii="仿宋" w:hAnsi="仿宋" w:eastAsia="仿宋"/>
          <w:sz w:val="32"/>
          <w:szCs w:val="32"/>
          <w:highlight w:val="none"/>
          <w:lang w:eastAsia="zh-CN"/>
        </w:rPr>
        <w:t>商品和服务支出、</w:t>
      </w:r>
      <w:r>
        <w:rPr>
          <w:rFonts w:hint="eastAsia" w:ascii="仿宋" w:hAnsi="仿宋" w:eastAsia="仿宋"/>
          <w:sz w:val="32"/>
          <w:szCs w:val="32"/>
          <w:highlight w:val="none"/>
        </w:rPr>
        <w:t>办公费、工会经费、</w:t>
      </w:r>
      <w:r>
        <w:rPr>
          <w:rFonts w:hint="eastAsia" w:ascii="仿宋" w:hAnsi="仿宋" w:eastAsia="仿宋"/>
          <w:sz w:val="32"/>
          <w:szCs w:val="32"/>
          <w:highlight w:val="none"/>
          <w:lang w:eastAsia="zh-CN"/>
        </w:rPr>
        <w:t>其他交通费用等</w:t>
      </w:r>
      <w:r>
        <w:rPr>
          <w:rFonts w:hint="eastAsia" w:ascii="仿宋" w:hAnsi="仿宋" w:eastAsia="仿宋"/>
          <w:sz w:val="32"/>
          <w:szCs w:val="32"/>
          <w:highlight w:val="none"/>
        </w:rPr>
        <w:t>。</w:t>
      </w:r>
    </w:p>
    <w:p w14:paraId="10095738">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1E7256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万元。其中：</w:t>
      </w:r>
    </w:p>
    <w:p w14:paraId="269966C6">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287452AD">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xx</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14:paraId="049CEA28">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50E8496D">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万元，主要原因是***。</w:t>
      </w:r>
    </w:p>
    <w:p w14:paraId="3044A9B8">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7D779ED4">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旅游办</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1BAF1958">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449BEE6">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旅游办</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319ABA9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798A78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2CB8BA9B">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家行政单位以及**等**家参公管公事业单位的机关运行经费财政拨款预算</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万元，增长**%，主要原因是***</w:t>
      </w:r>
      <w:r>
        <w:rPr>
          <w:rFonts w:hint="eastAsia" w:ascii="仿宋" w:hAnsi="仿宋" w:eastAsia="仿宋"/>
          <w:sz w:val="32"/>
          <w:szCs w:val="32"/>
          <w:highlight w:val="none"/>
          <w:lang w:eastAsia="zh-CN"/>
        </w:rPr>
        <w:t>。</w:t>
      </w:r>
    </w:p>
    <w:p w14:paraId="5B2151FD">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2ADEB367">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年政府采购预算总额xx万元，其中：政府采购办公设备和其他设备预算xx万元，政府采购工程预算</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w:t>
      </w:r>
    </w:p>
    <w:p w14:paraId="4FB2045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9F83BB9">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辆，其中，领导干部用车 * 辆、一般公务用车 * 辆,一般执法执勤用车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台（套）。</w:t>
      </w:r>
    </w:p>
    <w:p w14:paraId="1F32BD5E">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万元，其中**。</w:t>
      </w:r>
    </w:p>
    <w:p w14:paraId="5814BFC4">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3565F9A">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20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eastAsia="zh-CN"/>
        </w:rPr>
        <w:t>旅游工作经费</w:t>
      </w:r>
      <w:r>
        <w:rPr>
          <w:rFonts w:hint="eastAsia" w:ascii="仿宋" w:hAnsi="仿宋" w:eastAsia="仿宋"/>
          <w:sz w:val="32"/>
          <w:szCs w:val="32"/>
          <w:highlight w:val="none"/>
        </w:rPr>
        <w:t>主要目标为</w:t>
      </w:r>
      <w:r>
        <w:rPr>
          <w:rFonts w:hint="eastAsia" w:ascii="仿宋" w:hAnsi="仿宋" w:eastAsia="仿宋"/>
          <w:sz w:val="32"/>
          <w:szCs w:val="32"/>
          <w:highlight w:val="none"/>
          <w:lang w:eastAsia="zh-CN"/>
        </w:rPr>
        <w:t>宣传旅游产品、开发旅游资源、管理旅游行业、促进旅游交流合作</w:t>
      </w:r>
      <w:r>
        <w:rPr>
          <w:rFonts w:hint="eastAsia" w:ascii="仿宋" w:hAnsi="仿宋" w:eastAsia="仿宋"/>
          <w:sz w:val="32"/>
          <w:szCs w:val="32"/>
          <w:highlight w:val="none"/>
        </w:rPr>
        <w:t>。同时，将预算项目绩效目标进一步细化为绩效指标和指标值（附预算项目绩效目标申报表）。</w:t>
      </w:r>
    </w:p>
    <w:p w14:paraId="0503B86E">
      <w:pPr>
        <w:jc w:val="left"/>
        <w:rPr>
          <w:rFonts w:ascii="仿宋" w:hAnsi="仿宋" w:eastAsia="仿宋"/>
          <w:sz w:val="32"/>
          <w:szCs w:val="32"/>
          <w:highlight w:val="none"/>
        </w:rPr>
      </w:pPr>
    </w:p>
    <w:p w14:paraId="3085CC3E">
      <w:pPr>
        <w:jc w:val="center"/>
        <w:rPr>
          <w:rFonts w:ascii="仿宋" w:hAnsi="仿宋" w:eastAsia="仿宋"/>
          <w:sz w:val="32"/>
          <w:szCs w:val="32"/>
          <w:highlight w:val="none"/>
        </w:rPr>
      </w:pPr>
    </w:p>
    <w:p w14:paraId="71F887A4">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2EC0AFA">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A78F4A2">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240D13E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444BC34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0615D6D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7EFE782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A8384C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7B72E53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7725382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2B466D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E4C1F1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612D9F79">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21FB8AA9">
      <w:pPr>
        <w:ind w:firstLine="640" w:firstLineChars="200"/>
        <w:rPr>
          <w:rFonts w:ascii="仿宋_GB2312" w:eastAsia="仿宋_GB2312"/>
          <w:sz w:val="32"/>
          <w:szCs w:val="32"/>
          <w:highlight w:val="none"/>
        </w:rPr>
      </w:pPr>
    </w:p>
    <w:p w14:paraId="1C3E94E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DDAFB87">
      <w:pPr>
        <w:jc w:val="left"/>
        <w:rPr>
          <w:rFonts w:ascii="仿宋" w:hAnsi="仿宋" w:eastAsia="仿宋"/>
          <w:sz w:val="32"/>
          <w:szCs w:val="32"/>
          <w:highlight w:val="none"/>
        </w:rPr>
      </w:pPr>
    </w:p>
    <w:p w14:paraId="1CABF622">
      <w:pPr>
        <w:jc w:val="left"/>
        <w:rPr>
          <w:rFonts w:ascii="仿宋" w:hAnsi="仿宋" w:eastAsia="仿宋"/>
          <w:sz w:val="32"/>
          <w:szCs w:val="32"/>
          <w:highlight w:val="none"/>
        </w:rPr>
      </w:pPr>
    </w:p>
    <w:p w14:paraId="6F157BD9">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E99E1AF">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B636044">
      <w:pPr>
        <w:rPr>
          <w:rFonts w:ascii="仿宋" w:hAnsi="仿宋" w:eastAsia="仿宋"/>
          <w:sz w:val="32"/>
          <w:szCs w:val="32"/>
          <w:highlight w:val="none"/>
        </w:rPr>
      </w:pPr>
    </w:p>
    <w:p w14:paraId="68495A15">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17F60"/>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084706"/>
    <w:rsid w:val="08190FFD"/>
    <w:rsid w:val="0A450E4E"/>
    <w:rsid w:val="0A7F599D"/>
    <w:rsid w:val="0B4115AF"/>
    <w:rsid w:val="0C633590"/>
    <w:rsid w:val="0C7C5D37"/>
    <w:rsid w:val="0D0F40E1"/>
    <w:rsid w:val="0E0E4A27"/>
    <w:rsid w:val="0E235FAD"/>
    <w:rsid w:val="0E933B6E"/>
    <w:rsid w:val="0F4C4086"/>
    <w:rsid w:val="0FC65E97"/>
    <w:rsid w:val="10D9450A"/>
    <w:rsid w:val="112B3A0C"/>
    <w:rsid w:val="11423AC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4666EE4"/>
    <w:rsid w:val="2527010D"/>
    <w:rsid w:val="2551604F"/>
    <w:rsid w:val="2564324B"/>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5367016"/>
    <w:rsid w:val="46C17DAD"/>
    <w:rsid w:val="46F64D5D"/>
    <w:rsid w:val="49B81F53"/>
    <w:rsid w:val="4AAC7860"/>
    <w:rsid w:val="4D0265B8"/>
    <w:rsid w:val="4D8021B9"/>
    <w:rsid w:val="4DFF6777"/>
    <w:rsid w:val="4EB752BA"/>
    <w:rsid w:val="4ED6365B"/>
    <w:rsid w:val="4F735000"/>
    <w:rsid w:val="50AF0A9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4D09B4"/>
    <w:rsid w:val="62B666A5"/>
    <w:rsid w:val="62E15FE9"/>
    <w:rsid w:val="65255B39"/>
    <w:rsid w:val="659C7B1A"/>
    <w:rsid w:val="65A27A8E"/>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8034139"/>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paragraph" w:customStyle="1" w:styleId="13">
    <w:name w:val="p0"/>
    <w:basedOn w:val="1"/>
    <w:autoRedefine/>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3595</Words>
  <Characters>3838</Characters>
  <Lines>19</Lines>
  <Paragraphs>5</Paragraphs>
  <TotalTime>0</TotalTime>
  <ScaleCrop>false</ScaleCrop>
  <LinksUpToDate>false</LinksUpToDate>
  <CharactersWithSpaces>3984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2025-04-07T07:09:33Z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eyJoZGlkIjoiZTcxZWUwOWZjOTc0MzE1ZWQ1MzkzZjEyN2I0NzYyZTkifQ==</vt:lpwstr>
  </property>
</Properties>
</file>