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7D57F">
      <w:pPr>
        <w:jc w:val="center"/>
        <w:rPr>
          <w:rFonts w:hint="eastAsia" w:ascii="黑体" w:hAnsi="黑体" w:eastAsia="黑体"/>
          <w:sz w:val="44"/>
          <w:szCs w:val="44"/>
          <w:highlight w:val="none"/>
          <w:lang w:val="en-US" w:eastAsia="zh-CN"/>
        </w:rPr>
      </w:pPr>
    </w:p>
    <w:p w14:paraId="27503E12">
      <w:pPr>
        <w:jc w:val="center"/>
        <w:rPr>
          <w:rFonts w:hint="eastAsia" w:ascii="黑体" w:hAnsi="黑体" w:eastAsia="黑体"/>
          <w:sz w:val="44"/>
          <w:szCs w:val="44"/>
          <w:highlight w:val="none"/>
          <w:lang w:val="en-US" w:eastAsia="zh-CN"/>
        </w:rPr>
      </w:pPr>
    </w:p>
    <w:p w14:paraId="768A0CB6">
      <w:pPr>
        <w:jc w:val="center"/>
        <w:rPr>
          <w:rFonts w:hint="eastAsia" w:ascii="黑体" w:hAnsi="黑体" w:eastAsia="黑体"/>
          <w:sz w:val="44"/>
          <w:szCs w:val="44"/>
          <w:highlight w:val="none"/>
          <w:lang w:val="en-US" w:eastAsia="zh-CN"/>
        </w:rPr>
      </w:pPr>
    </w:p>
    <w:p w14:paraId="69476822">
      <w:pPr>
        <w:jc w:val="center"/>
        <w:rPr>
          <w:rFonts w:hint="eastAsia" w:ascii="黑体" w:hAnsi="黑体" w:eastAsia="黑体"/>
          <w:sz w:val="44"/>
          <w:szCs w:val="44"/>
          <w:highlight w:val="none"/>
          <w:lang w:val="en-US" w:eastAsia="zh-CN"/>
        </w:rPr>
      </w:pPr>
    </w:p>
    <w:p w14:paraId="07E2FE74">
      <w:pPr>
        <w:jc w:val="center"/>
        <w:rPr>
          <w:rFonts w:hint="eastAsia" w:ascii="黑体" w:hAnsi="黑体" w:eastAsia="黑体"/>
          <w:sz w:val="44"/>
          <w:szCs w:val="44"/>
          <w:highlight w:val="none"/>
          <w:lang w:val="en-US" w:eastAsia="zh-CN"/>
        </w:rPr>
      </w:pPr>
    </w:p>
    <w:p w14:paraId="7498372A">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磐石市文化馆2025年部门预算</w:t>
      </w:r>
    </w:p>
    <w:p w14:paraId="20BE79BE">
      <w:pPr>
        <w:jc w:val="center"/>
        <w:rPr>
          <w:rFonts w:hint="eastAsia" w:ascii="黑体" w:hAnsi="黑体" w:eastAsia="黑体"/>
          <w:sz w:val="44"/>
          <w:szCs w:val="44"/>
          <w:highlight w:val="none"/>
        </w:rPr>
      </w:pPr>
    </w:p>
    <w:p w14:paraId="2E02905E">
      <w:pPr>
        <w:jc w:val="center"/>
        <w:rPr>
          <w:rFonts w:hint="eastAsia" w:ascii="黑体" w:hAnsi="黑体" w:eastAsia="黑体"/>
          <w:sz w:val="44"/>
          <w:szCs w:val="44"/>
          <w:highlight w:val="none"/>
        </w:rPr>
      </w:pPr>
    </w:p>
    <w:p w14:paraId="43B51FA2">
      <w:pPr>
        <w:jc w:val="center"/>
        <w:rPr>
          <w:rFonts w:hint="eastAsia" w:ascii="黑体" w:hAnsi="黑体" w:eastAsia="黑体"/>
          <w:sz w:val="44"/>
          <w:szCs w:val="44"/>
          <w:highlight w:val="none"/>
        </w:rPr>
      </w:pPr>
    </w:p>
    <w:p w14:paraId="1DC27436">
      <w:pPr>
        <w:jc w:val="center"/>
        <w:rPr>
          <w:rFonts w:hint="eastAsia" w:ascii="黑体" w:hAnsi="黑体" w:eastAsia="黑体"/>
          <w:sz w:val="44"/>
          <w:szCs w:val="44"/>
          <w:highlight w:val="none"/>
        </w:rPr>
      </w:pPr>
    </w:p>
    <w:p w14:paraId="243B3C2C">
      <w:pPr>
        <w:jc w:val="center"/>
        <w:rPr>
          <w:rFonts w:hint="eastAsia" w:ascii="黑体" w:hAnsi="黑体" w:eastAsia="黑体"/>
          <w:sz w:val="44"/>
          <w:szCs w:val="44"/>
          <w:highlight w:val="none"/>
        </w:rPr>
      </w:pPr>
    </w:p>
    <w:p w14:paraId="39E6DA03">
      <w:pPr>
        <w:jc w:val="center"/>
        <w:rPr>
          <w:rFonts w:hint="eastAsia" w:ascii="黑体" w:hAnsi="黑体" w:eastAsia="黑体"/>
          <w:sz w:val="44"/>
          <w:szCs w:val="44"/>
          <w:highlight w:val="none"/>
        </w:rPr>
      </w:pPr>
    </w:p>
    <w:p w14:paraId="740091F8">
      <w:pPr>
        <w:jc w:val="center"/>
        <w:rPr>
          <w:rFonts w:hint="eastAsia" w:ascii="黑体" w:hAnsi="黑体" w:eastAsia="黑体"/>
          <w:sz w:val="44"/>
          <w:szCs w:val="44"/>
          <w:highlight w:val="none"/>
        </w:rPr>
      </w:pPr>
    </w:p>
    <w:p w14:paraId="1BC94C04">
      <w:pPr>
        <w:jc w:val="center"/>
        <w:rPr>
          <w:rFonts w:hint="eastAsia" w:ascii="黑体" w:hAnsi="黑体" w:eastAsia="黑体"/>
          <w:sz w:val="44"/>
          <w:szCs w:val="44"/>
          <w:highlight w:val="none"/>
        </w:rPr>
      </w:pPr>
    </w:p>
    <w:p w14:paraId="502063EA">
      <w:pPr>
        <w:jc w:val="center"/>
        <w:rPr>
          <w:rFonts w:hint="eastAsia" w:ascii="黑体" w:hAnsi="黑体" w:eastAsia="黑体"/>
          <w:sz w:val="44"/>
          <w:szCs w:val="44"/>
          <w:highlight w:val="none"/>
        </w:rPr>
      </w:pPr>
    </w:p>
    <w:p w14:paraId="13BBF78A">
      <w:pPr>
        <w:jc w:val="center"/>
        <w:rPr>
          <w:rFonts w:hint="eastAsia" w:ascii="黑体" w:hAnsi="黑体" w:eastAsia="黑体"/>
          <w:sz w:val="44"/>
          <w:szCs w:val="44"/>
          <w:highlight w:val="none"/>
        </w:rPr>
      </w:pPr>
    </w:p>
    <w:p w14:paraId="03563053">
      <w:pPr>
        <w:jc w:val="center"/>
        <w:rPr>
          <w:rFonts w:hint="default" w:ascii="黑体" w:hAnsi="黑体" w:eastAsia="黑体"/>
          <w:sz w:val="44"/>
          <w:szCs w:val="44"/>
          <w:highlight w:val="yellow"/>
          <w:lang w:val="en-US" w:eastAsia="zh-CN"/>
        </w:rPr>
      </w:pPr>
      <w:r>
        <w:rPr>
          <w:rFonts w:hint="eastAsia" w:ascii="黑体" w:hAnsi="黑体" w:eastAsia="黑体"/>
          <w:sz w:val="52"/>
          <w:szCs w:val="52"/>
          <w:highlight w:val="none"/>
          <w:lang w:val="en-US" w:eastAsia="zh-CN"/>
        </w:rPr>
        <w:t>二〇二五年二月五日</w:t>
      </w:r>
    </w:p>
    <w:p w14:paraId="0696751E">
      <w:pPr>
        <w:jc w:val="center"/>
        <w:rPr>
          <w:rFonts w:hint="eastAsia" w:ascii="黑体" w:hAnsi="黑体" w:eastAsia="黑体"/>
          <w:sz w:val="44"/>
          <w:szCs w:val="44"/>
          <w:highlight w:val="none"/>
        </w:rPr>
      </w:pPr>
    </w:p>
    <w:p w14:paraId="4927C753">
      <w:pPr>
        <w:jc w:val="center"/>
        <w:rPr>
          <w:rFonts w:hint="eastAsia" w:ascii="黑体" w:hAnsi="黑体" w:eastAsia="黑体"/>
          <w:sz w:val="44"/>
          <w:szCs w:val="44"/>
          <w:highlight w:val="none"/>
        </w:rPr>
      </w:pPr>
    </w:p>
    <w:p w14:paraId="65880374">
      <w:pPr>
        <w:jc w:val="center"/>
        <w:rPr>
          <w:rFonts w:hint="eastAsia" w:ascii="黑体" w:hAnsi="黑体" w:eastAsia="黑体"/>
          <w:sz w:val="44"/>
          <w:szCs w:val="44"/>
          <w:highlight w:val="none"/>
        </w:rPr>
      </w:pPr>
    </w:p>
    <w:p w14:paraId="487D7795">
      <w:pPr>
        <w:jc w:val="center"/>
        <w:rPr>
          <w:rFonts w:hint="eastAsia" w:ascii="黑体" w:hAnsi="黑体" w:eastAsia="黑体"/>
          <w:sz w:val="44"/>
          <w:szCs w:val="44"/>
          <w:highlight w:val="none"/>
        </w:rPr>
      </w:pPr>
    </w:p>
    <w:p w14:paraId="2176BD2A">
      <w:pPr>
        <w:jc w:val="center"/>
        <w:rPr>
          <w:rFonts w:hint="eastAsia" w:ascii="黑体" w:hAnsi="黑体" w:eastAsia="黑体"/>
          <w:sz w:val="44"/>
          <w:szCs w:val="44"/>
          <w:highlight w:val="none"/>
        </w:rPr>
      </w:pPr>
    </w:p>
    <w:p w14:paraId="1688D58C">
      <w:pPr>
        <w:jc w:val="center"/>
        <w:rPr>
          <w:rFonts w:hint="eastAsia" w:ascii="黑体" w:hAnsi="黑体" w:eastAsia="黑体"/>
          <w:sz w:val="44"/>
          <w:szCs w:val="44"/>
          <w:highlight w:val="none"/>
        </w:rPr>
      </w:pPr>
    </w:p>
    <w:p w14:paraId="541B5E5F">
      <w:pPr>
        <w:jc w:val="center"/>
        <w:rPr>
          <w:rFonts w:ascii="黑体" w:hAnsi="黑体" w:eastAsia="黑体"/>
          <w:sz w:val="44"/>
          <w:szCs w:val="44"/>
          <w:highlight w:val="none"/>
        </w:rPr>
      </w:pPr>
      <w:r>
        <w:rPr>
          <w:rFonts w:hint="eastAsia" w:ascii="黑体" w:hAnsi="黑体" w:eastAsia="黑体"/>
          <w:sz w:val="44"/>
          <w:szCs w:val="44"/>
          <w:highlight w:val="none"/>
          <w:lang w:eastAsia="zh-CN"/>
        </w:rPr>
        <w:t>磐石市文化馆202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6B6AA749">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56E3B8C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05F0C83D">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18ECD76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0D0C5447">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7F785E46">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048C2263">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C32E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974EEB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897D4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772A72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184D7F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0486B73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72A7834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8EC944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65C8159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0C6DE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F30254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03F022F1">
      <w:pPr>
        <w:rPr>
          <w:rFonts w:ascii="仿宋" w:hAnsi="仿宋" w:eastAsia="仿宋"/>
          <w:sz w:val="32"/>
          <w:szCs w:val="32"/>
          <w:highlight w:val="none"/>
        </w:rPr>
      </w:pPr>
    </w:p>
    <w:p w14:paraId="7301AF70">
      <w:pPr>
        <w:rPr>
          <w:rFonts w:ascii="仿宋" w:hAnsi="仿宋" w:eastAsia="仿宋"/>
          <w:sz w:val="32"/>
          <w:szCs w:val="32"/>
          <w:highlight w:val="none"/>
        </w:rPr>
      </w:pPr>
    </w:p>
    <w:p w14:paraId="214F147B">
      <w:pPr>
        <w:rPr>
          <w:rFonts w:ascii="仿宋" w:hAnsi="仿宋" w:eastAsia="仿宋"/>
          <w:sz w:val="32"/>
          <w:szCs w:val="32"/>
          <w:highlight w:val="none"/>
        </w:rPr>
      </w:pPr>
    </w:p>
    <w:p w14:paraId="7C2AC247">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354FE41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9EEE5F1">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66881E01">
      <w:pPr>
        <w:pStyle w:val="10"/>
        <w:widowControl/>
        <w:spacing w:line="620" w:lineRule="exact"/>
        <w:ind w:firstLine="640" w:firstLineChars="200"/>
        <w:contextualSpacing/>
        <w:rPr>
          <w:rFonts w:ascii="仿宋" w:hAnsi="仿宋" w:eastAsia="仿宋"/>
          <w:bCs/>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磐石市文化馆</w:t>
      </w:r>
    </w:p>
    <w:p w14:paraId="41BA5EB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rPr>
        <w:t>1949年3月18日</w:t>
      </w:r>
    </w:p>
    <w:p w14:paraId="3C306BA2">
      <w:pPr>
        <w:ind w:firstLine="640" w:firstLineChars="200"/>
        <w:rPr>
          <w:rFonts w:hint="eastAsia" w:ascii="仿宋" w:hAnsi="仿宋" w:eastAsia="仿宋"/>
          <w:sz w:val="32"/>
          <w:szCs w:val="32"/>
        </w:rPr>
      </w:pPr>
      <w:r>
        <w:rPr>
          <w:rFonts w:hint="eastAsia" w:ascii="仿宋" w:hAnsi="仿宋" w:eastAsia="仿宋"/>
          <w:sz w:val="32"/>
          <w:szCs w:val="32"/>
        </w:rPr>
        <w:t>文化馆主要职能是:</w:t>
      </w:r>
    </w:p>
    <w:p w14:paraId="5AADFEBA">
      <w:pPr>
        <w:ind w:firstLine="640" w:firstLineChars="200"/>
        <w:rPr>
          <w:rFonts w:hint="eastAsia" w:ascii="仿宋" w:hAnsi="仿宋" w:eastAsia="仿宋"/>
          <w:sz w:val="32"/>
          <w:szCs w:val="32"/>
        </w:rPr>
      </w:pPr>
      <w:r>
        <w:rPr>
          <w:rFonts w:hint="eastAsia" w:ascii="仿宋" w:hAnsi="仿宋" w:eastAsia="仿宋"/>
          <w:sz w:val="32"/>
          <w:szCs w:val="32"/>
        </w:rPr>
        <w:t>(一)举办各类展览、讲座、培训等，普及科学文化知识，开展社会教育，提高群众文化素质，促进当地精神文明建设。</w:t>
      </w:r>
    </w:p>
    <w:p w14:paraId="2F013D84">
      <w:pPr>
        <w:ind w:firstLine="640" w:firstLineChars="200"/>
        <w:rPr>
          <w:rFonts w:hint="eastAsia" w:ascii="仿宋" w:hAnsi="仿宋" w:eastAsia="仿宋"/>
          <w:sz w:val="32"/>
          <w:szCs w:val="32"/>
        </w:rPr>
      </w:pPr>
      <w:r>
        <w:rPr>
          <w:rFonts w:hint="eastAsia" w:ascii="仿宋" w:hAnsi="仿宋" w:eastAsia="仿宋"/>
          <w:sz w:val="32"/>
          <w:szCs w:val="32"/>
        </w:rPr>
        <w:t>(二)组织开展丰富多彩的、群众喜闻乐见的文化活动;开展流动文化服务;指导群众业余文艺团队建设，辅导和培训群众文艺骨干。</w:t>
      </w:r>
    </w:p>
    <w:p w14:paraId="5CF332B2">
      <w:pPr>
        <w:ind w:firstLine="640" w:firstLineChars="200"/>
        <w:rPr>
          <w:rFonts w:hint="eastAsia" w:ascii="仿宋" w:hAnsi="仿宋" w:eastAsia="仿宋"/>
          <w:sz w:val="32"/>
          <w:szCs w:val="32"/>
        </w:rPr>
      </w:pPr>
      <w:r>
        <w:rPr>
          <w:rFonts w:hint="eastAsia" w:ascii="仿宋" w:hAnsi="仿宋" w:eastAsia="仿宋"/>
          <w:sz w:val="32"/>
          <w:szCs w:val="32"/>
        </w:rPr>
        <w:t>(三)组织并指导群众文艺创作，开展群众文化工作理论研究。</w:t>
      </w:r>
    </w:p>
    <w:p w14:paraId="15A38EE5">
      <w:pPr>
        <w:ind w:firstLine="640" w:firstLineChars="200"/>
        <w:rPr>
          <w:rFonts w:hint="eastAsia" w:ascii="仿宋" w:hAnsi="仿宋" w:eastAsia="仿宋"/>
          <w:sz w:val="32"/>
          <w:szCs w:val="32"/>
        </w:rPr>
      </w:pPr>
      <w:r>
        <w:rPr>
          <w:rFonts w:hint="eastAsia" w:ascii="仿宋" w:hAnsi="仿宋" w:eastAsia="仿宋"/>
          <w:sz w:val="32"/>
          <w:szCs w:val="32"/>
        </w:rPr>
        <w:t>(四)收集、整理、研究非物质文化遗产，开展非物质文化遗产的普查、展示、宣传活动，指导传承人开展传习活动。</w:t>
      </w:r>
    </w:p>
    <w:p w14:paraId="61B1061D">
      <w:pPr>
        <w:ind w:firstLine="640" w:firstLineChars="200"/>
        <w:rPr>
          <w:rFonts w:hint="eastAsia" w:ascii="仿宋" w:hAnsi="仿宋" w:eastAsia="仿宋"/>
          <w:sz w:val="32"/>
          <w:szCs w:val="32"/>
        </w:rPr>
      </w:pPr>
      <w:r>
        <w:rPr>
          <w:rFonts w:hint="eastAsia" w:ascii="仿宋" w:hAnsi="仿宋" w:eastAsia="仿宋"/>
          <w:sz w:val="32"/>
          <w:szCs w:val="32"/>
        </w:rPr>
        <w:t>(五)建成全国文化信息资源共享工程基层服务点，开展数字文化信息服务。</w:t>
      </w:r>
    </w:p>
    <w:p w14:paraId="05C6C81C">
      <w:pPr>
        <w:ind w:firstLine="640" w:firstLineChars="200"/>
        <w:rPr>
          <w:rFonts w:ascii="仿宋" w:hAnsi="仿宋" w:eastAsia="仿宋"/>
          <w:kern w:val="0"/>
          <w:sz w:val="32"/>
          <w:szCs w:val="32"/>
          <w:highlight w:val="none"/>
        </w:rPr>
      </w:pPr>
      <w:r>
        <w:rPr>
          <w:rFonts w:hint="eastAsia" w:ascii="仿宋" w:hAnsi="仿宋" w:eastAsia="仿宋"/>
          <w:sz w:val="32"/>
          <w:szCs w:val="32"/>
        </w:rPr>
        <w:t>(六)指导下一级文化馆 (文化站、社区文化中心)工作，为下一级文化馆(文化站、社区文化中心)培训人员，并向下一级文化馆(文化站、社区文化中心)配送文化资源和文化服务。</w:t>
      </w:r>
    </w:p>
    <w:p w14:paraId="47F077F8">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6A582946">
      <w:pPr>
        <w:pStyle w:val="13"/>
        <w:ind w:firstLine="640" w:firstLineChars="200"/>
        <w:rPr>
          <w:rFonts w:ascii="仿宋" w:hAnsi="仿宋" w:eastAsia="仿宋"/>
        </w:rPr>
      </w:pPr>
      <w:r>
        <w:rPr>
          <w:rFonts w:ascii="仿宋" w:hAnsi="仿宋" w:eastAsia="仿宋"/>
        </w:rPr>
        <w:t>根据上述职责，</w:t>
      </w:r>
      <w:r>
        <w:rPr>
          <w:rFonts w:hint="eastAsia" w:ascii="仿宋" w:hAnsi="仿宋" w:eastAsia="仿宋"/>
        </w:rPr>
        <w:t>磐石市文化馆</w:t>
      </w:r>
      <w:r>
        <w:rPr>
          <w:rFonts w:ascii="仿宋" w:hAnsi="仿宋" w:eastAsia="仿宋"/>
        </w:rPr>
        <w:t>内设</w:t>
      </w:r>
      <w:r>
        <w:rPr>
          <w:rFonts w:hint="eastAsia" w:ascii="仿宋" w:hAnsi="仿宋" w:eastAsia="仿宋"/>
        </w:rPr>
        <w:t>7</w:t>
      </w:r>
      <w:r>
        <w:rPr>
          <w:rFonts w:ascii="仿宋" w:hAnsi="仿宋" w:eastAsia="仿宋"/>
        </w:rPr>
        <w:t>个机构，分别为</w:t>
      </w:r>
      <w:r>
        <w:rPr>
          <w:rFonts w:hint="eastAsia" w:ascii="仿宋" w:hAnsi="仿宋" w:eastAsia="仿宋"/>
        </w:rPr>
        <w:t>文艺部、美术部、基层指导部、免费开放部、数字网络服务部、办公室、非遗办公室</w:t>
      </w:r>
      <w:r>
        <w:rPr>
          <w:rFonts w:ascii="仿宋" w:hAnsi="仿宋" w:eastAsia="仿宋"/>
        </w:rPr>
        <w:t>。</w:t>
      </w:r>
    </w:p>
    <w:p w14:paraId="4B114135">
      <w:pPr>
        <w:pStyle w:val="12"/>
        <w:ind w:firstLine="627" w:firstLineChars="196"/>
        <w:rPr>
          <w:rFonts w:hint="default" w:ascii="仿宋" w:hAnsi="仿宋" w:eastAsia="仿宋"/>
          <w:sz w:val="32"/>
          <w:szCs w:val="32"/>
          <w:highlight w:val="none"/>
          <w:lang w:val="en-US" w:eastAsia="zh-CN"/>
        </w:rPr>
      </w:pPr>
      <w:r>
        <w:rPr>
          <w:rFonts w:hint="eastAsia" w:ascii="仿宋" w:hAnsi="仿宋" w:eastAsia="仿宋"/>
          <w:kern w:val="0"/>
          <w:szCs w:val="32"/>
        </w:rPr>
        <w:t>人员情况：在职人员1</w:t>
      </w:r>
      <w:r>
        <w:rPr>
          <w:rFonts w:hint="eastAsia" w:ascii="仿宋" w:hAnsi="仿宋" w:eastAsia="仿宋"/>
          <w:kern w:val="0"/>
          <w:szCs w:val="32"/>
          <w:lang w:val="en-US" w:eastAsia="zh-CN"/>
        </w:rPr>
        <w:t>9</w:t>
      </w:r>
      <w:r>
        <w:rPr>
          <w:rFonts w:hint="eastAsia" w:ascii="仿宋" w:hAnsi="仿宋" w:eastAsia="仿宋"/>
          <w:kern w:val="0"/>
          <w:szCs w:val="32"/>
        </w:rPr>
        <w:t>人，编制数22人，领导职数</w:t>
      </w:r>
      <w:r>
        <w:rPr>
          <w:rFonts w:hint="eastAsia" w:ascii="仿宋" w:hAnsi="仿宋" w:eastAsia="仿宋"/>
          <w:kern w:val="0"/>
          <w:szCs w:val="32"/>
          <w:lang w:val="en-US" w:eastAsia="zh-CN"/>
        </w:rPr>
        <w:t>1正，2副。</w:t>
      </w:r>
    </w:p>
    <w:p w14:paraId="22C5395E">
      <w:pPr>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 xml:space="preserve"> </w:t>
      </w:r>
    </w:p>
    <w:p w14:paraId="30E12E7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1A9338D">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2365255">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335221CF">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文化旅游体育与传媒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color w:val="FF0000"/>
          <w:sz w:val="32"/>
          <w:szCs w:val="32"/>
          <w:highlight w:val="none"/>
        </w:rPr>
        <w:t xml:space="preserve"> </w:t>
      </w:r>
      <w:r>
        <w:rPr>
          <w:rFonts w:hint="eastAsia" w:ascii="仿宋" w:hAnsi="仿宋" w:eastAsia="仿宋"/>
          <w:color w:val="auto"/>
          <w:sz w:val="32"/>
          <w:szCs w:val="32"/>
          <w:highlight w:val="none"/>
          <w:lang w:val="en-US" w:eastAsia="zh-CN"/>
        </w:rPr>
        <w:t>255.26</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209.64 </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 xml:space="preserve">45.62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2024年新招录3人,调入1人，工资调整标准，上年结转资金 </w:t>
      </w:r>
      <w:r>
        <w:rPr>
          <w:rFonts w:hint="eastAsia" w:ascii="仿宋" w:hAnsi="仿宋" w:eastAsia="仿宋"/>
          <w:sz w:val="32"/>
          <w:szCs w:val="32"/>
          <w:highlight w:val="none"/>
          <w:lang w:eastAsia="zh-CN"/>
        </w:rPr>
        <w:t>。</w:t>
      </w:r>
    </w:p>
    <w:p w14:paraId="2EEB713B">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1884BD3">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255.26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245.81万元，占96%；上年结转 9.45 万元，占4%。本年收入中，一般公共预算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255.26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149B5E17">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1F2F21EC">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255.26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226.87</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89</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28.39</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11</w:t>
      </w:r>
      <w:r>
        <w:rPr>
          <w:rFonts w:hint="eastAsia" w:ascii="仿宋" w:hAnsi="仿宋" w:eastAsia="仿宋"/>
          <w:sz w:val="32"/>
          <w:szCs w:val="32"/>
          <w:highlight w:val="none"/>
          <w:lang w:eastAsia="zh-CN"/>
        </w:rPr>
        <w:t>%。</w:t>
      </w:r>
    </w:p>
    <w:p w14:paraId="1A565274">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9E8776">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255.26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245.81万元，上年结转 9.45万元。支出包括：</w:t>
      </w:r>
      <w:r>
        <w:rPr>
          <w:rFonts w:hint="eastAsia" w:ascii="仿宋" w:hAnsi="仿宋" w:eastAsia="仿宋"/>
          <w:sz w:val="32"/>
          <w:szCs w:val="32"/>
          <w:highlight w:val="none"/>
          <w:lang w:eastAsia="zh-CN"/>
        </w:rPr>
        <w:t>文化旅游体育与传媒支出</w:t>
      </w:r>
      <w:r>
        <w:rPr>
          <w:rFonts w:hint="eastAsia" w:ascii="仿宋" w:hAnsi="仿宋" w:eastAsia="仿宋"/>
          <w:sz w:val="32"/>
          <w:szCs w:val="32"/>
          <w:highlight w:val="none"/>
          <w:lang w:val="en-US" w:eastAsia="zh-CN"/>
        </w:rPr>
        <w:t>191.06</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36.19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10.35</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17.66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 万元</w:t>
      </w:r>
      <w:r>
        <w:rPr>
          <w:rFonts w:hint="eastAsia" w:ascii="仿宋" w:hAnsi="仿宋" w:eastAsia="仿宋"/>
          <w:sz w:val="32"/>
          <w:szCs w:val="32"/>
          <w:highlight w:val="none"/>
        </w:rPr>
        <w:t>。</w:t>
      </w:r>
    </w:p>
    <w:p w14:paraId="296048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1AC5D556">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color w:val="000000" w:themeColor="text1"/>
          <w:sz w:val="32"/>
          <w:szCs w:val="32"/>
          <w:highlight w:val="none"/>
          <w:lang w:val="en-US" w:eastAsia="zh-CN"/>
        </w:rPr>
        <w:t>245.81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226.87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92</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18.94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214.98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11.89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w:t>
      </w:r>
    </w:p>
    <w:p w14:paraId="1CC15AF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文化旅游体育与传媒支出（类）支出</w:t>
      </w:r>
      <w:r>
        <w:rPr>
          <w:rFonts w:hint="eastAsia" w:ascii="仿宋" w:hAnsi="仿宋" w:eastAsia="仿宋"/>
          <w:sz w:val="32"/>
          <w:szCs w:val="32"/>
          <w:highlight w:val="none"/>
          <w:lang w:val="en-US" w:eastAsia="zh-CN"/>
        </w:rPr>
        <w:t>181.61万元，占74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基本工资、津贴补贴、采暖补贴等。</w:t>
      </w:r>
    </w:p>
    <w:p w14:paraId="45D45AB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社会保障和就业（类）支出36.19 万元，占15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职工缴纳养老保险及失业险。</w:t>
      </w:r>
    </w:p>
    <w:p w14:paraId="2FAF394D">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10.35万元，占4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，主要用于职工缴纳医疗保险</w:t>
      </w:r>
      <w:r>
        <w:rPr>
          <w:rFonts w:hint="eastAsia" w:ascii="仿宋" w:hAnsi="仿宋" w:eastAsia="仿宋"/>
          <w:sz w:val="32"/>
          <w:szCs w:val="32"/>
          <w:highlight w:val="none"/>
          <w:lang w:val="en-US" w:eastAsia="zh-CN"/>
        </w:rPr>
        <w:t>。</w:t>
      </w:r>
    </w:p>
    <w:p w14:paraId="6AA9858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17.66 万元，占7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职工缴纳住房公积金。</w:t>
      </w:r>
    </w:p>
    <w:p w14:paraId="18623756">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07B39F5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2025年一般公共预算基本支出226.87万元，其中：</w:t>
      </w:r>
    </w:p>
    <w:p w14:paraId="26EABFAC">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214.98</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CAEB56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11.89</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3E8845BB">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23E9CDB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5A2E91BE">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21C7D260">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lang w:eastAsia="zh-CN"/>
        </w:rPr>
        <w:t>。</w:t>
      </w:r>
    </w:p>
    <w:p w14:paraId="7A921ADC">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36FFF19A">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w:t>
      </w:r>
    </w:p>
    <w:p w14:paraId="26C53C7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1CD4BF6B">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磐石市文化馆</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783E72E7">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4CCEDFA6">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磐石市文化馆</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B44D4AF">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525B72A0">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2FEB9EBC">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等</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4D71CA0">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63AC72AB">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47067021">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075EE10F">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w:t>
      </w:r>
      <w:r>
        <w:rPr>
          <w:rFonts w:hint="eastAsia" w:ascii="仿宋" w:hAnsi="仿宋" w:eastAsia="仿宋"/>
          <w:sz w:val="32"/>
          <w:szCs w:val="32"/>
          <w:highlight w:val="none"/>
          <w:lang w:eastAsia="zh-CN"/>
        </w:rPr>
        <w:t>磐石市文化馆</w:t>
      </w:r>
      <w:r>
        <w:rPr>
          <w:rFonts w:hint="eastAsia" w:ascii="仿宋" w:hAnsi="仿宋" w:eastAsia="仿宋"/>
          <w:sz w:val="32"/>
          <w:szCs w:val="32"/>
          <w:highlight w:val="none"/>
        </w:rPr>
        <w:t>预算单位共有车辆</w:t>
      </w:r>
      <w:r>
        <w:rPr>
          <w:rFonts w:hint="eastAsia" w:ascii="仿宋" w:hAnsi="仿宋" w:eastAsia="仿宋"/>
          <w:sz w:val="32"/>
          <w:szCs w:val="32"/>
          <w:highlight w:val="none"/>
          <w:lang w:val="en-US" w:eastAsia="zh-CN"/>
        </w:rPr>
        <w:t xml:space="preserve">1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1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6AAB2159">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1C86874B">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890D0C8">
      <w:pPr>
        <w:pStyle w:val="8"/>
        <w:numPr>
          <w:ilvl w:val="0"/>
          <w:numId w:val="0"/>
        </w:numPr>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个</w:t>
      </w:r>
      <w:r>
        <w:rPr>
          <w:rFonts w:hint="eastAsia" w:ascii="仿宋" w:hAnsi="仿宋" w:eastAsia="仿宋"/>
          <w:sz w:val="32"/>
          <w:szCs w:val="32"/>
          <w:highlight w:val="none"/>
          <w:lang w:eastAsia="zh-CN"/>
        </w:rPr>
        <w:t>二级</w:t>
      </w:r>
      <w:r>
        <w:rPr>
          <w:rFonts w:hint="eastAsia" w:ascii="仿宋" w:hAnsi="仿宋" w:eastAsia="仿宋"/>
          <w:sz w:val="32"/>
          <w:szCs w:val="32"/>
          <w:highlight w:val="none"/>
        </w:rPr>
        <w:t xml:space="preserve">预算项目，涉及金额 </w:t>
      </w:r>
      <w:r>
        <w:rPr>
          <w:rFonts w:hint="eastAsia" w:ascii="仿宋" w:hAnsi="仿宋" w:eastAsia="仿宋"/>
          <w:sz w:val="32"/>
          <w:szCs w:val="32"/>
          <w:highlight w:val="none"/>
          <w:lang w:val="en-US" w:eastAsia="zh-CN"/>
        </w:rPr>
        <w:t>18.935703</w:t>
      </w:r>
      <w:r>
        <w:rPr>
          <w:rFonts w:hint="eastAsia" w:ascii="仿宋" w:hAnsi="仿宋" w:eastAsia="仿宋"/>
          <w:sz w:val="32"/>
          <w:szCs w:val="32"/>
          <w:highlight w:val="none"/>
        </w:rPr>
        <w:t>万元，项目内容为</w:t>
      </w:r>
      <w:r>
        <w:rPr>
          <w:rFonts w:hint="default" w:ascii="Calibri" w:hAnsi="Calibri" w:eastAsia="仿宋" w:cs="Calibri"/>
          <w:sz w:val="32"/>
          <w:szCs w:val="32"/>
          <w:highlight w:val="none"/>
        </w:rPr>
        <w:t>①</w:t>
      </w:r>
      <w:r>
        <w:rPr>
          <w:rFonts w:hint="eastAsia" w:ascii="仿宋" w:hAnsi="仿宋" w:eastAsia="仿宋"/>
          <w:sz w:val="32"/>
          <w:szCs w:val="32"/>
        </w:rPr>
        <w:t>文化馆</w:t>
      </w:r>
      <w:r>
        <w:rPr>
          <w:rFonts w:hint="eastAsia" w:ascii="仿宋" w:hAnsi="仿宋" w:eastAsia="仿宋"/>
          <w:sz w:val="32"/>
          <w:szCs w:val="32"/>
          <w:lang w:eastAsia="zh-CN"/>
        </w:rPr>
        <w:t>生产用车</w:t>
      </w:r>
      <w:r>
        <w:rPr>
          <w:rFonts w:hint="eastAsia" w:ascii="仿宋" w:hAnsi="仿宋" w:eastAsia="仿宋"/>
          <w:sz w:val="32"/>
          <w:szCs w:val="32"/>
          <w:lang w:val="en-US" w:eastAsia="zh-CN"/>
        </w:rPr>
        <w:t>3.2</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default" w:ascii="Calibri" w:hAnsi="Calibri" w:eastAsia="仿宋" w:cs="Calibri"/>
          <w:sz w:val="32"/>
          <w:szCs w:val="32"/>
          <w:lang w:val="en-US" w:eastAsia="zh-CN"/>
        </w:rPr>
        <w:t>②</w:t>
      </w:r>
      <w:r>
        <w:rPr>
          <w:rFonts w:hint="eastAsia" w:ascii="Calibri" w:hAnsi="Calibri" w:eastAsia="仿宋" w:cs="Calibri"/>
          <w:sz w:val="32"/>
          <w:szCs w:val="32"/>
          <w:lang w:val="en-US" w:eastAsia="zh-CN"/>
        </w:rPr>
        <w:t>单位自聘人员工资8.265703万元；</w:t>
      </w:r>
      <w:r>
        <w:rPr>
          <w:rFonts w:hint="default" w:ascii="Calibri" w:hAnsi="Calibri" w:eastAsia="仿宋" w:cs="Calibri"/>
          <w:sz w:val="32"/>
          <w:szCs w:val="32"/>
          <w:lang w:val="en-US" w:eastAsia="zh-CN"/>
        </w:rPr>
        <w:t>③</w:t>
      </w:r>
      <w:r>
        <w:rPr>
          <w:rFonts w:hint="eastAsia" w:ascii="Calibri" w:hAnsi="Calibri" w:eastAsia="仿宋" w:cs="Calibri"/>
          <w:sz w:val="32"/>
          <w:szCs w:val="32"/>
          <w:lang w:val="en-US" w:eastAsia="zh-CN"/>
        </w:rPr>
        <w:t>广场演出经费5万元；</w:t>
      </w:r>
      <w:bookmarkStart w:id="0" w:name="_GoBack"/>
      <w:bookmarkEnd w:id="0"/>
      <w:r>
        <w:rPr>
          <w:rFonts w:hint="default" w:ascii="Calibri" w:hAnsi="Calibri" w:eastAsia="仿宋" w:cs="Calibri"/>
          <w:sz w:val="32"/>
          <w:szCs w:val="32"/>
          <w:lang w:val="en-US" w:eastAsia="zh-CN"/>
        </w:rPr>
        <w:t>④</w:t>
      </w:r>
      <w:r>
        <w:rPr>
          <w:rFonts w:hint="eastAsia" w:ascii="Calibri" w:hAnsi="Calibri" w:eastAsia="仿宋" w:cs="Calibri"/>
          <w:sz w:val="32"/>
          <w:szCs w:val="32"/>
          <w:lang w:val="en-US" w:eastAsia="zh-CN"/>
        </w:rPr>
        <w:t>公益岗工资2.47万元</w:t>
      </w:r>
      <w:r>
        <w:rPr>
          <w:rFonts w:hint="eastAsia" w:ascii="仿宋" w:hAnsi="仿宋" w:eastAsia="仿宋"/>
          <w:sz w:val="32"/>
          <w:szCs w:val="32"/>
          <w:highlight w:val="none"/>
        </w:rPr>
        <w:t>。同时，将预算项目绩效目标进一步细化为绩效指标和指标值（附预算项目绩效目标申报表）。</w:t>
      </w:r>
    </w:p>
    <w:p w14:paraId="0202BDE4">
      <w:pPr>
        <w:jc w:val="left"/>
        <w:rPr>
          <w:rFonts w:ascii="仿宋" w:hAnsi="仿宋" w:eastAsia="仿宋"/>
          <w:sz w:val="32"/>
          <w:szCs w:val="32"/>
          <w:highlight w:val="none"/>
        </w:rPr>
      </w:pPr>
    </w:p>
    <w:p w14:paraId="64AFFB30">
      <w:pPr>
        <w:jc w:val="center"/>
        <w:rPr>
          <w:rFonts w:ascii="仿宋" w:hAnsi="仿宋" w:eastAsia="仿宋"/>
          <w:sz w:val="32"/>
          <w:szCs w:val="32"/>
          <w:highlight w:val="none"/>
        </w:rPr>
      </w:pPr>
    </w:p>
    <w:p w14:paraId="1309448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42E9BE4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883ED64">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7018A672">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4B98490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235CF88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93A02F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6434026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6628F0F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4012B35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0E7A80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99B5C9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5EB05D1">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AAB94D2">
      <w:pPr>
        <w:ind w:firstLine="640" w:firstLineChars="200"/>
        <w:rPr>
          <w:rFonts w:ascii="仿宋_GB2312" w:eastAsia="仿宋_GB2312"/>
          <w:sz w:val="32"/>
          <w:szCs w:val="32"/>
          <w:highlight w:val="none"/>
        </w:rPr>
      </w:pPr>
    </w:p>
    <w:p w14:paraId="3295631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F55AF53">
      <w:pPr>
        <w:jc w:val="left"/>
        <w:rPr>
          <w:rFonts w:ascii="仿宋" w:hAnsi="仿宋" w:eastAsia="仿宋"/>
          <w:sz w:val="32"/>
          <w:szCs w:val="32"/>
          <w:highlight w:val="none"/>
        </w:rPr>
      </w:pPr>
    </w:p>
    <w:p w14:paraId="1CD234E4">
      <w:pPr>
        <w:jc w:val="left"/>
        <w:rPr>
          <w:rFonts w:ascii="仿宋" w:hAnsi="仿宋" w:eastAsia="仿宋"/>
          <w:sz w:val="32"/>
          <w:szCs w:val="32"/>
          <w:highlight w:val="none"/>
        </w:rPr>
      </w:pPr>
    </w:p>
    <w:p w14:paraId="7874A33C">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296C0048">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328534A8">
      <w:pPr>
        <w:rPr>
          <w:rFonts w:ascii="仿宋" w:hAnsi="仿宋" w:eastAsia="仿宋"/>
          <w:sz w:val="32"/>
          <w:szCs w:val="32"/>
          <w:highlight w:val="none"/>
        </w:rPr>
      </w:pPr>
    </w:p>
    <w:p w14:paraId="391626F6">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0B6193"/>
    <w:rsid w:val="08190FFD"/>
    <w:rsid w:val="0A450E4E"/>
    <w:rsid w:val="0A7F599D"/>
    <w:rsid w:val="0B4115AF"/>
    <w:rsid w:val="0C633590"/>
    <w:rsid w:val="0C7C5D37"/>
    <w:rsid w:val="0D0F40E1"/>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3D70F5"/>
    <w:rsid w:val="26DC2BFA"/>
    <w:rsid w:val="27063D31"/>
    <w:rsid w:val="27742DDB"/>
    <w:rsid w:val="27747EDE"/>
    <w:rsid w:val="277B13CF"/>
    <w:rsid w:val="28565ECE"/>
    <w:rsid w:val="285B5D80"/>
    <w:rsid w:val="28753BF0"/>
    <w:rsid w:val="28AA47B7"/>
    <w:rsid w:val="28CB641B"/>
    <w:rsid w:val="29207EE3"/>
    <w:rsid w:val="2AC832F5"/>
    <w:rsid w:val="2D742D12"/>
    <w:rsid w:val="2DB21965"/>
    <w:rsid w:val="2DB7713C"/>
    <w:rsid w:val="2E3342C6"/>
    <w:rsid w:val="32316BFD"/>
    <w:rsid w:val="344D4C9B"/>
    <w:rsid w:val="36273D08"/>
    <w:rsid w:val="37361A0B"/>
    <w:rsid w:val="38253B59"/>
    <w:rsid w:val="385B501F"/>
    <w:rsid w:val="38DE30B8"/>
    <w:rsid w:val="39284901"/>
    <w:rsid w:val="3A482539"/>
    <w:rsid w:val="3A915046"/>
    <w:rsid w:val="3C4C15D1"/>
    <w:rsid w:val="3CEA5A8A"/>
    <w:rsid w:val="3D897F97"/>
    <w:rsid w:val="3DA7578C"/>
    <w:rsid w:val="3E8742BA"/>
    <w:rsid w:val="3F597259"/>
    <w:rsid w:val="3F6B774D"/>
    <w:rsid w:val="42702C95"/>
    <w:rsid w:val="430260DD"/>
    <w:rsid w:val="442476FC"/>
    <w:rsid w:val="46C17DAD"/>
    <w:rsid w:val="46F64D5D"/>
    <w:rsid w:val="482E13B3"/>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 w:type="paragraph" w:customStyle="1" w:styleId="13">
    <w:name w:val="p0"/>
    <w:basedOn w:val="1"/>
    <w:autoRedefine/>
    <w:qFormat/>
    <w:uiPriority w:val="0"/>
    <w:pPr>
      <w:widowControl/>
    </w:pPr>
    <w:rPr>
      <w:rFonts w:ascii="Calibri" w:hAnsi="Calibri" w:eastAsia="宋体" w:cs="Times New Roman"/>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641</Words>
  <Characters>656</Characters>
  <Lines>19</Lines>
  <Paragraphs>5</Paragraphs>
  <TotalTime>44</TotalTime>
  <ScaleCrop>false</ScaleCrop>
  <LinksUpToDate>false</LinksUpToDate>
  <CharactersWithSpaces>687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磐石市文化市场综合执法大队</cp:lastModifiedBy>
  <cp:lastPrinted>2025-04-02T04:26:00Z</cp:lastPrinted>
  <dcterms:modified xsi:type="dcterms:W3CDTF">2025-04-08T06:44:19Z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eyJoZGlkIjoiMjA1ZWMzYmJmM2ZkM2ZiYmUzMDc2MmY0ODE2OTgzZGQifQ==</vt:lpwstr>
  </property>
</Properties>
</file>