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5F97AA">
      <w:pPr>
        <w:jc w:val="center"/>
        <w:rPr>
          <w:rFonts w:hint="eastAsia" w:ascii="黑体" w:hAnsi="黑体" w:eastAsia="黑体"/>
          <w:sz w:val="44"/>
          <w:szCs w:val="44"/>
          <w:highlight w:val="none"/>
          <w:lang w:val="en-US" w:eastAsia="zh-CN"/>
        </w:rPr>
      </w:pPr>
    </w:p>
    <w:p w14:paraId="30173BDB">
      <w:pPr>
        <w:jc w:val="center"/>
        <w:rPr>
          <w:rFonts w:hint="eastAsia" w:ascii="黑体" w:hAnsi="黑体" w:eastAsia="黑体"/>
          <w:sz w:val="44"/>
          <w:szCs w:val="44"/>
          <w:highlight w:val="none"/>
          <w:lang w:val="en-US" w:eastAsia="zh-CN"/>
        </w:rPr>
      </w:pPr>
    </w:p>
    <w:p w14:paraId="3E6942D6">
      <w:pPr>
        <w:jc w:val="center"/>
        <w:rPr>
          <w:rFonts w:hint="eastAsia" w:ascii="黑体" w:hAnsi="黑体" w:eastAsia="黑体"/>
          <w:sz w:val="44"/>
          <w:szCs w:val="44"/>
          <w:highlight w:val="none"/>
          <w:lang w:val="en-US" w:eastAsia="zh-CN"/>
        </w:rPr>
      </w:pPr>
    </w:p>
    <w:p w14:paraId="08F8325A">
      <w:pPr>
        <w:jc w:val="center"/>
        <w:rPr>
          <w:rFonts w:hint="eastAsia" w:ascii="黑体" w:hAnsi="黑体" w:eastAsia="黑体"/>
          <w:sz w:val="44"/>
          <w:szCs w:val="44"/>
          <w:highlight w:val="none"/>
          <w:lang w:val="en-US" w:eastAsia="zh-CN"/>
        </w:rPr>
      </w:pPr>
    </w:p>
    <w:p w14:paraId="58D7D8C3">
      <w:pPr>
        <w:jc w:val="center"/>
        <w:rPr>
          <w:rFonts w:hint="eastAsia" w:ascii="黑体" w:hAnsi="黑体" w:eastAsia="黑体"/>
          <w:sz w:val="44"/>
          <w:szCs w:val="44"/>
          <w:highlight w:val="none"/>
          <w:lang w:val="en-US" w:eastAsia="zh-CN"/>
        </w:rPr>
      </w:pPr>
    </w:p>
    <w:p w14:paraId="541F611B">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磐石市吉昌镇人民政府2025年</w:t>
      </w:r>
    </w:p>
    <w:p w14:paraId="5F2DF6C2">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部门预算</w:t>
      </w:r>
    </w:p>
    <w:p w14:paraId="50091755">
      <w:pPr>
        <w:jc w:val="center"/>
        <w:rPr>
          <w:rFonts w:hint="eastAsia" w:ascii="黑体" w:hAnsi="黑体" w:eastAsia="黑体"/>
          <w:sz w:val="44"/>
          <w:szCs w:val="44"/>
          <w:highlight w:val="none"/>
        </w:rPr>
      </w:pPr>
    </w:p>
    <w:p w14:paraId="6CB7DAE5">
      <w:pPr>
        <w:jc w:val="center"/>
        <w:rPr>
          <w:rFonts w:hint="eastAsia" w:ascii="黑体" w:hAnsi="黑体" w:eastAsia="黑体"/>
          <w:sz w:val="44"/>
          <w:szCs w:val="44"/>
          <w:highlight w:val="none"/>
        </w:rPr>
      </w:pPr>
    </w:p>
    <w:p w14:paraId="7A5EF4E1">
      <w:pPr>
        <w:jc w:val="center"/>
        <w:rPr>
          <w:rFonts w:hint="eastAsia" w:ascii="黑体" w:hAnsi="黑体" w:eastAsia="黑体"/>
          <w:sz w:val="44"/>
          <w:szCs w:val="44"/>
          <w:highlight w:val="none"/>
        </w:rPr>
      </w:pPr>
    </w:p>
    <w:p w14:paraId="4AB0381B">
      <w:pPr>
        <w:jc w:val="center"/>
        <w:rPr>
          <w:rFonts w:hint="eastAsia" w:ascii="黑体" w:hAnsi="黑体" w:eastAsia="黑体"/>
          <w:sz w:val="44"/>
          <w:szCs w:val="44"/>
          <w:highlight w:val="none"/>
        </w:rPr>
      </w:pPr>
    </w:p>
    <w:p w14:paraId="27979506">
      <w:pPr>
        <w:jc w:val="center"/>
        <w:rPr>
          <w:rFonts w:hint="eastAsia" w:ascii="黑体" w:hAnsi="黑体" w:eastAsia="黑体"/>
          <w:sz w:val="44"/>
          <w:szCs w:val="44"/>
          <w:highlight w:val="none"/>
        </w:rPr>
      </w:pPr>
    </w:p>
    <w:p w14:paraId="10F4C7A6">
      <w:pPr>
        <w:jc w:val="center"/>
        <w:rPr>
          <w:rFonts w:hint="eastAsia" w:ascii="黑体" w:hAnsi="黑体" w:eastAsia="黑体"/>
          <w:sz w:val="44"/>
          <w:szCs w:val="44"/>
          <w:highlight w:val="none"/>
        </w:rPr>
      </w:pPr>
    </w:p>
    <w:p w14:paraId="1F7BBB34">
      <w:pPr>
        <w:jc w:val="center"/>
        <w:rPr>
          <w:rFonts w:hint="eastAsia" w:ascii="黑体" w:hAnsi="黑体" w:eastAsia="黑体"/>
          <w:sz w:val="44"/>
          <w:szCs w:val="44"/>
          <w:highlight w:val="none"/>
        </w:rPr>
      </w:pPr>
    </w:p>
    <w:p w14:paraId="6F0EBBEF">
      <w:pPr>
        <w:jc w:val="center"/>
        <w:rPr>
          <w:rFonts w:hint="eastAsia" w:ascii="黑体" w:hAnsi="黑体" w:eastAsia="黑体"/>
          <w:sz w:val="44"/>
          <w:szCs w:val="44"/>
          <w:highlight w:val="none"/>
        </w:rPr>
      </w:pPr>
    </w:p>
    <w:p w14:paraId="72462879">
      <w:pPr>
        <w:jc w:val="center"/>
        <w:rPr>
          <w:rFonts w:hint="eastAsia" w:ascii="黑体" w:hAnsi="黑体" w:eastAsia="黑体"/>
          <w:sz w:val="44"/>
          <w:szCs w:val="44"/>
          <w:highlight w:val="none"/>
        </w:rPr>
      </w:pPr>
    </w:p>
    <w:p w14:paraId="1C66829E">
      <w:pPr>
        <w:jc w:val="center"/>
        <w:rPr>
          <w:rFonts w:hint="eastAsia" w:ascii="黑体" w:hAnsi="黑体" w:eastAsia="黑体"/>
          <w:sz w:val="44"/>
          <w:szCs w:val="44"/>
          <w:highlight w:val="none"/>
        </w:rPr>
      </w:pPr>
    </w:p>
    <w:p w14:paraId="253151F1">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二〇二五年二月五日</w:t>
      </w:r>
    </w:p>
    <w:p w14:paraId="05223CA8">
      <w:pPr>
        <w:jc w:val="center"/>
        <w:rPr>
          <w:rFonts w:hint="eastAsia" w:ascii="黑体" w:hAnsi="黑体" w:eastAsia="黑体"/>
          <w:sz w:val="44"/>
          <w:szCs w:val="44"/>
          <w:highlight w:val="none"/>
        </w:rPr>
      </w:pPr>
    </w:p>
    <w:p w14:paraId="435800BD">
      <w:pPr>
        <w:jc w:val="center"/>
        <w:rPr>
          <w:rFonts w:hint="eastAsia" w:ascii="黑体" w:hAnsi="黑体" w:eastAsia="黑体"/>
          <w:sz w:val="44"/>
          <w:szCs w:val="44"/>
          <w:highlight w:val="none"/>
        </w:rPr>
      </w:pPr>
    </w:p>
    <w:p w14:paraId="437BFB9A">
      <w:pPr>
        <w:jc w:val="center"/>
        <w:rPr>
          <w:rFonts w:hint="eastAsia" w:ascii="黑体" w:hAnsi="黑体" w:eastAsia="黑体"/>
          <w:sz w:val="44"/>
          <w:szCs w:val="44"/>
          <w:highlight w:val="none"/>
        </w:rPr>
      </w:pPr>
    </w:p>
    <w:p w14:paraId="4A4166A0">
      <w:pPr>
        <w:jc w:val="center"/>
        <w:rPr>
          <w:rFonts w:hint="eastAsia" w:ascii="黑体" w:hAnsi="黑体" w:eastAsia="黑体"/>
          <w:sz w:val="44"/>
          <w:szCs w:val="44"/>
          <w:highlight w:val="none"/>
        </w:rPr>
      </w:pPr>
    </w:p>
    <w:p w14:paraId="0EB5ABC3">
      <w:pPr>
        <w:jc w:val="center"/>
        <w:rPr>
          <w:rFonts w:hint="eastAsia" w:ascii="黑体" w:hAnsi="黑体" w:eastAsia="黑体"/>
          <w:sz w:val="44"/>
          <w:szCs w:val="44"/>
          <w:highlight w:val="none"/>
        </w:rPr>
      </w:pPr>
    </w:p>
    <w:p w14:paraId="09AB5B37">
      <w:pPr>
        <w:jc w:val="center"/>
        <w:rPr>
          <w:rFonts w:hint="eastAsia" w:ascii="黑体" w:hAnsi="黑体" w:eastAsia="黑体"/>
          <w:sz w:val="44"/>
          <w:szCs w:val="44"/>
          <w:highlight w:val="none"/>
        </w:rPr>
      </w:pPr>
    </w:p>
    <w:p w14:paraId="29D3D7BE">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磐石市吉昌镇人民政府</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42F626E9">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E2BCB28">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1756A182">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5A4209DF">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3A821B33">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F34C5FC">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0C14C7D5">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5F94D13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FD5E4D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910E91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53546ABE">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8CE0B0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5D40A08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45A09CA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7280D75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24F3850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6AF48C6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12F2712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49F34C7E">
      <w:pPr>
        <w:rPr>
          <w:rFonts w:ascii="仿宋" w:hAnsi="仿宋" w:eastAsia="仿宋"/>
          <w:sz w:val="32"/>
          <w:szCs w:val="32"/>
          <w:highlight w:val="none"/>
        </w:rPr>
      </w:pPr>
    </w:p>
    <w:p w14:paraId="107CBEC1">
      <w:pPr>
        <w:rPr>
          <w:rFonts w:ascii="仿宋" w:hAnsi="仿宋" w:eastAsia="仿宋"/>
          <w:sz w:val="32"/>
          <w:szCs w:val="32"/>
          <w:highlight w:val="none"/>
        </w:rPr>
      </w:pPr>
    </w:p>
    <w:p w14:paraId="6B604E73">
      <w:pPr>
        <w:rPr>
          <w:rFonts w:ascii="仿宋" w:hAnsi="仿宋" w:eastAsia="仿宋"/>
          <w:sz w:val="32"/>
          <w:szCs w:val="32"/>
          <w:highlight w:val="none"/>
        </w:rPr>
      </w:pPr>
    </w:p>
    <w:p w14:paraId="4C9BC10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60566D99">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2B5BF05">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694E042D">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val="en-US" w:eastAsia="zh-CN"/>
        </w:rPr>
        <w:t>磐石市吉昌镇人民政府</w:t>
      </w:r>
    </w:p>
    <w:p w14:paraId="7190E08D">
      <w:pPr>
        <w:ind w:firstLine="640" w:firstLineChars="200"/>
        <w:rPr>
          <w:rFonts w:hint="eastAsia" w:ascii="仿宋_GB2312" w:hAnsi="楷体" w:eastAsia="仿宋_GB2312"/>
          <w:sz w:val="32"/>
          <w:szCs w:val="32"/>
          <w:lang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sz w:val="32"/>
        </w:rPr>
        <w:t>执行本级人民代表大会的决议和上级国家行政机关的决定和命令，发布决定和命令;执行本行政区域内的经济和社会发展计划、预算，管理本行政区域内的经济、教育、科学、文化、卫生、体育事业和财政、民政、公安、司法行政、计划生育等行政工作;保护社会主义的全民所有的财产和劳动群众集体所有的财产，保护公民私人所有的合法财产，维护社会秩序，保障公民的人身权利、民主权利和其他权利;保护各种经济组织的合法权益;保障少数民族的权利和尊重少数民族的风俗习惯;办理上级市委、市政府政府交办的其他事项。</w:t>
      </w:r>
    </w:p>
    <w:p w14:paraId="59C6722B">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主要职能：参政议政   民主监督   政治协商</w:t>
      </w:r>
    </w:p>
    <w:p w14:paraId="5348B46B">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主要业务：思</w:t>
      </w:r>
      <w:r>
        <w:rPr>
          <w:rFonts w:hint="eastAsia" w:ascii="仿宋" w:hAnsi="仿宋" w:eastAsia="仿宋"/>
          <w:kern w:val="0"/>
          <w:sz w:val="32"/>
          <w:szCs w:val="32"/>
          <w:highlight w:val="none"/>
        </w:rPr>
        <w:t>想建设、组织建设、参政议政、社会服务等。</w:t>
      </w:r>
    </w:p>
    <w:p w14:paraId="484AC6E2">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65024F47">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机构设置包括：组织处、宣传处、办公室、社会服务处；</w:t>
      </w:r>
    </w:p>
    <w:p w14:paraId="7E25279D">
      <w:pPr>
        <w:pStyle w:val="12"/>
        <w:ind w:firstLine="627" w:firstLineChars="196"/>
        <w:rPr>
          <w:rFonts w:ascii="仿宋" w:hAnsi="仿宋" w:eastAsia="仿宋"/>
          <w:sz w:val="32"/>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116</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145</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14</w:t>
      </w:r>
      <w:r>
        <w:rPr>
          <w:rFonts w:hint="eastAsia" w:ascii="仿宋" w:hAnsi="仿宋" w:eastAsia="仿宋"/>
          <w:kern w:val="0"/>
          <w:szCs w:val="32"/>
          <w:highlight w:val="none"/>
        </w:rPr>
        <w:t>个。</w:t>
      </w:r>
    </w:p>
    <w:p w14:paraId="72ED4493">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0536FF3F">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04D8C4CB">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3845.44</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4099.06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减少253.62</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 xml:space="preserve">精简人员支出，严格资金支出审核流程 </w:t>
      </w:r>
      <w:r>
        <w:rPr>
          <w:rFonts w:hint="eastAsia" w:ascii="仿宋" w:hAnsi="仿宋" w:eastAsia="仿宋"/>
          <w:sz w:val="32"/>
          <w:szCs w:val="32"/>
          <w:highlight w:val="none"/>
          <w:lang w:eastAsia="zh-CN"/>
        </w:rPr>
        <w:t>。</w:t>
      </w:r>
    </w:p>
    <w:p w14:paraId="4FB9359F">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51C81956">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1922.72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1410.94万元，占73%；上年结转 511.78 万元，占27%。本年收入中，一般公共预算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1730.72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90%；政府性基金收入 192万元，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w:t>
      </w:r>
    </w:p>
    <w:p w14:paraId="6FE28199">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6518F0FE">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1922.72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1346.39</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70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576.33</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30</w:t>
      </w:r>
      <w:r>
        <w:rPr>
          <w:rFonts w:hint="eastAsia" w:ascii="仿宋" w:hAnsi="仿宋" w:eastAsia="仿宋"/>
          <w:sz w:val="32"/>
          <w:szCs w:val="32"/>
          <w:highlight w:val="none"/>
          <w:lang w:eastAsia="zh-CN"/>
        </w:rPr>
        <w:t>%。</w:t>
      </w:r>
    </w:p>
    <w:p w14:paraId="09D579A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2CD32338">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3845.44</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1410.94 万元，上年结转 511.78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1058.43</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190.92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53.77</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城乡社区</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72.24</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农林水支出 256.67万元，住房保障支出95.25万元，灾害防治及应急管理支出</w:t>
      </w:r>
      <w:r>
        <w:rPr>
          <w:rFonts w:hint="eastAsia" w:ascii="仿宋" w:hAnsi="仿宋" w:eastAsia="仿宋"/>
          <w:sz w:val="32"/>
          <w:szCs w:val="32"/>
          <w:highlight w:val="none"/>
        </w:rPr>
        <w:t>。</w:t>
      </w:r>
    </w:p>
    <w:p w14:paraId="3E13F58A">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1EC02AC7">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1730.72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1410.94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82</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319.78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18</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1215.37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86</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195.57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14</w:t>
      </w:r>
      <w:r>
        <w:rPr>
          <w:rFonts w:hint="eastAsia" w:ascii="仿宋" w:hAnsi="仿宋" w:eastAsia="仿宋"/>
          <w:sz w:val="32"/>
          <w:szCs w:val="32"/>
          <w:highlight w:val="none"/>
        </w:rPr>
        <w:t>%。</w:t>
      </w:r>
    </w:p>
    <w:p w14:paraId="4A9E18C2">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1058.43万元，占61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政府日常办公运行、政府日常工作开支等内容。</w:t>
      </w:r>
    </w:p>
    <w:p w14:paraId="49FE2210">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190.92 万元，占11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政府在职人员医保等必要险金支出。</w:t>
      </w:r>
    </w:p>
    <w:p w14:paraId="5472FEB8">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53.77万元，占3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吉昌镇卫生健康建设领域支出。</w:t>
      </w:r>
    </w:p>
    <w:p w14:paraId="2E22A062">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95.25 万元，占5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吉昌镇住房建设领域相关支出。</w:t>
      </w:r>
    </w:p>
    <w:p w14:paraId="56CED7B2">
      <w:pPr>
        <w:pStyle w:val="9"/>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文化旅游体育与传媒支出0.45万元，占0.5%，主要用于吉昌文旅宣传活动支出。</w:t>
      </w:r>
    </w:p>
    <w:p w14:paraId="5DA039F3">
      <w:pPr>
        <w:pStyle w:val="9"/>
        <w:ind w:firstLine="640" w:firstLineChars="200"/>
        <w:rPr>
          <w:rFonts w:hint="default" w:ascii="仿宋" w:hAnsi="仿宋" w:eastAsia="仿宋"/>
          <w:sz w:val="32"/>
          <w:szCs w:val="32"/>
          <w:highlight w:val="none"/>
          <w:lang w:val="en-US" w:eastAsia="zh-CN"/>
        </w:rPr>
      </w:pPr>
      <w:r>
        <w:rPr>
          <w:rFonts w:hint="default" w:ascii="仿宋" w:hAnsi="仿宋" w:eastAsia="仿宋"/>
          <w:sz w:val="32"/>
          <w:szCs w:val="32"/>
          <w:highlight w:val="none"/>
          <w:lang w:val="en-US" w:eastAsia="zh-CN"/>
        </w:rPr>
        <w:t>城乡社区支出</w:t>
      </w:r>
      <w:r>
        <w:rPr>
          <w:rFonts w:hint="eastAsia" w:ascii="仿宋" w:hAnsi="仿宋" w:eastAsia="仿宋"/>
          <w:sz w:val="32"/>
          <w:szCs w:val="32"/>
          <w:highlight w:val="none"/>
          <w:lang w:val="en-US" w:eastAsia="zh-CN"/>
        </w:rPr>
        <w:t>72.23万元，占4%，主要用于吉昌镇城镇发展建设相关支出。</w:t>
      </w:r>
    </w:p>
    <w:p w14:paraId="2872ADEB">
      <w:pPr>
        <w:pStyle w:val="9"/>
        <w:ind w:firstLine="640" w:firstLineChars="200"/>
        <w:rPr>
          <w:rFonts w:hint="default" w:ascii="仿宋" w:hAnsi="仿宋" w:eastAsia="仿宋"/>
          <w:sz w:val="32"/>
          <w:szCs w:val="32"/>
          <w:highlight w:val="none"/>
          <w:lang w:val="en-US" w:eastAsia="zh-CN"/>
        </w:rPr>
      </w:pPr>
      <w:r>
        <w:rPr>
          <w:rFonts w:hint="default" w:ascii="仿宋" w:hAnsi="仿宋" w:eastAsia="仿宋"/>
          <w:sz w:val="32"/>
          <w:szCs w:val="32"/>
          <w:highlight w:val="none"/>
          <w:lang w:val="en-US" w:eastAsia="zh-CN"/>
        </w:rPr>
        <w:t>农林水支出</w:t>
      </w:r>
      <w:r>
        <w:rPr>
          <w:rFonts w:hint="eastAsia" w:ascii="仿宋" w:hAnsi="仿宋" w:eastAsia="仿宋"/>
          <w:sz w:val="32"/>
          <w:szCs w:val="32"/>
          <w:highlight w:val="none"/>
          <w:lang w:val="en-US" w:eastAsia="zh-CN"/>
        </w:rPr>
        <w:t>256.67万元，占14%，主要用于吉昌镇农林水领域发展建设支出。</w:t>
      </w:r>
    </w:p>
    <w:p w14:paraId="56736AD8">
      <w:pPr>
        <w:pStyle w:val="9"/>
        <w:ind w:firstLine="640" w:firstLineChars="200"/>
        <w:rPr>
          <w:rFonts w:hint="default" w:ascii="仿宋" w:hAnsi="仿宋" w:eastAsia="仿宋"/>
          <w:sz w:val="32"/>
          <w:szCs w:val="32"/>
          <w:highlight w:val="none"/>
          <w:lang w:val="en-US" w:eastAsia="zh-CN"/>
        </w:rPr>
      </w:pPr>
      <w:r>
        <w:rPr>
          <w:rFonts w:hint="default" w:ascii="仿宋" w:hAnsi="仿宋" w:eastAsia="仿宋"/>
          <w:sz w:val="32"/>
          <w:szCs w:val="32"/>
          <w:highlight w:val="none"/>
          <w:lang w:val="en-US" w:eastAsia="zh-CN"/>
        </w:rPr>
        <w:t>灾害防治及应急管理支出</w:t>
      </w:r>
      <w:r>
        <w:rPr>
          <w:rFonts w:hint="eastAsia" w:ascii="仿宋" w:hAnsi="仿宋" w:eastAsia="仿宋"/>
          <w:sz w:val="32"/>
          <w:szCs w:val="32"/>
          <w:highlight w:val="none"/>
          <w:lang w:val="en-US" w:eastAsia="zh-CN"/>
        </w:rPr>
        <w:t>3万元，占1.5%，主要用于吉昌镇应急灾害抢险支出。</w:t>
      </w:r>
    </w:p>
    <w:p w14:paraId="278B136D">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21D7B2A">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1730.72万元，其中：</w:t>
      </w:r>
    </w:p>
    <w:p w14:paraId="6C9DF2C7">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1215.37</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139CFF2F">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515.35</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00249505">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3C5388CB">
      <w:pPr>
        <w:pStyle w:val="9"/>
        <w:ind w:firstLine="627" w:firstLineChars="196"/>
        <w:rPr>
          <w:rFonts w:hint="eastAsia" w:ascii="仿宋" w:hAnsi="仿宋" w:eastAsia="仿宋"/>
          <w:kern w:val="0"/>
          <w:sz w:val="32"/>
          <w:szCs w:val="32"/>
          <w:highlight w:val="none"/>
          <w:lang w:eastAsia="zh-CN"/>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7</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同</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持平。</w:t>
      </w:r>
    </w:p>
    <w:p w14:paraId="7D4B39C3">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0435097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w:t>
      </w:r>
      <w:r>
        <w:rPr>
          <w:rFonts w:hint="eastAsia" w:ascii="仿宋" w:hAnsi="仿宋" w:eastAsia="仿宋"/>
          <w:kern w:val="0"/>
          <w:sz w:val="32"/>
          <w:szCs w:val="32"/>
          <w:highlight w:val="none"/>
          <w:lang w:eastAsia="zh-CN"/>
        </w:rPr>
        <w:t>。</w:t>
      </w:r>
    </w:p>
    <w:p w14:paraId="17FCAAB5">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7</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年预算数减</w:t>
      </w:r>
    </w:p>
    <w:p w14:paraId="794D4D68">
      <w:pPr>
        <w:pStyle w:val="9"/>
        <w:rPr>
          <w:rFonts w:hint="eastAsia" w:ascii="仿宋" w:hAnsi="仿宋" w:eastAsia="仿宋"/>
          <w:kern w:val="0"/>
          <w:sz w:val="32"/>
          <w:szCs w:val="32"/>
          <w:highlight w:val="none"/>
          <w:lang w:eastAsia="zh-CN"/>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7</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7</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同2024年金额持平</w:t>
      </w:r>
      <w:r>
        <w:rPr>
          <w:rFonts w:hint="eastAsia" w:ascii="仿宋" w:hAnsi="仿宋" w:eastAsia="仿宋"/>
          <w:kern w:val="0"/>
          <w:sz w:val="32"/>
          <w:szCs w:val="32"/>
          <w:highlight w:val="none"/>
          <w:lang w:eastAsia="zh-CN"/>
        </w:rPr>
        <w:t>。</w:t>
      </w:r>
    </w:p>
    <w:p w14:paraId="74015CAA">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68032AB8">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0CEA75A1">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3A55E2C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8018E6E">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3B3569E4">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6A9505B8">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家行政单位的机关运行经费财政拨款预算</w:t>
      </w:r>
      <w:r>
        <w:rPr>
          <w:rFonts w:hint="eastAsia" w:ascii="仿宋" w:hAnsi="仿宋" w:eastAsia="仿宋"/>
          <w:sz w:val="32"/>
          <w:szCs w:val="32"/>
          <w:highlight w:val="none"/>
          <w:lang w:val="en-US" w:eastAsia="zh-CN"/>
        </w:rPr>
        <w:t xml:space="preserve"> 71.17 </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同2024年预算资金持平</w:t>
      </w:r>
      <w:r>
        <w:rPr>
          <w:rFonts w:hint="eastAsia" w:ascii="仿宋" w:hAnsi="仿宋" w:eastAsia="仿宋"/>
          <w:sz w:val="32"/>
          <w:szCs w:val="32"/>
          <w:highlight w:val="none"/>
          <w:lang w:eastAsia="zh-CN"/>
        </w:rPr>
        <w:t>。</w:t>
      </w:r>
    </w:p>
    <w:p w14:paraId="45818838">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14:paraId="08A5DCE7">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14:paraId="27EC4D0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0C83BD7F">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台（套）。</w:t>
      </w:r>
    </w:p>
    <w:p w14:paraId="6230E232">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4E9E24A9">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06D17CBD">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3845.44</w:t>
      </w:r>
      <w:r>
        <w:rPr>
          <w:rFonts w:hint="eastAsia" w:ascii="仿宋" w:hAnsi="仿宋" w:eastAsia="仿宋"/>
          <w:sz w:val="32"/>
          <w:szCs w:val="32"/>
          <w:highlight w:val="none"/>
        </w:rPr>
        <w:t>万元，项目内容为根据202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年开支结构及202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年规划制定202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年预算，通过对财政资金的使用确保吉昌政府正常工作运转及发展建设，确保财政资金使用合理合规并提高财政资金使用效率。</w:t>
      </w:r>
      <w:r>
        <w:rPr>
          <w:rFonts w:hint="eastAsia" w:ascii="仿宋" w:hAnsi="仿宋" w:eastAsia="仿宋"/>
          <w:sz w:val="32"/>
          <w:szCs w:val="32"/>
          <w:highlight w:val="none"/>
        </w:rPr>
        <w:tab/>
      </w:r>
      <w:r>
        <w:rPr>
          <w:rFonts w:hint="eastAsia" w:ascii="仿宋" w:hAnsi="仿宋" w:eastAsia="仿宋"/>
          <w:sz w:val="32"/>
          <w:szCs w:val="32"/>
          <w:highlight w:val="none"/>
        </w:rPr>
        <w:t>主要目标为根据202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年开支结构及202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年规划制定202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年预算，通过对财政资金的使用确保吉昌政府正常工作运转及发展建设，确保财政资金使用合</w:t>
      </w:r>
      <w:bookmarkStart w:id="0" w:name="_GoBack"/>
      <w:bookmarkEnd w:id="0"/>
      <w:r>
        <w:rPr>
          <w:rFonts w:hint="eastAsia" w:ascii="仿宋" w:hAnsi="仿宋" w:eastAsia="仿宋"/>
          <w:sz w:val="32"/>
          <w:szCs w:val="32"/>
          <w:highlight w:val="none"/>
        </w:rPr>
        <w:t>理合规并提高财政资金使用效率。同时，将预算项目绩效目标进一步细化为绩效指标和指标值（附预算项目绩效目标申报表）。</w:t>
      </w:r>
    </w:p>
    <w:p w14:paraId="2F64A4B7">
      <w:pPr>
        <w:jc w:val="left"/>
        <w:rPr>
          <w:rFonts w:ascii="仿宋" w:hAnsi="仿宋" w:eastAsia="仿宋"/>
          <w:sz w:val="32"/>
          <w:szCs w:val="32"/>
          <w:highlight w:val="none"/>
        </w:rPr>
      </w:pPr>
    </w:p>
    <w:p w14:paraId="7AAEEC3D">
      <w:pPr>
        <w:jc w:val="center"/>
        <w:rPr>
          <w:rFonts w:ascii="仿宋" w:hAnsi="仿宋" w:eastAsia="仿宋"/>
          <w:sz w:val="32"/>
          <w:szCs w:val="32"/>
          <w:highlight w:val="none"/>
        </w:rPr>
      </w:pPr>
    </w:p>
    <w:p w14:paraId="6E10FB36">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150F1770">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32901A9">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1E2B018B">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0E51A44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4DA8533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0831714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163B1AAA">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39439971">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00E06270">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4322972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5DCEE8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4CE68993">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28B323C7">
      <w:pPr>
        <w:ind w:firstLine="640" w:firstLineChars="200"/>
        <w:rPr>
          <w:rFonts w:ascii="仿宋_GB2312" w:eastAsia="仿宋_GB2312"/>
          <w:sz w:val="32"/>
          <w:szCs w:val="32"/>
          <w:highlight w:val="none"/>
        </w:rPr>
      </w:pPr>
    </w:p>
    <w:p w14:paraId="345BE7D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968BB10">
      <w:pPr>
        <w:jc w:val="left"/>
        <w:rPr>
          <w:rFonts w:ascii="仿宋" w:hAnsi="仿宋" w:eastAsia="仿宋"/>
          <w:sz w:val="32"/>
          <w:szCs w:val="32"/>
          <w:highlight w:val="none"/>
        </w:rPr>
      </w:pPr>
    </w:p>
    <w:p w14:paraId="42D1EBAA">
      <w:pPr>
        <w:jc w:val="left"/>
        <w:rPr>
          <w:rFonts w:ascii="仿宋" w:hAnsi="仿宋" w:eastAsia="仿宋"/>
          <w:sz w:val="32"/>
          <w:szCs w:val="32"/>
          <w:highlight w:val="none"/>
        </w:rPr>
      </w:pPr>
    </w:p>
    <w:p w14:paraId="47D25B99">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4E273CBA">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17F3843C">
      <w:pPr>
        <w:rPr>
          <w:rFonts w:ascii="仿宋" w:hAnsi="仿宋" w:eastAsia="仿宋"/>
          <w:sz w:val="32"/>
          <w:szCs w:val="32"/>
          <w:highlight w:val="none"/>
        </w:rPr>
      </w:pPr>
    </w:p>
    <w:p w14:paraId="6934A5CD">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NmM2U5M2RhZjM3ZTI5ODZkNWZiYjYxZTBlMzI1ZTk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5766C1"/>
    <w:rsid w:val="034968DF"/>
    <w:rsid w:val="03D7309C"/>
    <w:rsid w:val="03F248D4"/>
    <w:rsid w:val="07C71E05"/>
    <w:rsid w:val="08190FFD"/>
    <w:rsid w:val="0A450E4E"/>
    <w:rsid w:val="0A7F599D"/>
    <w:rsid w:val="0B4115AF"/>
    <w:rsid w:val="0C633590"/>
    <w:rsid w:val="0C7C5D37"/>
    <w:rsid w:val="0D0F40E1"/>
    <w:rsid w:val="0E0E4A27"/>
    <w:rsid w:val="0E235FAD"/>
    <w:rsid w:val="0E933B6E"/>
    <w:rsid w:val="0F4C4086"/>
    <w:rsid w:val="0FC65E97"/>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3A78D1"/>
    <w:rsid w:val="2323212D"/>
    <w:rsid w:val="23FA4ECF"/>
    <w:rsid w:val="247E3E28"/>
    <w:rsid w:val="2527010D"/>
    <w:rsid w:val="26DC2BFA"/>
    <w:rsid w:val="27063D31"/>
    <w:rsid w:val="27742DDB"/>
    <w:rsid w:val="27747EDE"/>
    <w:rsid w:val="277B13CF"/>
    <w:rsid w:val="285B5D80"/>
    <w:rsid w:val="28753BF0"/>
    <w:rsid w:val="28AA47B7"/>
    <w:rsid w:val="28CB641B"/>
    <w:rsid w:val="29207EE3"/>
    <w:rsid w:val="2AC832F5"/>
    <w:rsid w:val="2D742D12"/>
    <w:rsid w:val="2DB21965"/>
    <w:rsid w:val="2DB7713C"/>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7CD3E75"/>
    <w:rsid w:val="580A299B"/>
    <w:rsid w:val="5B5D76B7"/>
    <w:rsid w:val="5B8E44C5"/>
    <w:rsid w:val="5C982767"/>
    <w:rsid w:val="5CD80EBE"/>
    <w:rsid w:val="5CFA751D"/>
    <w:rsid w:val="5DB8541C"/>
    <w:rsid w:val="5E221344"/>
    <w:rsid w:val="5E32788E"/>
    <w:rsid w:val="5E8F5162"/>
    <w:rsid w:val="5F094911"/>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E6D14"/>
    <w:rsid w:val="70EF2762"/>
    <w:rsid w:val="71201EF9"/>
    <w:rsid w:val="716F5053"/>
    <w:rsid w:val="729E55FD"/>
    <w:rsid w:val="73D62900"/>
    <w:rsid w:val="73FA7C77"/>
    <w:rsid w:val="744F0BEE"/>
    <w:rsid w:val="74A55A8E"/>
    <w:rsid w:val="7539654A"/>
    <w:rsid w:val="75836739"/>
    <w:rsid w:val="76C753DE"/>
    <w:rsid w:val="76C775D8"/>
    <w:rsid w:val="76F260C3"/>
    <w:rsid w:val="77322505"/>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2950</Words>
  <Characters>3281</Characters>
  <Lines>19</Lines>
  <Paragraphs>5</Paragraphs>
  <TotalTime>1180</TotalTime>
  <ScaleCrop>false</ScaleCrop>
  <LinksUpToDate>false</LinksUpToDate>
  <CharactersWithSpaces>3426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嗯。。一辈子不换头像</cp:lastModifiedBy>
  <dcterms:modified xsi:type="dcterms:W3CDTF">2025-04-08T02:54:36Z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0C186538F4C144648EA69FFC5FC3DB4D_13</vt:lpwstr>
  </property>
  <property fmtid="{D5CDD505-2E9C-101B-9397-08002B2CF9AE}" pid="4" name="KSOTemplateDocerSaveRecord">
    <vt:lpwstr>eyJoZGlkIjoiOTY2ZWU3NTU2NjM3ZDQwNTNkNmJjYzY5NTY4NDcxMmIiLCJ1c2VySWQiOiI1NTAzNDcwMDIifQ==</vt:lpwstr>
  </property>
</Properties>
</file>