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A1F9A">
      <w:pPr>
        <w:jc w:val="center"/>
        <w:rPr>
          <w:rFonts w:hint="eastAsia" w:ascii="黑体" w:hAnsi="黑体" w:eastAsia="黑体"/>
          <w:sz w:val="44"/>
          <w:szCs w:val="44"/>
          <w:highlight w:val="none"/>
          <w:lang w:val="en-US" w:eastAsia="zh-CN"/>
        </w:rPr>
      </w:pPr>
    </w:p>
    <w:p w14:paraId="6AE3DC00">
      <w:pPr>
        <w:jc w:val="center"/>
        <w:rPr>
          <w:rFonts w:hint="eastAsia" w:ascii="黑体" w:hAnsi="黑体" w:eastAsia="黑体"/>
          <w:sz w:val="44"/>
          <w:szCs w:val="44"/>
          <w:highlight w:val="none"/>
          <w:lang w:val="en-US" w:eastAsia="zh-CN"/>
        </w:rPr>
      </w:pPr>
    </w:p>
    <w:p w14:paraId="59DE1739">
      <w:pPr>
        <w:jc w:val="center"/>
        <w:rPr>
          <w:rFonts w:hint="eastAsia" w:ascii="黑体" w:hAnsi="黑体" w:eastAsia="黑体"/>
          <w:sz w:val="44"/>
          <w:szCs w:val="44"/>
          <w:highlight w:val="none"/>
          <w:lang w:val="en-US" w:eastAsia="zh-CN"/>
        </w:rPr>
      </w:pPr>
    </w:p>
    <w:p w14:paraId="6E4E893C">
      <w:pPr>
        <w:jc w:val="center"/>
        <w:rPr>
          <w:rFonts w:hint="eastAsia" w:ascii="黑体" w:hAnsi="黑体" w:eastAsia="黑体"/>
          <w:sz w:val="44"/>
          <w:szCs w:val="44"/>
          <w:highlight w:val="none"/>
          <w:lang w:val="en-US" w:eastAsia="zh-CN"/>
        </w:rPr>
      </w:pPr>
    </w:p>
    <w:p w14:paraId="2A57ED3B">
      <w:pPr>
        <w:jc w:val="center"/>
        <w:rPr>
          <w:rFonts w:hint="eastAsia" w:ascii="黑体" w:hAnsi="黑体" w:eastAsia="黑体"/>
          <w:sz w:val="44"/>
          <w:szCs w:val="44"/>
          <w:highlight w:val="none"/>
          <w:lang w:val="en-US" w:eastAsia="zh-CN"/>
        </w:rPr>
      </w:pPr>
    </w:p>
    <w:p w14:paraId="121F8108">
      <w:pPr>
        <w:jc w:val="center"/>
        <w:rPr>
          <w:rFonts w:hint="default" w:ascii="黑体" w:hAnsi="黑体" w:eastAsia="黑体"/>
          <w:sz w:val="52"/>
          <w:szCs w:val="52"/>
          <w:highlight w:val="none"/>
          <w:lang w:val="en-US" w:eastAsia="zh-CN"/>
        </w:rPr>
      </w:pPr>
      <w:r>
        <w:rPr>
          <w:rFonts w:hint="eastAsia" w:ascii="黑体" w:hAnsi="黑体" w:eastAsia="黑体"/>
          <w:spacing w:val="-14"/>
          <w:sz w:val="52"/>
          <w:szCs w:val="52"/>
        </w:rPr>
        <w:t>磐石市牛心镇人民政府</w:t>
      </w:r>
      <w:r>
        <w:rPr>
          <w:rFonts w:hint="eastAsia" w:ascii="黑体" w:hAnsi="黑体" w:eastAsia="黑体"/>
          <w:sz w:val="52"/>
          <w:szCs w:val="52"/>
          <w:highlight w:val="none"/>
          <w:lang w:val="en-US" w:eastAsia="zh-CN"/>
        </w:rPr>
        <w:t>2025年部门预算</w:t>
      </w:r>
    </w:p>
    <w:p w14:paraId="12E24A2D">
      <w:pPr>
        <w:jc w:val="center"/>
        <w:rPr>
          <w:rFonts w:hint="eastAsia" w:ascii="黑体" w:hAnsi="黑体" w:eastAsia="黑体"/>
          <w:sz w:val="44"/>
          <w:szCs w:val="44"/>
          <w:highlight w:val="none"/>
        </w:rPr>
      </w:pPr>
    </w:p>
    <w:p w14:paraId="7F155672">
      <w:pPr>
        <w:jc w:val="center"/>
        <w:rPr>
          <w:rFonts w:hint="eastAsia" w:ascii="黑体" w:hAnsi="黑体" w:eastAsia="黑体"/>
          <w:sz w:val="44"/>
          <w:szCs w:val="44"/>
          <w:highlight w:val="none"/>
        </w:rPr>
      </w:pPr>
    </w:p>
    <w:p w14:paraId="3419EB83">
      <w:pPr>
        <w:jc w:val="center"/>
        <w:rPr>
          <w:rFonts w:hint="eastAsia" w:ascii="黑体" w:hAnsi="黑体" w:eastAsia="黑体"/>
          <w:sz w:val="44"/>
          <w:szCs w:val="44"/>
          <w:highlight w:val="none"/>
        </w:rPr>
      </w:pPr>
    </w:p>
    <w:p w14:paraId="750845ED">
      <w:pPr>
        <w:jc w:val="center"/>
        <w:rPr>
          <w:rFonts w:hint="eastAsia" w:ascii="黑体" w:hAnsi="黑体" w:eastAsia="黑体"/>
          <w:sz w:val="44"/>
          <w:szCs w:val="44"/>
          <w:highlight w:val="none"/>
        </w:rPr>
      </w:pPr>
    </w:p>
    <w:p w14:paraId="07F29257">
      <w:pPr>
        <w:jc w:val="center"/>
        <w:rPr>
          <w:rFonts w:hint="eastAsia" w:ascii="黑体" w:hAnsi="黑体" w:eastAsia="黑体"/>
          <w:sz w:val="44"/>
          <w:szCs w:val="44"/>
          <w:highlight w:val="none"/>
        </w:rPr>
      </w:pPr>
    </w:p>
    <w:p w14:paraId="31B50785">
      <w:pPr>
        <w:jc w:val="center"/>
        <w:rPr>
          <w:rFonts w:hint="eastAsia" w:ascii="黑体" w:hAnsi="黑体" w:eastAsia="黑体"/>
          <w:sz w:val="44"/>
          <w:szCs w:val="44"/>
          <w:highlight w:val="none"/>
        </w:rPr>
      </w:pPr>
    </w:p>
    <w:p w14:paraId="7DFE5DE2">
      <w:pPr>
        <w:jc w:val="center"/>
        <w:rPr>
          <w:rFonts w:hint="eastAsia" w:ascii="黑体" w:hAnsi="黑体" w:eastAsia="黑体"/>
          <w:sz w:val="44"/>
          <w:szCs w:val="44"/>
          <w:highlight w:val="none"/>
        </w:rPr>
      </w:pPr>
    </w:p>
    <w:p w14:paraId="45F28D55">
      <w:pPr>
        <w:jc w:val="center"/>
        <w:rPr>
          <w:rFonts w:hint="eastAsia" w:ascii="黑体" w:hAnsi="黑体" w:eastAsia="黑体"/>
          <w:sz w:val="44"/>
          <w:szCs w:val="44"/>
          <w:highlight w:val="none"/>
        </w:rPr>
      </w:pPr>
    </w:p>
    <w:p w14:paraId="05EBEDD2">
      <w:pPr>
        <w:jc w:val="center"/>
        <w:rPr>
          <w:rFonts w:hint="eastAsia" w:ascii="黑体" w:hAnsi="黑体" w:eastAsia="黑体"/>
          <w:sz w:val="44"/>
          <w:szCs w:val="44"/>
          <w:highlight w:val="none"/>
        </w:rPr>
      </w:pPr>
    </w:p>
    <w:p w14:paraId="3BA2A2F7">
      <w:pPr>
        <w:jc w:val="center"/>
        <w:rPr>
          <w:rFonts w:hint="eastAsia" w:ascii="黑体" w:hAnsi="黑体" w:eastAsia="黑体"/>
          <w:sz w:val="44"/>
          <w:szCs w:val="44"/>
          <w:highlight w:val="none"/>
        </w:rPr>
      </w:pPr>
    </w:p>
    <w:p w14:paraId="21FD0DBD">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none"/>
          <w:lang w:val="en-US" w:eastAsia="zh-CN"/>
        </w:rPr>
        <w:t>二〇二五年二月五日</w:t>
      </w:r>
    </w:p>
    <w:p w14:paraId="06B24E7E">
      <w:pPr>
        <w:jc w:val="center"/>
        <w:rPr>
          <w:rFonts w:hint="eastAsia" w:ascii="黑体" w:hAnsi="黑体" w:eastAsia="黑体"/>
          <w:sz w:val="44"/>
          <w:szCs w:val="44"/>
          <w:highlight w:val="none"/>
        </w:rPr>
      </w:pPr>
    </w:p>
    <w:p w14:paraId="619EB045">
      <w:pPr>
        <w:jc w:val="center"/>
        <w:rPr>
          <w:rFonts w:hint="eastAsia" w:ascii="黑体" w:hAnsi="黑体" w:eastAsia="黑体"/>
          <w:sz w:val="44"/>
          <w:szCs w:val="44"/>
          <w:highlight w:val="none"/>
        </w:rPr>
      </w:pPr>
    </w:p>
    <w:p w14:paraId="66338CF0">
      <w:pPr>
        <w:jc w:val="center"/>
        <w:rPr>
          <w:rFonts w:hint="eastAsia" w:ascii="黑体" w:hAnsi="黑体" w:eastAsia="黑体"/>
          <w:sz w:val="44"/>
          <w:szCs w:val="44"/>
          <w:highlight w:val="none"/>
        </w:rPr>
      </w:pPr>
    </w:p>
    <w:p w14:paraId="56D34FEC">
      <w:pPr>
        <w:jc w:val="center"/>
        <w:rPr>
          <w:rFonts w:hint="eastAsia" w:ascii="黑体" w:hAnsi="黑体" w:eastAsia="黑体"/>
          <w:sz w:val="44"/>
          <w:szCs w:val="44"/>
          <w:highlight w:val="none"/>
        </w:rPr>
      </w:pPr>
    </w:p>
    <w:p w14:paraId="64A582C5">
      <w:pPr>
        <w:jc w:val="center"/>
        <w:rPr>
          <w:rFonts w:hint="eastAsia" w:ascii="黑体" w:hAnsi="黑体" w:eastAsia="黑体"/>
          <w:sz w:val="44"/>
          <w:szCs w:val="44"/>
          <w:highlight w:val="none"/>
        </w:rPr>
      </w:pPr>
    </w:p>
    <w:p w14:paraId="045D86E0">
      <w:pPr>
        <w:jc w:val="center"/>
        <w:rPr>
          <w:rFonts w:hint="eastAsia" w:ascii="黑体" w:hAnsi="黑体" w:eastAsia="黑体"/>
          <w:sz w:val="44"/>
          <w:szCs w:val="44"/>
          <w:highlight w:val="none"/>
        </w:rPr>
      </w:pPr>
    </w:p>
    <w:p w14:paraId="446C4C62">
      <w:pPr>
        <w:jc w:val="center"/>
        <w:rPr>
          <w:rFonts w:ascii="黑体" w:hAnsi="黑体" w:eastAsia="黑体"/>
          <w:sz w:val="44"/>
          <w:szCs w:val="44"/>
          <w:highlight w:val="none"/>
        </w:rPr>
      </w:pPr>
      <w:r>
        <w:rPr>
          <w:rFonts w:hint="eastAsia" w:ascii="黑体" w:hAnsi="黑体" w:eastAsia="黑体"/>
          <w:sz w:val="44"/>
          <w:szCs w:val="44"/>
          <w:highlight w:val="none"/>
        </w:rPr>
        <w:t>磐石市牛心镇人民政府</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08215B54">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61E0C6C6">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1B9ED961">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76184843">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10A444CD">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59C83D30">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65ACD75F">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53465F1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FC038A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5EB1E8A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11DABA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DF48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066EF18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51C140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17FFA67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33304AE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2F49A26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59641B7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4BA6F6FC">
      <w:pPr>
        <w:rPr>
          <w:rFonts w:ascii="仿宋" w:hAnsi="仿宋" w:eastAsia="仿宋"/>
          <w:sz w:val="32"/>
          <w:szCs w:val="32"/>
          <w:highlight w:val="none"/>
        </w:rPr>
      </w:pPr>
    </w:p>
    <w:p w14:paraId="143EAE74">
      <w:pPr>
        <w:rPr>
          <w:rFonts w:ascii="仿宋" w:hAnsi="仿宋" w:eastAsia="仿宋"/>
          <w:sz w:val="32"/>
          <w:szCs w:val="32"/>
          <w:highlight w:val="none"/>
        </w:rPr>
      </w:pPr>
    </w:p>
    <w:p w14:paraId="0652D6D6">
      <w:pPr>
        <w:rPr>
          <w:rFonts w:ascii="仿宋" w:hAnsi="仿宋" w:eastAsia="仿宋"/>
          <w:sz w:val="32"/>
          <w:szCs w:val="32"/>
          <w:highlight w:val="none"/>
        </w:rPr>
      </w:pPr>
    </w:p>
    <w:p w14:paraId="78985FF0">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B6EE8B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3A061715">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17290E3C">
      <w:pPr>
        <w:pStyle w:val="10"/>
        <w:widowControl/>
        <w:spacing w:line="620" w:lineRule="exact"/>
        <w:ind w:firstLine="627" w:firstLineChars="196"/>
        <w:contextualSpacing/>
        <w:rPr>
          <w:rFonts w:ascii="仿宋" w:hAnsi="仿宋" w:eastAsia="仿宋"/>
          <w:bCs/>
          <w:sz w:val="32"/>
          <w:szCs w:val="32"/>
          <w:highlight w:val="none"/>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sz w:val="32"/>
          <w:szCs w:val="32"/>
        </w:rPr>
        <w:t>磐石市牛心镇人民政府</w:t>
      </w:r>
    </w:p>
    <w:p w14:paraId="6ED829C7">
      <w:pPr>
        <w:pStyle w:val="10"/>
        <w:widowControl/>
        <w:spacing w:line="620" w:lineRule="exact"/>
        <w:ind w:firstLine="627" w:firstLineChars="196"/>
        <w:contextualSpacing/>
        <w:rPr>
          <w:rFonts w:hint="eastAsia" w:ascii="仿宋" w:hAnsi="仿宋" w:eastAsia="仿宋"/>
          <w:sz w:val="32"/>
          <w:szCs w:val="32"/>
        </w:rPr>
      </w:pPr>
      <w:r>
        <w:rPr>
          <w:rFonts w:hint="eastAsia" w:ascii="仿宋" w:hAnsi="仿宋" w:eastAsia="仿宋"/>
          <w:bCs/>
          <w:kern w:val="0"/>
          <w:sz w:val="32"/>
          <w:szCs w:val="32"/>
          <w:highlight w:val="none"/>
        </w:rPr>
        <w:t>成立时间：</w:t>
      </w:r>
      <w:r>
        <w:rPr>
          <w:rFonts w:hint="eastAsia" w:ascii="仿宋" w:hAnsi="仿宋" w:eastAsia="仿宋"/>
          <w:sz w:val="32"/>
          <w:szCs w:val="32"/>
        </w:rPr>
        <w:t>2001年</w:t>
      </w:r>
    </w:p>
    <w:p w14:paraId="38482DF5">
      <w:pPr>
        <w:ind w:firstLine="636"/>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_GB2312" w:eastAsia="仿宋_GB2312"/>
          <w:sz w:val="32"/>
          <w:szCs w:val="32"/>
          <w:highlight w:val="none"/>
        </w:rPr>
        <w:t>中国共产党磐石市牛心镇委员会是镇各类组织、上级部门延伸机构和各项工作的领导核心，对镇经济、政治、文化、社会、生态文明建设实行全面领导，对镇党的建设和乡村振兴全面负责；磐石市牛心镇人民政府根据镇经济社会发展的特点和资源禀赋，确定功能定位，加快职能转变步伐，推进区域发展。</w:t>
      </w:r>
    </w:p>
    <w:p w14:paraId="5A953CC5">
      <w:pPr>
        <w:snapToGrid w:val="0"/>
        <w:spacing w:line="520" w:lineRule="exact"/>
        <w:ind w:firstLine="640" w:firstLineChars="200"/>
        <w:rPr>
          <w:rFonts w:ascii="仿宋" w:hAnsi="仿宋" w:eastAsia="仿宋" w:cs="Times New Roman"/>
          <w:sz w:val="32"/>
          <w:szCs w:val="32"/>
        </w:rPr>
      </w:pPr>
      <w:r>
        <w:rPr>
          <w:rFonts w:hint="eastAsia" w:ascii="仿宋" w:hAnsi="仿宋" w:eastAsia="仿宋"/>
          <w:bCs/>
          <w:kern w:val="0"/>
          <w:sz w:val="32"/>
          <w:szCs w:val="32"/>
          <w:highlight w:val="none"/>
        </w:rPr>
        <w:t>主要职能：</w:t>
      </w:r>
      <w:r>
        <w:rPr>
          <w:rFonts w:hint="eastAsia" w:ascii="仿宋" w:hAnsi="仿宋" w:eastAsia="仿宋" w:cs="Times New Roman"/>
          <w:sz w:val="32"/>
          <w:szCs w:val="32"/>
        </w:rPr>
        <w:t>落实国家政策，严格依法行政，发挥经济管理职能，加强政策引导，制定发展规划，服务市场主体和营造发展环境，大力促进社会事业发展，发展镇村经济、文化和社会事业，提供公共服务，维护社会稳定，构建社会主义和谐社会。</w:t>
      </w:r>
    </w:p>
    <w:p w14:paraId="74372A64">
      <w:pPr>
        <w:snapToGrid w:val="0"/>
        <w:spacing w:line="52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（1）执行本级人民代表大会的决议和上级国家行政机关的决定和命令，发布决定和命令;</w:t>
      </w:r>
    </w:p>
    <w:p w14:paraId="608A170D">
      <w:pPr>
        <w:snapToGrid w:val="0"/>
        <w:spacing w:line="52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（2）执行本行政区域内的经济和社会发展计划、预算，管理本行政区域内的经济、教育、科学、文化、卫生、体育事业和财政、民政、公安、司法行政、计划生育等行政工作;</w:t>
      </w:r>
    </w:p>
    <w:p w14:paraId="7D41ED86">
      <w:pPr>
        <w:snapToGrid w:val="0"/>
        <w:spacing w:line="52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（3）保护社会主义的全民所有的财产和劳动群众集体所有的财产，保护公民私人所有的合法财产，维护社会秩序，保障公民的人身权利、民主权利和</w:t>
      </w:r>
      <w:r>
        <w:fldChar w:fldCharType="begin"/>
      </w:r>
      <w:r>
        <w:instrText xml:space="preserve"> HYPERLINK "http://www.oh100.com/qita/" \t "_blank" </w:instrText>
      </w:r>
      <w:r>
        <w:fldChar w:fldCharType="separate"/>
      </w:r>
      <w:r>
        <w:rPr>
          <w:rFonts w:hint="eastAsia" w:ascii="仿宋" w:hAnsi="仿宋" w:eastAsia="仿宋" w:cs="Times New Roman"/>
          <w:sz w:val="32"/>
          <w:szCs w:val="32"/>
        </w:rPr>
        <w:t>其他</w:t>
      </w:r>
      <w:r>
        <w:rPr>
          <w:rFonts w:hint="eastAsia" w:ascii="仿宋" w:hAnsi="仿宋" w:eastAsia="仿宋" w:cs="Times New Roman"/>
          <w:sz w:val="32"/>
          <w:szCs w:val="32"/>
        </w:rPr>
        <w:fldChar w:fldCharType="end"/>
      </w:r>
      <w:r>
        <w:rPr>
          <w:rFonts w:hint="eastAsia" w:ascii="仿宋" w:hAnsi="仿宋" w:eastAsia="仿宋" w:cs="Times New Roman"/>
          <w:sz w:val="32"/>
          <w:szCs w:val="32"/>
        </w:rPr>
        <w:t>权利;</w:t>
      </w:r>
    </w:p>
    <w:p w14:paraId="5DF09C62">
      <w:pPr>
        <w:snapToGrid w:val="0"/>
        <w:spacing w:line="52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（4）保护各种经济组织的合法权益;</w:t>
      </w:r>
    </w:p>
    <w:p w14:paraId="3952E78E">
      <w:pPr>
        <w:snapToGrid w:val="0"/>
        <w:spacing w:line="52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（5）保障少数民族的权利和尊重少数民族的风俗习惯;</w:t>
      </w:r>
    </w:p>
    <w:p w14:paraId="0321CAA8">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sz w:val="32"/>
          <w:szCs w:val="32"/>
        </w:rPr>
        <w:t>（6）</w:t>
      </w:r>
      <w:r>
        <w:rPr>
          <w:rFonts w:ascii="仿宋" w:hAnsi="仿宋" w:eastAsia="仿宋"/>
          <w:sz w:val="32"/>
          <w:szCs w:val="32"/>
        </w:rPr>
        <w:t>完成法律、法规、规章规定的其他事项和市委、市政府交办的其他任务</w:t>
      </w:r>
      <w:r>
        <w:rPr>
          <w:rFonts w:hint="eastAsia" w:ascii="仿宋" w:hAnsi="仿宋" w:eastAsia="仿宋"/>
          <w:sz w:val="32"/>
          <w:szCs w:val="32"/>
        </w:rPr>
        <w:t>。</w:t>
      </w:r>
    </w:p>
    <w:p w14:paraId="20E27C16">
      <w:pPr>
        <w:ind w:firstLine="636"/>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主要业务：</w:t>
      </w:r>
    </w:p>
    <w:p w14:paraId="20D6D686">
      <w:pPr>
        <w:ind w:firstLine="636"/>
        <w:rPr>
          <w:rFonts w:ascii="仿宋_GB2312" w:eastAsia="仿宋_GB2312"/>
          <w:sz w:val="32"/>
          <w:szCs w:val="32"/>
        </w:rPr>
      </w:pPr>
      <w:r>
        <w:rPr>
          <w:rFonts w:hint="eastAsia" w:ascii="仿宋_GB2312" w:eastAsia="仿宋_GB2312"/>
          <w:sz w:val="32"/>
          <w:szCs w:val="32"/>
        </w:rPr>
        <w:t>（一</w:t>
      </w:r>
      <w:r>
        <w:rPr>
          <w:rFonts w:ascii="仿宋_GB2312" w:eastAsia="仿宋_GB2312"/>
          <w:sz w:val="32"/>
          <w:szCs w:val="32"/>
        </w:rPr>
        <w:t>）</w:t>
      </w:r>
      <w:r>
        <w:rPr>
          <w:rFonts w:hint="eastAsia" w:ascii="仿宋_GB2312" w:eastAsia="仿宋_GB2312"/>
          <w:sz w:val="32"/>
          <w:szCs w:val="32"/>
        </w:rPr>
        <w:t>加强党的建设。</w:t>
      </w:r>
    </w:p>
    <w:p w14:paraId="6AAE759E">
      <w:pPr>
        <w:ind w:firstLine="636"/>
        <w:rPr>
          <w:rFonts w:ascii="仿宋_GB2312" w:eastAsia="仿宋_GB2312"/>
          <w:sz w:val="32"/>
          <w:szCs w:val="32"/>
        </w:rPr>
      </w:pPr>
      <w:r>
        <w:rPr>
          <w:rFonts w:hint="eastAsia" w:ascii="仿宋_GB2312" w:eastAsia="仿宋_GB2312"/>
          <w:sz w:val="32"/>
          <w:szCs w:val="32"/>
        </w:rPr>
        <w:t>（二）统筹区域发展。</w:t>
      </w:r>
    </w:p>
    <w:p w14:paraId="0D5A504D">
      <w:pPr>
        <w:ind w:firstLine="636"/>
        <w:rPr>
          <w:rFonts w:ascii="仿宋_GB2312" w:eastAsia="仿宋_GB2312"/>
          <w:sz w:val="32"/>
          <w:szCs w:val="32"/>
        </w:rPr>
      </w:pPr>
      <w:r>
        <w:rPr>
          <w:rFonts w:hint="eastAsia" w:ascii="仿宋_GB2312" w:eastAsia="仿宋_GB2312"/>
          <w:sz w:val="32"/>
          <w:szCs w:val="32"/>
        </w:rPr>
        <w:t>（三）组织公共服务。</w:t>
      </w:r>
    </w:p>
    <w:p w14:paraId="1B07E129">
      <w:pPr>
        <w:ind w:firstLine="636"/>
        <w:rPr>
          <w:rFonts w:ascii="仿宋_GB2312" w:eastAsia="仿宋_GB2312"/>
          <w:sz w:val="32"/>
          <w:szCs w:val="32"/>
        </w:rPr>
      </w:pPr>
      <w:r>
        <w:rPr>
          <w:rFonts w:hint="eastAsia" w:ascii="仿宋_GB2312" w:eastAsia="仿宋_GB2312"/>
          <w:sz w:val="32"/>
          <w:szCs w:val="32"/>
        </w:rPr>
        <w:t>（四）实施综合管理。</w:t>
      </w:r>
    </w:p>
    <w:p w14:paraId="343DAD07">
      <w:pPr>
        <w:ind w:firstLine="636"/>
        <w:rPr>
          <w:rFonts w:ascii="仿宋_GB2312" w:eastAsia="仿宋_GB2312"/>
          <w:sz w:val="32"/>
          <w:szCs w:val="32"/>
        </w:rPr>
      </w:pPr>
      <w:r>
        <w:rPr>
          <w:rFonts w:hint="eastAsia" w:ascii="仿宋_GB2312" w:eastAsia="仿宋_GB2312"/>
          <w:sz w:val="32"/>
          <w:szCs w:val="32"/>
        </w:rPr>
        <w:t>（五）动员社会参与。</w:t>
      </w:r>
    </w:p>
    <w:p w14:paraId="5F9D398F">
      <w:pPr>
        <w:ind w:firstLine="636"/>
        <w:rPr>
          <w:rFonts w:ascii="仿宋_GB2312" w:eastAsia="仿宋_GB2312"/>
          <w:sz w:val="32"/>
          <w:szCs w:val="32"/>
        </w:rPr>
      </w:pPr>
      <w:r>
        <w:rPr>
          <w:rFonts w:hint="eastAsia" w:ascii="仿宋_GB2312" w:eastAsia="仿宋_GB2312"/>
          <w:sz w:val="32"/>
          <w:szCs w:val="32"/>
        </w:rPr>
        <w:t>（六）领导基层治理。</w:t>
      </w:r>
    </w:p>
    <w:p w14:paraId="2744201F">
      <w:pPr>
        <w:ind w:firstLine="636"/>
        <w:rPr>
          <w:rFonts w:ascii="仿宋_GB2312" w:eastAsia="仿宋_GB2312"/>
          <w:sz w:val="32"/>
          <w:szCs w:val="32"/>
        </w:rPr>
      </w:pPr>
      <w:r>
        <w:rPr>
          <w:rFonts w:hint="eastAsia" w:ascii="仿宋_GB2312" w:eastAsia="仿宋_GB2312"/>
          <w:sz w:val="32"/>
          <w:szCs w:val="32"/>
        </w:rPr>
        <w:t>（七）维护安全稳定。</w:t>
      </w:r>
    </w:p>
    <w:p w14:paraId="0BD0B322">
      <w:pPr>
        <w:ind w:firstLine="636"/>
        <w:rPr>
          <w:rFonts w:ascii="仿宋_GB2312" w:eastAsia="仿宋_GB2312"/>
          <w:sz w:val="32"/>
          <w:szCs w:val="32"/>
        </w:rPr>
      </w:pPr>
      <w:r>
        <w:rPr>
          <w:rFonts w:hint="eastAsia" w:ascii="仿宋_GB2312" w:eastAsia="仿宋_GB2312"/>
          <w:sz w:val="32"/>
          <w:szCs w:val="32"/>
        </w:rPr>
        <w:t>（八）深化“放管服”改革和“最多跑一次”改革。</w:t>
      </w:r>
    </w:p>
    <w:p w14:paraId="6E24FDD2">
      <w:pPr>
        <w:ind w:firstLine="640" w:firstLineChars="200"/>
        <w:rPr>
          <w:rFonts w:ascii="仿宋" w:hAnsi="仿宋" w:eastAsia="仿宋"/>
          <w:kern w:val="0"/>
          <w:sz w:val="32"/>
          <w:szCs w:val="32"/>
          <w:highlight w:val="yellow"/>
        </w:rPr>
      </w:pPr>
      <w:r>
        <w:rPr>
          <w:rFonts w:hint="eastAsia" w:ascii="仿宋_GB2312" w:eastAsia="仿宋_GB2312"/>
          <w:sz w:val="32"/>
          <w:szCs w:val="32"/>
        </w:rPr>
        <w:t>（九）完成法律、法规、规章规定的其他事项和市委、市政府交办的其他任务。</w:t>
      </w:r>
    </w:p>
    <w:p w14:paraId="456958B6">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57FF9FBF">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r>
        <w:rPr>
          <w:rFonts w:ascii="仿宋" w:hAnsi="仿宋" w:eastAsia="仿宋"/>
          <w:kern w:val="0"/>
          <w:szCs w:val="32"/>
          <w:highlight w:val="none"/>
        </w:rPr>
        <w:t>综合办公室、党建工作办公室、平安建设办公室、农业农村办公室、综合行政执法办公室、村镇规划建设管理办公室、应急管理办公室、社会事务办公室</w:t>
      </w:r>
      <w:r>
        <w:rPr>
          <w:rFonts w:hint="eastAsia" w:ascii="仿宋" w:hAnsi="仿宋" w:eastAsia="仿宋"/>
          <w:kern w:val="0"/>
          <w:szCs w:val="32"/>
          <w:highlight w:val="none"/>
        </w:rPr>
        <w:t>、</w:t>
      </w:r>
      <w:r>
        <w:rPr>
          <w:rFonts w:ascii="仿宋" w:hAnsi="仿宋" w:eastAsia="仿宋"/>
          <w:kern w:val="0"/>
          <w:szCs w:val="32"/>
        </w:rPr>
        <w:t>水利服务站、林业服务站、自然资源站、畜牧服务站、农业技术和农业机械技术服务站、农经服务站、社会保障服务站、退役军人服务站，文化服务站</w:t>
      </w:r>
      <w:r>
        <w:rPr>
          <w:rFonts w:hint="eastAsia" w:ascii="仿宋" w:hAnsi="仿宋" w:eastAsia="仿宋"/>
          <w:kern w:val="0"/>
          <w:szCs w:val="32"/>
          <w:highlight w:val="none"/>
        </w:rPr>
        <w:t>；</w:t>
      </w:r>
    </w:p>
    <w:p w14:paraId="34A228B8">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w:t>
      </w:r>
      <w:r>
        <w:rPr>
          <w:rFonts w:hint="eastAsia" w:ascii="仿宋" w:hAnsi="仿宋" w:eastAsia="仿宋"/>
          <w:kern w:val="0"/>
          <w:szCs w:val="32"/>
        </w:rPr>
        <w:t>在职人员</w:t>
      </w:r>
      <w:r>
        <w:rPr>
          <w:rFonts w:hint="eastAsia" w:ascii="仿宋" w:hAnsi="仿宋" w:eastAsia="仿宋"/>
          <w:kern w:val="0"/>
          <w:szCs w:val="32"/>
          <w:lang w:val="en-US" w:eastAsia="zh-CN"/>
        </w:rPr>
        <w:t>90</w:t>
      </w:r>
      <w:r>
        <w:rPr>
          <w:rFonts w:hint="eastAsia" w:ascii="仿宋" w:hAnsi="仿宋" w:eastAsia="仿宋"/>
          <w:kern w:val="0"/>
          <w:szCs w:val="32"/>
        </w:rPr>
        <w:t>人，其中行政3</w:t>
      </w:r>
      <w:r>
        <w:rPr>
          <w:rFonts w:hint="eastAsia" w:ascii="仿宋" w:hAnsi="仿宋" w:eastAsia="仿宋"/>
          <w:kern w:val="0"/>
          <w:szCs w:val="32"/>
          <w:lang w:val="en-US" w:eastAsia="zh-CN"/>
        </w:rPr>
        <w:t>2</w:t>
      </w:r>
      <w:r>
        <w:rPr>
          <w:rFonts w:hint="eastAsia" w:ascii="仿宋" w:hAnsi="仿宋" w:eastAsia="仿宋"/>
          <w:kern w:val="0"/>
          <w:szCs w:val="32"/>
        </w:rPr>
        <w:t>人，事业5</w:t>
      </w:r>
      <w:r>
        <w:rPr>
          <w:rFonts w:hint="eastAsia" w:ascii="仿宋" w:hAnsi="仿宋" w:eastAsia="仿宋"/>
          <w:kern w:val="0"/>
          <w:szCs w:val="32"/>
          <w:lang w:val="en-US" w:eastAsia="zh-CN"/>
        </w:rPr>
        <w:t>8</w:t>
      </w:r>
      <w:r>
        <w:rPr>
          <w:rFonts w:hint="eastAsia" w:ascii="仿宋" w:hAnsi="仿宋" w:eastAsia="仿宋"/>
          <w:kern w:val="0"/>
          <w:szCs w:val="32"/>
        </w:rPr>
        <w:t>人。编制数9</w:t>
      </w:r>
      <w:r>
        <w:rPr>
          <w:rFonts w:hint="eastAsia" w:ascii="仿宋" w:hAnsi="仿宋" w:eastAsia="仿宋"/>
          <w:kern w:val="0"/>
          <w:szCs w:val="32"/>
          <w:lang w:val="en-US" w:eastAsia="zh-CN"/>
        </w:rPr>
        <w:t>7</w:t>
      </w:r>
      <w:r>
        <w:rPr>
          <w:rFonts w:hint="eastAsia" w:ascii="仿宋" w:hAnsi="仿宋" w:eastAsia="仿宋"/>
          <w:kern w:val="0"/>
          <w:szCs w:val="32"/>
        </w:rPr>
        <w:t>人，其中行政编制33人，事业编制</w:t>
      </w:r>
      <w:r>
        <w:rPr>
          <w:rFonts w:hint="eastAsia" w:ascii="仿宋" w:hAnsi="仿宋" w:eastAsia="仿宋"/>
          <w:kern w:val="0"/>
          <w:szCs w:val="32"/>
          <w:lang w:val="en-US" w:eastAsia="zh-CN"/>
        </w:rPr>
        <w:t>64</w:t>
      </w:r>
      <w:r>
        <w:rPr>
          <w:rFonts w:hint="eastAsia" w:ascii="仿宋" w:hAnsi="仿宋" w:eastAsia="仿宋"/>
          <w:kern w:val="0"/>
          <w:szCs w:val="32"/>
        </w:rPr>
        <w:t>人。领导职数12个。</w:t>
      </w:r>
    </w:p>
    <w:p w14:paraId="07E2322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75897C5">
      <w:pPr>
        <w:jc w:val="left"/>
        <w:rPr>
          <w:rFonts w:ascii="仿宋" w:hAnsi="仿宋" w:eastAsia="仿宋"/>
          <w:sz w:val="32"/>
          <w:szCs w:val="32"/>
          <w:highlight w:val="none"/>
        </w:rPr>
      </w:pPr>
    </w:p>
    <w:p w14:paraId="53396814">
      <w:pPr>
        <w:jc w:val="left"/>
        <w:rPr>
          <w:rFonts w:ascii="仿宋" w:hAnsi="仿宋" w:eastAsia="仿宋"/>
          <w:sz w:val="32"/>
          <w:szCs w:val="32"/>
          <w:highlight w:val="none"/>
        </w:rPr>
      </w:pPr>
    </w:p>
    <w:p w14:paraId="027815FE">
      <w:pPr>
        <w:jc w:val="left"/>
        <w:rPr>
          <w:rFonts w:ascii="仿宋" w:hAnsi="仿宋" w:eastAsia="仿宋"/>
          <w:sz w:val="32"/>
          <w:szCs w:val="32"/>
          <w:highlight w:val="none"/>
        </w:rPr>
      </w:pPr>
    </w:p>
    <w:p w14:paraId="70A1A50C">
      <w:pPr>
        <w:jc w:val="left"/>
        <w:rPr>
          <w:rFonts w:ascii="仿宋" w:hAnsi="仿宋" w:eastAsia="仿宋"/>
          <w:sz w:val="32"/>
          <w:szCs w:val="32"/>
          <w:highlight w:val="none"/>
        </w:rPr>
      </w:pPr>
    </w:p>
    <w:p w14:paraId="7E94B14E">
      <w:pPr>
        <w:rPr>
          <w:rFonts w:ascii="仿宋" w:hAnsi="仿宋" w:eastAsia="仿宋"/>
          <w:sz w:val="32"/>
          <w:szCs w:val="32"/>
          <w:highlight w:val="none"/>
        </w:rPr>
      </w:pPr>
      <w:r>
        <w:rPr>
          <w:rFonts w:ascii="仿宋" w:hAnsi="仿宋" w:eastAsia="仿宋"/>
          <w:sz w:val="32"/>
          <w:szCs w:val="32"/>
          <w:highlight w:val="none"/>
        </w:rPr>
        <w:br w:type="page"/>
      </w:r>
    </w:p>
    <w:p w14:paraId="42F9AEC4">
      <w:pPr>
        <w:jc w:val="left"/>
        <w:rPr>
          <w:rFonts w:ascii="仿宋" w:hAnsi="仿宋" w:eastAsia="仿宋"/>
          <w:sz w:val="32"/>
          <w:szCs w:val="32"/>
          <w:highlight w:val="none"/>
        </w:rPr>
      </w:pPr>
      <w:bookmarkStart w:id="0" w:name="_GoBack"/>
      <w:bookmarkEnd w:id="0"/>
    </w:p>
    <w:p w14:paraId="5CC0393A">
      <w:pPr>
        <w:jc w:val="left"/>
        <w:rPr>
          <w:rFonts w:ascii="仿宋" w:hAnsi="仿宋" w:eastAsia="仿宋"/>
          <w:sz w:val="32"/>
          <w:szCs w:val="32"/>
          <w:highlight w:val="none"/>
        </w:rPr>
      </w:pPr>
    </w:p>
    <w:p w14:paraId="6DF6B5AB">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28E0681">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0BD8A6F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0F3C6629">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 xml:space="preserve">1391.03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w:t>
      </w:r>
      <w:r>
        <w:rPr>
          <w:rFonts w:hint="eastAsia" w:ascii="仿宋" w:hAnsi="仿宋" w:eastAsia="仿宋"/>
          <w:sz w:val="32"/>
          <w:szCs w:val="32"/>
        </w:rPr>
        <w:t>1383.94</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万元增加</w:t>
      </w:r>
      <w:r>
        <w:rPr>
          <w:rFonts w:hint="eastAsia" w:ascii="仿宋" w:hAnsi="仿宋" w:eastAsia="仿宋"/>
          <w:sz w:val="32"/>
          <w:szCs w:val="32"/>
          <w:highlight w:val="none"/>
          <w:lang w:val="en-US" w:eastAsia="zh-CN"/>
        </w:rPr>
        <w:t>7.09</w:t>
      </w:r>
      <w:r>
        <w:rPr>
          <w:rFonts w:hint="eastAsia" w:ascii="仿宋" w:hAnsi="仿宋" w:eastAsia="仿宋"/>
          <w:sz w:val="32"/>
          <w:szCs w:val="32"/>
          <w:highlight w:val="none"/>
        </w:rPr>
        <w:t>万元，主要原因：</w:t>
      </w:r>
      <w:r>
        <w:rPr>
          <w:rFonts w:hint="eastAsia" w:ascii="仿宋" w:hAnsi="仿宋" w:eastAsia="仿宋"/>
          <w:sz w:val="32"/>
          <w:szCs w:val="32"/>
        </w:rPr>
        <w:t>人员增加</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lang w:eastAsia="zh-CN"/>
        </w:rPr>
        <w:t>。</w:t>
      </w:r>
    </w:p>
    <w:p w14:paraId="606F587D">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6396AF69">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1391.03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1136.45万元，占82%；上年结转 254.58 万元，占18%。本年收入中，一般公共预算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1136.45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50F267CA">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70280174">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1391.03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1114.63</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80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276.4</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20</w:t>
      </w:r>
      <w:r>
        <w:rPr>
          <w:rFonts w:hint="eastAsia" w:ascii="仿宋" w:hAnsi="仿宋" w:eastAsia="仿宋"/>
          <w:sz w:val="32"/>
          <w:szCs w:val="32"/>
          <w:highlight w:val="none"/>
          <w:lang w:eastAsia="zh-CN"/>
        </w:rPr>
        <w:t>%。</w:t>
      </w:r>
    </w:p>
    <w:p w14:paraId="5234B39E">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04C1A129">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1391.03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1136.45 万元，上年结转 254.58 万元。支出包括：</w:t>
      </w:r>
      <w:r>
        <w:rPr>
          <w:rFonts w:hint="eastAsia" w:ascii="仿宋" w:hAnsi="仿宋" w:eastAsia="仿宋"/>
          <w:sz w:val="32"/>
          <w:szCs w:val="32"/>
          <w:highlight w:val="none"/>
        </w:rPr>
        <w:t>一般公共服务支出875.9</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万元，文化旅游体育与传媒支出</w:t>
      </w:r>
      <w:r>
        <w:rPr>
          <w:rFonts w:hint="eastAsia" w:ascii="仿宋" w:hAnsi="仿宋" w:eastAsia="仿宋"/>
          <w:sz w:val="32"/>
          <w:szCs w:val="32"/>
          <w:highlight w:val="none"/>
          <w:lang w:val="en-US" w:eastAsia="zh-CN"/>
        </w:rPr>
        <w:t>1.2万元，</w:t>
      </w:r>
      <w:r>
        <w:rPr>
          <w:rFonts w:hint="eastAsia" w:ascii="仿宋" w:hAnsi="仿宋" w:eastAsia="仿宋"/>
          <w:sz w:val="32"/>
          <w:szCs w:val="32"/>
          <w:highlight w:val="none"/>
        </w:rPr>
        <w:t>社会保障和就业支出161.2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支出35.89万元，城乡社区支出</w:t>
      </w:r>
      <w:r>
        <w:rPr>
          <w:rFonts w:hint="eastAsia" w:ascii="仿宋" w:hAnsi="仿宋" w:eastAsia="仿宋"/>
          <w:sz w:val="32"/>
          <w:szCs w:val="32"/>
          <w:highlight w:val="none"/>
          <w:lang w:val="en-US" w:eastAsia="zh-CN"/>
        </w:rPr>
        <w:t>115.81万元，农林水支出120.48万元，</w:t>
      </w:r>
      <w:r>
        <w:rPr>
          <w:rFonts w:hint="eastAsia" w:ascii="仿宋" w:hAnsi="仿宋" w:eastAsia="仿宋"/>
          <w:sz w:val="32"/>
          <w:szCs w:val="32"/>
          <w:highlight w:val="none"/>
        </w:rPr>
        <w:t>住房保障支出80.46万元，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36F3275B">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657950E4">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1136.45</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基本支出1100.74万元，占</w:t>
      </w:r>
      <w:r>
        <w:rPr>
          <w:rFonts w:hint="eastAsia" w:ascii="仿宋" w:hAnsi="仿宋" w:eastAsia="仿宋"/>
          <w:sz w:val="32"/>
          <w:szCs w:val="32"/>
          <w:highlight w:val="none"/>
          <w:lang w:val="en-US" w:eastAsia="zh-CN"/>
        </w:rPr>
        <w:t>97</w:t>
      </w:r>
      <w:r>
        <w:rPr>
          <w:rFonts w:hint="eastAsia" w:ascii="仿宋" w:hAnsi="仿宋" w:eastAsia="仿宋"/>
          <w:sz w:val="32"/>
          <w:szCs w:val="32"/>
          <w:highlight w:val="none"/>
        </w:rPr>
        <w:t>%；项目支出35.71万元，占</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%。基本支出中，人员经费1013.24万元，占</w:t>
      </w:r>
      <w:r>
        <w:rPr>
          <w:rFonts w:hint="eastAsia" w:ascii="仿宋" w:hAnsi="仿宋" w:eastAsia="仿宋"/>
          <w:sz w:val="32"/>
          <w:szCs w:val="32"/>
          <w:highlight w:val="none"/>
          <w:lang w:val="en-US" w:eastAsia="zh-CN"/>
        </w:rPr>
        <w:t>92</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公用经费87.5万元，占</w:t>
      </w:r>
      <w:r>
        <w:rPr>
          <w:rFonts w:hint="eastAsia" w:ascii="仿宋" w:hAnsi="仿宋" w:eastAsia="仿宋"/>
          <w:sz w:val="32"/>
          <w:szCs w:val="32"/>
          <w:highlight w:val="none"/>
          <w:lang w:val="en-US" w:eastAsia="zh-CN"/>
        </w:rPr>
        <w:t>8</w:t>
      </w:r>
      <w:r>
        <w:rPr>
          <w:rFonts w:hint="eastAsia" w:ascii="仿宋" w:hAnsi="仿宋" w:eastAsia="仿宋"/>
          <w:sz w:val="32"/>
          <w:szCs w:val="32"/>
          <w:highlight w:val="none"/>
        </w:rPr>
        <w:t>%。</w:t>
      </w:r>
    </w:p>
    <w:p w14:paraId="429DD412">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838.65万元，占74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s="Times New Roman"/>
          <w:sz w:val="32"/>
          <w:szCs w:val="32"/>
          <w:highlight w:val="none"/>
        </w:rPr>
        <w:t>行政运行支出</w:t>
      </w:r>
      <w:r>
        <w:rPr>
          <w:rFonts w:hint="eastAsia" w:ascii="仿宋" w:hAnsi="仿宋" w:eastAsia="仿宋"/>
          <w:sz w:val="32"/>
          <w:szCs w:val="32"/>
          <w:highlight w:val="none"/>
          <w:lang w:val="en-US" w:eastAsia="zh-CN"/>
        </w:rPr>
        <w:t>。</w:t>
      </w:r>
    </w:p>
    <w:p w14:paraId="7B1E0B11">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社会保障和就业（类）支出161.24万元，占14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s="Times New Roman"/>
          <w:sz w:val="32"/>
          <w:szCs w:val="32"/>
          <w:highlight w:val="none"/>
        </w:rPr>
        <w:t>机关事业单位基本养老保险缴费支出</w:t>
      </w:r>
      <w:r>
        <w:rPr>
          <w:rFonts w:hint="eastAsia" w:ascii="仿宋" w:hAnsi="仿宋" w:eastAsia="仿宋"/>
          <w:sz w:val="32"/>
          <w:szCs w:val="32"/>
          <w:highlight w:val="none"/>
        </w:rPr>
        <w:t>107.28</w:t>
      </w:r>
      <w:r>
        <w:rPr>
          <w:rFonts w:hint="eastAsia" w:ascii="仿宋" w:hAnsi="仿宋" w:eastAsia="仿宋" w:cs="Times New Roman"/>
          <w:sz w:val="32"/>
          <w:szCs w:val="32"/>
          <w:highlight w:val="none"/>
        </w:rPr>
        <w:t>万元、机关事业单位职业年金缴费支出</w:t>
      </w:r>
      <w:r>
        <w:rPr>
          <w:rFonts w:hint="eastAsia" w:ascii="仿宋" w:hAnsi="仿宋" w:eastAsia="仿宋"/>
          <w:sz w:val="32"/>
          <w:szCs w:val="32"/>
          <w:highlight w:val="none"/>
        </w:rPr>
        <w:t>49.07</w:t>
      </w:r>
      <w:r>
        <w:rPr>
          <w:rFonts w:hint="eastAsia" w:ascii="仿宋" w:hAnsi="仿宋" w:eastAsia="仿宋" w:cs="Times New Roman"/>
          <w:sz w:val="32"/>
          <w:szCs w:val="32"/>
          <w:highlight w:val="none"/>
        </w:rPr>
        <w:t>万元</w:t>
      </w:r>
      <w:r>
        <w:rPr>
          <w:rFonts w:hint="eastAsia" w:ascii="仿宋" w:hAnsi="仿宋" w:eastAsia="仿宋"/>
          <w:sz w:val="32"/>
          <w:szCs w:val="32"/>
          <w:highlight w:val="none"/>
        </w:rPr>
        <w:t>、</w:t>
      </w:r>
      <w:r>
        <w:rPr>
          <w:rFonts w:hint="eastAsia" w:ascii="仿宋" w:hAnsi="仿宋" w:eastAsia="仿宋" w:cs="Times New Roman"/>
          <w:sz w:val="32"/>
          <w:szCs w:val="32"/>
          <w:highlight w:val="none"/>
        </w:rPr>
        <w:t>财政对失业保险基金的补助支出</w:t>
      </w:r>
      <w:r>
        <w:rPr>
          <w:rFonts w:hint="eastAsia" w:ascii="仿宋" w:hAnsi="仿宋" w:eastAsia="仿宋"/>
          <w:sz w:val="32"/>
          <w:szCs w:val="32"/>
          <w:highlight w:val="none"/>
        </w:rPr>
        <w:t>2.98</w:t>
      </w:r>
      <w:r>
        <w:rPr>
          <w:rFonts w:hint="eastAsia" w:ascii="仿宋" w:hAnsi="仿宋" w:eastAsia="仿宋" w:cs="Times New Roman"/>
          <w:sz w:val="32"/>
          <w:szCs w:val="32"/>
          <w:highlight w:val="none"/>
        </w:rPr>
        <w:t>万元</w:t>
      </w:r>
      <w:r>
        <w:rPr>
          <w:rFonts w:hint="eastAsia" w:ascii="仿宋" w:hAnsi="仿宋" w:eastAsia="仿宋"/>
          <w:sz w:val="32"/>
          <w:szCs w:val="32"/>
          <w:highlight w:val="none"/>
        </w:rPr>
        <w:t>及</w:t>
      </w:r>
      <w:r>
        <w:rPr>
          <w:rFonts w:hint="eastAsia" w:ascii="仿宋" w:hAnsi="仿宋" w:eastAsia="仿宋" w:cs="Times New Roman"/>
          <w:sz w:val="32"/>
          <w:szCs w:val="32"/>
          <w:highlight w:val="none"/>
        </w:rPr>
        <w:t>财政对</w:t>
      </w:r>
      <w:r>
        <w:rPr>
          <w:rFonts w:hint="eastAsia" w:ascii="仿宋" w:hAnsi="仿宋" w:eastAsia="仿宋"/>
          <w:sz w:val="32"/>
          <w:szCs w:val="32"/>
          <w:highlight w:val="none"/>
        </w:rPr>
        <w:t>工伤</w:t>
      </w:r>
      <w:r>
        <w:rPr>
          <w:rFonts w:hint="eastAsia" w:ascii="仿宋" w:hAnsi="仿宋" w:eastAsia="仿宋" w:cs="Times New Roman"/>
          <w:sz w:val="32"/>
          <w:szCs w:val="32"/>
          <w:highlight w:val="none"/>
        </w:rPr>
        <w:t>保险基金的补助支出</w:t>
      </w:r>
      <w:r>
        <w:rPr>
          <w:rFonts w:hint="eastAsia" w:ascii="仿宋" w:hAnsi="仿宋" w:eastAsia="仿宋"/>
          <w:sz w:val="32"/>
          <w:szCs w:val="32"/>
          <w:highlight w:val="none"/>
        </w:rPr>
        <w:t>1.91</w:t>
      </w:r>
      <w:r>
        <w:rPr>
          <w:rFonts w:hint="eastAsia" w:ascii="仿宋" w:hAnsi="仿宋" w:eastAsia="仿宋" w:cs="Times New Roman"/>
          <w:sz w:val="32"/>
          <w:szCs w:val="32"/>
          <w:highlight w:val="none"/>
        </w:rPr>
        <w:t>万元</w:t>
      </w:r>
      <w:r>
        <w:rPr>
          <w:rFonts w:hint="eastAsia" w:ascii="仿宋" w:hAnsi="仿宋" w:eastAsia="仿宋"/>
          <w:sz w:val="32"/>
          <w:szCs w:val="32"/>
          <w:highlight w:val="none"/>
          <w:lang w:val="en-US" w:eastAsia="zh-CN"/>
        </w:rPr>
        <w:t>。</w:t>
      </w:r>
    </w:p>
    <w:p w14:paraId="0DD3C282">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35.89万元，占3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s="Times New Roman"/>
          <w:sz w:val="32"/>
          <w:szCs w:val="32"/>
          <w:highlight w:val="none"/>
        </w:rPr>
        <w:t>行政单位医疗支出</w:t>
      </w:r>
      <w:r>
        <w:rPr>
          <w:rFonts w:hint="eastAsia" w:ascii="仿宋" w:hAnsi="仿宋" w:eastAsia="仿宋"/>
          <w:sz w:val="32"/>
          <w:szCs w:val="32"/>
          <w:highlight w:val="none"/>
          <w:lang w:val="en-US" w:eastAsia="zh-CN"/>
        </w:rPr>
        <w:t>35.89</w:t>
      </w:r>
      <w:r>
        <w:rPr>
          <w:rFonts w:hint="eastAsia" w:ascii="仿宋" w:hAnsi="仿宋" w:eastAsia="仿宋" w:cs="Times New Roman"/>
          <w:sz w:val="32"/>
          <w:szCs w:val="32"/>
          <w:highlight w:val="none"/>
        </w:rPr>
        <w:t>万元</w:t>
      </w:r>
      <w:r>
        <w:rPr>
          <w:rFonts w:hint="eastAsia" w:ascii="仿宋" w:hAnsi="仿宋" w:eastAsia="仿宋"/>
          <w:sz w:val="32"/>
          <w:szCs w:val="32"/>
          <w:highlight w:val="none"/>
          <w:lang w:val="en-US" w:eastAsia="zh-CN"/>
        </w:rPr>
        <w:t>。</w:t>
      </w:r>
    </w:p>
    <w:p w14:paraId="15FD4D6F">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住房保障（类）支出80.46万元，占7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s="Times New Roman"/>
          <w:sz w:val="32"/>
          <w:szCs w:val="32"/>
          <w:highlight w:val="none"/>
        </w:rPr>
        <w:t>住房公积金支出</w:t>
      </w:r>
      <w:r>
        <w:rPr>
          <w:rFonts w:hint="eastAsia" w:ascii="仿宋" w:hAnsi="仿宋" w:eastAsia="仿宋"/>
          <w:sz w:val="32"/>
          <w:szCs w:val="32"/>
          <w:highlight w:val="none"/>
          <w:lang w:val="en-US" w:eastAsia="zh-CN"/>
        </w:rPr>
        <w:t>80.46</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w:t>
      </w:r>
    </w:p>
    <w:p w14:paraId="01181514">
      <w:pPr>
        <w:ind w:firstLine="640" w:firstLineChars="200"/>
        <w:rPr>
          <w:rFonts w:ascii="仿宋" w:hAnsi="仿宋" w:eastAsia="仿宋" w:cs="Times New Roman"/>
          <w:sz w:val="32"/>
          <w:szCs w:val="32"/>
        </w:rPr>
      </w:pPr>
      <w:r>
        <w:rPr>
          <w:rFonts w:hint="eastAsia" w:ascii="仿宋" w:hAnsi="仿宋" w:eastAsia="仿宋"/>
          <w:sz w:val="32"/>
          <w:szCs w:val="32"/>
          <w:highlight w:val="none"/>
          <w:lang w:val="en-US" w:eastAsia="zh-CN"/>
        </w:rPr>
        <w:t>城乡社区支出（类）支出20.21万元，占2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s="Times New Roman"/>
          <w:sz w:val="32"/>
          <w:szCs w:val="32"/>
          <w:highlight w:val="none"/>
        </w:rPr>
        <w:t>行政运行支出</w:t>
      </w:r>
      <w:r>
        <w:rPr>
          <w:rFonts w:ascii="仿宋" w:hAnsi="仿宋" w:eastAsia="仿宋" w:cs="Times New Roman"/>
          <w:sz w:val="32"/>
          <w:szCs w:val="32"/>
          <w:highlight w:val="none"/>
        </w:rPr>
        <w:t>。</w:t>
      </w:r>
    </w:p>
    <w:p w14:paraId="1E97C375">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18D958A1">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1114.63万元，其中：</w:t>
      </w:r>
    </w:p>
    <w:p w14:paraId="67DEF4D8">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人员经费1013.</w:t>
      </w:r>
      <w:r>
        <w:rPr>
          <w:rFonts w:hint="eastAsia" w:ascii="仿宋" w:hAnsi="仿宋" w:eastAsia="仿宋"/>
          <w:sz w:val="32"/>
          <w:szCs w:val="32"/>
          <w:highlight w:val="none"/>
          <w:lang w:val="en-US" w:eastAsia="zh-CN"/>
        </w:rPr>
        <w:t>47</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537E03FD">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101.16</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4219D6A6">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21CC703A">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5 </w:t>
      </w:r>
      <w:r>
        <w:rPr>
          <w:rFonts w:hint="eastAsia" w:ascii="仿宋" w:hAnsi="仿宋" w:eastAsia="仿宋"/>
          <w:kern w:val="0"/>
          <w:sz w:val="32"/>
          <w:szCs w:val="32"/>
          <w:highlight w:val="none"/>
        </w:rPr>
        <w:t>万元，</w:t>
      </w:r>
      <w:r>
        <w:rPr>
          <w:rFonts w:hint="eastAsia" w:ascii="仿宋" w:hAnsi="仿宋" w:eastAsia="仿宋"/>
          <w:kern w:val="0"/>
          <w:sz w:val="32"/>
          <w:szCs w:val="32"/>
        </w:rPr>
        <w:t>与202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r>
        <w:rPr>
          <w:rFonts w:hint="eastAsia" w:ascii="仿宋" w:hAnsi="仿宋" w:eastAsia="仿宋"/>
          <w:kern w:val="0"/>
          <w:sz w:val="32"/>
          <w:szCs w:val="32"/>
          <w:highlight w:val="none"/>
        </w:rPr>
        <w:t>。其中：</w:t>
      </w:r>
    </w:p>
    <w:p w14:paraId="5BA57247">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4122FC34">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rPr>
        <w:t>与202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r>
        <w:rPr>
          <w:rFonts w:hint="eastAsia" w:ascii="仿宋" w:hAnsi="仿宋" w:eastAsia="仿宋"/>
          <w:kern w:val="0"/>
          <w:sz w:val="32"/>
          <w:szCs w:val="32"/>
          <w:highlight w:val="none"/>
          <w:lang w:eastAsia="zh-CN"/>
        </w:rPr>
        <w:t>。</w:t>
      </w:r>
    </w:p>
    <w:p w14:paraId="521BF88F">
      <w:pPr>
        <w:pStyle w:val="9"/>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万元，与202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 xml:space="preserve">年预算数相同。其中，公务用车运行维护费 </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万元，</w:t>
      </w:r>
      <w:r>
        <w:rPr>
          <w:rFonts w:hint="eastAsia" w:ascii="仿宋" w:hAnsi="仿宋" w:eastAsia="仿宋"/>
          <w:kern w:val="0"/>
          <w:sz w:val="32"/>
          <w:szCs w:val="32"/>
        </w:rPr>
        <w:t>与202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r>
        <w:rPr>
          <w:rFonts w:hint="eastAsia" w:ascii="仿宋" w:hAnsi="仿宋" w:eastAsia="仿宋"/>
          <w:kern w:val="0"/>
          <w:sz w:val="32"/>
          <w:szCs w:val="32"/>
          <w:highlight w:val="none"/>
          <w:lang w:eastAsia="zh-CN"/>
        </w:rPr>
        <w:t>。</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w:t>
      </w:r>
      <w:r>
        <w:rPr>
          <w:rFonts w:hint="eastAsia" w:ascii="仿宋" w:hAnsi="仿宋" w:eastAsia="仿宋"/>
          <w:kern w:val="0"/>
          <w:sz w:val="32"/>
          <w:szCs w:val="32"/>
        </w:rPr>
        <w:t>与202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r>
        <w:rPr>
          <w:rFonts w:hint="eastAsia" w:ascii="仿宋" w:hAnsi="仿宋" w:eastAsia="仿宋"/>
          <w:kern w:val="0"/>
          <w:sz w:val="32"/>
          <w:szCs w:val="32"/>
          <w:highlight w:val="none"/>
        </w:rPr>
        <w:t>。</w:t>
      </w:r>
    </w:p>
    <w:p w14:paraId="101C0163">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1FBD675B">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790B3938">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40B69CB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16B6AE1B">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7D23D6E2">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0C9CC8D4">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rPr>
        <w:t>磐石市牛心镇综合服务中心1家</w:t>
      </w:r>
      <w:r>
        <w:rPr>
          <w:rFonts w:hint="eastAsia" w:ascii="仿宋" w:hAnsi="仿宋" w:eastAsia="仿宋"/>
          <w:sz w:val="32"/>
          <w:szCs w:val="32"/>
          <w:highlight w:val="none"/>
        </w:rPr>
        <w:t>事业单位的机关运行经费财政拨款预算</w:t>
      </w:r>
      <w:r>
        <w:rPr>
          <w:rFonts w:hint="eastAsia" w:ascii="仿宋" w:hAnsi="仿宋" w:eastAsia="仿宋"/>
          <w:sz w:val="32"/>
          <w:szCs w:val="32"/>
          <w:highlight w:val="none"/>
          <w:lang w:val="en-US" w:eastAsia="zh-CN"/>
        </w:rPr>
        <w:t xml:space="preserve"> 87.5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34.56</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65</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人员增加，水电费、公务用车、取暖费2025年纳入</w:t>
      </w:r>
      <w:r>
        <w:rPr>
          <w:rFonts w:hint="eastAsia" w:ascii="仿宋" w:hAnsi="仿宋" w:eastAsia="仿宋"/>
          <w:sz w:val="32"/>
          <w:szCs w:val="32"/>
          <w:highlight w:val="none"/>
        </w:rPr>
        <w:t>机关运行经费</w:t>
      </w:r>
      <w:r>
        <w:rPr>
          <w:rFonts w:hint="eastAsia" w:ascii="仿宋" w:hAnsi="仿宋" w:eastAsia="仿宋"/>
          <w:sz w:val="32"/>
          <w:szCs w:val="32"/>
          <w:highlight w:val="none"/>
          <w:lang w:eastAsia="zh-CN"/>
        </w:rPr>
        <w:t>。</w:t>
      </w:r>
    </w:p>
    <w:p w14:paraId="608F0EC3">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14:paraId="33F21AE8">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03DA863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6EA52D07">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2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w:t>
      </w:r>
      <w:r>
        <w:rPr>
          <w:rFonts w:hint="eastAsia" w:ascii="仿宋" w:hAnsi="仿宋" w:eastAsia="仿宋"/>
          <w:sz w:val="32"/>
          <w:szCs w:val="32"/>
          <w:highlight w:val="none"/>
        </w:rPr>
        <w:t>，价值200万元以上大型设备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3CC62436">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7ABDFE52">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3924A4AC">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35.71</w:t>
      </w:r>
      <w:r>
        <w:rPr>
          <w:rFonts w:hint="eastAsia" w:ascii="仿宋" w:hAnsi="仿宋" w:eastAsia="仿宋"/>
          <w:sz w:val="32"/>
          <w:szCs w:val="32"/>
          <w:highlight w:val="none"/>
        </w:rPr>
        <w:t>万元，项目内容为</w:t>
      </w:r>
      <w:r>
        <w:rPr>
          <w:rFonts w:hint="eastAsia" w:ascii="仿宋" w:hAnsi="仿宋" w:eastAsia="仿宋"/>
          <w:sz w:val="32"/>
          <w:szCs w:val="32"/>
          <w:highlight w:val="none"/>
          <w:lang w:val="en-US" w:eastAsia="zh-CN"/>
        </w:rPr>
        <w:t>工作经费项目，食堂支出，临聘人员工资项目，生产用车项目，</w:t>
      </w:r>
      <w:r>
        <w:rPr>
          <w:rFonts w:hint="eastAsia" w:ascii="仿宋" w:hAnsi="仿宋" w:eastAsia="仿宋"/>
          <w:sz w:val="32"/>
          <w:szCs w:val="32"/>
          <w:highlight w:val="none"/>
        </w:rPr>
        <w:t>主要目标为</w:t>
      </w:r>
      <w:r>
        <w:rPr>
          <w:rFonts w:hint="eastAsia" w:ascii="仿宋" w:hAnsi="仿宋" w:eastAsia="仿宋"/>
          <w:sz w:val="32"/>
          <w:szCs w:val="32"/>
          <w:highlight w:val="none"/>
          <w:lang w:val="en-US" w:eastAsia="zh-CN"/>
        </w:rPr>
        <w:t>保证政府日常工作运转</w:t>
      </w:r>
      <w:r>
        <w:rPr>
          <w:rFonts w:hint="eastAsia" w:ascii="仿宋" w:hAnsi="仿宋" w:eastAsia="仿宋"/>
          <w:sz w:val="32"/>
          <w:szCs w:val="32"/>
          <w:highlight w:val="none"/>
        </w:rPr>
        <w:t>。同时，将预算项目绩效目标进一步细化为绩效指标和指标值（附预算项目绩效目标申报表）。</w:t>
      </w:r>
    </w:p>
    <w:p w14:paraId="5D0C5C25">
      <w:pPr>
        <w:jc w:val="left"/>
        <w:rPr>
          <w:rFonts w:ascii="仿宋" w:hAnsi="仿宋" w:eastAsia="仿宋"/>
          <w:sz w:val="32"/>
          <w:szCs w:val="32"/>
          <w:highlight w:val="none"/>
        </w:rPr>
      </w:pPr>
    </w:p>
    <w:p w14:paraId="7DA656E2">
      <w:pPr>
        <w:jc w:val="center"/>
        <w:rPr>
          <w:rFonts w:ascii="仿宋" w:hAnsi="仿宋" w:eastAsia="仿宋"/>
          <w:sz w:val="32"/>
          <w:szCs w:val="32"/>
          <w:highlight w:val="none"/>
        </w:rPr>
      </w:pPr>
    </w:p>
    <w:p w14:paraId="379955BE">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9120D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1F5F8BC6">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700268A5">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55641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010AE4C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3D852F3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FA3BB0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6DEAA34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D7FDFD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74812E4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A0404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27983A63">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30C14AA9">
      <w:pPr>
        <w:ind w:firstLine="640" w:firstLineChars="200"/>
        <w:rPr>
          <w:rFonts w:ascii="仿宋_GB2312" w:eastAsia="仿宋_GB2312"/>
          <w:sz w:val="32"/>
          <w:szCs w:val="32"/>
          <w:highlight w:val="none"/>
        </w:rPr>
      </w:pPr>
    </w:p>
    <w:p w14:paraId="6A918C88">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765C24C6">
      <w:pPr>
        <w:jc w:val="left"/>
        <w:rPr>
          <w:rFonts w:ascii="仿宋" w:hAnsi="仿宋" w:eastAsia="仿宋"/>
          <w:sz w:val="32"/>
          <w:szCs w:val="32"/>
          <w:highlight w:val="none"/>
        </w:rPr>
      </w:pPr>
    </w:p>
    <w:p w14:paraId="1B444BF6">
      <w:pPr>
        <w:jc w:val="left"/>
        <w:rPr>
          <w:rFonts w:ascii="仿宋" w:hAnsi="仿宋" w:eastAsia="仿宋"/>
          <w:sz w:val="32"/>
          <w:szCs w:val="32"/>
          <w:highlight w:val="none"/>
        </w:rPr>
      </w:pPr>
    </w:p>
    <w:p w14:paraId="72B373F5">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20B7F093">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190D8E0B">
      <w:pPr>
        <w:rPr>
          <w:rFonts w:ascii="仿宋" w:hAnsi="仿宋" w:eastAsia="仿宋"/>
          <w:sz w:val="32"/>
          <w:szCs w:val="32"/>
          <w:highlight w:val="none"/>
        </w:rPr>
      </w:pPr>
    </w:p>
    <w:p w14:paraId="3288088A">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NmM2U5M2RhZjM3ZTI5ODZkNWZiYjYxZTBlMzI1ZTk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5766C1"/>
    <w:rsid w:val="034968DF"/>
    <w:rsid w:val="03D7309C"/>
    <w:rsid w:val="03F248D4"/>
    <w:rsid w:val="07C71E05"/>
    <w:rsid w:val="08190FFD"/>
    <w:rsid w:val="0A450E4E"/>
    <w:rsid w:val="0A7F599D"/>
    <w:rsid w:val="0B4115AF"/>
    <w:rsid w:val="0C633590"/>
    <w:rsid w:val="0C7C5D37"/>
    <w:rsid w:val="0D0F40E1"/>
    <w:rsid w:val="0E0E4A27"/>
    <w:rsid w:val="0E235FAD"/>
    <w:rsid w:val="0E933B6E"/>
    <w:rsid w:val="0EB70C53"/>
    <w:rsid w:val="0F4C4086"/>
    <w:rsid w:val="0FC65E97"/>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5C77E27"/>
    <w:rsid w:val="26DC2BFA"/>
    <w:rsid w:val="27063D31"/>
    <w:rsid w:val="27742DDB"/>
    <w:rsid w:val="27747EDE"/>
    <w:rsid w:val="277B13CF"/>
    <w:rsid w:val="285B5D80"/>
    <w:rsid w:val="28753BF0"/>
    <w:rsid w:val="28AA47B7"/>
    <w:rsid w:val="28CB641B"/>
    <w:rsid w:val="29207EE3"/>
    <w:rsid w:val="2AC832F5"/>
    <w:rsid w:val="2D742D12"/>
    <w:rsid w:val="2DB21965"/>
    <w:rsid w:val="2DB7713C"/>
    <w:rsid w:val="2E3342C6"/>
    <w:rsid w:val="331B5ABB"/>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7CD3E75"/>
    <w:rsid w:val="580A299B"/>
    <w:rsid w:val="5B591F60"/>
    <w:rsid w:val="5B5D76B7"/>
    <w:rsid w:val="5B8E44C5"/>
    <w:rsid w:val="5C982767"/>
    <w:rsid w:val="5CD80EBE"/>
    <w:rsid w:val="5CFA751D"/>
    <w:rsid w:val="5DB8541C"/>
    <w:rsid w:val="5E221344"/>
    <w:rsid w:val="5E32788E"/>
    <w:rsid w:val="5E8F5162"/>
    <w:rsid w:val="5F094911"/>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E6D14"/>
    <w:rsid w:val="70EF2762"/>
    <w:rsid w:val="71201EF9"/>
    <w:rsid w:val="716F5053"/>
    <w:rsid w:val="729E55FD"/>
    <w:rsid w:val="73D62900"/>
    <w:rsid w:val="73FA7C77"/>
    <w:rsid w:val="744F0BEE"/>
    <w:rsid w:val="74A55A8E"/>
    <w:rsid w:val="7539654A"/>
    <w:rsid w:val="75836739"/>
    <w:rsid w:val="76C753DE"/>
    <w:rsid w:val="76C775D8"/>
    <w:rsid w:val="76F260C3"/>
    <w:rsid w:val="77322505"/>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3644</Words>
  <Characters>3988</Characters>
  <Lines>19</Lines>
  <Paragraphs>5</Paragraphs>
  <TotalTime>1</TotalTime>
  <ScaleCrop>false</ScaleCrop>
  <LinksUpToDate>false</LinksUpToDate>
  <CharactersWithSpaces>4092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小泰迪</cp:lastModifiedBy>
  <dcterms:modified xsi:type="dcterms:W3CDTF">2025-04-10T02:05:15Z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eyJoZGlkIjoiNTkxM2IyMTEzYTE0N2NlMjg5MjEzNzQ0ZTNhMDM4ZmMiLCJ1c2VySWQiOiI0NzkxODIwOTQifQ==</vt:lpwstr>
  </property>
</Properties>
</file>